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EAC8F" w14:textId="2072111E" w:rsidR="00F436B3" w:rsidRPr="00583356" w:rsidRDefault="00F436B3" w:rsidP="00D978B2">
      <w:pPr>
        <w:pStyle w:val="Heading1"/>
        <w:ind w:left="5760" w:hanging="5760"/>
        <w:rPr>
          <w:rFonts w:ascii="Times New Roman" w:hAnsi="Times New Roman"/>
          <w:i w:val="0"/>
          <w:szCs w:val="24"/>
          <w:lang w:val="en-CA"/>
        </w:rPr>
      </w:pPr>
      <w:r w:rsidRPr="00583356">
        <w:rPr>
          <w:rFonts w:ascii="Times New Roman" w:hAnsi="Times New Roman"/>
          <w:szCs w:val="24"/>
          <w:lang w:val="en-CA"/>
        </w:rPr>
        <w:t xml:space="preserve">R. v. </w:t>
      </w:r>
      <w:r w:rsidR="006A2218">
        <w:rPr>
          <w:rFonts w:ascii="Times New Roman" w:hAnsi="Times New Roman"/>
          <w:szCs w:val="24"/>
          <w:lang w:val="en-CA"/>
        </w:rPr>
        <w:t>L.M.</w:t>
      </w:r>
      <w:r>
        <w:rPr>
          <w:rFonts w:ascii="Times New Roman" w:hAnsi="Times New Roman"/>
          <w:i w:val="0"/>
          <w:szCs w:val="24"/>
          <w:lang w:val="en-CA"/>
        </w:rPr>
        <w:t>,</w:t>
      </w:r>
      <w:r w:rsidRPr="00583356">
        <w:rPr>
          <w:rFonts w:ascii="Times New Roman" w:hAnsi="Times New Roman"/>
          <w:i w:val="0"/>
          <w:szCs w:val="24"/>
          <w:lang w:val="en-CA"/>
        </w:rPr>
        <w:t xml:space="preserve"> 201</w:t>
      </w:r>
      <w:r>
        <w:rPr>
          <w:rFonts w:ascii="Times New Roman" w:hAnsi="Times New Roman"/>
          <w:i w:val="0"/>
          <w:szCs w:val="24"/>
          <w:lang w:val="en-CA"/>
        </w:rPr>
        <w:t>8</w:t>
      </w:r>
      <w:r w:rsidRPr="00583356">
        <w:rPr>
          <w:rFonts w:ascii="Times New Roman" w:hAnsi="Times New Roman"/>
          <w:i w:val="0"/>
          <w:szCs w:val="24"/>
          <w:lang w:val="en-CA"/>
        </w:rPr>
        <w:t xml:space="preserve"> NWTTC </w:t>
      </w:r>
      <w:r>
        <w:rPr>
          <w:rFonts w:ascii="Times New Roman" w:hAnsi="Times New Roman"/>
          <w:i w:val="0"/>
          <w:szCs w:val="24"/>
          <w:lang w:val="en-CA"/>
        </w:rPr>
        <w:t>06</w:t>
      </w:r>
    </w:p>
    <w:p w14:paraId="630EE488" w14:textId="11DC9E7C" w:rsidR="00F436B3" w:rsidRPr="00EC6522" w:rsidRDefault="00F436B3" w:rsidP="00D978B2">
      <w:pPr>
        <w:pStyle w:val="Heading1"/>
        <w:ind w:left="5760" w:hanging="5760"/>
        <w:jc w:val="right"/>
        <w:rPr>
          <w:rFonts w:ascii="Times New Roman" w:hAnsi="Times New Roman"/>
          <w:sz w:val="28"/>
          <w:szCs w:val="28"/>
          <w:lang w:val="en-CA"/>
        </w:rPr>
      </w:pPr>
      <w:r w:rsidRPr="00EC6522">
        <w:rPr>
          <w:rFonts w:ascii="Times New Roman" w:hAnsi="Times New Roman"/>
          <w:sz w:val="28"/>
          <w:szCs w:val="28"/>
          <w:lang w:val="en-CA"/>
        </w:rPr>
        <w:t>Date:  20</w:t>
      </w:r>
      <w:r>
        <w:rPr>
          <w:rFonts w:ascii="Times New Roman" w:hAnsi="Times New Roman"/>
          <w:sz w:val="28"/>
          <w:szCs w:val="28"/>
          <w:lang w:val="en-CA"/>
        </w:rPr>
        <w:t>18 03 2</w:t>
      </w:r>
      <w:r w:rsidR="000325AA">
        <w:rPr>
          <w:rFonts w:ascii="Times New Roman" w:hAnsi="Times New Roman"/>
          <w:sz w:val="28"/>
          <w:szCs w:val="28"/>
          <w:lang w:val="en-CA"/>
        </w:rPr>
        <w:t>9</w:t>
      </w:r>
    </w:p>
    <w:p w14:paraId="4D62158A" w14:textId="77777777" w:rsidR="00F436B3" w:rsidRPr="00571F9C" w:rsidRDefault="00F436B3" w:rsidP="00D978B2">
      <w:pPr>
        <w:pStyle w:val="Heading1"/>
        <w:ind w:left="5760" w:hanging="5760"/>
        <w:jc w:val="right"/>
        <w:rPr>
          <w:rFonts w:ascii="Times New Roman" w:hAnsi="Times New Roman"/>
          <w:sz w:val="28"/>
          <w:szCs w:val="28"/>
          <w:lang w:val="fr-CA"/>
        </w:rPr>
      </w:pPr>
      <w:r w:rsidRPr="00571F9C">
        <w:rPr>
          <w:rFonts w:ascii="Times New Roman" w:hAnsi="Times New Roman"/>
          <w:sz w:val="28"/>
          <w:szCs w:val="28"/>
          <w:lang w:val="fr-CA"/>
        </w:rPr>
        <w:t xml:space="preserve">File: </w:t>
      </w:r>
      <w:r>
        <w:rPr>
          <w:rFonts w:ascii="Times New Roman" w:hAnsi="Times New Roman"/>
          <w:sz w:val="28"/>
          <w:szCs w:val="28"/>
          <w:lang w:val="fr-CA"/>
        </w:rPr>
        <w:t>Y-1-YO-2017-000020</w:t>
      </w:r>
    </w:p>
    <w:p w14:paraId="46E12AB2" w14:textId="77777777" w:rsidR="00F436B3" w:rsidRPr="00571F9C" w:rsidRDefault="00F436B3" w:rsidP="00D978B2">
      <w:pPr>
        <w:spacing w:after="0" w:line="240" w:lineRule="auto"/>
        <w:rPr>
          <w:i/>
          <w:lang w:val="fr-CA"/>
        </w:rPr>
      </w:pPr>
      <w:r w:rsidRPr="00571F9C">
        <w:rPr>
          <w:lang w:val="fr-CA"/>
        </w:rPr>
        <w:tab/>
      </w:r>
      <w:r w:rsidRPr="00571F9C">
        <w:rPr>
          <w:lang w:val="fr-CA"/>
        </w:rPr>
        <w:tab/>
      </w:r>
      <w:r w:rsidRPr="00571F9C">
        <w:rPr>
          <w:lang w:val="fr-CA"/>
        </w:rPr>
        <w:tab/>
      </w:r>
      <w:r w:rsidRPr="00571F9C">
        <w:rPr>
          <w:lang w:val="fr-CA"/>
        </w:rPr>
        <w:tab/>
      </w:r>
      <w:r w:rsidRPr="00571F9C">
        <w:rPr>
          <w:lang w:val="fr-CA"/>
        </w:rPr>
        <w:tab/>
      </w:r>
      <w:r w:rsidRPr="00571F9C">
        <w:rPr>
          <w:lang w:val="fr-CA"/>
        </w:rPr>
        <w:tab/>
      </w:r>
      <w:r w:rsidRPr="00571F9C">
        <w:rPr>
          <w:lang w:val="fr-CA"/>
        </w:rPr>
        <w:tab/>
      </w:r>
      <w:r w:rsidRPr="00571F9C">
        <w:rPr>
          <w:lang w:val="fr-CA"/>
        </w:rPr>
        <w:tab/>
      </w:r>
      <w:r w:rsidRPr="00571F9C">
        <w:rPr>
          <w:lang w:val="fr-CA"/>
        </w:rPr>
        <w:tab/>
        <w:t xml:space="preserve">       </w:t>
      </w:r>
    </w:p>
    <w:p w14:paraId="472FC727" w14:textId="77777777" w:rsidR="00F436B3" w:rsidRPr="00571F9C" w:rsidRDefault="00F436B3" w:rsidP="00D978B2">
      <w:pPr>
        <w:pStyle w:val="Heading1"/>
        <w:ind w:left="5760" w:hanging="5760"/>
        <w:jc w:val="right"/>
        <w:rPr>
          <w:rFonts w:ascii="Times New Roman" w:hAnsi="Times New Roman"/>
          <w:sz w:val="28"/>
          <w:szCs w:val="28"/>
          <w:lang w:val="fr-CA"/>
        </w:rPr>
      </w:pPr>
      <w:r w:rsidRPr="00571F9C">
        <w:rPr>
          <w:rFonts w:ascii="Times New Roman" w:hAnsi="Times New Roman"/>
          <w:sz w:val="28"/>
          <w:szCs w:val="28"/>
          <w:lang w:val="fr-CA"/>
        </w:rPr>
        <w:tab/>
      </w:r>
      <w:r w:rsidRPr="00571F9C">
        <w:rPr>
          <w:rFonts w:ascii="Times New Roman" w:hAnsi="Times New Roman"/>
          <w:sz w:val="28"/>
          <w:szCs w:val="28"/>
          <w:lang w:val="fr-CA"/>
        </w:rPr>
        <w:tab/>
        <w:t xml:space="preserve">          </w:t>
      </w:r>
      <w:r w:rsidRPr="00571F9C">
        <w:rPr>
          <w:rFonts w:ascii="Times New Roman" w:hAnsi="Times New Roman"/>
          <w:sz w:val="28"/>
          <w:szCs w:val="28"/>
          <w:lang w:val="fr-CA"/>
        </w:rPr>
        <w:tab/>
      </w:r>
      <w:r w:rsidRPr="00571F9C">
        <w:rPr>
          <w:rFonts w:ascii="Times New Roman" w:hAnsi="Times New Roman"/>
          <w:sz w:val="28"/>
          <w:szCs w:val="28"/>
          <w:lang w:val="fr-CA"/>
        </w:rPr>
        <w:tab/>
      </w:r>
      <w:r w:rsidRPr="00571F9C">
        <w:rPr>
          <w:rFonts w:ascii="Times New Roman" w:hAnsi="Times New Roman"/>
          <w:sz w:val="28"/>
          <w:szCs w:val="28"/>
          <w:lang w:val="fr-CA"/>
        </w:rPr>
        <w:tab/>
      </w:r>
    </w:p>
    <w:p w14:paraId="0EF810DE" w14:textId="77777777" w:rsidR="00F436B3" w:rsidRDefault="00F436B3" w:rsidP="00630876">
      <w:pPr>
        <w:pStyle w:val="Heading2"/>
        <w:jc w:val="left"/>
        <w:rPr>
          <w:rFonts w:ascii="Times New Roman" w:hAnsi="Times New Roman"/>
          <w:b/>
          <w:sz w:val="28"/>
          <w:szCs w:val="28"/>
          <w:lang w:val="en-CA"/>
        </w:rPr>
      </w:pPr>
      <w:r w:rsidRPr="00EC6522">
        <w:rPr>
          <w:rFonts w:ascii="Times New Roman" w:hAnsi="Times New Roman"/>
          <w:b/>
          <w:sz w:val="28"/>
          <w:szCs w:val="28"/>
          <w:lang w:val="en-CA"/>
        </w:rPr>
        <w:t xml:space="preserve">IN THE </w:t>
      </w:r>
      <w:r>
        <w:rPr>
          <w:rFonts w:ascii="Times New Roman" w:hAnsi="Times New Roman"/>
          <w:b/>
          <w:sz w:val="28"/>
          <w:szCs w:val="28"/>
          <w:lang w:val="en-CA"/>
        </w:rPr>
        <w:t xml:space="preserve">YOUTH </w:t>
      </w:r>
      <w:r w:rsidRPr="00EC6522">
        <w:rPr>
          <w:rFonts w:ascii="Times New Roman" w:hAnsi="Times New Roman"/>
          <w:b/>
          <w:sz w:val="28"/>
          <w:szCs w:val="28"/>
          <w:lang w:val="en-CA"/>
        </w:rPr>
        <w:t>COURT OF THE NORTHWEST TERRITORIES</w:t>
      </w:r>
    </w:p>
    <w:p w14:paraId="5E220534" w14:textId="77777777" w:rsidR="00D978B2" w:rsidRPr="00D978B2" w:rsidRDefault="00D978B2" w:rsidP="00D978B2">
      <w:pPr>
        <w:rPr>
          <w:lang w:val="en-CA"/>
        </w:rPr>
      </w:pPr>
    </w:p>
    <w:p w14:paraId="6953C25F" w14:textId="77777777" w:rsidR="00F436B3" w:rsidRPr="00630876" w:rsidRDefault="00F436B3" w:rsidP="00D978B2">
      <w:pPr>
        <w:spacing w:after="0" w:line="240" w:lineRule="auto"/>
        <w:jc w:val="both"/>
        <w:rPr>
          <w:rFonts w:ascii="Times New Roman" w:hAnsi="Times New Roman" w:cs="Times New Roman"/>
          <w:b/>
          <w:sz w:val="28"/>
          <w:szCs w:val="28"/>
          <w:lang w:val="en-CA"/>
        </w:rPr>
      </w:pPr>
      <w:r w:rsidRPr="00EC6522">
        <w:rPr>
          <w:sz w:val="28"/>
          <w:szCs w:val="28"/>
          <w:lang w:val="en-CA"/>
        </w:rPr>
        <w:tab/>
      </w:r>
      <w:r w:rsidRPr="00630876">
        <w:rPr>
          <w:rFonts w:ascii="Times New Roman" w:hAnsi="Times New Roman" w:cs="Times New Roman"/>
          <w:b/>
          <w:sz w:val="28"/>
          <w:szCs w:val="28"/>
          <w:lang w:val="en-CA"/>
        </w:rPr>
        <w:t>BETWEEN:</w:t>
      </w:r>
    </w:p>
    <w:p w14:paraId="41F5EA10" w14:textId="77777777" w:rsidR="00F436B3" w:rsidRDefault="00F436B3" w:rsidP="00D978B2">
      <w:pPr>
        <w:pStyle w:val="Heading2"/>
        <w:rPr>
          <w:rFonts w:ascii="Times New Roman" w:hAnsi="Times New Roman"/>
          <w:b/>
          <w:caps/>
          <w:sz w:val="28"/>
          <w:szCs w:val="28"/>
          <w:lang w:val="en-CA"/>
        </w:rPr>
      </w:pPr>
      <w:r w:rsidRPr="00EC6522">
        <w:rPr>
          <w:rFonts w:ascii="Times New Roman" w:hAnsi="Times New Roman"/>
          <w:b/>
          <w:caps/>
          <w:sz w:val="28"/>
          <w:szCs w:val="28"/>
          <w:lang w:val="en-CA"/>
        </w:rPr>
        <w:t>Her Majesty the Queen</w:t>
      </w:r>
    </w:p>
    <w:p w14:paraId="19657DBC" w14:textId="77777777" w:rsidR="00D978B2" w:rsidRPr="00D978B2" w:rsidRDefault="00D978B2" w:rsidP="00D978B2">
      <w:pPr>
        <w:rPr>
          <w:lang w:val="en-CA"/>
        </w:rPr>
      </w:pPr>
    </w:p>
    <w:p w14:paraId="0156731C" w14:textId="273C45D5" w:rsidR="00F436B3" w:rsidRPr="00630876" w:rsidRDefault="00F436B3" w:rsidP="00D978B2">
      <w:pPr>
        <w:spacing w:after="0" w:line="240" w:lineRule="auto"/>
        <w:ind w:left="90"/>
        <w:jc w:val="center"/>
        <w:rPr>
          <w:rFonts w:ascii="Times New Roman" w:hAnsi="Times New Roman" w:cs="Times New Roman"/>
          <w:b/>
          <w:sz w:val="28"/>
          <w:szCs w:val="28"/>
          <w:lang w:val="en-CA"/>
        </w:rPr>
      </w:pPr>
      <w:r w:rsidRPr="00630876">
        <w:rPr>
          <w:rFonts w:ascii="Times New Roman" w:hAnsi="Times New Roman" w:cs="Times New Roman"/>
          <w:b/>
          <w:sz w:val="28"/>
          <w:szCs w:val="28"/>
          <w:lang w:val="en-CA"/>
        </w:rPr>
        <w:t xml:space="preserve">- and </w:t>
      </w:r>
      <w:r w:rsidR="00D978B2" w:rsidRPr="00630876">
        <w:rPr>
          <w:rFonts w:ascii="Times New Roman" w:hAnsi="Times New Roman" w:cs="Times New Roman"/>
          <w:b/>
          <w:sz w:val="28"/>
          <w:szCs w:val="28"/>
          <w:lang w:val="en-CA"/>
        </w:rPr>
        <w:t>–</w:t>
      </w:r>
    </w:p>
    <w:p w14:paraId="65955DAD" w14:textId="77777777" w:rsidR="00D978B2" w:rsidRDefault="00D978B2" w:rsidP="00D978B2">
      <w:pPr>
        <w:spacing w:after="0" w:line="240" w:lineRule="auto"/>
        <w:ind w:left="90"/>
        <w:jc w:val="center"/>
        <w:rPr>
          <w:rFonts w:ascii="Times New Roman" w:hAnsi="Times New Roman" w:cs="Times New Roman"/>
          <w:b/>
          <w:sz w:val="28"/>
          <w:szCs w:val="28"/>
          <w:lang w:val="en-CA"/>
        </w:rPr>
      </w:pPr>
    </w:p>
    <w:p w14:paraId="01307F68" w14:textId="77777777" w:rsidR="00630876" w:rsidRPr="00630876" w:rsidRDefault="00630876" w:rsidP="00D978B2">
      <w:pPr>
        <w:spacing w:after="0" w:line="240" w:lineRule="auto"/>
        <w:ind w:left="90"/>
        <w:jc w:val="center"/>
        <w:rPr>
          <w:rFonts w:ascii="Times New Roman" w:hAnsi="Times New Roman" w:cs="Times New Roman"/>
          <w:b/>
          <w:sz w:val="28"/>
          <w:szCs w:val="28"/>
          <w:lang w:val="en-CA"/>
        </w:rPr>
      </w:pPr>
    </w:p>
    <w:p w14:paraId="6A08E341" w14:textId="47C2C1E3" w:rsidR="00F436B3" w:rsidRPr="00630876" w:rsidRDefault="00F436B3" w:rsidP="00D978B2">
      <w:pPr>
        <w:spacing w:after="0" w:line="240" w:lineRule="auto"/>
        <w:jc w:val="center"/>
        <w:rPr>
          <w:rFonts w:ascii="Times New Roman" w:hAnsi="Times New Roman" w:cs="Times New Roman"/>
          <w:b/>
          <w:sz w:val="28"/>
          <w:szCs w:val="28"/>
          <w:lang w:val="en-CA"/>
        </w:rPr>
      </w:pPr>
      <w:r w:rsidRPr="00630876">
        <w:rPr>
          <w:rFonts w:ascii="Times New Roman" w:hAnsi="Times New Roman" w:cs="Times New Roman"/>
          <w:b/>
          <w:sz w:val="28"/>
          <w:szCs w:val="28"/>
          <w:lang w:val="en-CA"/>
        </w:rPr>
        <w:t>L</w:t>
      </w:r>
      <w:r w:rsidR="006A2218" w:rsidRPr="00630876">
        <w:rPr>
          <w:rFonts w:ascii="Times New Roman" w:hAnsi="Times New Roman" w:cs="Times New Roman"/>
          <w:b/>
          <w:sz w:val="28"/>
          <w:szCs w:val="28"/>
          <w:lang w:val="en-CA"/>
        </w:rPr>
        <w:t>.</w:t>
      </w:r>
      <w:r w:rsidRPr="00630876">
        <w:rPr>
          <w:rFonts w:ascii="Times New Roman" w:hAnsi="Times New Roman" w:cs="Times New Roman"/>
          <w:b/>
          <w:sz w:val="28"/>
          <w:szCs w:val="28"/>
          <w:lang w:val="en-CA"/>
        </w:rPr>
        <w:t>M</w:t>
      </w:r>
      <w:r w:rsidR="006A2218" w:rsidRPr="00630876">
        <w:rPr>
          <w:rFonts w:ascii="Times New Roman" w:hAnsi="Times New Roman" w:cs="Times New Roman"/>
          <w:b/>
          <w:sz w:val="28"/>
          <w:szCs w:val="28"/>
          <w:lang w:val="en-CA"/>
        </w:rPr>
        <w:t>.</w:t>
      </w:r>
    </w:p>
    <w:p w14:paraId="7203175E" w14:textId="77777777" w:rsidR="00F436B3" w:rsidRPr="00EC6522" w:rsidRDefault="00F436B3" w:rsidP="00D978B2">
      <w:pPr>
        <w:spacing w:after="0" w:line="240" w:lineRule="auto"/>
        <w:jc w:val="right"/>
        <w:rPr>
          <w:sz w:val="28"/>
          <w:szCs w:val="28"/>
          <w:lang w:val="en-CA"/>
        </w:rPr>
      </w:pPr>
    </w:p>
    <w:p w14:paraId="7BA45A6B" w14:textId="77777777" w:rsidR="00F436B3" w:rsidRPr="00EC6522" w:rsidRDefault="00F436B3" w:rsidP="00D978B2">
      <w:pPr>
        <w:pBdr>
          <w:bottom w:val="single" w:sz="12" w:space="1" w:color="auto"/>
        </w:pBdr>
        <w:spacing w:after="0" w:line="240" w:lineRule="auto"/>
        <w:jc w:val="both"/>
        <w:rPr>
          <w:sz w:val="28"/>
          <w:szCs w:val="28"/>
          <w:lang w:val="en-CA"/>
        </w:rPr>
      </w:pPr>
    </w:p>
    <w:p w14:paraId="6B2DC303" w14:textId="77777777" w:rsidR="00F436B3" w:rsidRPr="00EC6522" w:rsidRDefault="00F436B3" w:rsidP="00D978B2">
      <w:pPr>
        <w:spacing w:after="0" w:line="240" w:lineRule="auto"/>
        <w:jc w:val="both"/>
        <w:rPr>
          <w:sz w:val="28"/>
          <w:szCs w:val="28"/>
          <w:lang w:val="en-CA"/>
        </w:rPr>
      </w:pPr>
    </w:p>
    <w:p w14:paraId="559F4BF1" w14:textId="77777777" w:rsidR="00F436B3" w:rsidRPr="00B46122" w:rsidRDefault="00F436B3" w:rsidP="00D978B2">
      <w:pPr>
        <w:spacing w:after="0" w:line="240" w:lineRule="auto"/>
        <w:jc w:val="center"/>
        <w:rPr>
          <w:rFonts w:ascii="Times New Roman" w:hAnsi="Times New Roman" w:cs="Times New Roman"/>
          <w:b/>
          <w:sz w:val="28"/>
          <w:szCs w:val="28"/>
          <w:lang w:val="en-CA"/>
        </w:rPr>
      </w:pPr>
      <w:r w:rsidRPr="00B46122">
        <w:rPr>
          <w:rFonts w:ascii="Times New Roman" w:hAnsi="Times New Roman" w:cs="Times New Roman"/>
          <w:b/>
          <w:sz w:val="28"/>
          <w:szCs w:val="28"/>
          <w:lang w:val="en-CA"/>
        </w:rPr>
        <w:t>REASONS FOR DECISION</w:t>
      </w:r>
    </w:p>
    <w:p w14:paraId="5B312E25" w14:textId="77777777" w:rsidR="00F436B3" w:rsidRPr="00B46122" w:rsidRDefault="00F436B3" w:rsidP="00D978B2">
      <w:pPr>
        <w:spacing w:after="0" w:line="240" w:lineRule="auto"/>
        <w:jc w:val="center"/>
        <w:rPr>
          <w:rFonts w:ascii="Times New Roman" w:hAnsi="Times New Roman" w:cs="Times New Roman"/>
          <w:b/>
          <w:sz w:val="28"/>
          <w:szCs w:val="28"/>
          <w:lang w:val="en-CA"/>
        </w:rPr>
      </w:pPr>
      <w:r w:rsidRPr="00B46122">
        <w:rPr>
          <w:rFonts w:ascii="Times New Roman" w:hAnsi="Times New Roman" w:cs="Times New Roman"/>
          <w:b/>
          <w:sz w:val="28"/>
          <w:szCs w:val="28"/>
          <w:lang w:val="en-CA"/>
        </w:rPr>
        <w:t>of the</w:t>
      </w:r>
    </w:p>
    <w:p w14:paraId="08C43A3B" w14:textId="77777777" w:rsidR="00F436B3" w:rsidRPr="00B46122" w:rsidRDefault="00F436B3" w:rsidP="00D978B2">
      <w:pPr>
        <w:spacing w:after="0" w:line="240" w:lineRule="auto"/>
        <w:jc w:val="center"/>
        <w:rPr>
          <w:rFonts w:ascii="Times New Roman" w:hAnsi="Times New Roman" w:cs="Times New Roman"/>
          <w:b/>
          <w:sz w:val="28"/>
          <w:szCs w:val="28"/>
          <w:lang w:val="en-CA"/>
        </w:rPr>
      </w:pPr>
      <w:r w:rsidRPr="00B46122">
        <w:rPr>
          <w:rFonts w:ascii="Times New Roman" w:hAnsi="Times New Roman" w:cs="Times New Roman"/>
          <w:b/>
          <w:sz w:val="28"/>
          <w:szCs w:val="28"/>
          <w:lang w:val="en-CA"/>
        </w:rPr>
        <w:t>HONOURABLE JUDGE ROBERT GORIN</w:t>
      </w:r>
    </w:p>
    <w:p w14:paraId="6AFA956A" w14:textId="77777777" w:rsidR="00F436B3" w:rsidRPr="00EC6522" w:rsidRDefault="00F436B3" w:rsidP="00D978B2">
      <w:pPr>
        <w:pBdr>
          <w:bottom w:val="single" w:sz="12" w:space="1" w:color="auto"/>
        </w:pBdr>
        <w:spacing w:after="0" w:line="240" w:lineRule="auto"/>
        <w:rPr>
          <w:sz w:val="28"/>
          <w:szCs w:val="28"/>
          <w:lang w:val="en-CA"/>
        </w:rPr>
      </w:pPr>
    </w:p>
    <w:p w14:paraId="2A42F540" w14:textId="77777777" w:rsidR="00F436B3" w:rsidRPr="00EC6522" w:rsidRDefault="00F436B3" w:rsidP="00D978B2">
      <w:pPr>
        <w:spacing w:after="0" w:line="240" w:lineRule="auto"/>
        <w:jc w:val="both"/>
        <w:rPr>
          <w:sz w:val="28"/>
          <w:szCs w:val="28"/>
          <w:lang w:val="en-CA"/>
        </w:rPr>
      </w:pPr>
    </w:p>
    <w:p w14:paraId="2DE9BF9E" w14:textId="77777777" w:rsidR="00F436B3" w:rsidRPr="000D3351" w:rsidRDefault="00F436B3" w:rsidP="00D978B2">
      <w:pPr>
        <w:keepNext/>
        <w:spacing w:after="0" w:line="240" w:lineRule="auto"/>
        <w:jc w:val="both"/>
        <w:outlineLvl w:val="3"/>
        <w:rPr>
          <w:sz w:val="28"/>
          <w:szCs w:val="28"/>
          <w:lang w:val="en-CA"/>
        </w:rPr>
      </w:pPr>
    </w:p>
    <w:p w14:paraId="009ED27A" w14:textId="77777777" w:rsidR="00F436B3" w:rsidRPr="000D3351" w:rsidRDefault="00F436B3" w:rsidP="00D978B2">
      <w:pPr>
        <w:spacing w:after="0" w:line="240" w:lineRule="auto"/>
        <w:jc w:val="both"/>
        <w:rPr>
          <w:sz w:val="28"/>
          <w:szCs w:val="28"/>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5"/>
        <w:gridCol w:w="506"/>
        <w:gridCol w:w="5719"/>
      </w:tblGrid>
      <w:tr w:rsidR="00F436B3" w:rsidRPr="000D3351" w14:paraId="1B65911E" w14:textId="77777777" w:rsidTr="000958E9">
        <w:tc>
          <w:tcPr>
            <w:tcW w:w="3135" w:type="dxa"/>
          </w:tcPr>
          <w:p w14:paraId="67FD4A4A" w14:textId="77777777" w:rsidR="00F436B3" w:rsidRPr="000D3351" w:rsidRDefault="00F436B3" w:rsidP="00D978B2">
            <w:pPr>
              <w:keepNext/>
              <w:jc w:val="both"/>
              <w:outlineLvl w:val="3"/>
              <w:rPr>
                <w:sz w:val="28"/>
                <w:szCs w:val="28"/>
                <w:lang w:val="en-CA"/>
              </w:rPr>
            </w:pPr>
            <w:r w:rsidRPr="000D3351">
              <w:rPr>
                <w:sz w:val="28"/>
                <w:szCs w:val="28"/>
                <w:lang w:val="en-CA"/>
              </w:rPr>
              <w:t>Heard at:</w:t>
            </w:r>
          </w:p>
        </w:tc>
        <w:tc>
          <w:tcPr>
            <w:tcW w:w="506" w:type="dxa"/>
          </w:tcPr>
          <w:p w14:paraId="7B17ED05" w14:textId="77777777" w:rsidR="00F436B3" w:rsidRPr="000D3351" w:rsidRDefault="00F436B3" w:rsidP="00D978B2">
            <w:pPr>
              <w:keepNext/>
              <w:jc w:val="both"/>
              <w:outlineLvl w:val="3"/>
              <w:rPr>
                <w:sz w:val="28"/>
                <w:szCs w:val="28"/>
                <w:lang w:val="en-CA"/>
              </w:rPr>
            </w:pPr>
          </w:p>
        </w:tc>
        <w:tc>
          <w:tcPr>
            <w:tcW w:w="5719" w:type="dxa"/>
          </w:tcPr>
          <w:p w14:paraId="6FBFF541" w14:textId="77777777" w:rsidR="00F436B3" w:rsidRDefault="00F436B3" w:rsidP="00D978B2">
            <w:pPr>
              <w:keepNext/>
              <w:jc w:val="both"/>
              <w:outlineLvl w:val="3"/>
              <w:rPr>
                <w:sz w:val="28"/>
                <w:szCs w:val="28"/>
                <w:lang w:val="en-CA"/>
              </w:rPr>
            </w:pPr>
            <w:r>
              <w:rPr>
                <w:sz w:val="28"/>
                <w:szCs w:val="28"/>
                <w:lang w:val="en-CA"/>
              </w:rPr>
              <w:t>Yellowknife</w:t>
            </w:r>
            <w:r w:rsidRPr="000D3351">
              <w:rPr>
                <w:sz w:val="28"/>
                <w:szCs w:val="28"/>
                <w:lang w:val="en-CA"/>
              </w:rPr>
              <w:t>, Northwest Territories</w:t>
            </w:r>
          </w:p>
          <w:p w14:paraId="5FECD2F3" w14:textId="77777777" w:rsidR="000958E9" w:rsidRPr="000D3351" w:rsidRDefault="000958E9" w:rsidP="00D978B2">
            <w:pPr>
              <w:keepNext/>
              <w:jc w:val="both"/>
              <w:outlineLvl w:val="3"/>
              <w:rPr>
                <w:sz w:val="28"/>
                <w:szCs w:val="28"/>
                <w:lang w:val="en-CA"/>
              </w:rPr>
            </w:pPr>
          </w:p>
        </w:tc>
      </w:tr>
      <w:tr w:rsidR="00F436B3" w:rsidRPr="000D3351" w14:paraId="064D0DF4" w14:textId="77777777" w:rsidTr="000958E9">
        <w:tc>
          <w:tcPr>
            <w:tcW w:w="3135" w:type="dxa"/>
          </w:tcPr>
          <w:p w14:paraId="227CE166" w14:textId="5647C180" w:rsidR="00F436B3" w:rsidRPr="000D3351" w:rsidRDefault="000958E9" w:rsidP="00D978B2">
            <w:pPr>
              <w:keepNext/>
              <w:jc w:val="both"/>
              <w:outlineLvl w:val="3"/>
              <w:rPr>
                <w:sz w:val="28"/>
                <w:szCs w:val="28"/>
                <w:lang w:val="en-CA"/>
              </w:rPr>
            </w:pPr>
            <w:r>
              <w:rPr>
                <w:sz w:val="28"/>
                <w:szCs w:val="28"/>
                <w:lang w:val="en-CA"/>
              </w:rPr>
              <w:t>Date of Application:</w:t>
            </w:r>
          </w:p>
        </w:tc>
        <w:tc>
          <w:tcPr>
            <w:tcW w:w="506" w:type="dxa"/>
          </w:tcPr>
          <w:p w14:paraId="2BDFD40E" w14:textId="77777777" w:rsidR="00F436B3" w:rsidRPr="000D3351" w:rsidRDefault="00F436B3" w:rsidP="00D978B2">
            <w:pPr>
              <w:keepNext/>
              <w:jc w:val="both"/>
              <w:outlineLvl w:val="3"/>
              <w:rPr>
                <w:sz w:val="28"/>
                <w:szCs w:val="28"/>
                <w:lang w:val="en-CA"/>
              </w:rPr>
            </w:pPr>
          </w:p>
        </w:tc>
        <w:tc>
          <w:tcPr>
            <w:tcW w:w="5719" w:type="dxa"/>
          </w:tcPr>
          <w:p w14:paraId="44D6FA4C" w14:textId="19D732AE" w:rsidR="00F436B3" w:rsidRPr="000D3351" w:rsidRDefault="000958E9" w:rsidP="00D978B2">
            <w:pPr>
              <w:keepNext/>
              <w:jc w:val="both"/>
              <w:outlineLvl w:val="3"/>
              <w:rPr>
                <w:sz w:val="28"/>
                <w:szCs w:val="28"/>
                <w:lang w:val="en-CA"/>
              </w:rPr>
            </w:pPr>
            <w:r>
              <w:rPr>
                <w:sz w:val="28"/>
                <w:szCs w:val="28"/>
                <w:lang w:val="en-CA"/>
              </w:rPr>
              <w:t>March 20, 2018</w:t>
            </w:r>
          </w:p>
        </w:tc>
      </w:tr>
      <w:tr w:rsidR="00F436B3" w:rsidRPr="000D3351" w14:paraId="31C45D35" w14:textId="77777777" w:rsidTr="000958E9">
        <w:tc>
          <w:tcPr>
            <w:tcW w:w="3135" w:type="dxa"/>
          </w:tcPr>
          <w:p w14:paraId="5CB6626C" w14:textId="77777777" w:rsidR="000958E9" w:rsidRDefault="000958E9" w:rsidP="00D978B2">
            <w:pPr>
              <w:keepNext/>
              <w:jc w:val="both"/>
              <w:outlineLvl w:val="3"/>
              <w:rPr>
                <w:sz w:val="28"/>
                <w:szCs w:val="28"/>
                <w:lang w:val="en-CA"/>
              </w:rPr>
            </w:pPr>
          </w:p>
          <w:p w14:paraId="551D0309" w14:textId="77777777" w:rsidR="00F436B3" w:rsidRPr="000D3351" w:rsidRDefault="00F436B3" w:rsidP="00D978B2">
            <w:pPr>
              <w:keepNext/>
              <w:jc w:val="both"/>
              <w:outlineLvl w:val="3"/>
              <w:rPr>
                <w:sz w:val="28"/>
                <w:szCs w:val="28"/>
                <w:lang w:val="en-CA"/>
              </w:rPr>
            </w:pPr>
            <w:r w:rsidRPr="000D3351">
              <w:rPr>
                <w:sz w:val="28"/>
                <w:szCs w:val="28"/>
                <w:lang w:val="en-CA"/>
              </w:rPr>
              <w:t>Date of Decision:</w:t>
            </w:r>
          </w:p>
        </w:tc>
        <w:tc>
          <w:tcPr>
            <w:tcW w:w="506" w:type="dxa"/>
          </w:tcPr>
          <w:p w14:paraId="550A4F5A" w14:textId="77777777" w:rsidR="00F436B3" w:rsidRPr="000D3351" w:rsidRDefault="00F436B3" w:rsidP="00D978B2">
            <w:pPr>
              <w:keepNext/>
              <w:jc w:val="both"/>
              <w:outlineLvl w:val="3"/>
              <w:rPr>
                <w:sz w:val="28"/>
                <w:szCs w:val="28"/>
                <w:lang w:val="en-CA"/>
              </w:rPr>
            </w:pPr>
          </w:p>
        </w:tc>
        <w:tc>
          <w:tcPr>
            <w:tcW w:w="5719" w:type="dxa"/>
          </w:tcPr>
          <w:p w14:paraId="5BEAB5A7" w14:textId="77777777" w:rsidR="000958E9" w:rsidRDefault="000958E9" w:rsidP="00D978B2">
            <w:pPr>
              <w:keepNext/>
              <w:jc w:val="both"/>
              <w:outlineLvl w:val="3"/>
              <w:rPr>
                <w:sz w:val="28"/>
                <w:szCs w:val="28"/>
                <w:lang w:val="en-CA"/>
              </w:rPr>
            </w:pPr>
          </w:p>
          <w:p w14:paraId="07931CCB" w14:textId="3D731831" w:rsidR="00F436B3" w:rsidRPr="000D3351" w:rsidRDefault="00F436B3" w:rsidP="000325AA">
            <w:pPr>
              <w:keepNext/>
              <w:jc w:val="both"/>
              <w:outlineLvl w:val="3"/>
              <w:rPr>
                <w:sz w:val="28"/>
                <w:szCs w:val="28"/>
                <w:lang w:val="en-CA"/>
              </w:rPr>
            </w:pPr>
            <w:r>
              <w:rPr>
                <w:sz w:val="28"/>
                <w:szCs w:val="28"/>
                <w:lang w:val="en-CA"/>
              </w:rPr>
              <w:t>March 2</w:t>
            </w:r>
            <w:r w:rsidR="000325AA">
              <w:rPr>
                <w:sz w:val="28"/>
                <w:szCs w:val="28"/>
                <w:lang w:val="en-CA"/>
              </w:rPr>
              <w:t>9</w:t>
            </w:r>
            <w:r>
              <w:rPr>
                <w:sz w:val="28"/>
                <w:szCs w:val="28"/>
                <w:lang w:val="en-CA"/>
              </w:rPr>
              <w:t>, 2018</w:t>
            </w:r>
          </w:p>
        </w:tc>
      </w:tr>
      <w:tr w:rsidR="00F436B3" w:rsidRPr="000D3351" w14:paraId="4E438FCB" w14:textId="77777777" w:rsidTr="000958E9">
        <w:tc>
          <w:tcPr>
            <w:tcW w:w="3135" w:type="dxa"/>
          </w:tcPr>
          <w:p w14:paraId="55387C57" w14:textId="77777777" w:rsidR="00F436B3" w:rsidRPr="000D3351" w:rsidRDefault="00F436B3" w:rsidP="00D978B2">
            <w:pPr>
              <w:keepNext/>
              <w:jc w:val="both"/>
              <w:outlineLvl w:val="3"/>
              <w:rPr>
                <w:sz w:val="28"/>
                <w:szCs w:val="28"/>
                <w:lang w:val="en-CA"/>
              </w:rPr>
            </w:pPr>
          </w:p>
        </w:tc>
        <w:tc>
          <w:tcPr>
            <w:tcW w:w="506" w:type="dxa"/>
          </w:tcPr>
          <w:p w14:paraId="7306F762" w14:textId="77777777" w:rsidR="00F436B3" w:rsidRPr="000D3351" w:rsidRDefault="00F436B3" w:rsidP="00D978B2">
            <w:pPr>
              <w:keepNext/>
              <w:jc w:val="both"/>
              <w:outlineLvl w:val="3"/>
              <w:rPr>
                <w:sz w:val="28"/>
                <w:szCs w:val="28"/>
                <w:lang w:val="en-CA"/>
              </w:rPr>
            </w:pPr>
          </w:p>
        </w:tc>
        <w:tc>
          <w:tcPr>
            <w:tcW w:w="5719" w:type="dxa"/>
          </w:tcPr>
          <w:p w14:paraId="6D4D6C60" w14:textId="77777777" w:rsidR="00F436B3" w:rsidRPr="000D3351" w:rsidRDefault="00F436B3" w:rsidP="00D978B2">
            <w:pPr>
              <w:keepNext/>
              <w:jc w:val="both"/>
              <w:outlineLvl w:val="3"/>
              <w:rPr>
                <w:sz w:val="28"/>
                <w:szCs w:val="28"/>
                <w:lang w:val="en-CA"/>
              </w:rPr>
            </w:pPr>
          </w:p>
        </w:tc>
      </w:tr>
      <w:tr w:rsidR="00F436B3" w:rsidRPr="000D3351" w14:paraId="09738FE3" w14:textId="77777777" w:rsidTr="000958E9">
        <w:tc>
          <w:tcPr>
            <w:tcW w:w="3135" w:type="dxa"/>
          </w:tcPr>
          <w:p w14:paraId="29A8D642" w14:textId="77777777" w:rsidR="00F436B3" w:rsidRPr="000D3351" w:rsidRDefault="00F436B3" w:rsidP="00D978B2">
            <w:pPr>
              <w:keepNext/>
              <w:jc w:val="both"/>
              <w:outlineLvl w:val="3"/>
              <w:rPr>
                <w:sz w:val="28"/>
                <w:szCs w:val="28"/>
                <w:lang w:val="en-CA"/>
              </w:rPr>
            </w:pPr>
            <w:r w:rsidRPr="000D3351">
              <w:rPr>
                <w:sz w:val="28"/>
                <w:szCs w:val="28"/>
                <w:lang w:val="en-CA"/>
              </w:rPr>
              <w:t>Counsel for the Crown:</w:t>
            </w:r>
          </w:p>
        </w:tc>
        <w:tc>
          <w:tcPr>
            <w:tcW w:w="506" w:type="dxa"/>
          </w:tcPr>
          <w:p w14:paraId="4D306543" w14:textId="77777777" w:rsidR="00F436B3" w:rsidRPr="000D3351" w:rsidRDefault="00F436B3" w:rsidP="00D978B2">
            <w:pPr>
              <w:keepNext/>
              <w:jc w:val="both"/>
              <w:outlineLvl w:val="3"/>
              <w:rPr>
                <w:sz w:val="28"/>
                <w:szCs w:val="28"/>
                <w:lang w:val="en-CA"/>
              </w:rPr>
            </w:pPr>
          </w:p>
        </w:tc>
        <w:tc>
          <w:tcPr>
            <w:tcW w:w="5719" w:type="dxa"/>
          </w:tcPr>
          <w:p w14:paraId="54A99986" w14:textId="77777777" w:rsidR="00F436B3" w:rsidRPr="000D3351" w:rsidRDefault="00F436B3" w:rsidP="00D978B2">
            <w:pPr>
              <w:keepNext/>
              <w:jc w:val="both"/>
              <w:outlineLvl w:val="3"/>
              <w:rPr>
                <w:sz w:val="28"/>
                <w:szCs w:val="28"/>
                <w:lang w:val="en-CA"/>
              </w:rPr>
            </w:pPr>
            <w:r>
              <w:rPr>
                <w:sz w:val="28"/>
                <w:szCs w:val="28"/>
                <w:lang w:val="en-CA"/>
              </w:rPr>
              <w:t>Annie Piche and Brendan Green</w:t>
            </w:r>
          </w:p>
        </w:tc>
      </w:tr>
      <w:tr w:rsidR="00F436B3" w:rsidRPr="000D3351" w14:paraId="4258012A" w14:textId="77777777" w:rsidTr="000958E9">
        <w:tc>
          <w:tcPr>
            <w:tcW w:w="3135" w:type="dxa"/>
          </w:tcPr>
          <w:p w14:paraId="3163A1A7" w14:textId="77777777" w:rsidR="00F436B3" w:rsidRPr="000D3351" w:rsidRDefault="00F436B3" w:rsidP="00D978B2">
            <w:pPr>
              <w:keepNext/>
              <w:jc w:val="both"/>
              <w:outlineLvl w:val="3"/>
              <w:rPr>
                <w:sz w:val="28"/>
                <w:szCs w:val="28"/>
                <w:lang w:val="en-CA"/>
              </w:rPr>
            </w:pPr>
          </w:p>
        </w:tc>
        <w:tc>
          <w:tcPr>
            <w:tcW w:w="506" w:type="dxa"/>
          </w:tcPr>
          <w:p w14:paraId="563D4142" w14:textId="77777777" w:rsidR="00F436B3" w:rsidRPr="000D3351" w:rsidRDefault="00F436B3" w:rsidP="00D978B2">
            <w:pPr>
              <w:keepNext/>
              <w:jc w:val="both"/>
              <w:outlineLvl w:val="3"/>
              <w:rPr>
                <w:sz w:val="28"/>
                <w:szCs w:val="28"/>
                <w:lang w:val="en-CA"/>
              </w:rPr>
            </w:pPr>
          </w:p>
        </w:tc>
        <w:tc>
          <w:tcPr>
            <w:tcW w:w="5719" w:type="dxa"/>
          </w:tcPr>
          <w:p w14:paraId="06FD66A8" w14:textId="77777777" w:rsidR="00F436B3" w:rsidRPr="000D3351" w:rsidRDefault="00F436B3" w:rsidP="00D978B2">
            <w:pPr>
              <w:keepNext/>
              <w:jc w:val="both"/>
              <w:outlineLvl w:val="3"/>
              <w:rPr>
                <w:sz w:val="28"/>
                <w:szCs w:val="28"/>
                <w:lang w:val="en-CA"/>
              </w:rPr>
            </w:pPr>
          </w:p>
        </w:tc>
      </w:tr>
      <w:tr w:rsidR="00F436B3" w:rsidRPr="000D3351" w14:paraId="5EC5CFB6" w14:textId="77777777" w:rsidTr="000958E9">
        <w:tc>
          <w:tcPr>
            <w:tcW w:w="3135" w:type="dxa"/>
          </w:tcPr>
          <w:p w14:paraId="453182B2" w14:textId="77777777" w:rsidR="00F436B3" w:rsidRPr="000D3351" w:rsidRDefault="00F436B3" w:rsidP="00D978B2">
            <w:pPr>
              <w:keepNext/>
              <w:jc w:val="both"/>
              <w:outlineLvl w:val="3"/>
              <w:rPr>
                <w:sz w:val="28"/>
                <w:szCs w:val="28"/>
                <w:lang w:val="en-CA"/>
              </w:rPr>
            </w:pPr>
            <w:r w:rsidRPr="000D3351">
              <w:rPr>
                <w:sz w:val="28"/>
                <w:szCs w:val="28"/>
                <w:lang w:val="en-CA"/>
              </w:rPr>
              <w:t>Counsel for the Accused:</w:t>
            </w:r>
          </w:p>
        </w:tc>
        <w:tc>
          <w:tcPr>
            <w:tcW w:w="506" w:type="dxa"/>
          </w:tcPr>
          <w:p w14:paraId="176FC9B9" w14:textId="77777777" w:rsidR="00F436B3" w:rsidRPr="000D3351" w:rsidRDefault="00F436B3" w:rsidP="00D978B2">
            <w:pPr>
              <w:keepNext/>
              <w:jc w:val="both"/>
              <w:outlineLvl w:val="3"/>
              <w:rPr>
                <w:sz w:val="28"/>
                <w:szCs w:val="28"/>
                <w:lang w:val="en-CA"/>
              </w:rPr>
            </w:pPr>
          </w:p>
        </w:tc>
        <w:tc>
          <w:tcPr>
            <w:tcW w:w="5719" w:type="dxa"/>
          </w:tcPr>
          <w:p w14:paraId="369A76A1" w14:textId="1251B278" w:rsidR="00F436B3" w:rsidRPr="000D3351" w:rsidRDefault="00F436B3" w:rsidP="00D978B2">
            <w:pPr>
              <w:keepNext/>
              <w:jc w:val="both"/>
              <w:outlineLvl w:val="3"/>
              <w:rPr>
                <w:sz w:val="28"/>
                <w:szCs w:val="28"/>
                <w:lang w:val="en-CA"/>
              </w:rPr>
            </w:pPr>
            <w:r>
              <w:rPr>
                <w:sz w:val="28"/>
                <w:szCs w:val="28"/>
                <w:lang w:val="en-CA"/>
              </w:rPr>
              <w:t>Peter Harte</w:t>
            </w:r>
            <w:r w:rsidR="000958E9">
              <w:rPr>
                <w:sz w:val="28"/>
                <w:szCs w:val="28"/>
                <w:lang w:val="en-CA"/>
              </w:rPr>
              <w:t xml:space="preserve"> and Alanhea Vogt</w:t>
            </w:r>
          </w:p>
        </w:tc>
      </w:tr>
    </w:tbl>
    <w:p w14:paraId="65BE4F0F" w14:textId="77777777" w:rsidR="00F436B3" w:rsidRPr="000D3351" w:rsidRDefault="00F436B3" w:rsidP="00D978B2">
      <w:pPr>
        <w:keepNext/>
        <w:spacing w:after="0" w:line="240" w:lineRule="auto"/>
        <w:jc w:val="both"/>
        <w:outlineLvl w:val="3"/>
        <w:rPr>
          <w:sz w:val="28"/>
          <w:szCs w:val="28"/>
          <w:lang w:val="en-CA"/>
        </w:rPr>
      </w:pPr>
    </w:p>
    <w:p w14:paraId="50EBD966" w14:textId="77777777" w:rsidR="00F436B3" w:rsidRPr="000D3351" w:rsidRDefault="00F436B3" w:rsidP="00D978B2">
      <w:pPr>
        <w:spacing w:after="0" w:line="240" w:lineRule="auto"/>
        <w:jc w:val="both"/>
        <w:rPr>
          <w:sz w:val="28"/>
          <w:szCs w:val="28"/>
          <w:lang w:val="en-CA"/>
        </w:rPr>
      </w:pPr>
    </w:p>
    <w:p w14:paraId="03000DED" w14:textId="38C45B51" w:rsidR="00F436B3" w:rsidRPr="000958E9" w:rsidRDefault="00F436B3" w:rsidP="00D978B2">
      <w:pPr>
        <w:spacing w:after="0" w:line="240" w:lineRule="auto"/>
        <w:jc w:val="center"/>
        <w:rPr>
          <w:rFonts w:ascii="Times New Roman" w:hAnsi="Times New Roman" w:cs="Times New Roman"/>
          <w:sz w:val="28"/>
          <w:szCs w:val="28"/>
          <w:lang w:val="en-CA"/>
        </w:rPr>
        <w:sectPr w:rsidR="00F436B3" w:rsidRPr="000958E9" w:rsidSect="000958E9">
          <w:headerReference w:type="default" r:id="rId8"/>
          <w:pgSz w:w="12240" w:h="15840" w:code="1"/>
          <w:pgMar w:top="1152" w:right="1440" w:bottom="1152" w:left="1440" w:header="720" w:footer="720" w:gutter="0"/>
          <w:pgNumType w:start="1"/>
          <w:cols w:space="720"/>
          <w:titlePg/>
        </w:sectPr>
      </w:pPr>
      <w:r w:rsidRPr="000D3351">
        <w:rPr>
          <w:sz w:val="28"/>
          <w:szCs w:val="28"/>
          <w:lang w:val="en-CA"/>
        </w:rPr>
        <w:t xml:space="preserve"> </w:t>
      </w:r>
      <w:r w:rsidRPr="000958E9">
        <w:rPr>
          <w:rFonts w:ascii="Times New Roman" w:hAnsi="Times New Roman" w:cs="Times New Roman"/>
          <w:sz w:val="28"/>
          <w:szCs w:val="28"/>
          <w:lang w:val="en-CA"/>
        </w:rPr>
        <w:t xml:space="preserve">[Sections </w:t>
      </w:r>
      <w:r w:rsidR="000958E9" w:rsidRPr="000958E9">
        <w:rPr>
          <w:rFonts w:ascii="Times New Roman" w:hAnsi="Times New Roman" w:cs="Times New Roman"/>
          <w:sz w:val="28"/>
          <w:szCs w:val="28"/>
          <w:lang w:val="en-CA"/>
        </w:rPr>
        <w:t>236(b) and 272(1)(c) of the Criminal Code</w:t>
      </w:r>
      <w:r w:rsidRPr="000958E9">
        <w:rPr>
          <w:rFonts w:ascii="Times New Roman" w:hAnsi="Times New Roman" w:cs="Times New Roman"/>
          <w:sz w:val="28"/>
          <w:szCs w:val="28"/>
          <w:lang w:val="en-CA"/>
        </w:rPr>
        <w:t>]</w:t>
      </w:r>
    </w:p>
    <w:p w14:paraId="3422F7D8" w14:textId="1029091F" w:rsidR="00F436B3" w:rsidRPr="00583356" w:rsidRDefault="00F436B3" w:rsidP="00D978B2">
      <w:pPr>
        <w:pStyle w:val="Heading1"/>
        <w:ind w:left="5760" w:hanging="5760"/>
        <w:rPr>
          <w:rFonts w:ascii="Times New Roman" w:hAnsi="Times New Roman"/>
          <w:i w:val="0"/>
          <w:szCs w:val="24"/>
          <w:lang w:val="en-CA"/>
        </w:rPr>
      </w:pPr>
      <w:r w:rsidRPr="00583356">
        <w:rPr>
          <w:rFonts w:ascii="Times New Roman" w:hAnsi="Times New Roman"/>
          <w:szCs w:val="24"/>
          <w:lang w:val="en-CA"/>
        </w:rPr>
        <w:lastRenderedPageBreak/>
        <w:t xml:space="preserve">R. v. </w:t>
      </w:r>
      <w:r w:rsidR="006A2218">
        <w:rPr>
          <w:rFonts w:ascii="Times New Roman" w:hAnsi="Times New Roman"/>
          <w:szCs w:val="24"/>
          <w:lang w:val="en-CA"/>
        </w:rPr>
        <w:t>L.M.</w:t>
      </w:r>
      <w:r>
        <w:rPr>
          <w:rFonts w:ascii="Times New Roman" w:hAnsi="Times New Roman"/>
          <w:i w:val="0"/>
          <w:szCs w:val="24"/>
          <w:lang w:val="en-CA"/>
        </w:rPr>
        <w:t>,</w:t>
      </w:r>
      <w:r w:rsidRPr="00583356">
        <w:rPr>
          <w:rFonts w:ascii="Times New Roman" w:hAnsi="Times New Roman"/>
          <w:i w:val="0"/>
          <w:szCs w:val="24"/>
          <w:lang w:val="en-CA"/>
        </w:rPr>
        <w:t xml:space="preserve"> 201</w:t>
      </w:r>
      <w:r>
        <w:rPr>
          <w:rFonts w:ascii="Times New Roman" w:hAnsi="Times New Roman"/>
          <w:i w:val="0"/>
          <w:szCs w:val="24"/>
          <w:lang w:val="en-CA"/>
        </w:rPr>
        <w:t>8</w:t>
      </w:r>
      <w:r w:rsidRPr="00583356">
        <w:rPr>
          <w:rFonts w:ascii="Times New Roman" w:hAnsi="Times New Roman"/>
          <w:i w:val="0"/>
          <w:szCs w:val="24"/>
          <w:lang w:val="en-CA"/>
        </w:rPr>
        <w:t xml:space="preserve"> NWTTC </w:t>
      </w:r>
      <w:r>
        <w:rPr>
          <w:rFonts w:ascii="Times New Roman" w:hAnsi="Times New Roman"/>
          <w:i w:val="0"/>
          <w:szCs w:val="24"/>
          <w:lang w:val="en-CA"/>
        </w:rPr>
        <w:t>06</w:t>
      </w:r>
    </w:p>
    <w:p w14:paraId="3C8ADC88" w14:textId="64456E41" w:rsidR="00F436B3" w:rsidRPr="00EC6522" w:rsidRDefault="00D978B2" w:rsidP="00D978B2">
      <w:pPr>
        <w:pStyle w:val="Heading1"/>
        <w:tabs>
          <w:tab w:val="center" w:pos="4680"/>
          <w:tab w:val="right" w:pos="9360"/>
        </w:tabs>
        <w:ind w:left="5760" w:hanging="5760"/>
        <w:jc w:val="right"/>
        <w:rPr>
          <w:rFonts w:ascii="Times New Roman" w:hAnsi="Times New Roman"/>
          <w:sz w:val="28"/>
          <w:szCs w:val="28"/>
          <w:lang w:val="en-CA"/>
        </w:rPr>
      </w:pPr>
      <w:r>
        <w:rPr>
          <w:rFonts w:ascii="Times New Roman" w:hAnsi="Times New Roman"/>
          <w:sz w:val="28"/>
          <w:szCs w:val="28"/>
          <w:lang w:val="en-CA"/>
        </w:rPr>
        <w:tab/>
      </w:r>
      <w:r>
        <w:rPr>
          <w:rFonts w:ascii="Times New Roman" w:hAnsi="Times New Roman"/>
          <w:sz w:val="28"/>
          <w:szCs w:val="28"/>
          <w:lang w:val="en-CA"/>
        </w:rPr>
        <w:tab/>
      </w:r>
      <w:r w:rsidR="00F436B3" w:rsidRPr="00EC6522">
        <w:rPr>
          <w:rFonts w:ascii="Times New Roman" w:hAnsi="Times New Roman"/>
          <w:sz w:val="28"/>
          <w:szCs w:val="28"/>
          <w:lang w:val="en-CA"/>
        </w:rPr>
        <w:t>Date:  20</w:t>
      </w:r>
      <w:r w:rsidR="00F436B3">
        <w:rPr>
          <w:rFonts w:ascii="Times New Roman" w:hAnsi="Times New Roman"/>
          <w:sz w:val="28"/>
          <w:szCs w:val="28"/>
          <w:lang w:val="en-CA"/>
        </w:rPr>
        <w:t>18 03 2</w:t>
      </w:r>
      <w:r w:rsidR="000325AA">
        <w:rPr>
          <w:rFonts w:ascii="Times New Roman" w:hAnsi="Times New Roman"/>
          <w:sz w:val="28"/>
          <w:szCs w:val="28"/>
          <w:lang w:val="en-CA"/>
        </w:rPr>
        <w:t>9</w:t>
      </w:r>
    </w:p>
    <w:p w14:paraId="363B2DB1" w14:textId="77777777" w:rsidR="00F436B3" w:rsidRPr="00571F9C" w:rsidRDefault="00F436B3" w:rsidP="00D978B2">
      <w:pPr>
        <w:pStyle w:val="Heading1"/>
        <w:ind w:left="5760" w:hanging="5760"/>
        <w:jc w:val="right"/>
        <w:rPr>
          <w:rFonts w:ascii="Times New Roman" w:hAnsi="Times New Roman"/>
          <w:sz w:val="28"/>
          <w:szCs w:val="28"/>
          <w:lang w:val="fr-CA"/>
        </w:rPr>
      </w:pPr>
      <w:r w:rsidRPr="00571F9C">
        <w:rPr>
          <w:rFonts w:ascii="Times New Roman" w:hAnsi="Times New Roman"/>
          <w:sz w:val="28"/>
          <w:szCs w:val="28"/>
          <w:lang w:val="fr-CA"/>
        </w:rPr>
        <w:t xml:space="preserve">File: </w:t>
      </w:r>
      <w:r>
        <w:rPr>
          <w:rFonts w:ascii="Times New Roman" w:hAnsi="Times New Roman"/>
          <w:sz w:val="28"/>
          <w:szCs w:val="28"/>
          <w:lang w:val="fr-CA"/>
        </w:rPr>
        <w:t>Y-1-YO-2017-000020</w:t>
      </w:r>
    </w:p>
    <w:p w14:paraId="1754A270" w14:textId="77777777" w:rsidR="00F436B3" w:rsidRPr="00711CBF" w:rsidRDefault="00F436B3" w:rsidP="00D978B2">
      <w:pPr>
        <w:pStyle w:val="Heading1"/>
        <w:ind w:left="5760" w:hanging="5760"/>
        <w:rPr>
          <w:rFonts w:ascii="Times New Roman" w:hAnsi="Times New Roman"/>
          <w:sz w:val="28"/>
          <w:szCs w:val="28"/>
          <w:lang w:val="fr-CA"/>
        </w:rPr>
      </w:pPr>
    </w:p>
    <w:p w14:paraId="24DB7A50" w14:textId="77777777" w:rsidR="00630876" w:rsidRDefault="00630876" w:rsidP="00630876">
      <w:pPr>
        <w:pStyle w:val="Heading2"/>
        <w:jc w:val="left"/>
        <w:rPr>
          <w:rFonts w:ascii="Times New Roman" w:hAnsi="Times New Roman"/>
          <w:b/>
          <w:sz w:val="28"/>
          <w:szCs w:val="28"/>
          <w:lang w:val="en-CA"/>
        </w:rPr>
      </w:pPr>
    </w:p>
    <w:p w14:paraId="048E2946" w14:textId="77777777" w:rsidR="00F436B3" w:rsidRPr="000B33E5" w:rsidRDefault="00F436B3" w:rsidP="00630876">
      <w:pPr>
        <w:pStyle w:val="Heading2"/>
        <w:jc w:val="left"/>
        <w:rPr>
          <w:rFonts w:ascii="Times New Roman" w:hAnsi="Times New Roman"/>
          <w:b/>
          <w:sz w:val="28"/>
          <w:szCs w:val="28"/>
          <w:lang w:val="en-CA"/>
        </w:rPr>
      </w:pPr>
      <w:r w:rsidRPr="000B33E5">
        <w:rPr>
          <w:rFonts w:ascii="Times New Roman" w:hAnsi="Times New Roman"/>
          <w:b/>
          <w:sz w:val="28"/>
          <w:szCs w:val="28"/>
          <w:lang w:val="en-CA"/>
        </w:rPr>
        <w:t xml:space="preserve">IN THE </w:t>
      </w:r>
      <w:r>
        <w:rPr>
          <w:rFonts w:ascii="Times New Roman" w:hAnsi="Times New Roman"/>
          <w:b/>
          <w:sz w:val="28"/>
          <w:szCs w:val="28"/>
          <w:lang w:val="en-CA"/>
        </w:rPr>
        <w:t xml:space="preserve">YOUTH </w:t>
      </w:r>
      <w:r w:rsidRPr="000B33E5">
        <w:rPr>
          <w:rFonts w:ascii="Times New Roman" w:hAnsi="Times New Roman"/>
          <w:b/>
          <w:sz w:val="28"/>
          <w:szCs w:val="28"/>
          <w:lang w:val="en-CA"/>
        </w:rPr>
        <w:t>COURT OF THE NORTHWEST TERRITORIES</w:t>
      </w:r>
    </w:p>
    <w:p w14:paraId="5CD20BDD" w14:textId="77777777" w:rsidR="00F436B3" w:rsidRPr="000B33E5" w:rsidRDefault="00F436B3" w:rsidP="00D978B2">
      <w:pPr>
        <w:spacing w:after="0" w:line="240" w:lineRule="auto"/>
        <w:jc w:val="both"/>
        <w:rPr>
          <w:sz w:val="28"/>
          <w:szCs w:val="28"/>
          <w:lang w:val="en-CA"/>
        </w:rPr>
      </w:pPr>
    </w:p>
    <w:p w14:paraId="011E0849" w14:textId="77777777" w:rsidR="00F436B3" w:rsidRPr="00630876" w:rsidRDefault="00F436B3" w:rsidP="00630876">
      <w:pPr>
        <w:spacing w:after="0" w:line="240" w:lineRule="auto"/>
        <w:ind w:firstLine="720"/>
        <w:jc w:val="both"/>
        <w:rPr>
          <w:rFonts w:ascii="Times New Roman" w:hAnsi="Times New Roman" w:cs="Times New Roman"/>
          <w:b/>
          <w:sz w:val="28"/>
          <w:szCs w:val="28"/>
          <w:lang w:val="en-CA"/>
        </w:rPr>
      </w:pPr>
      <w:r w:rsidRPr="00630876">
        <w:rPr>
          <w:rFonts w:ascii="Times New Roman" w:hAnsi="Times New Roman" w:cs="Times New Roman"/>
          <w:b/>
          <w:sz w:val="28"/>
          <w:szCs w:val="28"/>
          <w:lang w:val="en-CA"/>
        </w:rPr>
        <w:t>BETWEEN:</w:t>
      </w:r>
    </w:p>
    <w:p w14:paraId="78309AAE" w14:textId="77777777" w:rsidR="00F436B3" w:rsidRPr="00630876" w:rsidRDefault="00F436B3" w:rsidP="00D978B2">
      <w:pPr>
        <w:spacing w:after="0" w:line="240" w:lineRule="auto"/>
        <w:jc w:val="both"/>
        <w:rPr>
          <w:rFonts w:ascii="Times New Roman" w:hAnsi="Times New Roman" w:cs="Times New Roman"/>
          <w:b/>
          <w:sz w:val="28"/>
          <w:szCs w:val="28"/>
          <w:lang w:val="en-CA"/>
        </w:rPr>
      </w:pPr>
    </w:p>
    <w:p w14:paraId="7BAAEDF5" w14:textId="77777777" w:rsidR="00F436B3" w:rsidRPr="00630876" w:rsidRDefault="00F436B3" w:rsidP="00D978B2">
      <w:pPr>
        <w:pStyle w:val="Heading2"/>
        <w:rPr>
          <w:rFonts w:ascii="Times New Roman" w:hAnsi="Times New Roman"/>
          <w:b/>
          <w:sz w:val="28"/>
          <w:szCs w:val="28"/>
          <w:lang w:val="en-CA"/>
        </w:rPr>
      </w:pPr>
      <w:r w:rsidRPr="00630876">
        <w:rPr>
          <w:rFonts w:ascii="Times New Roman" w:hAnsi="Times New Roman"/>
          <w:b/>
          <w:sz w:val="28"/>
          <w:szCs w:val="28"/>
          <w:lang w:val="en-CA"/>
        </w:rPr>
        <w:t>HER MAJESTY THE QUEEN</w:t>
      </w:r>
    </w:p>
    <w:p w14:paraId="6777D932" w14:textId="77777777" w:rsidR="00F436B3" w:rsidRPr="00630876" w:rsidRDefault="00F436B3" w:rsidP="00D978B2">
      <w:pPr>
        <w:spacing w:after="0" w:line="240" w:lineRule="auto"/>
        <w:jc w:val="center"/>
        <w:rPr>
          <w:rFonts w:ascii="Times New Roman" w:hAnsi="Times New Roman" w:cs="Times New Roman"/>
          <w:b/>
          <w:sz w:val="28"/>
          <w:szCs w:val="28"/>
          <w:lang w:val="en-CA"/>
        </w:rPr>
      </w:pPr>
    </w:p>
    <w:p w14:paraId="7BD4437A" w14:textId="77777777" w:rsidR="00F436B3" w:rsidRPr="00630876" w:rsidRDefault="00F436B3" w:rsidP="00D978B2">
      <w:pPr>
        <w:spacing w:after="0" w:line="240" w:lineRule="auto"/>
        <w:ind w:left="90"/>
        <w:jc w:val="center"/>
        <w:rPr>
          <w:rFonts w:ascii="Times New Roman" w:hAnsi="Times New Roman" w:cs="Times New Roman"/>
          <w:b/>
          <w:sz w:val="28"/>
          <w:szCs w:val="28"/>
          <w:lang w:val="en-CA"/>
        </w:rPr>
      </w:pPr>
      <w:r w:rsidRPr="00630876">
        <w:rPr>
          <w:rFonts w:ascii="Times New Roman" w:hAnsi="Times New Roman" w:cs="Times New Roman"/>
          <w:b/>
          <w:sz w:val="28"/>
          <w:szCs w:val="28"/>
          <w:lang w:val="en-CA"/>
        </w:rPr>
        <w:t>- and -</w:t>
      </w:r>
    </w:p>
    <w:p w14:paraId="192DAA3D" w14:textId="77777777" w:rsidR="00F436B3" w:rsidRPr="00630876" w:rsidRDefault="00F436B3" w:rsidP="00D978B2">
      <w:pPr>
        <w:spacing w:after="0" w:line="240" w:lineRule="auto"/>
        <w:jc w:val="center"/>
        <w:rPr>
          <w:rFonts w:ascii="Times New Roman" w:hAnsi="Times New Roman" w:cs="Times New Roman"/>
          <w:b/>
          <w:sz w:val="28"/>
          <w:szCs w:val="28"/>
          <w:lang w:val="en-CA"/>
        </w:rPr>
      </w:pPr>
    </w:p>
    <w:p w14:paraId="07E8B703" w14:textId="38E4307E" w:rsidR="00F436B3" w:rsidRPr="00630876" w:rsidRDefault="006A2218" w:rsidP="00D978B2">
      <w:pPr>
        <w:spacing w:after="0" w:line="240" w:lineRule="auto"/>
        <w:jc w:val="center"/>
        <w:rPr>
          <w:rFonts w:ascii="Times New Roman" w:hAnsi="Times New Roman" w:cs="Times New Roman"/>
          <w:b/>
          <w:sz w:val="28"/>
          <w:szCs w:val="28"/>
          <w:lang w:val="en-CA"/>
        </w:rPr>
      </w:pPr>
      <w:r w:rsidRPr="00630876">
        <w:rPr>
          <w:rFonts w:ascii="Times New Roman" w:hAnsi="Times New Roman" w:cs="Times New Roman"/>
          <w:b/>
          <w:sz w:val="28"/>
          <w:szCs w:val="28"/>
          <w:lang w:val="en-CA"/>
        </w:rPr>
        <w:t>L.M.</w:t>
      </w:r>
    </w:p>
    <w:p w14:paraId="4839375E" w14:textId="4252DDD8" w:rsidR="00D978B2" w:rsidRPr="000B33E5" w:rsidRDefault="004A3FDE" w:rsidP="00D978B2">
      <w:pPr>
        <w:spacing w:after="0" w:line="240" w:lineRule="auto"/>
        <w:jc w:val="center"/>
        <w:rPr>
          <w:sz w:val="28"/>
          <w:szCs w:val="28"/>
          <w:lang w:val="en-CA"/>
        </w:rPr>
      </w:pPr>
      <w:r>
        <w:rPr>
          <w:rFonts w:ascii="Times New Roman" w:hAnsi="Times New Roman" w:cs="Times New Roman"/>
          <w:sz w:val="28"/>
          <w:szCs w:val="28"/>
          <w:lang w:val="en-CA"/>
        </w:rPr>
        <w:pict w14:anchorId="1BE88569">
          <v:rect id="_x0000_i1025" style="width:468pt;height:1pt" o:hralign="center" o:hrstd="t" o:hrnoshade="t" o:hr="t" fillcolor="black" stroked="f"/>
        </w:pict>
      </w:r>
    </w:p>
    <w:p w14:paraId="3BE10F04" w14:textId="4D890097" w:rsidR="003000D0" w:rsidRDefault="003000D0" w:rsidP="00D978B2">
      <w:pPr>
        <w:spacing w:after="0" w:line="240" w:lineRule="auto"/>
        <w:rPr>
          <w:b/>
          <w:sz w:val="28"/>
          <w:szCs w:val="28"/>
          <w:lang w:val="en-CA"/>
        </w:rPr>
      </w:pPr>
    </w:p>
    <w:p w14:paraId="034522EC" w14:textId="77777777" w:rsidR="003000D0" w:rsidRDefault="003000D0" w:rsidP="003000D0">
      <w:pPr>
        <w:pStyle w:val="ListParagraph"/>
        <w:numPr>
          <w:ilvl w:val="0"/>
          <w:numId w:val="32"/>
        </w:numPr>
        <w:rPr>
          <w:b/>
          <w:sz w:val="28"/>
          <w:szCs w:val="28"/>
          <w:lang w:val="en-CA"/>
        </w:rPr>
      </w:pPr>
      <w:r w:rsidRPr="00116AED">
        <w:rPr>
          <w:b/>
          <w:sz w:val="28"/>
          <w:szCs w:val="28"/>
          <w:lang w:val="en-CA"/>
        </w:rPr>
        <w:t>Introduction</w:t>
      </w:r>
    </w:p>
    <w:p w14:paraId="00157300" w14:textId="77777777" w:rsidR="00D978B2" w:rsidRDefault="00D978B2" w:rsidP="00D978B2">
      <w:pPr>
        <w:pStyle w:val="ListParagraph"/>
        <w:rPr>
          <w:b/>
          <w:sz w:val="28"/>
          <w:szCs w:val="28"/>
          <w:lang w:val="en-CA"/>
        </w:rPr>
      </w:pPr>
    </w:p>
    <w:p w14:paraId="3861F9A5" w14:textId="123980E8" w:rsidR="0036499C" w:rsidRDefault="00D4299A" w:rsidP="00D4299A">
      <w:pPr>
        <w:pStyle w:val="ListParagraph"/>
        <w:tabs>
          <w:tab w:val="left" w:pos="720"/>
        </w:tabs>
        <w:ind w:left="0"/>
        <w:rPr>
          <w:sz w:val="28"/>
          <w:szCs w:val="28"/>
          <w:lang w:val="en-CA"/>
        </w:rPr>
      </w:pPr>
      <w:r>
        <w:rPr>
          <w:sz w:val="28"/>
          <w:szCs w:val="28"/>
          <w:lang w:val="en-CA"/>
        </w:rPr>
        <w:t>[1]</w:t>
      </w:r>
      <w:r>
        <w:rPr>
          <w:sz w:val="28"/>
          <w:szCs w:val="28"/>
          <w:lang w:val="en-CA"/>
        </w:rPr>
        <w:tab/>
      </w:r>
      <w:r w:rsidR="006A2218">
        <w:rPr>
          <w:sz w:val="28"/>
          <w:szCs w:val="28"/>
          <w:lang w:val="en-CA"/>
        </w:rPr>
        <w:t>L.M.</w:t>
      </w:r>
      <w:r w:rsidR="0044681B" w:rsidRPr="00D4299A">
        <w:rPr>
          <w:sz w:val="28"/>
          <w:szCs w:val="28"/>
          <w:lang w:val="en-CA"/>
        </w:rPr>
        <w:t xml:space="preserve">, a young person, </w:t>
      </w:r>
      <w:r w:rsidR="00905E85" w:rsidRPr="00D4299A">
        <w:rPr>
          <w:sz w:val="28"/>
          <w:szCs w:val="28"/>
          <w:lang w:val="en-CA"/>
        </w:rPr>
        <w:t xml:space="preserve">is </w:t>
      </w:r>
      <w:r w:rsidR="009E18A4" w:rsidRPr="00D4299A">
        <w:rPr>
          <w:sz w:val="28"/>
          <w:szCs w:val="28"/>
          <w:lang w:val="en-CA"/>
        </w:rPr>
        <w:t xml:space="preserve">on trial for manslaughter.  </w:t>
      </w:r>
      <w:r w:rsidR="0044681B" w:rsidRPr="00D4299A">
        <w:rPr>
          <w:sz w:val="28"/>
          <w:szCs w:val="28"/>
          <w:lang w:val="en-CA"/>
        </w:rPr>
        <w:t>He is charged with</w:t>
      </w:r>
      <w:r w:rsidR="00773717" w:rsidRPr="00D4299A">
        <w:rPr>
          <w:sz w:val="28"/>
          <w:szCs w:val="28"/>
          <w:lang w:val="en-CA"/>
        </w:rPr>
        <w:t xml:space="preserve"> unlawfully killing </w:t>
      </w:r>
      <w:r w:rsidR="006A2218">
        <w:rPr>
          <w:sz w:val="28"/>
          <w:szCs w:val="28"/>
          <w:lang w:val="en-CA"/>
        </w:rPr>
        <w:t>E.H.B.</w:t>
      </w:r>
      <w:r w:rsidR="00773717" w:rsidRPr="00D4299A">
        <w:rPr>
          <w:sz w:val="28"/>
          <w:szCs w:val="28"/>
          <w:lang w:val="en-CA"/>
        </w:rPr>
        <w:t>, contrary</w:t>
      </w:r>
      <w:r w:rsidR="00905E85" w:rsidRPr="00D4299A">
        <w:rPr>
          <w:sz w:val="28"/>
          <w:szCs w:val="28"/>
          <w:lang w:val="en-CA"/>
        </w:rPr>
        <w:t xml:space="preserve"> to section 236(b) of the </w:t>
      </w:r>
      <w:r w:rsidR="00894BC7" w:rsidRPr="00D4299A">
        <w:rPr>
          <w:i/>
          <w:sz w:val="28"/>
          <w:szCs w:val="28"/>
          <w:lang w:val="en-CA"/>
        </w:rPr>
        <w:t xml:space="preserve">Criminal </w:t>
      </w:r>
      <w:r w:rsidR="00905E85" w:rsidRPr="00D4299A">
        <w:rPr>
          <w:i/>
          <w:sz w:val="28"/>
          <w:szCs w:val="28"/>
          <w:lang w:val="en-CA"/>
        </w:rPr>
        <w:t>Code</w:t>
      </w:r>
      <w:r w:rsidR="009E18A4" w:rsidRPr="00D4299A">
        <w:rPr>
          <w:sz w:val="28"/>
          <w:szCs w:val="28"/>
          <w:lang w:val="en-CA"/>
        </w:rPr>
        <w:t xml:space="preserve"> in the fall of 2015, </w:t>
      </w:r>
      <w:r w:rsidR="00CD736E" w:rsidRPr="00D4299A">
        <w:rPr>
          <w:sz w:val="28"/>
          <w:szCs w:val="28"/>
          <w:lang w:val="en-CA"/>
        </w:rPr>
        <w:t xml:space="preserve">when he was 13 years of age. </w:t>
      </w:r>
    </w:p>
    <w:p w14:paraId="59A97D10" w14:textId="77777777" w:rsidR="00D4299A" w:rsidRPr="00D4299A" w:rsidRDefault="00D4299A" w:rsidP="00D4299A">
      <w:pPr>
        <w:pStyle w:val="ListParagraph"/>
        <w:tabs>
          <w:tab w:val="left" w:pos="810"/>
        </w:tabs>
        <w:ind w:left="0"/>
        <w:rPr>
          <w:sz w:val="28"/>
          <w:szCs w:val="28"/>
          <w:lang w:val="en-CA"/>
        </w:rPr>
      </w:pPr>
    </w:p>
    <w:p w14:paraId="21B313B9" w14:textId="612401BC" w:rsidR="009716F4" w:rsidRDefault="00D4299A" w:rsidP="00D4299A">
      <w:pPr>
        <w:pStyle w:val="ListParagraph"/>
        <w:tabs>
          <w:tab w:val="left" w:pos="720"/>
        </w:tabs>
        <w:ind w:left="0"/>
        <w:rPr>
          <w:sz w:val="28"/>
          <w:szCs w:val="28"/>
          <w:lang w:val="en-CA"/>
        </w:rPr>
      </w:pPr>
      <w:r>
        <w:rPr>
          <w:sz w:val="28"/>
          <w:szCs w:val="28"/>
          <w:lang w:val="en-CA"/>
        </w:rPr>
        <w:t>[2]</w:t>
      </w:r>
      <w:r>
        <w:rPr>
          <w:sz w:val="28"/>
          <w:szCs w:val="28"/>
          <w:lang w:val="en-CA"/>
        </w:rPr>
        <w:tab/>
      </w:r>
      <w:r w:rsidR="0044681B" w:rsidRPr="00D4299A">
        <w:rPr>
          <w:sz w:val="28"/>
          <w:szCs w:val="28"/>
          <w:lang w:val="en-CA"/>
        </w:rPr>
        <w:t xml:space="preserve">At the </w:t>
      </w:r>
      <w:r w:rsidR="0036499C" w:rsidRPr="00D4299A">
        <w:rPr>
          <w:sz w:val="28"/>
          <w:szCs w:val="28"/>
          <w:lang w:val="en-CA"/>
        </w:rPr>
        <w:t>conclusion</w:t>
      </w:r>
      <w:r w:rsidR="009E18A4" w:rsidRPr="00D4299A">
        <w:rPr>
          <w:sz w:val="28"/>
          <w:szCs w:val="28"/>
          <w:lang w:val="en-CA"/>
        </w:rPr>
        <w:t xml:space="preserve"> of</w:t>
      </w:r>
      <w:r w:rsidR="0036499C" w:rsidRPr="00D4299A">
        <w:rPr>
          <w:sz w:val="28"/>
          <w:szCs w:val="28"/>
          <w:lang w:val="en-CA"/>
        </w:rPr>
        <w:t xml:space="preserve"> the Crown’s case against him</w:t>
      </w:r>
      <w:r w:rsidR="0044681B" w:rsidRPr="00D4299A">
        <w:rPr>
          <w:sz w:val="28"/>
          <w:szCs w:val="28"/>
          <w:lang w:val="en-CA"/>
        </w:rPr>
        <w:t>,</w:t>
      </w:r>
      <w:r w:rsidR="0036499C" w:rsidRPr="00D4299A">
        <w:rPr>
          <w:sz w:val="28"/>
          <w:szCs w:val="28"/>
          <w:lang w:val="en-CA"/>
        </w:rPr>
        <w:t xml:space="preserve"> prior to electing whether or not to call evidence in his defence, he applied to have the charge in question dismissed</w:t>
      </w:r>
      <w:r w:rsidR="00CD736E" w:rsidRPr="00D4299A">
        <w:rPr>
          <w:sz w:val="28"/>
          <w:szCs w:val="28"/>
          <w:lang w:val="en-CA"/>
        </w:rPr>
        <w:t xml:space="preserve">.  He submitted </w:t>
      </w:r>
      <w:r w:rsidR="0036499C" w:rsidRPr="00D4299A">
        <w:rPr>
          <w:sz w:val="28"/>
          <w:szCs w:val="28"/>
          <w:lang w:val="en-CA"/>
        </w:rPr>
        <w:t>that there was insufficient evidence before the court on which a reas</w:t>
      </w:r>
      <w:r w:rsidR="00D239EA" w:rsidRPr="00D4299A">
        <w:rPr>
          <w:sz w:val="28"/>
          <w:szCs w:val="28"/>
          <w:lang w:val="en-CA"/>
        </w:rPr>
        <w:t>onable</w:t>
      </w:r>
      <w:r w:rsidR="002F4AC7" w:rsidRPr="00D4299A">
        <w:rPr>
          <w:sz w:val="28"/>
          <w:szCs w:val="28"/>
          <w:lang w:val="en-CA"/>
        </w:rPr>
        <w:t xml:space="preserve"> a</w:t>
      </w:r>
      <w:r w:rsidR="009E18A4" w:rsidRPr="00D4299A">
        <w:rPr>
          <w:sz w:val="28"/>
          <w:szCs w:val="28"/>
          <w:lang w:val="en-CA"/>
        </w:rPr>
        <w:t>nd</w:t>
      </w:r>
      <w:r w:rsidR="0044681B" w:rsidRPr="00D4299A">
        <w:rPr>
          <w:sz w:val="28"/>
          <w:szCs w:val="28"/>
          <w:lang w:val="en-CA"/>
        </w:rPr>
        <w:t xml:space="preserve"> properly instructed</w:t>
      </w:r>
      <w:r w:rsidR="00D239EA" w:rsidRPr="00D4299A">
        <w:rPr>
          <w:sz w:val="28"/>
          <w:szCs w:val="28"/>
          <w:lang w:val="en-CA"/>
        </w:rPr>
        <w:t xml:space="preserve"> jury could convict him</w:t>
      </w:r>
      <w:r w:rsidR="00773717" w:rsidRPr="00D4299A">
        <w:rPr>
          <w:sz w:val="28"/>
          <w:szCs w:val="28"/>
          <w:lang w:val="en-CA"/>
        </w:rPr>
        <w:t xml:space="preserve">.  </w:t>
      </w:r>
      <w:r w:rsidR="00D978B2">
        <w:rPr>
          <w:sz w:val="28"/>
          <w:szCs w:val="28"/>
          <w:lang w:val="en-CA"/>
        </w:rPr>
        <w:t>L.</w:t>
      </w:r>
      <w:r w:rsidR="00146793">
        <w:rPr>
          <w:sz w:val="28"/>
          <w:szCs w:val="28"/>
          <w:lang w:val="en-CA"/>
        </w:rPr>
        <w:t xml:space="preserve"> </w:t>
      </w:r>
      <w:r w:rsidR="00773717" w:rsidRPr="00D4299A">
        <w:rPr>
          <w:sz w:val="28"/>
          <w:szCs w:val="28"/>
          <w:lang w:val="en-CA"/>
        </w:rPr>
        <w:t xml:space="preserve">also </w:t>
      </w:r>
      <w:r w:rsidR="002F4AC7" w:rsidRPr="00D4299A">
        <w:rPr>
          <w:sz w:val="28"/>
          <w:szCs w:val="28"/>
          <w:lang w:val="en-CA"/>
        </w:rPr>
        <w:t>submitted</w:t>
      </w:r>
      <w:r w:rsidR="0044681B" w:rsidRPr="00D4299A">
        <w:rPr>
          <w:sz w:val="28"/>
          <w:szCs w:val="28"/>
          <w:lang w:val="en-CA"/>
        </w:rPr>
        <w:t xml:space="preserve"> that </w:t>
      </w:r>
      <w:r w:rsidR="006A2218">
        <w:rPr>
          <w:sz w:val="28"/>
          <w:szCs w:val="28"/>
          <w:lang w:val="en-CA"/>
        </w:rPr>
        <w:t xml:space="preserve">E.’s </w:t>
      </w:r>
      <w:r w:rsidR="002F4AC7" w:rsidRPr="00D4299A">
        <w:rPr>
          <w:sz w:val="28"/>
          <w:szCs w:val="28"/>
          <w:lang w:val="en-CA"/>
        </w:rPr>
        <w:t>voluntary c</w:t>
      </w:r>
      <w:r w:rsidR="009E18A4" w:rsidRPr="00D4299A">
        <w:rPr>
          <w:sz w:val="28"/>
          <w:szCs w:val="28"/>
          <w:lang w:val="en-CA"/>
        </w:rPr>
        <w:t>hoice to consume alcohol amounted</w:t>
      </w:r>
      <w:r w:rsidR="002F4AC7" w:rsidRPr="00D4299A">
        <w:rPr>
          <w:sz w:val="28"/>
          <w:szCs w:val="28"/>
          <w:lang w:val="en-CA"/>
        </w:rPr>
        <w:t xml:space="preserve"> to an intervening event</w:t>
      </w:r>
      <w:r w:rsidR="003162C6" w:rsidRPr="00D4299A">
        <w:rPr>
          <w:sz w:val="28"/>
          <w:szCs w:val="28"/>
          <w:lang w:val="en-CA"/>
        </w:rPr>
        <w:t xml:space="preserve"> </w:t>
      </w:r>
      <w:r w:rsidR="002F4AC7" w:rsidRPr="00D4299A">
        <w:rPr>
          <w:sz w:val="28"/>
          <w:szCs w:val="28"/>
          <w:lang w:val="en-CA"/>
        </w:rPr>
        <w:t>that</w:t>
      </w:r>
      <w:r w:rsidR="003162C6" w:rsidRPr="00D4299A">
        <w:rPr>
          <w:sz w:val="28"/>
          <w:szCs w:val="28"/>
          <w:lang w:val="en-CA"/>
        </w:rPr>
        <w:t xml:space="preserve"> relieves</w:t>
      </w:r>
      <w:r w:rsidR="002F4AC7" w:rsidRPr="00D4299A">
        <w:rPr>
          <w:sz w:val="28"/>
          <w:szCs w:val="28"/>
          <w:lang w:val="en-CA"/>
        </w:rPr>
        <w:t xml:space="preserve"> him </w:t>
      </w:r>
      <w:r w:rsidR="00773717" w:rsidRPr="00D4299A">
        <w:rPr>
          <w:sz w:val="28"/>
          <w:szCs w:val="28"/>
          <w:lang w:val="en-CA"/>
        </w:rPr>
        <w:t>of</w:t>
      </w:r>
      <w:r w:rsidR="0044681B" w:rsidRPr="00D4299A">
        <w:rPr>
          <w:sz w:val="28"/>
          <w:szCs w:val="28"/>
          <w:lang w:val="en-CA"/>
        </w:rPr>
        <w:t xml:space="preserve"> criminal</w:t>
      </w:r>
      <w:r w:rsidR="00773717" w:rsidRPr="00D4299A">
        <w:rPr>
          <w:sz w:val="28"/>
          <w:szCs w:val="28"/>
          <w:lang w:val="en-CA"/>
        </w:rPr>
        <w:t xml:space="preserve"> responsibility for </w:t>
      </w:r>
      <w:r w:rsidR="006A2218">
        <w:rPr>
          <w:sz w:val="28"/>
          <w:szCs w:val="28"/>
          <w:lang w:val="en-CA"/>
        </w:rPr>
        <w:t xml:space="preserve">E.’s </w:t>
      </w:r>
      <w:r w:rsidR="00773717" w:rsidRPr="00D4299A">
        <w:rPr>
          <w:sz w:val="28"/>
          <w:szCs w:val="28"/>
          <w:lang w:val="en-CA"/>
        </w:rPr>
        <w:t>death</w:t>
      </w:r>
      <w:r w:rsidR="003162C6" w:rsidRPr="00D4299A">
        <w:rPr>
          <w:sz w:val="28"/>
          <w:szCs w:val="28"/>
          <w:lang w:val="en-CA"/>
        </w:rPr>
        <w:t>.  He</w:t>
      </w:r>
      <w:r w:rsidR="00D239EA" w:rsidRPr="00D4299A">
        <w:rPr>
          <w:sz w:val="28"/>
          <w:szCs w:val="28"/>
          <w:lang w:val="en-CA"/>
        </w:rPr>
        <w:t xml:space="preserve"> </w:t>
      </w:r>
      <w:r w:rsidR="002F4AC7" w:rsidRPr="00D4299A">
        <w:rPr>
          <w:sz w:val="28"/>
          <w:szCs w:val="28"/>
          <w:lang w:val="en-CA"/>
        </w:rPr>
        <w:t>submits</w:t>
      </w:r>
      <w:r w:rsidR="00D239EA" w:rsidRPr="00D4299A">
        <w:rPr>
          <w:sz w:val="28"/>
          <w:szCs w:val="28"/>
          <w:lang w:val="en-CA"/>
        </w:rPr>
        <w:t xml:space="preserve"> that the charge should be dismissed for that reason as well.  </w:t>
      </w:r>
    </w:p>
    <w:p w14:paraId="12F01EA4" w14:textId="77777777" w:rsidR="00630876" w:rsidRPr="00D4299A" w:rsidRDefault="00630876" w:rsidP="00D4299A">
      <w:pPr>
        <w:pStyle w:val="ListParagraph"/>
        <w:tabs>
          <w:tab w:val="left" w:pos="720"/>
        </w:tabs>
        <w:ind w:left="0"/>
        <w:rPr>
          <w:sz w:val="28"/>
          <w:szCs w:val="28"/>
          <w:lang w:val="en-CA"/>
        </w:rPr>
      </w:pPr>
    </w:p>
    <w:p w14:paraId="52427DF1" w14:textId="77777777" w:rsidR="00D821F1" w:rsidRPr="00116AED" w:rsidRDefault="00D821F1" w:rsidP="003000D0">
      <w:pPr>
        <w:pStyle w:val="ListParagraph"/>
        <w:numPr>
          <w:ilvl w:val="0"/>
          <w:numId w:val="32"/>
        </w:numPr>
        <w:rPr>
          <w:b/>
          <w:sz w:val="28"/>
          <w:szCs w:val="28"/>
          <w:lang w:val="en-CA"/>
        </w:rPr>
      </w:pPr>
      <w:r w:rsidRPr="00116AED">
        <w:rPr>
          <w:b/>
          <w:sz w:val="28"/>
          <w:szCs w:val="28"/>
          <w:lang w:val="en-CA"/>
        </w:rPr>
        <w:t>Analysis</w:t>
      </w:r>
    </w:p>
    <w:p w14:paraId="5BE6652F" w14:textId="77777777" w:rsidR="00E64635" w:rsidRPr="00116AED" w:rsidRDefault="00E64635" w:rsidP="00E64635">
      <w:pPr>
        <w:pStyle w:val="ListParagraph"/>
        <w:rPr>
          <w:b/>
          <w:sz w:val="28"/>
          <w:szCs w:val="28"/>
          <w:lang w:val="en-CA"/>
        </w:rPr>
      </w:pPr>
    </w:p>
    <w:p w14:paraId="30C4A5B9" w14:textId="77777777" w:rsidR="00E64635" w:rsidRPr="00116AED" w:rsidRDefault="00E64635" w:rsidP="00E64635">
      <w:pPr>
        <w:pStyle w:val="ListParagraph"/>
        <w:numPr>
          <w:ilvl w:val="0"/>
          <w:numId w:val="24"/>
        </w:numPr>
        <w:rPr>
          <w:sz w:val="28"/>
          <w:szCs w:val="28"/>
          <w:lang w:val="en-CA"/>
        </w:rPr>
      </w:pPr>
      <w:r w:rsidRPr="00116AED">
        <w:rPr>
          <w:sz w:val="28"/>
          <w:szCs w:val="28"/>
          <w:lang w:val="en-CA"/>
        </w:rPr>
        <w:t>The General Facts</w:t>
      </w:r>
    </w:p>
    <w:p w14:paraId="03168865" w14:textId="42174852" w:rsidR="004A0F90" w:rsidRPr="00116AED" w:rsidRDefault="00D4299A" w:rsidP="00D4299A">
      <w:pPr>
        <w:tabs>
          <w:tab w:val="left" w:pos="720"/>
        </w:tabs>
        <w:rPr>
          <w:sz w:val="28"/>
          <w:szCs w:val="28"/>
          <w:lang w:val="en-CA"/>
        </w:rPr>
      </w:pPr>
      <w:r>
        <w:rPr>
          <w:sz w:val="28"/>
          <w:szCs w:val="28"/>
          <w:lang w:val="en-CA"/>
        </w:rPr>
        <w:t>[3]</w:t>
      </w:r>
      <w:r>
        <w:rPr>
          <w:sz w:val="28"/>
          <w:szCs w:val="28"/>
          <w:lang w:val="en-CA"/>
        </w:rPr>
        <w:tab/>
      </w:r>
      <w:r w:rsidR="00C72C04" w:rsidRPr="00116AED">
        <w:rPr>
          <w:sz w:val="28"/>
          <w:szCs w:val="28"/>
          <w:lang w:val="en-CA"/>
        </w:rPr>
        <w:t xml:space="preserve">The evidence that I have heard from </w:t>
      </w:r>
      <w:r w:rsidR="006A2218">
        <w:rPr>
          <w:sz w:val="28"/>
          <w:szCs w:val="28"/>
          <w:lang w:val="en-CA"/>
        </w:rPr>
        <w:t>D</w:t>
      </w:r>
      <w:r w:rsidR="007C3614">
        <w:rPr>
          <w:sz w:val="28"/>
          <w:szCs w:val="28"/>
          <w:lang w:val="en-CA"/>
        </w:rPr>
        <w:t>.</w:t>
      </w:r>
      <w:r w:rsidR="006A2218">
        <w:rPr>
          <w:sz w:val="28"/>
          <w:szCs w:val="28"/>
          <w:lang w:val="en-CA"/>
        </w:rPr>
        <w:t>S</w:t>
      </w:r>
      <w:r w:rsidR="007C3614">
        <w:rPr>
          <w:sz w:val="28"/>
          <w:szCs w:val="28"/>
          <w:lang w:val="en-CA"/>
        </w:rPr>
        <w:t>.</w:t>
      </w:r>
      <w:r w:rsidR="00C72C04" w:rsidRPr="00116AED">
        <w:rPr>
          <w:sz w:val="28"/>
          <w:szCs w:val="28"/>
          <w:lang w:val="en-CA"/>
        </w:rPr>
        <w:t xml:space="preserve">, </w:t>
      </w:r>
      <w:r w:rsidR="0044681B" w:rsidRPr="00116AED">
        <w:rPr>
          <w:sz w:val="28"/>
          <w:szCs w:val="28"/>
          <w:lang w:val="en-CA"/>
        </w:rPr>
        <w:t>a youth who</w:t>
      </w:r>
      <w:r w:rsidR="00C72C04" w:rsidRPr="00116AED">
        <w:rPr>
          <w:sz w:val="28"/>
          <w:szCs w:val="28"/>
          <w:lang w:val="en-CA"/>
        </w:rPr>
        <w:t xml:space="preserve"> was present </w:t>
      </w:r>
      <w:r w:rsidR="004A0F90" w:rsidRPr="00116AED">
        <w:rPr>
          <w:sz w:val="28"/>
          <w:szCs w:val="28"/>
          <w:lang w:val="en-CA"/>
        </w:rPr>
        <w:t>throughout the</w:t>
      </w:r>
      <w:r w:rsidR="00C72C04" w:rsidRPr="00116AED">
        <w:rPr>
          <w:sz w:val="28"/>
          <w:szCs w:val="28"/>
          <w:lang w:val="en-CA"/>
        </w:rPr>
        <w:t xml:space="preserve"> events giving rise to the within charge,</w:t>
      </w:r>
      <w:r w:rsidR="00064153" w:rsidRPr="00116AED">
        <w:rPr>
          <w:sz w:val="28"/>
          <w:szCs w:val="28"/>
          <w:lang w:val="en-CA"/>
        </w:rPr>
        <w:t xml:space="preserve"> </w:t>
      </w:r>
      <w:r w:rsidR="009532DF" w:rsidRPr="00116AED">
        <w:rPr>
          <w:sz w:val="28"/>
          <w:szCs w:val="28"/>
          <w:lang w:val="en-CA"/>
        </w:rPr>
        <w:t>was that</w:t>
      </w:r>
      <w:r w:rsidR="00C72C04" w:rsidRPr="00116AED">
        <w:rPr>
          <w:sz w:val="28"/>
          <w:szCs w:val="28"/>
          <w:lang w:val="en-CA"/>
        </w:rPr>
        <w:t xml:space="preserve"> </w:t>
      </w:r>
      <w:r w:rsidR="00E64635" w:rsidRPr="00116AED">
        <w:rPr>
          <w:sz w:val="28"/>
          <w:szCs w:val="28"/>
          <w:lang w:val="en-CA"/>
        </w:rPr>
        <w:t xml:space="preserve">on the evening in question </w:t>
      </w:r>
      <w:r w:rsidR="009E18A4">
        <w:rPr>
          <w:sz w:val="28"/>
          <w:szCs w:val="28"/>
          <w:lang w:val="en-CA"/>
        </w:rPr>
        <w:t>L</w:t>
      </w:r>
      <w:r w:rsidR="00146793">
        <w:rPr>
          <w:sz w:val="28"/>
          <w:szCs w:val="28"/>
          <w:lang w:val="en-CA"/>
        </w:rPr>
        <w:t>.</w:t>
      </w:r>
      <w:r w:rsidR="00C72C04" w:rsidRPr="00116AED">
        <w:rPr>
          <w:sz w:val="28"/>
          <w:szCs w:val="28"/>
          <w:lang w:val="en-CA"/>
        </w:rPr>
        <w:t xml:space="preserve"> supplied alcohol to the deceased</w:t>
      </w:r>
      <w:r w:rsidR="00910042">
        <w:rPr>
          <w:sz w:val="28"/>
          <w:szCs w:val="28"/>
          <w:lang w:val="en-CA"/>
        </w:rPr>
        <w:t>,</w:t>
      </w:r>
      <w:r w:rsidR="00C72C04" w:rsidRPr="00116AED">
        <w:rPr>
          <w:sz w:val="28"/>
          <w:szCs w:val="28"/>
          <w:lang w:val="en-CA"/>
        </w:rPr>
        <w:t xml:space="preserve"> E</w:t>
      </w:r>
      <w:r w:rsidR="006A2218">
        <w:rPr>
          <w:sz w:val="28"/>
          <w:szCs w:val="28"/>
          <w:lang w:val="en-CA"/>
        </w:rPr>
        <w:t>.H.B.</w:t>
      </w:r>
      <w:r w:rsidR="00C72C04" w:rsidRPr="00116AED">
        <w:rPr>
          <w:sz w:val="28"/>
          <w:szCs w:val="28"/>
          <w:lang w:val="en-CA"/>
        </w:rPr>
        <w:t xml:space="preserve">, </w:t>
      </w:r>
      <w:r w:rsidR="00064153" w:rsidRPr="00116AED">
        <w:rPr>
          <w:sz w:val="28"/>
          <w:szCs w:val="28"/>
          <w:lang w:val="en-CA"/>
        </w:rPr>
        <w:t>a 12 year old</w:t>
      </w:r>
      <w:r w:rsidR="009A711C" w:rsidRPr="00116AED">
        <w:rPr>
          <w:sz w:val="28"/>
          <w:szCs w:val="28"/>
          <w:lang w:val="en-CA"/>
        </w:rPr>
        <w:t xml:space="preserve">, while the three </w:t>
      </w:r>
      <w:r w:rsidR="009A711C" w:rsidRPr="00116AED">
        <w:rPr>
          <w:sz w:val="28"/>
          <w:szCs w:val="28"/>
          <w:lang w:val="en-CA"/>
        </w:rPr>
        <w:lastRenderedPageBreak/>
        <w:t>were walking around Fort Liard</w:t>
      </w:r>
      <w:r w:rsidR="009C2FFC">
        <w:rPr>
          <w:sz w:val="28"/>
          <w:szCs w:val="28"/>
          <w:lang w:val="en-CA"/>
        </w:rPr>
        <w:t>, a community located in the Northwest Territories</w:t>
      </w:r>
      <w:r w:rsidR="0075200B" w:rsidRPr="00116AED">
        <w:rPr>
          <w:sz w:val="28"/>
          <w:szCs w:val="28"/>
          <w:lang w:val="en-CA"/>
        </w:rPr>
        <w:t xml:space="preserve">.  He continued to do so after the three had sat down </w:t>
      </w:r>
      <w:r w:rsidR="004A0F90" w:rsidRPr="00116AED">
        <w:rPr>
          <w:sz w:val="28"/>
          <w:szCs w:val="28"/>
          <w:lang w:val="en-CA"/>
        </w:rPr>
        <w:t xml:space="preserve">by the </w:t>
      </w:r>
      <w:r w:rsidR="009E18A4" w:rsidRPr="00116AED">
        <w:rPr>
          <w:sz w:val="28"/>
          <w:szCs w:val="28"/>
          <w:lang w:val="en-CA"/>
        </w:rPr>
        <w:t>riverbank</w:t>
      </w:r>
      <w:r w:rsidR="004A0F90" w:rsidRPr="00116AED">
        <w:rPr>
          <w:sz w:val="28"/>
          <w:szCs w:val="28"/>
          <w:lang w:val="en-CA"/>
        </w:rPr>
        <w:t xml:space="preserve"> in Fort Liard </w:t>
      </w:r>
      <w:r w:rsidR="0075200B" w:rsidRPr="00116AED">
        <w:rPr>
          <w:sz w:val="28"/>
          <w:szCs w:val="28"/>
          <w:lang w:val="en-CA"/>
        </w:rPr>
        <w:t xml:space="preserve">at a location </w:t>
      </w:r>
      <w:r w:rsidR="00AB25EB" w:rsidRPr="00116AED">
        <w:rPr>
          <w:sz w:val="28"/>
          <w:szCs w:val="28"/>
          <w:lang w:val="en-CA"/>
        </w:rPr>
        <w:t>where they w</w:t>
      </w:r>
      <w:r w:rsidR="004A0F90" w:rsidRPr="00116AED">
        <w:rPr>
          <w:sz w:val="28"/>
          <w:szCs w:val="28"/>
          <w:lang w:val="en-CA"/>
        </w:rPr>
        <w:t>ould not be</w:t>
      </w:r>
      <w:r w:rsidR="009E18A4">
        <w:rPr>
          <w:sz w:val="28"/>
          <w:szCs w:val="28"/>
          <w:lang w:val="en-CA"/>
        </w:rPr>
        <w:t xml:space="preserve"> seen or</w:t>
      </w:r>
      <w:r w:rsidR="004A0F90" w:rsidRPr="00116AED">
        <w:rPr>
          <w:sz w:val="28"/>
          <w:szCs w:val="28"/>
          <w:lang w:val="en-CA"/>
        </w:rPr>
        <w:t xml:space="preserve"> discovered by adult</w:t>
      </w:r>
      <w:r w:rsidR="009E18A4">
        <w:rPr>
          <w:sz w:val="28"/>
          <w:szCs w:val="28"/>
          <w:lang w:val="en-CA"/>
        </w:rPr>
        <w:t>s.</w:t>
      </w:r>
      <w:r w:rsidR="0022295E" w:rsidRPr="00116AED">
        <w:rPr>
          <w:sz w:val="28"/>
          <w:szCs w:val="28"/>
          <w:lang w:val="en-CA"/>
        </w:rPr>
        <w:t xml:space="preserve"> </w:t>
      </w:r>
      <w:r w:rsidR="009E18A4">
        <w:rPr>
          <w:sz w:val="28"/>
          <w:szCs w:val="28"/>
          <w:lang w:val="en-CA"/>
        </w:rPr>
        <w:t xml:space="preserve"> </w:t>
      </w:r>
    </w:p>
    <w:p w14:paraId="127B4A89" w14:textId="10CF791B" w:rsidR="00C72C04" w:rsidRPr="00116AED" w:rsidRDefault="00D4299A" w:rsidP="00D4299A">
      <w:pPr>
        <w:tabs>
          <w:tab w:val="left" w:pos="720"/>
        </w:tabs>
        <w:rPr>
          <w:sz w:val="28"/>
          <w:szCs w:val="28"/>
          <w:lang w:val="en-CA"/>
        </w:rPr>
      </w:pPr>
      <w:r>
        <w:rPr>
          <w:sz w:val="28"/>
          <w:szCs w:val="28"/>
          <w:lang w:val="en-CA"/>
        </w:rPr>
        <w:t>[4]</w:t>
      </w:r>
      <w:r>
        <w:rPr>
          <w:sz w:val="28"/>
          <w:szCs w:val="28"/>
          <w:lang w:val="en-CA"/>
        </w:rPr>
        <w:tab/>
      </w:r>
      <w:r w:rsidR="00C72C04" w:rsidRPr="00116AED">
        <w:rPr>
          <w:sz w:val="28"/>
          <w:szCs w:val="28"/>
          <w:lang w:val="en-CA"/>
        </w:rPr>
        <w:t xml:space="preserve">According to </w:t>
      </w:r>
      <w:r w:rsidR="006A2218">
        <w:rPr>
          <w:sz w:val="28"/>
          <w:szCs w:val="28"/>
          <w:lang w:val="en-CA"/>
        </w:rPr>
        <w:t>D.</w:t>
      </w:r>
      <w:r w:rsidR="0022295E" w:rsidRPr="00116AED">
        <w:rPr>
          <w:sz w:val="28"/>
          <w:szCs w:val="28"/>
          <w:lang w:val="en-CA"/>
        </w:rPr>
        <w:t>’</w:t>
      </w:r>
      <w:r w:rsidR="006A2218">
        <w:rPr>
          <w:sz w:val="28"/>
          <w:szCs w:val="28"/>
          <w:lang w:val="en-CA"/>
        </w:rPr>
        <w:t>s</w:t>
      </w:r>
      <w:r w:rsidR="0022295E" w:rsidRPr="00116AED">
        <w:rPr>
          <w:sz w:val="28"/>
          <w:szCs w:val="28"/>
          <w:lang w:val="en-CA"/>
        </w:rPr>
        <w:t xml:space="preserve"> testimony, </w:t>
      </w:r>
      <w:r w:rsidR="006A2218">
        <w:rPr>
          <w:sz w:val="28"/>
          <w:szCs w:val="28"/>
          <w:lang w:val="en-CA"/>
        </w:rPr>
        <w:t xml:space="preserve">E. </w:t>
      </w:r>
      <w:r w:rsidR="009007DB" w:rsidRPr="00116AED">
        <w:rPr>
          <w:sz w:val="28"/>
          <w:szCs w:val="28"/>
          <w:lang w:val="en-CA"/>
        </w:rPr>
        <w:t xml:space="preserve">lost consciousness while at the </w:t>
      </w:r>
      <w:r w:rsidR="009E18A4" w:rsidRPr="00116AED">
        <w:rPr>
          <w:sz w:val="28"/>
          <w:szCs w:val="28"/>
          <w:lang w:val="en-CA"/>
        </w:rPr>
        <w:t>riverbank</w:t>
      </w:r>
      <w:r w:rsidR="009007DB" w:rsidRPr="00116AED">
        <w:rPr>
          <w:sz w:val="28"/>
          <w:szCs w:val="28"/>
          <w:lang w:val="en-CA"/>
        </w:rPr>
        <w:t xml:space="preserve"> and never regained it.  D</w:t>
      </w:r>
      <w:r w:rsidR="006A2218">
        <w:rPr>
          <w:sz w:val="28"/>
          <w:szCs w:val="28"/>
          <w:lang w:val="en-CA"/>
        </w:rPr>
        <w:t>.</w:t>
      </w:r>
      <w:r w:rsidR="009007DB" w:rsidRPr="00116AED">
        <w:rPr>
          <w:sz w:val="28"/>
          <w:szCs w:val="28"/>
          <w:lang w:val="en-CA"/>
        </w:rPr>
        <w:t xml:space="preserve"> </w:t>
      </w:r>
      <w:r w:rsidR="00CE0C48" w:rsidRPr="00116AED">
        <w:rPr>
          <w:sz w:val="28"/>
          <w:szCs w:val="28"/>
          <w:lang w:val="en-CA"/>
        </w:rPr>
        <w:t xml:space="preserve">then </w:t>
      </w:r>
      <w:r w:rsidR="009007DB" w:rsidRPr="00116AED">
        <w:rPr>
          <w:sz w:val="28"/>
          <w:szCs w:val="28"/>
          <w:lang w:val="en-CA"/>
        </w:rPr>
        <w:t>suggested that h</w:t>
      </w:r>
      <w:r w:rsidR="004A0F90" w:rsidRPr="00116AED">
        <w:rPr>
          <w:sz w:val="28"/>
          <w:szCs w:val="28"/>
          <w:lang w:val="en-CA"/>
        </w:rPr>
        <w:t xml:space="preserve">e and </w:t>
      </w:r>
      <w:r w:rsidR="00D978B2">
        <w:rPr>
          <w:sz w:val="28"/>
          <w:szCs w:val="28"/>
          <w:lang w:val="en-CA"/>
        </w:rPr>
        <w:t>L.</w:t>
      </w:r>
      <w:r w:rsidR="006A2218">
        <w:rPr>
          <w:sz w:val="28"/>
          <w:szCs w:val="28"/>
          <w:lang w:val="en-CA"/>
        </w:rPr>
        <w:t xml:space="preserve"> </w:t>
      </w:r>
      <w:r w:rsidR="004A0F90" w:rsidRPr="00116AED">
        <w:rPr>
          <w:sz w:val="28"/>
          <w:szCs w:val="28"/>
          <w:lang w:val="en-CA"/>
        </w:rPr>
        <w:t xml:space="preserve">get help for E.  </w:t>
      </w:r>
      <w:r w:rsidR="009007DB" w:rsidRPr="00116AED">
        <w:rPr>
          <w:sz w:val="28"/>
          <w:szCs w:val="28"/>
          <w:lang w:val="en-CA"/>
        </w:rPr>
        <w:t xml:space="preserve">However, rather than doing so, </w:t>
      </w:r>
      <w:r w:rsidR="00D978B2">
        <w:rPr>
          <w:sz w:val="28"/>
          <w:szCs w:val="28"/>
          <w:lang w:val="en-CA"/>
        </w:rPr>
        <w:t xml:space="preserve">L. </w:t>
      </w:r>
      <w:r w:rsidR="004A0F90" w:rsidRPr="00116AED">
        <w:rPr>
          <w:sz w:val="28"/>
          <w:szCs w:val="28"/>
          <w:lang w:val="en-CA"/>
        </w:rPr>
        <w:t xml:space="preserve">took the opportunity to have </w:t>
      </w:r>
      <w:r w:rsidR="0051474A" w:rsidRPr="00116AED">
        <w:rPr>
          <w:sz w:val="28"/>
          <w:szCs w:val="28"/>
          <w:lang w:val="en-CA"/>
        </w:rPr>
        <w:t>full intercourse</w:t>
      </w:r>
      <w:r w:rsidR="009007DB" w:rsidRPr="00116AED">
        <w:rPr>
          <w:sz w:val="28"/>
          <w:szCs w:val="28"/>
          <w:lang w:val="en-CA"/>
        </w:rPr>
        <w:t xml:space="preserve"> with</w:t>
      </w:r>
      <w:r w:rsidR="009E18A4">
        <w:rPr>
          <w:sz w:val="28"/>
          <w:szCs w:val="28"/>
          <w:lang w:val="en-CA"/>
        </w:rPr>
        <w:t xml:space="preserve"> the unconscious</w:t>
      </w:r>
      <w:r w:rsidR="009007DB" w:rsidRPr="00116AED">
        <w:rPr>
          <w:sz w:val="28"/>
          <w:szCs w:val="28"/>
          <w:lang w:val="en-CA"/>
        </w:rPr>
        <w:t xml:space="preserve"> E</w:t>
      </w:r>
      <w:r w:rsidR="0051474A" w:rsidRPr="00116AED">
        <w:rPr>
          <w:sz w:val="28"/>
          <w:szCs w:val="28"/>
          <w:lang w:val="en-CA"/>
        </w:rPr>
        <w:t xml:space="preserve">.  </w:t>
      </w:r>
      <w:r w:rsidR="004A0F90" w:rsidRPr="00116AED">
        <w:rPr>
          <w:sz w:val="28"/>
          <w:szCs w:val="28"/>
          <w:lang w:val="en-CA"/>
        </w:rPr>
        <w:t xml:space="preserve">The forensic evidence establishes that </w:t>
      </w:r>
      <w:r w:rsidR="006A2218">
        <w:rPr>
          <w:sz w:val="28"/>
          <w:szCs w:val="28"/>
          <w:lang w:val="en-CA"/>
        </w:rPr>
        <w:t>E.’s</w:t>
      </w:r>
      <w:r w:rsidR="004A0F90" w:rsidRPr="00116AED">
        <w:rPr>
          <w:sz w:val="28"/>
          <w:szCs w:val="28"/>
          <w:lang w:val="en-CA"/>
        </w:rPr>
        <w:t xml:space="preserve"> vagina was torn in the process of an object such as a penis being inserted into it</w:t>
      </w:r>
      <w:r w:rsidR="00E64635" w:rsidRPr="00116AED">
        <w:rPr>
          <w:sz w:val="28"/>
          <w:szCs w:val="28"/>
          <w:lang w:val="en-CA"/>
        </w:rPr>
        <w:t xml:space="preserve">.  </w:t>
      </w:r>
      <w:r w:rsidR="009007DB" w:rsidRPr="00116AED">
        <w:rPr>
          <w:sz w:val="28"/>
          <w:szCs w:val="28"/>
          <w:lang w:val="en-CA"/>
        </w:rPr>
        <w:t xml:space="preserve">After </w:t>
      </w:r>
      <w:r w:rsidR="00D978B2">
        <w:rPr>
          <w:sz w:val="28"/>
          <w:szCs w:val="28"/>
          <w:lang w:val="en-CA"/>
        </w:rPr>
        <w:t xml:space="preserve">L. </w:t>
      </w:r>
      <w:r w:rsidR="009E18A4">
        <w:rPr>
          <w:sz w:val="28"/>
          <w:szCs w:val="28"/>
          <w:lang w:val="en-CA"/>
        </w:rPr>
        <w:t>finished, he</w:t>
      </w:r>
      <w:r w:rsidR="00C72C04" w:rsidRPr="00116AED">
        <w:rPr>
          <w:sz w:val="28"/>
          <w:szCs w:val="28"/>
          <w:lang w:val="en-CA"/>
        </w:rPr>
        <w:t xml:space="preserve"> encouraged </w:t>
      </w:r>
      <w:r w:rsidR="006A2218">
        <w:rPr>
          <w:sz w:val="28"/>
          <w:szCs w:val="28"/>
          <w:lang w:val="en-CA"/>
        </w:rPr>
        <w:t xml:space="preserve">D. </w:t>
      </w:r>
      <w:r w:rsidR="0051474A" w:rsidRPr="00116AED">
        <w:rPr>
          <w:sz w:val="28"/>
          <w:szCs w:val="28"/>
          <w:lang w:val="en-CA"/>
        </w:rPr>
        <w:t>to</w:t>
      </w:r>
      <w:r w:rsidR="00C72C04" w:rsidRPr="00116AED">
        <w:rPr>
          <w:sz w:val="28"/>
          <w:szCs w:val="28"/>
          <w:lang w:val="en-CA"/>
        </w:rPr>
        <w:t xml:space="preserve"> </w:t>
      </w:r>
      <w:r w:rsidR="0022295E" w:rsidRPr="00116AED">
        <w:rPr>
          <w:sz w:val="28"/>
          <w:szCs w:val="28"/>
          <w:lang w:val="en-CA"/>
        </w:rPr>
        <w:t>also have intercourse with E</w:t>
      </w:r>
      <w:r w:rsidR="00E64635" w:rsidRPr="00116AED">
        <w:rPr>
          <w:sz w:val="28"/>
          <w:szCs w:val="28"/>
          <w:lang w:val="en-CA"/>
        </w:rPr>
        <w:t xml:space="preserve">.  </w:t>
      </w:r>
      <w:r w:rsidR="006A2218">
        <w:rPr>
          <w:sz w:val="28"/>
          <w:szCs w:val="28"/>
          <w:lang w:val="en-CA"/>
        </w:rPr>
        <w:t xml:space="preserve">D. </w:t>
      </w:r>
      <w:r w:rsidR="0022295E" w:rsidRPr="00116AED">
        <w:rPr>
          <w:sz w:val="28"/>
          <w:szCs w:val="28"/>
          <w:lang w:val="en-CA"/>
        </w:rPr>
        <w:t xml:space="preserve">testified that </w:t>
      </w:r>
      <w:r w:rsidR="00C72C04" w:rsidRPr="00116AED">
        <w:rPr>
          <w:sz w:val="28"/>
          <w:szCs w:val="28"/>
          <w:lang w:val="en-CA"/>
        </w:rPr>
        <w:t xml:space="preserve">he </w:t>
      </w:r>
      <w:r w:rsidR="009007DB" w:rsidRPr="00116AED">
        <w:rPr>
          <w:sz w:val="28"/>
          <w:szCs w:val="28"/>
          <w:lang w:val="en-CA"/>
        </w:rPr>
        <w:t xml:space="preserve">then simulated sexual intercourse </w:t>
      </w:r>
      <w:r w:rsidR="00CE0C48" w:rsidRPr="00116AED">
        <w:rPr>
          <w:sz w:val="28"/>
          <w:szCs w:val="28"/>
          <w:lang w:val="en-CA"/>
        </w:rPr>
        <w:t>with her</w:t>
      </w:r>
      <w:r w:rsidR="009007DB" w:rsidRPr="00116AED">
        <w:rPr>
          <w:sz w:val="28"/>
          <w:szCs w:val="28"/>
          <w:lang w:val="en-CA"/>
        </w:rPr>
        <w:t>, but did</w:t>
      </w:r>
      <w:r w:rsidR="00C72C04" w:rsidRPr="00116AED">
        <w:rPr>
          <w:sz w:val="28"/>
          <w:szCs w:val="28"/>
          <w:lang w:val="en-CA"/>
        </w:rPr>
        <w:t xml:space="preserve"> not actually penetrate </w:t>
      </w:r>
      <w:r w:rsidR="009007DB" w:rsidRPr="00116AED">
        <w:rPr>
          <w:sz w:val="28"/>
          <w:szCs w:val="28"/>
          <w:lang w:val="en-CA"/>
        </w:rPr>
        <w:t>her</w:t>
      </w:r>
      <w:r w:rsidR="00C72C04" w:rsidRPr="00116AED">
        <w:rPr>
          <w:sz w:val="28"/>
          <w:szCs w:val="28"/>
          <w:lang w:val="en-CA"/>
        </w:rPr>
        <w:t xml:space="preserve">. </w:t>
      </w:r>
    </w:p>
    <w:p w14:paraId="0EB472BE" w14:textId="5C00CB24" w:rsidR="009E18A4" w:rsidRDefault="00D4299A" w:rsidP="00D4299A">
      <w:pPr>
        <w:tabs>
          <w:tab w:val="left" w:pos="720"/>
        </w:tabs>
        <w:rPr>
          <w:sz w:val="28"/>
          <w:szCs w:val="28"/>
          <w:lang w:val="en-CA"/>
        </w:rPr>
      </w:pPr>
      <w:r>
        <w:rPr>
          <w:sz w:val="28"/>
          <w:szCs w:val="28"/>
          <w:lang w:val="en-CA"/>
        </w:rPr>
        <w:t>[5]</w:t>
      </w:r>
      <w:r>
        <w:rPr>
          <w:sz w:val="28"/>
          <w:szCs w:val="28"/>
          <w:lang w:val="en-CA"/>
        </w:rPr>
        <w:tab/>
      </w:r>
      <w:r w:rsidR="00C72C04" w:rsidRPr="00116AED">
        <w:rPr>
          <w:sz w:val="28"/>
          <w:szCs w:val="28"/>
          <w:lang w:val="en-CA"/>
        </w:rPr>
        <w:t>After</w:t>
      </w:r>
      <w:r w:rsidR="007F0DF5" w:rsidRPr="00116AED">
        <w:rPr>
          <w:sz w:val="28"/>
          <w:szCs w:val="28"/>
          <w:lang w:val="en-CA"/>
        </w:rPr>
        <w:t>ward</w:t>
      </w:r>
      <w:r w:rsidR="00C72C04" w:rsidRPr="00116AED">
        <w:rPr>
          <w:sz w:val="28"/>
          <w:szCs w:val="28"/>
          <w:lang w:val="en-CA"/>
        </w:rPr>
        <w:t xml:space="preserve">, </w:t>
      </w:r>
      <w:r w:rsidR="0051474A" w:rsidRPr="00116AED">
        <w:rPr>
          <w:sz w:val="28"/>
          <w:szCs w:val="28"/>
          <w:lang w:val="en-CA"/>
        </w:rPr>
        <w:t>instead of getting</w:t>
      </w:r>
      <w:r w:rsidR="0036499C" w:rsidRPr="00116AED">
        <w:rPr>
          <w:sz w:val="28"/>
          <w:szCs w:val="28"/>
          <w:lang w:val="en-CA"/>
        </w:rPr>
        <w:t xml:space="preserve"> help</w:t>
      </w:r>
      <w:r w:rsidR="000958E9">
        <w:rPr>
          <w:sz w:val="28"/>
          <w:szCs w:val="28"/>
          <w:lang w:val="en-CA"/>
        </w:rPr>
        <w:t xml:space="preserve"> for</w:t>
      </w:r>
      <w:r w:rsidR="0036499C" w:rsidRPr="00116AED">
        <w:rPr>
          <w:sz w:val="28"/>
          <w:szCs w:val="28"/>
          <w:lang w:val="en-CA"/>
        </w:rPr>
        <w:t xml:space="preserve"> E</w:t>
      </w:r>
      <w:r w:rsidR="006A2218">
        <w:rPr>
          <w:sz w:val="28"/>
          <w:szCs w:val="28"/>
          <w:lang w:val="en-CA"/>
        </w:rPr>
        <w:t>.</w:t>
      </w:r>
      <w:r w:rsidR="0036499C" w:rsidRPr="00116AED">
        <w:rPr>
          <w:sz w:val="28"/>
          <w:szCs w:val="28"/>
          <w:lang w:val="en-CA"/>
        </w:rPr>
        <w:t>,</w:t>
      </w:r>
      <w:r w:rsidR="009E18A4">
        <w:rPr>
          <w:sz w:val="28"/>
          <w:szCs w:val="28"/>
          <w:lang w:val="en-CA"/>
        </w:rPr>
        <w:t xml:space="preserve"> who was still unconscious,</w:t>
      </w:r>
      <w:r w:rsidR="00E64635" w:rsidRPr="00116AED">
        <w:rPr>
          <w:sz w:val="28"/>
          <w:szCs w:val="28"/>
          <w:lang w:val="en-CA"/>
        </w:rPr>
        <w:t xml:space="preserve"> </w:t>
      </w:r>
      <w:r w:rsidR="00D978B2">
        <w:rPr>
          <w:sz w:val="28"/>
          <w:szCs w:val="28"/>
          <w:lang w:val="en-CA"/>
        </w:rPr>
        <w:t xml:space="preserve">L. </w:t>
      </w:r>
      <w:r w:rsidR="00E64635" w:rsidRPr="00116AED">
        <w:rPr>
          <w:sz w:val="28"/>
          <w:szCs w:val="28"/>
          <w:lang w:val="en-CA"/>
        </w:rPr>
        <w:t xml:space="preserve">and </w:t>
      </w:r>
      <w:r w:rsidR="006A2218">
        <w:rPr>
          <w:sz w:val="28"/>
          <w:szCs w:val="28"/>
          <w:lang w:val="en-CA"/>
        </w:rPr>
        <w:t xml:space="preserve">D. </w:t>
      </w:r>
      <w:r w:rsidR="0022295E" w:rsidRPr="00116AED">
        <w:rPr>
          <w:sz w:val="28"/>
          <w:szCs w:val="28"/>
          <w:lang w:val="en-CA"/>
        </w:rPr>
        <w:t xml:space="preserve">left </w:t>
      </w:r>
      <w:r w:rsidR="0051474A" w:rsidRPr="00116AED">
        <w:rPr>
          <w:sz w:val="28"/>
          <w:szCs w:val="28"/>
          <w:lang w:val="en-CA"/>
        </w:rPr>
        <w:t>her in the same location where the se</w:t>
      </w:r>
      <w:r w:rsidR="004A0F90" w:rsidRPr="00116AED">
        <w:rPr>
          <w:sz w:val="28"/>
          <w:szCs w:val="28"/>
          <w:lang w:val="en-CA"/>
        </w:rPr>
        <w:t>xual assaults had just occurred</w:t>
      </w:r>
      <w:r w:rsidR="007A1EF1" w:rsidRPr="00116AED">
        <w:rPr>
          <w:sz w:val="28"/>
          <w:szCs w:val="28"/>
          <w:lang w:val="en-CA"/>
        </w:rPr>
        <w:t xml:space="preserve">, close to </w:t>
      </w:r>
      <w:r w:rsidR="0022295E" w:rsidRPr="00116AED">
        <w:rPr>
          <w:sz w:val="28"/>
          <w:szCs w:val="28"/>
          <w:lang w:val="en-CA"/>
        </w:rPr>
        <w:t xml:space="preserve">the river bank in Fort </w:t>
      </w:r>
      <w:r w:rsidR="00E64635" w:rsidRPr="00116AED">
        <w:rPr>
          <w:sz w:val="28"/>
          <w:szCs w:val="28"/>
          <w:lang w:val="en-CA"/>
        </w:rPr>
        <w:t>Liard</w:t>
      </w:r>
      <w:r w:rsidR="007A1EF1" w:rsidRPr="00116AED">
        <w:rPr>
          <w:sz w:val="28"/>
          <w:szCs w:val="28"/>
          <w:lang w:val="en-CA"/>
        </w:rPr>
        <w:t xml:space="preserve"> where she w</w:t>
      </w:r>
      <w:r w:rsidR="0022295E" w:rsidRPr="00116AED">
        <w:rPr>
          <w:sz w:val="28"/>
          <w:szCs w:val="28"/>
          <w:lang w:val="en-CA"/>
        </w:rPr>
        <w:t xml:space="preserve">ould not be seen by </w:t>
      </w:r>
      <w:r w:rsidR="00E64635" w:rsidRPr="00116AED">
        <w:rPr>
          <w:sz w:val="28"/>
          <w:szCs w:val="28"/>
          <w:lang w:val="en-CA"/>
        </w:rPr>
        <w:t>passersby</w:t>
      </w:r>
      <w:r w:rsidR="0022295E" w:rsidRPr="00116AED">
        <w:rPr>
          <w:sz w:val="28"/>
          <w:szCs w:val="28"/>
          <w:lang w:val="en-CA"/>
        </w:rPr>
        <w:t>.</w:t>
      </w:r>
      <w:r w:rsidR="00CE0C48" w:rsidRPr="00116AED">
        <w:rPr>
          <w:sz w:val="28"/>
          <w:szCs w:val="28"/>
          <w:lang w:val="en-CA"/>
        </w:rPr>
        <w:t xml:space="preserve"> </w:t>
      </w:r>
      <w:r w:rsidR="0022295E" w:rsidRPr="00116AED">
        <w:rPr>
          <w:sz w:val="28"/>
          <w:szCs w:val="28"/>
          <w:lang w:val="en-CA"/>
        </w:rPr>
        <w:t xml:space="preserve"> </w:t>
      </w:r>
      <w:r w:rsidR="00E64635" w:rsidRPr="00116AED">
        <w:rPr>
          <w:sz w:val="28"/>
          <w:szCs w:val="28"/>
          <w:lang w:val="en-CA"/>
        </w:rPr>
        <w:t>The two returned to L</w:t>
      </w:r>
      <w:r w:rsidR="006A2218">
        <w:rPr>
          <w:sz w:val="28"/>
          <w:szCs w:val="28"/>
          <w:lang w:val="en-CA"/>
        </w:rPr>
        <w:t>.</w:t>
      </w:r>
      <w:r w:rsidR="00E64635" w:rsidRPr="00116AED">
        <w:rPr>
          <w:sz w:val="28"/>
          <w:szCs w:val="28"/>
          <w:lang w:val="en-CA"/>
        </w:rPr>
        <w:t>’s home</w:t>
      </w:r>
      <w:r w:rsidR="007A1EF1" w:rsidRPr="00116AED">
        <w:rPr>
          <w:sz w:val="28"/>
          <w:szCs w:val="28"/>
          <w:lang w:val="en-CA"/>
        </w:rPr>
        <w:t xml:space="preserve">.  </w:t>
      </w:r>
    </w:p>
    <w:p w14:paraId="1EE713F5" w14:textId="2338FAF8" w:rsidR="0051474A" w:rsidRPr="00116AED" w:rsidRDefault="00D4299A" w:rsidP="00D4299A">
      <w:pPr>
        <w:tabs>
          <w:tab w:val="left" w:pos="720"/>
        </w:tabs>
        <w:rPr>
          <w:sz w:val="28"/>
          <w:szCs w:val="28"/>
          <w:lang w:val="en-CA"/>
        </w:rPr>
      </w:pPr>
      <w:r>
        <w:rPr>
          <w:sz w:val="28"/>
          <w:szCs w:val="28"/>
          <w:lang w:val="en-CA"/>
        </w:rPr>
        <w:t>[6]</w:t>
      </w:r>
      <w:r>
        <w:rPr>
          <w:sz w:val="28"/>
          <w:szCs w:val="28"/>
          <w:lang w:val="en-CA"/>
        </w:rPr>
        <w:tab/>
      </w:r>
      <w:r w:rsidR="00E64635" w:rsidRPr="00116AED">
        <w:rPr>
          <w:sz w:val="28"/>
          <w:szCs w:val="28"/>
          <w:lang w:val="en-CA"/>
        </w:rPr>
        <w:t xml:space="preserve">When </w:t>
      </w:r>
      <w:r w:rsidR="006A2218">
        <w:rPr>
          <w:sz w:val="28"/>
          <w:szCs w:val="28"/>
          <w:lang w:val="en-CA"/>
        </w:rPr>
        <w:t xml:space="preserve">D. </w:t>
      </w:r>
      <w:r w:rsidR="00E64635" w:rsidRPr="00116AED">
        <w:rPr>
          <w:sz w:val="28"/>
          <w:szCs w:val="28"/>
          <w:lang w:val="en-CA"/>
        </w:rPr>
        <w:t xml:space="preserve">went to check up on </w:t>
      </w:r>
      <w:r w:rsidR="006A2218">
        <w:rPr>
          <w:sz w:val="28"/>
          <w:szCs w:val="28"/>
          <w:lang w:val="en-CA"/>
        </w:rPr>
        <w:t xml:space="preserve">E. </w:t>
      </w:r>
      <w:r w:rsidR="0036499C" w:rsidRPr="00116AED">
        <w:rPr>
          <w:sz w:val="28"/>
          <w:szCs w:val="28"/>
          <w:lang w:val="en-CA"/>
        </w:rPr>
        <w:t xml:space="preserve">the </w:t>
      </w:r>
      <w:r w:rsidR="009E18A4">
        <w:rPr>
          <w:sz w:val="28"/>
          <w:szCs w:val="28"/>
          <w:lang w:val="en-CA"/>
        </w:rPr>
        <w:t>following</w:t>
      </w:r>
      <w:r w:rsidR="0036499C" w:rsidRPr="00116AED">
        <w:rPr>
          <w:sz w:val="28"/>
          <w:szCs w:val="28"/>
          <w:lang w:val="en-CA"/>
        </w:rPr>
        <w:t xml:space="preserve"> morning</w:t>
      </w:r>
      <w:r w:rsidR="00E64635" w:rsidRPr="00116AED">
        <w:rPr>
          <w:sz w:val="28"/>
          <w:szCs w:val="28"/>
          <w:lang w:val="en-CA"/>
        </w:rPr>
        <w:t>, he found her</w:t>
      </w:r>
      <w:r w:rsidR="0051474A" w:rsidRPr="00116AED">
        <w:rPr>
          <w:sz w:val="28"/>
          <w:szCs w:val="28"/>
          <w:lang w:val="en-CA"/>
        </w:rPr>
        <w:t xml:space="preserve"> in the same location where </w:t>
      </w:r>
      <w:r w:rsidR="007A1EF1" w:rsidRPr="00116AED">
        <w:rPr>
          <w:sz w:val="28"/>
          <w:szCs w:val="28"/>
          <w:lang w:val="en-CA"/>
        </w:rPr>
        <w:t xml:space="preserve">he and </w:t>
      </w:r>
      <w:r w:rsidR="00D978B2">
        <w:rPr>
          <w:sz w:val="28"/>
          <w:szCs w:val="28"/>
          <w:lang w:val="en-CA"/>
        </w:rPr>
        <w:t xml:space="preserve">L. </w:t>
      </w:r>
      <w:r w:rsidR="007A1EF1" w:rsidRPr="00116AED">
        <w:rPr>
          <w:sz w:val="28"/>
          <w:szCs w:val="28"/>
          <w:lang w:val="en-CA"/>
        </w:rPr>
        <w:t>had left her</w:t>
      </w:r>
      <w:r w:rsidR="0051474A" w:rsidRPr="00116AED">
        <w:rPr>
          <w:sz w:val="28"/>
          <w:szCs w:val="28"/>
          <w:lang w:val="en-CA"/>
        </w:rPr>
        <w:t>.  She was</w:t>
      </w:r>
      <w:r w:rsidR="00E64635" w:rsidRPr="00116AED">
        <w:rPr>
          <w:sz w:val="28"/>
          <w:szCs w:val="28"/>
          <w:lang w:val="en-CA"/>
        </w:rPr>
        <w:t xml:space="preserve"> dead</w:t>
      </w:r>
      <w:r w:rsidR="0036499C" w:rsidRPr="00116AED">
        <w:rPr>
          <w:sz w:val="28"/>
          <w:szCs w:val="28"/>
          <w:lang w:val="en-CA"/>
        </w:rPr>
        <w:t xml:space="preserve">. </w:t>
      </w:r>
    </w:p>
    <w:p w14:paraId="21F5729A" w14:textId="74CF9657" w:rsidR="00905E85" w:rsidRPr="00116AED" w:rsidRDefault="00D4299A" w:rsidP="00D4299A">
      <w:pPr>
        <w:tabs>
          <w:tab w:val="left" w:pos="720"/>
        </w:tabs>
        <w:rPr>
          <w:sz w:val="28"/>
          <w:szCs w:val="28"/>
          <w:lang w:val="en-CA"/>
        </w:rPr>
      </w:pPr>
      <w:r>
        <w:rPr>
          <w:sz w:val="28"/>
          <w:szCs w:val="28"/>
          <w:lang w:val="en-CA"/>
        </w:rPr>
        <w:t>[7]</w:t>
      </w:r>
      <w:r>
        <w:rPr>
          <w:sz w:val="28"/>
          <w:szCs w:val="28"/>
          <w:lang w:val="en-CA"/>
        </w:rPr>
        <w:tab/>
      </w:r>
      <w:r w:rsidR="00064153" w:rsidRPr="00116AED">
        <w:rPr>
          <w:sz w:val="28"/>
          <w:szCs w:val="28"/>
          <w:lang w:val="en-CA"/>
        </w:rPr>
        <w:t xml:space="preserve">The </w:t>
      </w:r>
      <w:r w:rsidR="00E64635" w:rsidRPr="00116AED">
        <w:rPr>
          <w:sz w:val="28"/>
          <w:szCs w:val="28"/>
          <w:lang w:val="en-CA"/>
        </w:rPr>
        <w:t>expert witness</w:t>
      </w:r>
      <w:r w:rsidR="007A1EF1" w:rsidRPr="00116AED">
        <w:rPr>
          <w:sz w:val="28"/>
          <w:szCs w:val="28"/>
          <w:lang w:val="en-CA"/>
        </w:rPr>
        <w:t>,</w:t>
      </w:r>
      <w:r w:rsidR="00E64635" w:rsidRPr="00116AED">
        <w:rPr>
          <w:sz w:val="28"/>
          <w:szCs w:val="28"/>
          <w:lang w:val="en-CA"/>
        </w:rPr>
        <w:t xml:space="preserve"> who testified during the Crown’s case</w:t>
      </w:r>
      <w:r w:rsidR="00064153" w:rsidRPr="00116AED">
        <w:rPr>
          <w:sz w:val="28"/>
          <w:szCs w:val="28"/>
          <w:lang w:val="en-CA"/>
        </w:rPr>
        <w:t>,</w:t>
      </w:r>
      <w:r w:rsidR="00E64635" w:rsidRPr="00116AED">
        <w:rPr>
          <w:sz w:val="28"/>
          <w:szCs w:val="28"/>
          <w:lang w:val="en-CA"/>
        </w:rPr>
        <w:t xml:space="preserve"> Dr. Brooks-</w:t>
      </w:r>
      <w:r w:rsidR="00064153" w:rsidRPr="00116AED">
        <w:rPr>
          <w:sz w:val="28"/>
          <w:szCs w:val="28"/>
          <w:lang w:val="en-CA"/>
        </w:rPr>
        <w:t>Lim</w:t>
      </w:r>
      <w:r w:rsidR="0036499C" w:rsidRPr="00116AED">
        <w:rPr>
          <w:sz w:val="28"/>
          <w:szCs w:val="28"/>
          <w:lang w:val="en-CA"/>
        </w:rPr>
        <w:t xml:space="preserve">, </w:t>
      </w:r>
      <w:r w:rsidR="00E64635" w:rsidRPr="00116AED">
        <w:rPr>
          <w:sz w:val="28"/>
          <w:szCs w:val="28"/>
          <w:lang w:val="en-CA"/>
        </w:rPr>
        <w:t>stated</w:t>
      </w:r>
      <w:r w:rsidR="00064153" w:rsidRPr="00116AED">
        <w:rPr>
          <w:sz w:val="28"/>
          <w:szCs w:val="28"/>
          <w:lang w:val="en-CA"/>
        </w:rPr>
        <w:t xml:space="preserve"> </w:t>
      </w:r>
      <w:r w:rsidR="0036499C" w:rsidRPr="00116AED">
        <w:rPr>
          <w:sz w:val="28"/>
          <w:szCs w:val="28"/>
          <w:lang w:val="en-CA"/>
        </w:rPr>
        <w:t xml:space="preserve">that </w:t>
      </w:r>
      <w:r w:rsidR="006A2218">
        <w:rPr>
          <w:sz w:val="28"/>
          <w:szCs w:val="28"/>
          <w:lang w:val="en-CA"/>
        </w:rPr>
        <w:t xml:space="preserve">E. </w:t>
      </w:r>
      <w:r w:rsidR="007A1EF1" w:rsidRPr="00116AED">
        <w:rPr>
          <w:sz w:val="28"/>
          <w:szCs w:val="28"/>
          <w:lang w:val="en-CA"/>
        </w:rPr>
        <w:t xml:space="preserve">died from alcohol poisoning.  </w:t>
      </w:r>
      <w:r w:rsidR="00064153" w:rsidRPr="00116AED">
        <w:rPr>
          <w:sz w:val="28"/>
          <w:szCs w:val="28"/>
          <w:lang w:val="en-CA"/>
        </w:rPr>
        <w:t>Her</w:t>
      </w:r>
      <w:r w:rsidR="00C72C04" w:rsidRPr="00116AED">
        <w:rPr>
          <w:sz w:val="28"/>
          <w:szCs w:val="28"/>
          <w:lang w:val="en-CA"/>
        </w:rPr>
        <w:t xml:space="preserve"> blood alcohol level was</w:t>
      </w:r>
      <w:r w:rsidR="007A1EF1" w:rsidRPr="00116AED">
        <w:rPr>
          <w:sz w:val="28"/>
          <w:szCs w:val="28"/>
          <w:lang w:val="en-CA"/>
        </w:rPr>
        <w:t xml:space="preserve"> around</w:t>
      </w:r>
      <w:r w:rsidR="00C72C04" w:rsidRPr="00116AED">
        <w:rPr>
          <w:sz w:val="28"/>
          <w:szCs w:val="28"/>
          <w:lang w:val="en-CA"/>
        </w:rPr>
        <w:t xml:space="preserve"> 400 </w:t>
      </w:r>
      <w:r w:rsidR="005B1E8F" w:rsidRPr="00116AED">
        <w:rPr>
          <w:sz w:val="28"/>
          <w:szCs w:val="28"/>
          <w:lang w:val="en-CA"/>
        </w:rPr>
        <w:t>milligrams</w:t>
      </w:r>
      <w:r w:rsidR="00C72C04" w:rsidRPr="00116AED">
        <w:rPr>
          <w:sz w:val="28"/>
          <w:szCs w:val="28"/>
          <w:lang w:val="en-CA"/>
        </w:rPr>
        <w:t xml:space="preserve"> percent at the time of death. </w:t>
      </w:r>
    </w:p>
    <w:p w14:paraId="603A3431" w14:textId="38D08CCA" w:rsidR="0036499C" w:rsidRPr="00116AED" w:rsidRDefault="00D4299A" w:rsidP="00D4299A">
      <w:pPr>
        <w:tabs>
          <w:tab w:val="left" w:pos="720"/>
        </w:tabs>
        <w:rPr>
          <w:sz w:val="28"/>
          <w:szCs w:val="28"/>
          <w:lang w:val="en-CA"/>
        </w:rPr>
      </w:pPr>
      <w:r>
        <w:rPr>
          <w:sz w:val="28"/>
          <w:szCs w:val="28"/>
          <w:lang w:val="en-CA"/>
        </w:rPr>
        <w:t>[8]</w:t>
      </w:r>
      <w:r>
        <w:rPr>
          <w:sz w:val="28"/>
          <w:szCs w:val="28"/>
          <w:lang w:val="en-CA"/>
        </w:rPr>
        <w:tab/>
      </w:r>
      <w:r w:rsidR="00E64635" w:rsidRPr="00116AED">
        <w:rPr>
          <w:sz w:val="28"/>
          <w:szCs w:val="28"/>
          <w:lang w:val="en-CA"/>
        </w:rPr>
        <w:t xml:space="preserve">I should add that the evidence that I have referred to was considerably more detailed </w:t>
      </w:r>
      <w:r w:rsidR="0036499C" w:rsidRPr="00116AED">
        <w:rPr>
          <w:sz w:val="28"/>
          <w:szCs w:val="28"/>
          <w:lang w:val="en-CA"/>
        </w:rPr>
        <w:t>than what I have set out in this general outline.</w:t>
      </w:r>
      <w:r w:rsidR="00064153" w:rsidRPr="00116AED">
        <w:rPr>
          <w:sz w:val="28"/>
          <w:szCs w:val="28"/>
          <w:lang w:val="en-CA"/>
        </w:rPr>
        <w:t xml:space="preserve"> </w:t>
      </w:r>
      <w:r w:rsidR="009E18A4">
        <w:rPr>
          <w:sz w:val="28"/>
          <w:szCs w:val="28"/>
          <w:lang w:val="en-CA"/>
        </w:rPr>
        <w:t xml:space="preserve"> </w:t>
      </w:r>
      <w:r w:rsidR="00E64635" w:rsidRPr="00116AED">
        <w:rPr>
          <w:sz w:val="28"/>
          <w:szCs w:val="28"/>
          <w:lang w:val="en-CA"/>
        </w:rPr>
        <w:t>A number of police witnesses also testified</w:t>
      </w:r>
      <w:r w:rsidR="007A1EF1" w:rsidRPr="00116AED">
        <w:rPr>
          <w:sz w:val="28"/>
          <w:szCs w:val="28"/>
          <w:lang w:val="en-CA"/>
        </w:rPr>
        <w:t xml:space="preserve"> for the Crown </w:t>
      </w:r>
      <w:r w:rsidR="009E18A4">
        <w:rPr>
          <w:sz w:val="28"/>
          <w:szCs w:val="28"/>
          <w:lang w:val="en-CA"/>
        </w:rPr>
        <w:t>about</w:t>
      </w:r>
      <w:r w:rsidR="00E64635" w:rsidRPr="00116AED">
        <w:rPr>
          <w:sz w:val="28"/>
          <w:szCs w:val="28"/>
          <w:lang w:val="en-CA"/>
        </w:rPr>
        <w:t xml:space="preserve"> the evidence </w:t>
      </w:r>
      <w:r w:rsidR="007A1EF1" w:rsidRPr="00116AED">
        <w:rPr>
          <w:sz w:val="28"/>
          <w:szCs w:val="28"/>
          <w:lang w:val="en-CA"/>
        </w:rPr>
        <w:t>that was observed and collected</w:t>
      </w:r>
      <w:r w:rsidR="00E64635" w:rsidRPr="00116AED">
        <w:rPr>
          <w:sz w:val="28"/>
          <w:szCs w:val="28"/>
          <w:lang w:val="en-CA"/>
        </w:rPr>
        <w:t xml:space="preserve"> at and around the scene of the crime</w:t>
      </w:r>
      <w:r w:rsidR="007A1EF1" w:rsidRPr="00116AED">
        <w:rPr>
          <w:sz w:val="28"/>
          <w:szCs w:val="28"/>
          <w:lang w:val="en-CA"/>
        </w:rPr>
        <w:t xml:space="preserve"> as well as the layout of the crime scene</w:t>
      </w:r>
      <w:r w:rsidR="00E64635" w:rsidRPr="00116AED">
        <w:rPr>
          <w:sz w:val="28"/>
          <w:szCs w:val="28"/>
          <w:lang w:val="en-CA"/>
        </w:rPr>
        <w:t>.</w:t>
      </w:r>
      <w:r w:rsidR="007A1EF1" w:rsidRPr="00116AED">
        <w:rPr>
          <w:sz w:val="28"/>
          <w:szCs w:val="28"/>
          <w:lang w:val="en-CA"/>
        </w:rPr>
        <w:t xml:space="preserve"> </w:t>
      </w:r>
      <w:r w:rsidR="00E64635" w:rsidRPr="00116AED">
        <w:rPr>
          <w:sz w:val="28"/>
          <w:szCs w:val="28"/>
          <w:lang w:val="en-CA"/>
        </w:rPr>
        <w:t xml:space="preserve"> </w:t>
      </w:r>
      <w:r w:rsidR="00064153" w:rsidRPr="00116AED">
        <w:rPr>
          <w:sz w:val="28"/>
          <w:szCs w:val="28"/>
          <w:lang w:val="en-CA"/>
        </w:rPr>
        <w:t xml:space="preserve">I will have more to say about the details of </w:t>
      </w:r>
      <w:r w:rsidR="00E64635" w:rsidRPr="00116AED">
        <w:rPr>
          <w:sz w:val="28"/>
          <w:szCs w:val="28"/>
          <w:lang w:val="en-CA"/>
        </w:rPr>
        <w:t xml:space="preserve">the evidence </w:t>
      </w:r>
      <w:r w:rsidR="0051474A" w:rsidRPr="00116AED">
        <w:rPr>
          <w:sz w:val="28"/>
          <w:szCs w:val="28"/>
          <w:lang w:val="en-CA"/>
        </w:rPr>
        <w:t xml:space="preserve">that </w:t>
      </w:r>
      <w:r w:rsidR="00E64635" w:rsidRPr="00116AED">
        <w:rPr>
          <w:sz w:val="28"/>
          <w:szCs w:val="28"/>
          <w:lang w:val="en-CA"/>
        </w:rPr>
        <w:t xml:space="preserve">I have referred to later in this judgment when dealing with specific issues. </w:t>
      </w:r>
    </w:p>
    <w:p w14:paraId="33F1291F" w14:textId="77777777" w:rsidR="00E64635" w:rsidRPr="00116AED" w:rsidRDefault="00E64635" w:rsidP="00E64635">
      <w:pPr>
        <w:pStyle w:val="ListParagraph"/>
        <w:numPr>
          <w:ilvl w:val="0"/>
          <w:numId w:val="24"/>
        </w:numPr>
        <w:rPr>
          <w:sz w:val="28"/>
          <w:szCs w:val="28"/>
          <w:lang w:val="en-CA"/>
        </w:rPr>
      </w:pPr>
      <w:r w:rsidRPr="00116AED">
        <w:rPr>
          <w:sz w:val="28"/>
          <w:szCs w:val="28"/>
          <w:lang w:val="en-CA"/>
        </w:rPr>
        <w:t>The Charge and the Crown’s Alternate Theories of Criminal Liability</w:t>
      </w:r>
    </w:p>
    <w:p w14:paraId="45C364A0" w14:textId="50E9A89F" w:rsidR="00905E85" w:rsidRPr="00116AED" w:rsidRDefault="00D4299A">
      <w:pPr>
        <w:rPr>
          <w:sz w:val="28"/>
          <w:szCs w:val="28"/>
          <w:lang w:val="en-CA"/>
        </w:rPr>
      </w:pPr>
      <w:r>
        <w:rPr>
          <w:sz w:val="28"/>
          <w:szCs w:val="28"/>
          <w:lang w:val="en-CA"/>
        </w:rPr>
        <w:t>[9]</w:t>
      </w:r>
      <w:r>
        <w:rPr>
          <w:sz w:val="28"/>
          <w:szCs w:val="28"/>
          <w:lang w:val="en-CA"/>
        </w:rPr>
        <w:tab/>
      </w:r>
      <w:r w:rsidR="00905E85" w:rsidRPr="00116AED">
        <w:rPr>
          <w:sz w:val="28"/>
          <w:szCs w:val="28"/>
          <w:lang w:val="en-CA"/>
        </w:rPr>
        <w:t>In particularizing the charge against L</w:t>
      </w:r>
      <w:r w:rsidR="006A2218">
        <w:rPr>
          <w:sz w:val="28"/>
          <w:szCs w:val="28"/>
          <w:lang w:val="en-CA"/>
        </w:rPr>
        <w:t>.</w:t>
      </w:r>
      <w:r w:rsidR="00905E85" w:rsidRPr="00116AED">
        <w:rPr>
          <w:sz w:val="28"/>
          <w:szCs w:val="28"/>
          <w:lang w:val="en-CA"/>
        </w:rPr>
        <w:t xml:space="preserve">, the Crown </w:t>
      </w:r>
      <w:r w:rsidR="00064153" w:rsidRPr="00116AED">
        <w:rPr>
          <w:sz w:val="28"/>
          <w:szCs w:val="28"/>
          <w:lang w:val="en-CA"/>
        </w:rPr>
        <w:t xml:space="preserve">alleges that </w:t>
      </w:r>
      <w:r w:rsidR="00D978B2">
        <w:rPr>
          <w:sz w:val="28"/>
          <w:szCs w:val="28"/>
          <w:lang w:val="en-CA"/>
        </w:rPr>
        <w:t xml:space="preserve">L. </w:t>
      </w:r>
      <w:r w:rsidR="00905E85" w:rsidRPr="00116AED">
        <w:rPr>
          <w:sz w:val="28"/>
          <w:szCs w:val="28"/>
          <w:lang w:val="en-CA"/>
        </w:rPr>
        <w:t xml:space="preserve">“unlawfully killed” </w:t>
      </w:r>
      <w:r w:rsidR="00064153" w:rsidRPr="00116AED">
        <w:rPr>
          <w:sz w:val="28"/>
          <w:szCs w:val="28"/>
          <w:lang w:val="en-CA"/>
        </w:rPr>
        <w:t>E</w:t>
      </w:r>
      <w:r w:rsidR="006A2218">
        <w:rPr>
          <w:sz w:val="28"/>
          <w:szCs w:val="28"/>
          <w:lang w:val="en-CA"/>
        </w:rPr>
        <w:t>.</w:t>
      </w:r>
      <w:r w:rsidR="00064153" w:rsidRPr="00116AED">
        <w:rPr>
          <w:sz w:val="28"/>
          <w:szCs w:val="28"/>
          <w:lang w:val="en-CA"/>
        </w:rPr>
        <w:t>, thereby committing manslaughter</w:t>
      </w:r>
      <w:r w:rsidR="00905E85" w:rsidRPr="00116AED">
        <w:rPr>
          <w:sz w:val="28"/>
          <w:szCs w:val="28"/>
          <w:lang w:val="en-CA"/>
        </w:rPr>
        <w:t>.  The Crown has not further particularized the count by</w:t>
      </w:r>
      <w:r w:rsidR="00064153" w:rsidRPr="00116AED">
        <w:rPr>
          <w:sz w:val="28"/>
          <w:szCs w:val="28"/>
          <w:lang w:val="en-CA"/>
        </w:rPr>
        <w:t xml:space="preserve"> specifically alleging</w:t>
      </w:r>
      <w:r w:rsidR="00905E85" w:rsidRPr="00116AED">
        <w:rPr>
          <w:sz w:val="28"/>
          <w:szCs w:val="28"/>
          <w:lang w:val="en-CA"/>
        </w:rPr>
        <w:t xml:space="preserve"> unlawful act</w:t>
      </w:r>
      <w:r w:rsidR="00064153" w:rsidRPr="00116AED">
        <w:rPr>
          <w:sz w:val="28"/>
          <w:szCs w:val="28"/>
          <w:lang w:val="en-CA"/>
        </w:rPr>
        <w:t xml:space="preserve"> manslaughter</w:t>
      </w:r>
      <w:r w:rsidR="00905E85" w:rsidRPr="00116AED">
        <w:rPr>
          <w:sz w:val="28"/>
          <w:szCs w:val="28"/>
          <w:lang w:val="en-CA"/>
        </w:rPr>
        <w:t xml:space="preserve"> or </w:t>
      </w:r>
      <w:r w:rsidR="000958E9">
        <w:rPr>
          <w:sz w:val="28"/>
          <w:szCs w:val="28"/>
          <w:lang w:val="en-CA"/>
        </w:rPr>
        <w:lastRenderedPageBreak/>
        <w:t xml:space="preserve">manslaughter through </w:t>
      </w:r>
      <w:r w:rsidR="00905E85" w:rsidRPr="00116AED">
        <w:rPr>
          <w:sz w:val="28"/>
          <w:szCs w:val="28"/>
          <w:lang w:val="en-CA"/>
        </w:rPr>
        <w:t>criminal negligence.  It relies, as it is entitled to</w:t>
      </w:r>
      <w:r w:rsidR="00C72C04" w:rsidRPr="00116AED">
        <w:rPr>
          <w:sz w:val="28"/>
          <w:szCs w:val="28"/>
          <w:lang w:val="en-CA"/>
        </w:rPr>
        <w:t>,</w:t>
      </w:r>
      <w:r w:rsidR="00905E85" w:rsidRPr="00116AED">
        <w:rPr>
          <w:sz w:val="28"/>
          <w:szCs w:val="28"/>
          <w:lang w:val="en-CA"/>
        </w:rPr>
        <w:t xml:space="preserve"> on the general wording of the charge to cover both possibilities.</w:t>
      </w:r>
    </w:p>
    <w:p w14:paraId="73F82A36" w14:textId="163EC760" w:rsidR="00795F04" w:rsidRPr="00116AED" w:rsidRDefault="00D4299A">
      <w:pPr>
        <w:rPr>
          <w:sz w:val="28"/>
          <w:szCs w:val="28"/>
          <w:lang w:val="en-CA"/>
        </w:rPr>
      </w:pPr>
      <w:r>
        <w:rPr>
          <w:sz w:val="28"/>
          <w:szCs w:val="28"/>
          <w:lang w:val="en-CA"/>
        </w:rPr>
        <w:t>[10]</w:t>
      </w:r>
      <w:r>
        <w:rPr>
          <w:sz w:val="28"/>
          <w:szCs w:val="28"/>
          <w:lang w:val="en-CA"/>
        </w:rPr>
        <w:tab/>
      </w:r>
      <w:r w:rsidR="00905E85" w:rsidRPr="00116AED">
        <w:rPr>
          <w:sz w:val="28"/>
          <w:szCs w:val="28"/>
          <w:lang w:val="en-CA"/>
        </w:rPr>
        <w:t xml:space="preserve">At the hearing of the accused’s no evidence motion, the Crown </w:t>
      </w:r>
      <w:r w:rsidR="00DF36DB" w:rsidRPr="00116AED">
        <w:rPr>
          <w:sz w:val="28"/>
          <w:szCs w:val="28"/>
          <w:lang w:val="en-CA"/>
        </w:rPr>
        <w:t>set out t</w:t>
      </w:r>
      <w:r w:rsidR="00795F04" w:rsidRPr="00116AED">
        <w:rPr>
          <w:sz w:val="28"/>
          <w:szCs w:val="28"/>
          <w:lang w:val="en-CA"/>
        </w:rPr>
        <w:t>wo principal</w:t>
      </w:r>
      <w:r w:rsidR="00DF36DB" w:rsidRPr="00116AED">
        <w:rPr>
          <w:sz w:val="28"/>
          <w:szCs w:val="28"/>
          <w:lang w:val="en-CA"/>
        </w:rPr>
        <w:t xml:space="preserve"> ways in which it s</w:t>
      </w:r>
      <w:r w:rsidR="009E18A4">
        <w:rPr>
          <w:sz w:val="28"/>
          <w:szCs w:val="28"/>
          <w:lang w:val="en-CA"/>
        </w:rPr>
        <w:t>ubmits</w:t>
      </w:r>
      <w:r w:rsidR="00DF36DB" w:rsidRPr="00116AED">
        <w:rPr>
          <w:sz w:val="28"/>
          <w:szCs w:val="28"/>
          <w:lang w:val="en-CA"/>
        </w:rPr>
        <w:t xml:space="preserve"> the</w:t>
      </w:r>
      <w:r w:rsidR="0036499C" w:rsidRPr="00116AED">
        <w:rPr>
          <w:sz w:val="28"/>
          <w:szCs w:val="28"/>
          <w:lang w:val="en-CA"/>
        </w:rPr>
        <w:t xml:space="preserve"> </w:t>
      </w:r>
      <w:r w:rsidR="00064153" w:rsidRPr="00116AED">
        <w:rPr>
          <w:i/>
          <w:sz w:val="28"/>
          <w:szCs w:val="28"/>
          <w:lang w:val="en-CA"/>
        </w:rPr>
        <w:t>Sheppard</w:t>
      </w:r>
      <w:r w:rsidR="00064153" w:rsidRPr="00116AED">
        <w:rPr>
          <w:sz w:val="28"/>
          <w:szCs w:val="28"/>
          <w:lang w:val="en-CA"/>
        </w:rPr>
        <w:t xml:space="preserve"> test</w:t>
      </w:r>
      <w:r w:rsidR="00DF36DB" w:rsidRPr="00116AED">
        <w:rPr>
          <w:sz w:val="28"/>
          <w:szCs w:val="28"/>
          <w:lang w:val="en-CA"/>
        </w:rPr>
        <w:t xml:space="preserve"> has been satisfied</w:t>
      </w:r>
      <w:r w:rsidR="00905E85" w:rsidRPr="00116AED">
        <w:rPr>
          <w:sz w:val="28"/>
          <w:szCs w:val="28"/>
          <w:lang w:val="en-CA"/>
        </w:rPr>
        <w:t>.</w:t>
      </w:r>
      <w:r w:rsidR="00064153" w:rsidRPr="00116AED">
        <w:rPr>
          <w:sz w:val="28"/>
          <w:szCs w:val="28"/>
          <w:lang w:val="en-CA"/>
        </w:rPr>
        <w:t xml:space="preserve">  </w:t>
      </w:r>
      <w:r w:rsidR="00D4453F" w:rsidRPr="00116AED">
        <w:rPr>
          <w:sz w:val="28"/>
          <w:szCs w:val="28"/>
          <w:lang w:val="en-CA"/>
        </w:rPr>
        <w:t xml:space="preserve">Firstly, the Crown argues </w:t>
      </w:r>
      <w:r w:rsidR="00795F04" w:rsidRPr="00116AED">
        <w:rPr>
          <w:sz w:val="28"/>
          <w:szCs w:val="28"/>
          <w:lang w:val="en-CA"/>
        </w:rPr>
        <w:t>“L</w:t>
      </w:r>
      <w:r w:rsidR="006A2218">
        <w:rPr>
          <w:sz w:val="28"/>
          <w:szCs w:val="28"/>
          <w:lang w:val="en-CA"/>
        </w:rPr>
        <w:t>.</w:t>
      </w:r>
      <w:r w:rsidR="00795F04" w:rsidRPr="00116AED">
        <w:rPr>
          <w:sz w:val="28"/>
          <w:szCs w:val="28"/>
          <w:lang w:val="en-CA"/>
        </w:rPr>
        <w:t xml:space="preserve">’s conduct of providing </w:t>
      </w:r>
      <w:r w:rsidR="006A2218">
        <w:rPr>
          <w:sz w:val="28"/>
          <w:szCs w:val="28"/>
          <w:lang w:val="en-CA"/>
        </w:rPr>
        <w:t xml:space="preserve">E. </w:t>
      </w:r>
      <w:r w:rsidR="00795F04" w:rsidRPr="00116AED">
        <w:rPr>
          <w:sz w:val="28"/>
          <w:szCs w:val="28"/>
          <w:lang w:val="en-CA"/>
        </w:rPr>
        <w:t xml:space="preserve">with alcohol to the </w:t>
      </w:r>
      <w:r w:rsidR="00CB6EC9" w:rsidRPr="00116AED">
        <w:rPr>
          <w:sz w:val="28"/>
          <w:szCs w:val="28"/>
          <w:lang w:val="en-CA"/>
        </w:rPr>
        <w:t>p</w:t>
      </w:r>
      <w:r w:rsidR="00795F04" w:rsidRPr="00116AED">
        <w:rPr>
          <w:sz w:val="28"/>
          <w:szCs w:val="28"/>
          <w:lang w:val="en-CA"/>
        </w:rPr>
        <w:t>oint of passing out, and then sexually assaulting and leaving her unattended constituted a marked and substantial departure from the norm and thus criminal negligence”.   Secondly, the Crown</w:t>
      </w:r>
      <w:r w:rsidR="00D4453F" w:rsidRPr="00116AED">
        <w:rPr>
          <w:sz w:val="28"/>
          <w:szCs w:val="28"/>
          <w:lang w:val="en-CA"/>
        </w:rPr>
        <w:t xml:space="preserve"> </w:t>
      </w:r>
      <w:r w:rsidR="00911A3C" w:rsidRPr="00116AED">
        <w:rPr>
          <w:sz w:val="28"/>
          <w:szCs w:val="28"/>
          <w:lang w:val="en-CA"/>
        </w:rPr>
        <w:t>submits</w:t>
      </w:r>
      <w:r w:rsidR="00D4453F" w:rsidRPr="00116AED">
        <w:rPr>
          <w:sz w:val="28"/>
          <w:szCs w:val="28"/>
          <w:lang w:val="en-CA"/>
        </w:rPr>
        <w:t xml:space="preserve"> that </w:t>
      </w:r>
      <w:r w:rsidR="00D978B2">
        <w:rPr>
          <w:sz w:val="28"/>
          <w:szCs w:val="28"/>
          <w:lang w:val="en-CA"/>
        </w:rPr>
        <w:t xml:space="preserve">L. </w:t>
      </w:r>
      <w:r w:rsidR="00D4453F" w:rsidRPr="00116AED">
        <w:rPr>
          <w:sz w:val="28"/>
          <w:szCs w:val="28"/>
          <w:lang w:val="en-CA"/>
        </w:rPr>
        <w:t xml:space="preserve">committed unlawful act manslaughter by providing the 12 year old </w:t>
      </w:r>
      <w:r w:rsidR="006A2218">
        <w:rPr>
          <w:sz w:val="28"/>
          <w:szCs w:val="28"/>
          <w:lang w:val="en-CA"/>
        </w:rPr>
        <w:t xml:space="preserve">E. </w:t>
      </w:r>
      <w:r w:rsidR="00D4453F" w:rsidRPr="00116AED">
        <w:rPr>
          <w:sz w:val="28"/>
          <w:szCs w:val="28"/>
          <w:lang w:val="en-CA"/>
        </w:rPr>
        <w:t xml:space="preserve">the liquor that killed her, contrary to section 77(1) of the </w:t>
      </w:r>
      <w:r w:rsidR="00D4453F" w:rsidRPr="00116AED">
        <w:rPr>
          <w:i/>
          <w:sz w:val="28"/>
          <w:szCs w:val="28"/>
          <w:lang w:val="en-CA"/>
        </w:rPr>
        <w:t>Liquor Act</w:t>
      </w:r>
      <w:r w:rsidR="00D4453F" w:rsidRPr="00116AED">
        <w:rPr>
          <w:sz w:val="28"/>
          <w:szCs w:val="28"/>
          <w:lang w:val="en-CA"/>
        </w:rPr>
        <w:t xml:space="preserve"> of the Northwest Territories, a strict liability offence.   </w:t>
      </w:r>
    </w:p>
    <w:p w14:paraId="12783C87" w14:textId="52630B97" w:rsidR="00064153" w:rsidRPr="00116AED" w:rsidRDefault="00D4299A">
      <w:pPr>
        <w:rPr>
          <w:sz w:val="28"/>
          <w:szCs w:val="28"/>
          <w:lang w:val="en-CA"/>
        </w:rPr>
      </w:pPr>
      <w:r>
        <w:rPr>
          <w:sz w:val="28"/>
          <w:szCs w:val="28"/>
          <w:lang w:val="en-CA"/>
        </w:rPr>
        <w:t>[11]</w:t>
      </w:r>
      <w:r>
        <w:rPr>
          <w:sz w:val="28"/>
          <w:szCs w:val="28"/>
          <w:lang w:val="en-CA"/>
        </w:rPr>
        <w:tab/>
      </w:r>
      <w:r w:rsidR="00DF36DB" w:rsidRPr="00116AED">
        <w:rPr>
          <w:sz w:val="28"/>
          <w:szCs w:val="28"/>
          <w:lang w:val="en-CA"/>
        </w:rPr>
        <w:t>In order for me to find that there is sufficient evidence upon which a properly instructed and reasonable trier of fact could convict</w:t>
      </w:r>
      <w:r w:rsidR="00D269CD" w:rsidRPr="00116AED">
        <w:rPr>
          <w:sz w:val="28"/>
          <w:szCs w:val="28"/>
          <w:lang w:val="en-CA"/>
        </w:rPr>
        <w:t xml:space="preserve"> L</w:t>
      </w:r>
      <w:r w:rsidR="006A2218">
        <w:rPr>
          <w:sz w:val="28"/>
          <w:szCs w:val="28"/>
          <w:lang w:val="en-CA"/>
        </w:rPr>
        <w:t>.</w:t>
      </w:r>
      <w:r w:rsidR="00DF36DB" w:rsidRPr="00116AED">
        <w:rPr>
          <w:sz w:val="28"/>
          <w:szCs w:val="28"/>
          <w:lang w:val="en-CA"/>
        </w:rPr>
        <w:t xml:space="preserve">, it is necessary only that </w:t>
      </w:r>
      <w:r w:rsidR="00D269CD" w:rsidRPr="00116AED">
        <w:rPr>
          <w:sz w:val="28"/>
          <w:szCs w:val="28"/>
          <w:lang w:val="en-CA"/>
        </w:rPr>
        <w:t>the Sheppard test be satisfied on</w:t>
      </w:r>
      <w:r w:rsidR="00DF36DB" w:rsidRPr="00116AED">
        <w:rPr>
          <w:sz w:val="28"/>
          <w:szCs w:val="28"/>
          <w:lang w:val="en-CA"/>
        </w:rPr>
        <w:t xml:space="preserve"> one</w:t>
      </w:r>
      <w:r w:rsidR="00D269CD" w:rsidRPr="00116AED">
        <w:rPr>
          <w:sz w:val="28"/>
          <w:szCs w:val="28"/>
          <w:lang w:val="en-CA"/>
        </w:rPr>
        <w:t xml:space="preserve"> of the alternative routes advanced by the Crown.  </w:t>
      </w:r>
      <w:r w:rsidR="00D4453F" w:rsidRPr="00116AED">
        <w:rPr>
          <w:sz w:val="28"/>
          <w:szCs w:val="28"/>
          <w:lang w:val="en-CA"/>
        </w:rPr>
        <w:t xml:space="preserve"> </w:t>
      </w:r>
    </w:p>
    <w:p w14:paraId="29B6B187" w14:textId="0265B078" w:rsidR="00795F04" w:rsidRPr="00116AED" w:rsidRDefault="00795F04" w:rsidP="00795F04">
      <w:pPr>
        <w:pStyle w:val="ListParagraph"/>
        <w:numPr>
          <w:ilvl w:val="0"/>
          <w:numId w:val="24"/>
        </w:numPr>
        <w:rPr>
          <w:sz w:val="28"/>
          <w:szCs w:val="28"/>
          <w:lang w:val="en-CA"/>
        </w:rPr>
      </w:pPr>
      <w:r w:rsidRPr="00116AED">
        <w:rPr>
          <w:sz w:val="28"/>
          <w:szCs w:val="28"/>
          <w:lang w:val="en-CA"/>
        </w:rPr>
        <w:t xml:space="preserve">The Sheppard Test </w:t>
      </w:r>
      <w:r w:rsidR="006E7A1F" w:rsidRPr="00116AED">
        <w:rPr>
          <w:sz w:val="28"/>
          <w:szCs w:val="28"/>
          <w:lang w:val="en-CA"/>
        </w:rPr>
        <w:t xml:space="preserve">as Applied to the Current Charge </w:t>
      </w:r>
    </w:p>
    <w:p w14:paraId="60C56181" w14:textId="4F8BD9BF" w:rsidR="00A038C8" w:rsidRDefault="00D4299A">
      <w:pPr>
        <w:rPr>
          <w:sz w:val="28"/>
          <w:szCs w:val="28"/>
          <w:lang w:val="en-CA"/>
        </w:rPr>
      </w:pPr>
      <w:r>
        <w:rPr>
          <w:sz w:val="28"/>
          <w:szCs w:val="28"/>
          <w:lang w:val="en-CA"/>
        </w:rPr>
        <w:t>[12]</w:t>
      </w:r>
      <w:r>
        <w:rPr>
          <w:sz w:val="28"/>
          <w:szCs w:val="28"/>
          <w:lang w:val="en-CA"/>
        </w:rPr>
        <w:tab/>
      </w:r>
      <w:r w:rsidR="007F7D5C" w:rsidRPr="00116AED">
        <w:rPr>
          <w:sz w:val="28"/>
          <w:szCs w:val="28"/>
          <w:lang w:val="en-CA"/>
        </w:rPr>
        <w:t xml:space="preserve">The test which applies </w:t>
      </w:r>
      <w:r w:rsidR="009C2112" w:rsidRPr="00116AED">
        <w:rPr>
          <w:sz w:val="28"/>
          <w:szCs w:val="28"/>
          <w:lang w:val="en-CA"/>
        </w:rPr>
        <w:t>to no</w:t>
      </w:r>
      <w:r w:rsidR="000958E9">
        <w:rPr>
          <w:sz w:val="28"/>
          <w:szCs w:val="28"/>
          <w:lang w:val="en-CA"/>
        </w:rPr>
        <w:t xml:space="preserve"> </w:t>
      </w:r>
      <w:r w:rsidR="009C2112" w:rsidRPr="00116AED">
        <w:rPr>
          <w:sz w:val="28"/>
          <w:szCs w:val="28"/>
          <w:lang w:val="en-CA"/>
        </w:rPr>
        <w:t>evidence motions</w:t>
      </w:r>
      <w:r w:rsidR="007F7D5C" w:rsidRPr="00116AED">
        <w:rPr>
          <w:sz w:val="28"/>
          <w:szCs w:val="28"/>
          <w:lang w:val="en-CA"/>
        </w:rPr>
        <w:t xml:space="preserve"> is set out in the case of </w:t>
      </w:r>
      <w:r w:rsidR="007F7D5C" w:rsidRPr="00116AED">
        <w:rPr>
          <w:i/>
          <w:sz w:val="28"/>
          <w:szCs w:val="28"/>
          <w:lang w:val="en-CA"/>
        </w:rPr>
        <w:t>United States of American v. Shephard</w:t>
      </w:r>
      <w:r w:rsidR="006561D9">
        <w:rPr>
          <w:sz w:val="28"/>
          <w:szCs w:val="28"/>
          <w:lang w:val="en-CA"/>
        </w:rPr>
        <w:t>, [1977] 2 SCR 1067, as follows:</w:t>
      </w:r>
      <w:r w:rsidR="007F7D5C" w:rsidRPr="00116AED">
        <w:rPr>
          <w:sz w:val="28"/>
          <w:szCs w:val="28"/>
          <w:lang w:val="en-CA"/>
        </w:rPr>
        <w:t xml:space="preserve"> whether or not there is some evidence upon which a reasonabl</w:t>
      </w:r>
      <w:r w:rsidR="000958E9">
        <w:rPr>
          <w:sz w:val="28"/>
          <w:szCs w:val="28"/>
          <w:lang w:val="en-CA"/>
        </w:rPr>
        <w:t>e</w:t>
      </w:r>
      <w:r w:rsidR="007F7D5C" w:rsidRPr="00116AED">
        <w:rPr>
          <w:sz w:val="28"/>
          <w:szCs w:val="28"/>
          <w:lang w:val="en-CA"/>
        </w:rPr>
        <w:t xml:space="preserve"> jury properly instructed coul</w:t>
      </w:r>
      <w:r w:rsidR="00B66393" w:rsidRPr="00116AED">
        <w:rPr>
          <w:sz w:val="28"/>
          <w:szCs w:val="28"/>
          <w:lang w:val="en-CA"/>
        </w:rPr>
        <w:t xml:space="preserve">d return a verdict of guilty.  </w:t>
      </w:r>
      <w:r w:rsidR="006E7A1F" w:rsidRPr="00116AED">
        <w:rPr>
          <w:sz w:val="28"/>
          <w:szCs w:val="28"/>
          <w:lang w:val="en-CA"/>
        </w:rPr>
        <w:t xml:space="preserve">In order for </w:t>
      </w:r>
      <w:r w:rsidR="00D978B2">
        <w:rPr>
          <w:sz w:val="28"/>
          <w:szCs w:val="28"/>
          <w:lang w:val="en-CA"/>
        </w:rPr>
        <w:t xml:space="preserve">L. </w:t>
      </w:r>
      <w:r w:rsidR="006E7A1F" w:rsidRPr="00116AED">
        <w:rPr>
          <w:sz w:val="28"/>
          <w:szCs w:val="28"/>
          <w:lang w:val="en-CA"/>
        </w:rPr>
        <w:t xml:space="preserve">to be successful in this application, </w:t>
      </w:r>
      <w:r w:rsidR="00626CB9" w:rsidRPr="00116AED">
        <w:rPr>
          <w:sz w:val="28"/>
          <w:szCs w:val="28"/>
          <w:lang w:val="en-CA"/>
        </w:rPr>
        <w:t xml:space="preserve">there would have to </w:t>
      </w:r>
      <w:r w:rsidR="00100848" w:rsidRPr="00116AED">
        <w:rPr>
          <w:sz w:val="28"/>
          <w:szCs w:val="28"/>
          <w:lang w:val="en-CA"/>
        </w:rPr>
        <w:t>be no</w:t>
      </w:r>
      <w:r w:rsidR="007F7D5C" w:rsidRPr="00116AED">
        <w:rPr>
          <w:sz w:val="28"/>
          <w:szCs w:val="28"/>
          <w:lang w:val="en-CA"/>
        </w:rPr>
        <w:t xml:space="preserve"> evidence </w:t>
      </w:r>
      <w:r w:rsidR="00626CB9" w:rsidRPr="00116AED">
        <w:rPr>
          <w:sz w:val="28"/>
          <w:szCs w:val="28"/>
          <w:lang w:val="en-CA"/>
        </w:rPr>
        <w:t>of</w:t>
      </w:r>
      <w:r w:rsidR="007F7D5C" w:rsidRPr="00116AED">
        <w:rPr>
          <w:sz w:val="28"/>
          <w:szCs w:val="28"/>
          <w:lang w:val="en-CA"/>
        </w:rPr>
        <w:t xml:space="preserve"> an essential element </w:t>
      </w:r>
      <w:r w:rsidR="00B66393" w:rsidRPr="00116AED">
        <w:rPr>
          <w:sz w:val="28"/>
          <w:szCs w:val="28"/>
          <w:lang w:val="en-CA"/>
        </w:rPr>
        <w:t>of either</w:t>
      </w:r>
      <w:r w:rsidR="00626CB9" w:rsidRPr="00116AED">
        <w:rPr>
          <w:sz w:val="28"/>
          <w:szCs w:val="28"/>
          <w:lang w:val="en-CA"/>
        </w:rPr>
        <w:t xml:space="preserve"> criminally negligent manslaughter or unlawful act manslaughter</w:t>
      </w:r>
      <w:r w:rsidR="00630876">
        <w:rPr>
          <w:sz w:val="28"/>
          <w:szCs w:val="28"/>
          <w:lang w:val="en-CA"/>
        </w:rPr>
        <w:t>.</w:t>
      </w:r>
      <w:r w:rsidR="00626CB9" w:rsidRPr="00116AED">
        <w:rPr>
          <w:rStyle w:val="FootnoteReference"/>
          <w:sz w:val="28"/>
          <w:szCs w:val="28"/>
          <w:lang w:val="en-CA"/>
        </w:rPr>
        <w:footnoteReference w:id="1"/>
      </w:r>
      <w:r w:rsidR="007F7D5C" w:rsidRPr="00116AED">
        <w:rPr>
          <w:sz w:val="28"/>
          <w:szCs w:val="28"/>
          <w:lang w:val="en-CA"/>
        </w:rPr>
        <w:t xml:space="preserve">  </w:t>
      </w:r>
      <w:r w:rsidR="00626CB9" w:rsidRPr="00116AED">
        <w:rPr>
          <w:sz w:val="28"/>
          <w:szCs w:val="28"/>
          <w:lang w:val="en-CA"/>
        </w:rPr>
        <w:t xml:space="preserve">In other words there must be no evidence upon which a </w:t>
      </w:r>
      <w:r w:rsidR="006561D9">
        <w:rPr>
          <w:sz w:val="28"/>
          <w:szCs w:val="28"/>
          <w:lang w:val="en-CA"/>
        </w:rPr>
        <w:t>reasonable jury could find that one or more of those essential elements has</w:t>
      </w:r>
      <w:r w:rsidR="00626CB9" w:rsidRPr="00116AED">
        <w:rPr>
          <w:sz w:val="28"/>
          <w:szCs w:val="28"/>
          <w:lang w:val="en-CA"/>
        </w:rPr>
        <w:t xml:space="preserve"> been prove</w:t>
      </w:r>
      <w:r w:rsidR="000958E9">
        <w:rPr>
          <w:sz w:val="28"/>
          <w:szCs w:val="28"/>
          <w:lang w:val="en-CA"/>
        </w:rPr>
        <w:t>n</w:t>
      </w:r>
      <w:r w:rsidR="00626CB9" w:rsidRPr="00116AED">
        <w:rPr>
          <w:sz w:val="28"/>
          <w:szCs w:val="28"/>
          <w:lang w:val="en-CA"/>
        </w:rPr>
        <w:t xml:space="preserve"> beyond a reasonable doubt.  </w:t>
      </w:r>
    </w:p>
    <w:p w14:paraId="2479D592" w14:textId="20EDE892" w:rsidR="006561D9" w:rsidRPr="00116AED" w:rsidRDefault="00D4299A">
      <w:pPr>
        <w:rPr>
          <w:sz w:val="28"/>
          <w:szCs w:val="28"/>
          <w:lang w:val="en-CA"/>
        </w:rPr>
      </w:pPr>
      <w:r>
        <w:rPr>
          <w:sz w:val="28"/>
          <w:szCs w:val="28"/>
          <w:lang w:val="en-CA"/>
        </w:rPr>
        <w:t>[13]</w:t>
      </w:r>
      <w:r>
        <w:rPr>
          <w:sz w:val="28"/>
          <w:szCs w:val="28"/>
          <w:lang w:val="en-CA"/>
        </w:rPr>
        <w:tab/>
      </w:r>
      <w:r w:rsidR="006561D9">
        <w:rPr>
          <w:sz w:val="28"/>
          <w:szCs w:val="28"/>
          <w:lang w:val="en-CA"/>
        </w:rPr>
        <w:t xml:space="preserve">As will be seen, unlawful act </w:t>
      </w:r>
      <w:r w:rsidR="00CA7B9C">
        <w:rPr>
          <w:sz w:val="28"/>
          <w:szCs w:val="28"/>
          <w:lang w:val="en-CA"/>
        </w:rPr>
        <w:t>manslaughter, which</w:t>
      </w:r>
      <w:r w:rsidR="006561D9">
        <w:rPr>
          <w:sz w:val="28"/>
          <w:szCs w:val="28"/>
          <w:lang w:val="en-CA"/>
        </w:rPr>
        <w:t xml:space="preserve"> relies on a provincial/territor</w:t>
      </w:r>
      <w:r w:rsidR="00031D4B">
        <w:rPr>
          <w:sz w:val="28"/>
          <w:szCs w:val="28"/>
          <w:lang w:val="en-CA"/>
        </w:rPr>
        <w:t xml:space="preserve">ial offence of strict liability, </w:t>
      </w:r>
      <w:r w:rsidR="006561D9">
        <w:rPr>
          <w:sz w:val="28"/>
          <w:szCs w:val="28"/>
          <w:lang w:val="en-CA"/>
        </w:rPr>
        <w:t xml:space="preserve">contains an element of </w:t>
      </w:r>
      <w:r w:rsidR="00CA7B9C">
        <w:rPr>
          <w:sz w:val="28"/>
          <w:szCs w:val="28"/>
          <w:lang w:val="en-CA"/>
        </w:rPr>
        <w:t>negligence,</w:t>
      </w:r>
      <w:r w:rsidR="006561D9">
        <w:rPr>
          <w:sz w:val="28"/>
          <w:szCs w:val="28"/>
          <w:lang w:val="en-CA"/>
        </w:rPr>
        <w:t xml:space="preserve"> as, of course</w:t>
      </w:r>
      <w:r w:rsidR="00E81077">
        <w:rPr>
          <w:sz w:val="28"/>
          <w:szCs w:val="28"/>
          <w:lang w:val="en-CA"/>
        </w:rPr>
        <w:t>, does</w:t>
      </w:r>
      <w:r w:rsidR="006561D9">
        <w:rPr>
          <w:sz w:val="28"/>
          <w:szCs w:val="28"/>
          <w:lang w:val="en-CA"/>
        </w:rPr>
        <w:t xml:space="preserve"> criminally negligent manslaughter. </w:t>
      </w:r>
      <w:r w:rsidR="00E81077">
        <w:rPr>
          <w:sz w:val="28"/>
          <w:szCs w:val="28"/>
          <w:lang w:val="en-CA"/>
        </w:rPr>
        <w:t xml:space="preserve"> Both routes to manslaughter require a departure f</w:t>
      </w:r>
      <w:r w:rsidR="00031D4B">
        <w:rPr>
          <w:sz w:val="28"/>
          <w:szCs w:val="28"/>
          <w:lang w:val="en-CA"/>
        </w:rPr>
        <w:t>rom the standard of a reasonable</w:t>
      </w:r>
      <w:r w:rsidR="00E81077">
        <w:rPr>
          <w:sz w:val="28"/>
          <w:szCs w:val="28"/>
          <w:lang w:val="en-CA"/>
        </w:rPr>
        <w:t xml:space="preserve"> person albeit in different degrees. </w:t>
      </w:r>
    </w:p>
    <w:p w14:paraId="0F3A8D6C" w14:textId="432D5199" w:rsidR="009C4688" w:rsidRPr="00116AED" w:rsidRDefault="00D4299A">
      <w:pPr>
        <w:rPr>
          <w:sz w:val="28"/>
          <w:szCs w:val="28"/>
          <w:lang w:val="en-CA"/>
        </w:rPr>
      </w:pPr>
      <w:r>
        <w:rPr>
          <w:sz w:val="28"/>
          <w:szCs w:val="28"/>
          <w:lang w:val="en-CA"/>
        </w:rPr>
        <w:lastRenderedPageBreak/>
        <w:t>[14]</w:t>
      </w:r>
      <w:r>
        <w:rPr>
          <w:sz w:val="28"/>
          <w:szCs w:val="28"/>
          <w:lang w:val="en-CA"/>
        </w:rPr>
        <w:tab/>
      </w:r>
      <w:r w:rsidR="00AF19E2">
        <w:rPr>
          <w:sz w:val="28"/>
          <w:szCs w:val="28"/>
          <w:lang w:val="en-CA"/>
        </w:rPr>
        <w:t>The case of</w:t>
      </w:r>
      <w:r w:rsidR="004F0409" w:rsidRPr="00116AED">
        <w:rPr>
          <w:sz w:val="28"/>
          <w:szCs w:val="28"/>
          <w:lang w:val="en-CA"/>
        </w:rPr>
        <w:t xml:space="preserve"> </w:t>
      </w:r>
      <w:r w:rsidR="00D476F8">
        <w:rPr>
          <w:i/>
          <w:sz w:val="28"/>
          <w:szCs w:val="28"/>
          <w:lang w:val="en-CA"/>
        </w:rPr>
        <w:t>R. v. Charem</w:t>
      </w:r>
      <w:r w:rsidR="004F0409" w:rsidRPr="00116AED">
        <w:rPr>
          <w:i/>
          <w:sz w:val="28"/>
          <w:szCs w:val="28"/>
          <w:lang w:val="en-CA"/>
        </w:rPr>
        <w:t>ski</w:t>
      </w:r>
      <w:r w:rsidR="00557857" w:rsidRPr="00116AED">
        <w:rPr>
          <w:sz w:val="28"/>
          <w:szCs w:val="28"/>
          <w:lang w:val="en-CA"/>
        </w:rPr>
        <w:t>,</w:t>
      </w:r>
      <w:r w:rsidR="004F0409" w:rsidRPr="00116AED">
        <w:rPr>
          <w:sz w:val="28"/>
          <w:szCs w:val="28"/>
          <w:lang w:val="en-CA"/>
        </w:rPr>
        <w:t xml:space="preserve"> </w:t>
      </w:r>
      <w:r w:rsidR="00031D4B">
        <w:rPr>
          <w:sz w:val="28"/>
          <w:szCs w:val="28"/>
          <w:lang w:val="en-CA"/>
        </w:rPr>
        <w:t>[</w:t>
      </w:r>
      <w:r w:rsidR="004F0409" w:rsidRPr="00116AED">
        <w:rPr>
          <w:sz w:val="28"/>
          <w:szCs w:val="28"/>
          <w:lang w:val="en-CA"/>
        </w:rPr>
        <w:t xml:space="preserve">1998] 1 SCR 679 </w:t>
      </w:r>
      <w:r w:rsidR="00AF19E2">
        <w:rPr>
          <w:sz w:val="28"/>
          <w:szCs w:val="28"/>
          <w:lang w:val="en-CA"/>
        </w:rPr>
        <w:t xml:space="preserve">did not deal with criminal negligence.  However, </w:t>
      </w:r>
      <w:r w:rsidR="004348B3">
        <w:rPr>
          <w:sz w:val="28"/>
          <w:szCs w:val="28"/>
          <w:lang w:val="en-CA"/>
        </w:rPr>
        <w:t>McLachli</w:t>
      </w:r>
      <w:r w:rsidR="00557857" w:rsidRPr="00116AED">
        <w:rPr>
          <w:sz w:val="28"/>
          <w:szCs w:val="28"/>
          <w:lang w:val="en-CA"/>
        </w:rPr>
        <w:t>n</w:t>
      </w:r>
      <w:r w:rsidR="004F0409" w:rsidRPr="00116AED">
        <w:rPr>
          <w:sz w:val="28"/>
          <w:szCs w:val="28"/>
          <w:lang w:val="en-CA"/>
        </w:rPr>
        <w:t xml:space="preserve">, J., </w:t>
      </w:r>
      <w:r w:rsidR="00557857" w:rsidRPr="00116AED">
        <w:rPr>
          <w:sz w:val="28"/>
          <w:szCs w:val="28"/>
          <w:lang w:val="en-CA"/>
        </w:rPr>
        <w:t xml:space="preserve">cited with approval the Sheppard test as it </w:t>
      </w:r>
      <w:r w:rsidR="00100848" w:rsidRPr="00116AED">
        <w:rPr>
          <w:sz w:val="28"/>
          <w:szCs w:val="28"/>
          <w:lang w:val="en-CA"/>
        </w:rPr>
        <w:t>applies</w:t>
      </w:r>
      <w:r w:rsidR="00557857" w:rsidRPr="00116AED">
        <w:rPr>
          <w:sz w:val="28"/>
          <w:szCs w:val="28"/>
          <w:lang w:val="en-CA"/>
        </w:rPr>
        <w:t xml:space="preserve"> to negligence </w:t>
      </w:r>
      <w:r w:rsidR="00F13631" w:rsidRPr="00116AED">
        <w:rPr>
          <w:sz w:val="28"/>
          <w:szCs w:val="28"/>
          <w:lang w:val="en-CA"/>
        </w:rPr>
        <w:t>as set out</w:t>
      </w:r>
      <w:r w:rsidR="00557857" w:rsidRPr="00116AED">
        <w:rPr>
          <w:sz w:val="28"/>
          <w:szCs w:val="28"/>
          <w:lang w:val="en-CA"/>
        </w:rPr>
        <w:t xml:space="preserve"> by the House of Lords in the case of </w:t>
      </w:r>
      <w:r w:rsidR="00557857" w:rsidRPr="00116AED">
        <w:rPr>
          <w:i/>
          <w:sz w:val="28"/>
          <w:szCs w:val="28"/>
          <w:lang w:val="en-CA"/>
        </w:rPr>
        <w:t>Metropolitan Railway Company v. Jackson</w:t>
      </w:r>
      <w:r w:rsidR="00F13631" w:rsidRPr="00116AED">
        <w:rPr>
          <w:i/>
          <w:sz w:val="28"/>
          <w:szCs w:val="28"/>
          <w:lang w:val="en-CA"/>
        </w:rPr>
        <w:t xml:space="preserve"> (</w:t>
      </w:r>
      <w:r w:rsidR="00F13631" w:rsidRPr="00116AED">
        <w:rPr>
          <w:rFonts w:ascii="Calibri" w:eastAsia="Times New Roman" w:hAnsi="Calibri" w:cs="Helvetica"/>
          <w:color w:val="373739"/>
          <w:sz w:val="28"/>
          <w:szCs w:val="28"/>
          <w:lang w:val="en-CA"/>
        </w:rPr>
        <w:t>1877), 3 App. Cas. 193 (H.L.)</w:t>
      </w:r>
      <w:r w:rsidR="00F13631" w:rsidRPr="00116AED">
        <w:rPr>
          <w:i/>
          <w:sz w:val="28"/>
          <w:szCs w:val="28"/>
          <w:lang w:val="en-CA"/>
        </w:rPr>
        <w:t>.</w:t>
      </w:r>
      <w:r w:rsidR="00B66393" w:rsidRPr="00116AED">
        <w:rPr>
          <w:i/>
          <w:sz w:val="28"/>
          <w:szCs w:val="28"/>
          <w:lang w:val="en-CA"/>
        </w:rPr>
        <w:t xml:space="preserve">  </w:t>
      </w:r>
      <w:r w:rsidR="00F13631" w:rsidRPr="00116AED">
        <w:rPr>
          <w:sz w:val="28"/>
          <w:szCs w:val="28"/>
          <w:lang w:val="en-CA"/>
        </w:rPr>
        <w:t>At paragraph 24 of</w:t>
      </w:r>
      <w:r w:rsidR="00D476F8">
        <w:rPr>
          <w:i/>
          <w:sz w:val="28"/>
          <w:szCs w:val="28"/>
          <w:lang w:val="en-CA"/>
        </w:rPr>
        <w:t xml:space="preserve"> Charem</w:t>
      </w:r>
      <w:r w:rsidR="00F13631" w:rsidRPr="00116AED">
        <w:rPr>
          <w:i/>
          <w:sz w:val="28"/>
          <w:szCs w:val="28"/>
          <w:lang w:val="en-CA"/>
        </w:rPr>
        <w:t>ski s</w:t>
      </w:r>
      <w:r w:rsidR="00F13631" w:rsidRPr="00116AED">
        <w:rPr>
          <w:sz w:val="28"/>
          <w:szCs w:val="28"/>
          <w:lang w:val="en-CA"/>
        </w:rPr>
        <w:t>he stated:</w:t>
      </w:r>
      <w:r w:rsidR="00557857" w:rsidRPr="00116AED">
        <w:rPr>
          <w:sz w:val="28"/>
          <w:szCs w:val="28"/>
          <w:lang w:val="en-CA"/>
        </w:rPr>
        <w:t xml:space="preserve"> </w:t>
      </w:r>
    </w:p>
    <w:p w14:paraId="54502FDD" w14:textId="1EF770E4" w:rsidR="00AC171A" w:rsidRPr="00116AED" w:rsidRDefault="00AC171A" w:rsidP="00AC171A">
      <w:pPr>
        <w:spacing w:before="100" w:beforeAutospacing="1" w:after="100" w:afterAutospacing="1" w:line="240" w:lineRule="auto"/>
        <w:ind w:left="720"/>
        <w:rPr>
          <w:rFonts w:ascii="Calibri" w:eastAsia="Times New Roman" w:hAnsi="Calibri" w:cs="Helvetica"/>
          <w:color w:val="373739"/>
          <w:sz w:val="24"/>
          <w:szCs w:val="24"/>
          <w:lang w:val="en-CA"/>
        </w:rPr>
      </w:pPr>
      <w:r w:rsidRPr="00116AED">
        <w:rPr>
          <w:rFonts w:ascii="Calibri" w:eastAsia="Times New Roman" w:hAnsi="Calibri" w:cs="Helvetica"/>
          <w:color w:val="373739"/>
          <w:sz w:val="24"/>
          <w:szCs w:val="24"/>
          <w:lang w:val="en-CA"/>
        </w:rPr>
        <w:t xml:space="preserve">24  This limited judicial weighing at the stage of a motion for a directed acquittal does not infringe the jury's role of determining as a matter of fact whether that guilt has been established. </w:t>
      </w:r>
      <w:r w:rsidR="00031D4B">
        <w:rPr>
          <w:rFonts w:ascii="Calibri" w:eastAsia="Times New Roman" w:hAnsi="Calibri" w:cs="Helvetica"/>
          <w:color w:val="373739"/>
          <w:sz w:val="24"/>
          <w:szCs w:val="24"/>
          <w:lang w:val="en-CA"/>
        </w:rPr>
        <w:t xml:space="preserve"> </w:t>
      </w:r>
      <w:r w:rsidRPr="00116AED">
        <w:rPr>
          <w:rFonts w:ascii="Calibri" w:eastAsia="Times New Roman" w:hAnsi="Calibri" w:cs="Helvetica"/>
          <w:color w:val="373739"/>
          <w:sz w:val="24"/>
          <w:szCs w:val="24"/>
          <w:lang w:val="en-CA"/>
        </w:rPr>
        <w:t xml:space="preserve">Lord Cairns put it well in </w:t>
      </w:r>
      <w:r w:rsidRPr="00116AED">
        <w:rPr>
          <w:rFonts w:ascii="Calibri" w:eastAsia="Times New Roman" w:hAnsi="Calibri" w:cs="Helvetica"/>
          <w:i/>
          <w:color w:val="373739"/>
          <w:sz w:val="24"/>
          <w:szCs w:val="24"/>
          <w:lang w:val="en-CA"/>
        </w:rPr>
        <w:t>Metropolitan Railway Co. v. Jackson</w:t>
      </w:r>
      <w:r w:rsidRPr="00116AED">
        <w:rPr>
          <w:rFonts w:ascii="Calibri" w:eastAsia="Times New Roman" w:hAnsi="Calibri" w:cs="Helvetica"/>
          <w:color w:val="373739"/>
          <w:sz w:val="24"/>
          <w:szCs w:val="24"/>
          <w:lang w:val="en-CA"/>
        </w:rPr>
        <w:t xml:space="preserve"> (1877), 3 App. Cas. 193 (H.L.), at p. 197:</w:t>
      </w:r>
    </w:p>
    <w:p w14:paraId="23492401" w14:textId="00B9191A" w:rsidR="00AC171A" w:rsidRPr="00116AED" w:rsidRDefault="00AC171A" w:rsidP="00AC171A">
      <w:pPr>
        <w:spacing w:before="100" w:beforeAutospacing="1" w:after="100" w:afterAutospacing="1" w:line="240" w:lineRule="auto"/>
        <w:ind w:left="1224"/>
        <w:rPr>
          <w:rFonts w:ascii="Calibri" w:eastAsia="Times New Roman" w:hAnsi="Calibri" w:cs="Helvetica"/>
          <w:color w:val="373739"/>
          <w:sz w:val="24"/>
          <w:szCs w:val="24"/>
          <w:lang w:val="en-CA"/>
        </w:rPr>
      </w:pPr>
      <w:r w:rsidRPr="00116AED">
        <w:rPr>
          <w:rFonts w:ascii="Calibri" w:eastAsia="Times New Roman" w:hAnsi="Calibri" w:cs="Helvetica"/>
          <w:color w:val="373739"/>
          <w:sz w:val="24"/>
          <w:szCs w:val="24"/>
          <w:lang w:val="en-CA"/>
        </w:rPr>
        <w:t>The Judge has a certain duty to discharge, and the jurors hav</w:t>
      </w:r>
      <w:r w:rsidR="00B66393" w:rsidRPr="00116AED">
        <w:rPr>
          <w:rFonts w:ascii="Calibri" w:eastAsia="Times New Roman" w:hAnsi="Calibri" w:cs="Helvetica"/>
          <w:color w:val="373739"/>
          <w:sz w:val="24"/>
          <w:szCs w:val="24"/>
          <w:lang w:val="en-CA"/>
        </w:rPr>
        <w:t xml:space="preserve">e another and a different duty.  </w:t>
      </w:r>
      <w:r w:rsidRPr="00116AED">
        <w:rPr>
          <w:rFonts w:ascii="Calibri" w:eastAsia="Times New Roman" w:hAnsi="Calibri" w:cs="Helvetica"/>
          <w:color w:val="373739"/>
          <w:sz w:val="24"/>
          <w:szCs w:val="24"/>
          <w:lang w:val="en-CA"/>
        </w:rPr>
        <w:t xml:space="preserve">The Judge has to say whether any facts have been established by evidence from which negligence </w:t>
      </w:r>
      <w:r w:rsidRPr="00D476F8">
        <w:rPr>
          <w:rFonts w:ascii="Calibri" w:eastAsia="Times New Roman" w:hAnsi="Calibri" w:cs="Helvetica"/>
          <w:i/>
          <w:color w:val="373739"/>
          <w:sz w:val="24"/>
          <w:szCs w:val="24"/>
          <w:lang w:val="en-CA"/>
        </w:rPr>
        <w:t>may be</w:t>
      </w:r>
      <w:r w:rsidRPr="00116AED">
        <w:rPr>
          <w:rFonts w:ascii="Calibri" w:eastAsia="Times New Roman" w:hAnsi="Calibri" w:cs="Helvetica"/>
          <w:color w:val="373739"/>
          <w:sz w:val="24"/>
          <w:szCs w:val="24"/>
          <w:lang w:val="en-CA"/>
        </w:rPr>
        <w:t xml:space="preserve"> reasonably inferred; the jurors have to say whether, from those facts, when submitted to them, n</w:t>
      </w:r>
      <w:r w:rsidR="00B66393" w:rsidRPr="00116AED">
        <w:rPr>
          <w:rFonts w:ascii="Calibri" w:eastAsia="Times New Roman" w:hAnsi="Calibri" w:cs="Helvetica"/>
          <w:color w:val="373739"/>
          <w:sz w:val="24"/>
          <w:szCs w:val="24"/>
          <w:lang w:val="en-CA"/>
        </w:rPr>
        <w:t>e</w:t>
      </w:r>
      <w:r w:rsidR="00031D4B">
        <w:rPr>
          <w:rFonts w:ascii="Calibri" w:eastAsia="Times New Roman" w:hAnsi="Calibri" w:cs="Helvetica"/>
          <w:color w:val="373739"/>
          <w:sz w:val="24"/>
          <w:szCs w:val="24"/>
          <w:lang w:val="en-CA"/>
        </w:rPr>
        <w:t xml:space="preserve">gligence </w:t>
      </w:r>
      <w:r w:rsidR="00031D4B" w:rsidRPr="00D476F8">
        <w:rPr>
          <w:rFonts w:ascii="Calibri" w:eastAsia="Times New Roman" w:hAnsi="Calibri" w:cs="Helvetica"/>
          <w:i/>
          <w:color w:val="373739"/>
          <w:sz w:val="24"/>
          <w:szCs w:val="24"/>
          <w:lang w:val="en-CA"/>
        </w:rPr>
        <w:t>ought to</w:t>
      </w:r>
      <w:r w:rsidR="00031D4B">
        <w:rPr>
          <w:rFonts w:ascii="Calibri" w:eastAsia="Times New Roman" w:hAnsi="Calibri" w:cs="Helvetica"/>
          <w:color w:val="373739"/>
          <w:sz w:val="24"/>
          <w:szCs w:val="24"/>
          <w:lang w:val="en-CA"/>
        </w:rPr>
        <w:t xml:space="preserve"> be inferred.  </w:t>
      </w:r>
      <w:r w:rsidRPr="00116AED">
        <w:rPr>
          <w:rFonts w:ascii="Calibri" w:eastAsia="Times New Roman" w:hAnsi="Calibri" w:cs="Helvetica"/>
          <w:color w:val="373739"/>
          <w:sz w:val="24"/>
          <w:szCs w:val="24"/>
          <w:lang w:val="en-CA"/>
        </w:rPr>
        <w:t xml:space="preserve">It is, in my opinion, of the greatest importance in the administration of justice that these separate functions should be maintained, and should be maintained distinct. </w:t>
      </w:r>
      <w:r w:rsidR="00B66393" w:rsidRPr="00116AED">
        <w:rPr>
          <w:rFonts w:ascii="Calibri" w:eastAsia="Times New Roman" w:hAnsi="Calibri" w:cs="Helvetica"/>
          <w:color w:val="373739"/>
          <w:sz w:val="24"/>
          <w:szCs w:val="24"/>
          <w:lang w:val="en-CA"/>
        </w:rPr>
        <w:t xml:space="preserve"> </w:t>
      </w:r>
      <w:r w:rsidRPr="00116AED">
        <w:rPr>
          <w:rFonts w:ascii="Calibri" w:eastAsia="Times New Roman" w:hAnsi="Calibri" w:cs="Helvetica"/>
          <w:color w:val="373739"/>
          <w:sz w:val="24"/>
          <w:szCs w:val="24"/>
          <w:lang w:val="en-CA"/>
        </w:rPr>
        <w:t>It would be a serious inroad on the province of the jury, if, in a case where there are facts from which negligence may reasonably be inferred, the Judge were to withdraw the case from the jury upon the ground that, in his opinion, negligence ought not to be inferred; and it would, on the other hand, place in the hands of the jurors a power which might be exercised in the most arbitrary manner, if they were at liberty to hold that negligence might be inferred from any state of facts whatever. [Emphasis in original.]</w:t>
      </w:r>
    </w:p>
    <w:p w14:paraId="47F6F15C" w14:textId="77777777" w:rsidR="00AC171A" w:rsidRPr="00116AED" w:rsidRDefault="00AC171A" w:rsidP="00AC171A">
      <w:pPr>
        <w:spacing w:before="100" w:beforeAutospacing="1" w:after="100" w:afterAutospacing="1" w:line="240" w:lineRule="auto"/>
        <w:ind w:left="720"/>
        <w:rPr>
          <w:rFonts w:ascii="Calibri" w:eastAsia="Times New Roman" w:hAnsi="Calibri" w:cs="Helvetica"/>
          <w:color w:val="373739"/>
          <w:sz w:val="28"/>
          <w:szCs w:val="28"/>
          <w:lang w:val="en-CA"/>
        </w:rPr>
      </w:pPr>
      <w:r w:rsidRPr="00116AED">
        <w:rPr>
          <w:rFonts w:ascii="Calibri" w:eastAsia="Times New Roman" w:hAnsi="Calibri" w:cs="Helvetica"/>
          <w:color w:val="373739"/>
          <w:sz w:val="24"/>
          <w:szCs w:val="24"/>
          <w:lang w:val="en-CA"/>
        </w:rPr>
        <w:t xml:space="preserve">Lord Cairns' statement of the law was adopted by this Court in </w:t>
      </w:r>
      <w:r w:rsidRPr="00116AED">
        <w:rPr>
          <w:rFonts w:ascii="Calibri" w:eastAsia="Times New Roman" w:hAnsi="Calibri" w:cs="Helvetica"/>
          <w:i/>
          <w:color w:val="373739"/>
          <w:sz w:val="24"/>
          <w:szCs w:val="24"/>
          <w:lang w:val="en-CA"/>
        </w:rPr>
        <w:t>R. v. Morab</w:t>
      </w:r>
      <w:r w:rsidRPr="00116AED">
        <w:rPr>
          <w:rFonts w:ascii="Calibri" w:eastAsia="Times New Roman" w:hAnsi="Calibri" w:cs="Helvetica"/>
          <w:i/>
          <w:sz w:val="24"/>
          <w:szCs w:val="24"/>
          <w:lang w:val="en-CA"/>
        </w:rPr>
        <w:t>ito</w:t>
      </w:r>
      <w:r w:rsidRPr="00116AED">
        <w:rPr>
          <w:rFonts w:ascii="Calibri" w:eastAsia="Times New Roman" w:hAnsi="Calibri" w:cs="Helvetica"/>
          <w:sz w:val="24"/>
          <w:szCs w:val="24"/>
          <w:lang w:val="en-CA"/>
        </w:rPr>
        <w:t xml:space="preserve">, </w:t>
      </w:r>
      <w:hyperlink r:id="rId9" w:tooltip="Canada Supreme Court Reports" w:history="1">
        <w:r w:rsidRPr="00116AED">
          <w:rPr>
            <w:rFonts w:ascii="Calibri" w:eastAsia="Times New Roman" w:hAnsi="Calibri" w:cs="Helvetica"/>
            <w:sz w:val="24"/>
            <w:szCs w:val="24"/>
            <w:lang w:val="en-CA"/>
          </w:rPr>
          <w:t>[1949] S.C.R. 172</w:t>
        </w:r>
      </w:hyperlink>
      <w:r w:rsidRPr="00116AED">
        <w:rPr>
          <w:rFonts w:ascii="Calibri" w:eastAsia="Times New Roman" w:hAnsi="Calibri" w:cs="Helvetica"/>
          <w:sz w:val="24"/>
          <w:szCs w:val="24"/>
          <w:lang w:val="en-CA"/>
        </w:rPr>
        <w:t xml:space="preserve">, </w:t>
      </w:r>
      <w:r w:rsidRPr="00116AED">
        <w:rPr>
          <w:rFonts w:ascii="Calibri" w:eastAsia="Times New Roman" w:hAnsi="Calibri" w:cs="Helvetica"/>
          <w:color w:val="373739"/>
          <w:sz w:val="24"/>
          <w:szCs w:val="24"/>
          <w:lang w:val="en-CA"/>
        </w:rPr>
        <w:t>at p. 174, as governing both criminal and civil</w:t>
      </w:r>
      <w:r w:rsidRPr="00116AED">
        <w:rPr>
          <w:rFonts w:ascii="Calibri" w:eastAsia="Times New Roman" w:hAnsi="Calibri" w:cs="Helvetica"/>
          <w:color w:val="373739"/>
          <w:sz w:val="28"/>
          <w:szCs w:val="28"/>
          <w:lang w:val="en-CA"/>
        </w:rPr>
        <w:t xml:space="preserve"> </w:t>
      </w:r>
      <w:r w:rsidRPr="00B46122">
        <w:rPr>
          <w:rFonts w:ascii="Calibri" w:eastAsia="Times New Roman" w:hAnsi="Calibri" w:cs="Helvetica"/>
          <w:color w:val="373739"/>
          <w:sz w:val="24"/>
          <w:szCs w:val="24"/>
          <w:lang w:val="en-CA"/>
        </w:rPr>
        <w:t>cases.</w:t>
      </w:r>
    </w:p>
    <w:p w14:paraId="3FF80325" w14:textId="3CA032EC" w:rsidR="00DC6CBD" w:rsidRDefault="00D4299A">
      <w:pPr>
        <w:rPr>
          <w:sz w:val="28"/>
          <w:szCs w:val="28"/>
          <w:lang w:val="en-CA"/>
        </w:rPr>
      </w:pPr>
      <w:r>
        <w:rPr>
          <w:sz w:val="28"/>
          <w:szCs w:val="28"/>
          <w:lang w:val="en-CA"/>
        </w:rPr>
        <w:t>[15]</w:t>
      </w:r>
      <w:r>
        <w:rPr>
          <w:sz w:val="28"/>
          <w:szCs w:val="28"/>
          <w:lang w:val="en-CA"/>
        </w:rPr>
        <w:tab/>
      </w:r>
      <w:r w:rsidR="00AF19E2" w:rsidRPr="00AF19E2">
        <w:rPr>
          <w:sz w:val="28"/>
          <w:szCs w:val="28"/>
          <w:lang w:val="en-CA"/>
        </w:rPr>
        <w:t>Although McLaghlin J. was dissenting</w:t>
      </w:r>
      <w:r w:rsidR="00AF19E2" w:rsidRPr="007C3614">
        <w:rPr>
          <w:sz w:val="28"/>
          <w:szCs w:val="28"/>
          <w:lang w:val="en-CA"/>
        </w:rPr>
        <w:t>, she</w:t>
      </w:r>
      <w:r w:rsidR="00AF19E2" w:rsidRPr="00AF19E2">
        <w:rPr>
          <w:sz w:val="28"/>
          <w:szCs w:val="28"/>
          <w:lang w:val="en-CA"/>
        </w:rPr>
        <w:t xml:space="preserve"> did not differ from the majority on the test to be applied</w:t>
      </w:r>
      <w:r w:rsidR="00AF19E2">
        <w:rPr>
          <w:sz w:val="28"/>
          <w:szCs w:val="28"/>
          <w:lang w:val="en-CA"/>
        </w:rPr>
        <w:t xml:space="preserve"> when a trial judge is deciding a no evidence motion</w:t>
      </w:r>
      <w:r w:rsidR="00CA7B9C">
        <w:rPr>
          <w:sz w:val="28"/>
          <w:szCs w:val="28"/>
          <w:lang w:val="en-CA"/>
        </w:rPr>
        <w:t xml:space="preserve">.  Rather she was disagreeing primarily on the correct outcome of the test when applied to the facts of </w:t>
      </w:r>
      <w:r w:rsidR="00CA7B9C" w:rsidRPr="00CA7B9C">
        <w:rPr>
          <w:i/>
          <w:sz w:val="28"/>
          <w:szCs w:val="28"/>
          <w:lang w:val="en-CA"/>
        </w:rPr>
        <w:t>Chare</w:t>
      </w:r>
      <w:r w:rsidR="00D476F8">
        <w:rPr>
          <w:i/>
          <w:sz w:val="28"/>
          <w:szCs w:val="28"/>
          <w:lang w:val="en-CA"/>
        </w:rPr>
        <w:t>m</w:t>
      </w:r>
      <w:r w:rsidR="00CA7B9C" w:rsidRPr="00CA7B9C">
        <w:rPr>
          <w:i/>
          <w:sz w:val="28"/>
          <w:szCs w:val="28"/>
          <w:lang w:val="en-CA"/>
        </w:rPr>
        <w:t>ski.</w:t>
      </w:r>
      <w:r w:rsidR="00CA7B9C">
        <w:rPr>
          <w:sz w:val="28"/>
          <w:szCs w:val="28"/>
          <w:lang w:val="en-CA"/>
        </w:rPr>
        <w:t xml:space="preserve"> </w:t>
      </w:r>
    </w:p>
    <w:p w14:paraId="09A3768C" w14:textId="3E033BC5" w:rsidR="00AC171A" w:rsidRPr="00116AED" w:rsidRDefault="00D4299A">
      <w:pPr>
        <w:rPr>
          <w:sz w:val="28"/>
          <w:szCs w:val="28"/>
          <w:lang w:val="en-CA"/>
        </w:rPr>
      </w:pPr>
      <w:r>
        <w:rPr>
          <w:sz w:val="28"/>
          <w:szCs w:val="28"/>
          <w:lang w:val="en-CA"/>
        </w:rPr>
        <w:t>[16]</w:t>
      </w:r>
      <w:r>
        <w:rPr>
          <w:sz w:val="28"/>
          <w:szCs w:val="28"/>
          <w:lang w:val="en-CA"/>
        </w:rPr>
        <w:tab/>
      </w:r>
      <w:r w:rsidR="00062DAB" w:rsidRPr="00116AED">
        <w:rPr>
          <w:sz w:val="28"/>
          <w:szCs w:val="28"/>
          <w:lang w:val="en-CA"/>
        </w:rPr>
        <w:t xml:space="preserve">Although </w:t>
      </w:r>
      <w:r w:rsidR="00062DAB" w:rsidRPr="00116AED">
        <w:rPr>
          <w:i/>
          <w:sz w:val="28"/>
          <w:szCs w:val="28"/>
          <w:lang w:val="en-CA"/>
        </w:rPr>
        <w:t>Metropolitan Railway</w:t>
      </w:r>
      <w:r w:rsidR="00062DAB" w:rsidRPr="00116AED">
        <w:rPr>
          <w:sz w:val="28"/>
          <w:szCs w:val="28"/>
          <w:lang w:val="en-CA"/>
        </w:rPr>
        <w:t xml:space="preserve"> was a civil case</w:t>
      </w:r>
      <w:r w:rsidR="00FB56D4" w:rsidRPr="00116AED">
        <w:rPr>
          <w:sz w:val="28"/>
          <w:szCs w:val="28"/>
          <w:lang w:val="en-CA"/>
        </w:rPr>
        <w:t>, the same rational applies to criminal cases.</w:t>
      </w:r>
      <w:r w:rsidR="00B66393" w:rsidRPr="00116AED">
        <w:rPr>
          <w:sz w:val="28"/>
          <w:szCs w:val="28"/>
          <w:lang w:val="en-CA"/>
        </w:rPr>
        <w:t xml:space="preserve"> </w:t>
      </w:r>
      <w:r w:rsidR="00FB56D4" w:rsidRPr="00116AED">
        <w:rPr>
          <w:sz w:val="28"/>
          <w:szCs w:val="28"/>
          <w:lang w:val="en-CA"/>
        </w:rPr>
        <w:t xml:space="preserve"> In</w:t>
      </w:r>
      <w:r w:rsidR="00062DAB" w:rsidRPr="00116AED">
        <w:rPr>
          <w:sz w:val="28"/>
          <w:szCs w:val="28"/>
          <w:lang w:val="en-CA"/>
        </w:rPr>
        <w:t xml:space="preserve"> </w:t>
      </w:r>
      <w:r w:rsidR="00062DAB" w:rsidRPr="00116AED">
        <w:rPr>
          <w:i/>
          <w:sz w:val="28"/>
          <w:szCs w:val="28"/>
          <w:lang w:val="en-CA"/>
        </w:rPr>
        <w:t>Morabito,</w:t>
      </w:r>
      <w:r w:rsidR="00062DAB" w:rsidRPr="00116AED">
        <w:rPr>
          <w:sz w:val="28"/>
          <w:szCs w:val="28"/>
          <w:lang w:val="en-CA"/>
        </w:rPr>
        <w:t xml:space="preserve"> (supra), a case</w:t>
      </w:r>
      <w:r w:rsidR="006561D9">
        <w:rPr>
          <w:sz w:val="28"/>
          <w:szCs w:val="28"/>
          <w:lang w:val="en-CA"/>
        </w:rPr>
        <w:t xml:space="preserve"> of the Supreme Court</w:t>
      </w:r>
      <w:r w:rsidR="00062DAB" w:rsidRPr="00116AED">
        <w:rPr>
          <w:sz w:val="28"/>
          <w:szCs w:val="28"/>
          <w:lang w:val="en-CA"/>
        </w:rPr>
        <w:t xml:space="preserve"> where </w:t>
      </w:r>
      <w:r w:rsidR="006561D9">
        <w:rPr>
          <w:sz w:val="28"/>
          <w:szCs w:val="28"/>
          <w:lang w:val="en-CA"/>
        </w:rPr>
        <w:t>at trial the</w:t>
      </w:r>
      <w:r w:rsidR="00FB56D4" w:rsidRPr="00116AED">
        <w:rPr>
          <w:sz w:val="28"/>
          <w:szCs w:val="28"/>
          <w:lang w:val="en-CA"/>
        </w:rPr>
        <w:t xml:space="preserve"> judge had also withdrawn a charge from the jury, Kellock J., </w:t>
      </w:r>
      <w:r w:rsidR="00062DAB" w:rsidRPr="00116AED">
        <w:rPr>
          <w:sz w:val="28"/>
          <w:szCs w:val="28"/>
          <w:lang w:val="en-CA"/>
        </w:rPr>
        <w:t xml:space="preserve">after referring to the </w:t>
      </w:r>
      <w:r w:rsidR="00FB56D4" w:rsidRPr="00116AED">
        <w:rPr>
          <w:sz w:val="28"/>
          <w:szCs w:val="28"/>
          <w:lang w:val="en-CA"/>
        </w:rPr>
        <w:t>same</w:t>
      </w:r>
      <w:r w:rsidR="00062DAB" w:rsidRPr="00116AED">
        <w:rPr>
          <w:sz w:val="28"/>
          <w:szCs w:val="28"/>
          <w:lang w:val="en-CA"/>
        </w:rPr>
        <w:t xml:space="preserve"> paragraph of </w:t>
      </w:r>
      <w:r w:rsidR="00062DAB" w:rsidRPr="00116AED">
        <w:rPr>
          <w:i/>
          <w:sz w:val="28"/>
          <w:szCs w:val="28"/>
          <w:lang w:val="en-CA"/>
        </w:rPr>
        <w:t xml:space="preserve">Metropolitan Railway, </w:t>
      </w:r>
      <w:r w:rsidR="00062DAB" w:rsidRPr="00116AED">
        <w:rPr>
          <w:sz w:val="28"/>
          <w:szCs w:val="28"/>
          <w:lang w:val="en-CA"/>
        </w:rPr>
        <w:t>stated:</w:t>
      </w:r>
    </w:p>
    <w:p w14:paraId="5F079254" w14:textId="77777777" w:rsidR="00062DAB" w:rsidRPr="00116AED" w:rsidRDefault="00062DAB" w:rsidP="00062DAB">
      <w:pPr>
        <w:ind w:left="720"/>
        <w:rPr>
          <w:rFonts w:ascii="Calibri" w:hAnsi="Calibri"/>
          <w:sz w:val="24"/>
          <w:szCs w:val="24"/>
          <w:lang w:val="en-CA"/>
        </w:rPr>
      </w:pPr>
      <w:r w:rsidRPr="00116AED">
        <w:rPr>
          <w:rFonts w:ascii="Calibri" w:hAnsi="Calibri" w:cs="Helvetica"/>
          <w:sz w:val="24"/>
          <w:szCs w:val="24"/>
          <w:lang w:val="en-CA"/>
        </w:rPr>
        <w:lastRenderedPageBreak/>
        <w:t xml:space="preserve">This statement of the law is, of course, not limited to civil actions. It is equally applicable to a criminal as to a civil proceeding; </w:t>
      </w:r>
      <w:r w:rsidRPr="00116AED">
        <w:rPr>
          <w:rFonts w:ascii="Calibri" w:hAnsi="Calibri" w:cs="Helvetica"/>
          <w:i/>
          <w:sz w:val="24"/>
          <w:szCs w:val="24"/>
          <w:lang w:val="en-CA"/>
        </w:rPr>
        <w:t>Regina v. Lloyd</w:t>
      </w:r>
      <w:r w:rsidRPr="00116AED">
        <w:rPr>
          <w:rFonts w:ascii="Calibri" w:hAnsi="Calibri" w:cs="Helvetica"/>
          <w:sz w:val="24"/>
          <w:szCs w:val="24"/>
          <w:lang w:val="en-CA"/>
        </w:rPr>
        <w:t xml:space="preserve"> [</w:t>
      </w:r>
      <w:hyperlink r:id="rId10" w:tooltip="Ontario Reports" w:history="1">
        <w:r w:rsidRPr="00116AED">
          <w:rPr>
            <w:rStyle w:val="Hyperlink"/>
            <w:rFonts w:ascii="Calibri" w:hAnsi="Calibri" w:cs="Helvetica"/>
            <w:color w:val="auto"/>
            <w:sz w:val="24"/>
            <w:szCs w:val="24"/>
            <w:u w:val="none"/>
            <w:lang w:val="en-CA"/>
          </w:rPr>
          <w:t>(1890) 19 O.R. 352</w:t>
        </w:r>
      </w:hyperlink>
      <w:r w:rsidRPr="00116AED">
        <w:rPr>
          <w:rFonts w:ascii="Calibri" w:hAnsi="Calibri" w:cs="Helvetica"/>
          <w:sz w:val="24"/>
          <w:szCs w:val="24"/>
          <w:lang w:val="en-CA"/>
        </w:rPr>
        <w:t xml:space="preserve"> at 357.]; </w:t>
      </w:r>
      <w:r w:rsidRPr="00116AED">
        <w:rPr>
          <w:rFonts w:ascii="Calibri" w:hAnsi="Calibri" w:cs="Helvetica"/>
          <w:i/>
          <w:sz w:val="24"/>
          <w:szCs w:val="24"/>
          <w:lang w:val="en-CA"/>
        </w:rPr>
        <w:t>The King v. Hopper</w:t>
      </w:r>
      <w:r w:rsidRPr="00116AED">
        <w:rPr>
          <w:rFonts w:ascii="Calibri" w:hAnsi="Calibri" w:cs="Helvetica"/>
          <w:sz w:val="24"/>
          <w:szCs w:val="24"/>
          <w:lang w:val="en-CA"/>
        </w:rPr>
        <w:t xml:space="preserve"> [(1915) 2 K.B. 431.].</w:t>
      </w:r>
    </w:p>
    <w:p w14:paraId="40858691" w14:textId="1D18BA67" w:rsidR="009C4688" w:rsidRPr="00116AED" w:rsidRDefault="00D4299A">
      <w:pPr>
        <w:rPr>
          <w:sz w:val="28"/>
          <w:szCs w:val="28"/>
          <w:lang w:val="en-CA"/>
        </w:rPr>
      </w:pPr>
      <w:r>
        <w:rPr>
          <w:sz w:val="28"/>
          <w:szCs w:val="28"/>
          <w:lang w:val="en-CA"/>
        </w:rPr>
        <w:t>[17]</w:t>
      </w:r>
      <w:r>
        <w:rPr>
          <w:sz w:val="28"/>
          <w:szCs w:val="28"/>
          <w:lang w:val="en-CA"/>
        </w:rPr>
        <w:tab/>
      </w:r>
      <w:r w:rsidR="00E81077">
        <w:rPr>
          <w:sz w:val="28"/>
          <w:szCs w:val="28"/>
          <w:lang w:val="en-CA"/>
        </w:rPr>
        <w:t xml:space="preserve">As well, foreseeability of </w:t>
      </w:r>
      <w:r w:rsidR="00031D4B">
        <w:rPr>
          <w:sz w:val="28"/>
          <w:szCs w:val="28"/>
          <w:lang w:val="en-CA"/>
        </w:rPr>
        <w:t>nontrivial</w:t>
      </w:r>
      <w:r w:rsidR="00E81077">
        <w:rPr>
          <w:sz w:val="28"/>
          <w:szCs w:val="28"/>
          <w:lang w:val="en-CA"/>
        </w:rPr>
        <w:t xml:space="preserve"> bodily harm is also an essential element of both criminally negligent manslaughter and unlawful act manslaughter.  </w:t>
      </w:r>
      <w:r w:rsidR="00D70B80" w:rsidRPr="00116AED">
        <w:rPr>
          <w:sz w:val="28"/>
          <w:szCs w:val="28"/>
          <w:lang w:val="en-CA"/>
        </w:rPr>
        <w:t xml:space="preserve"> </w:t>
      </w:r>
      <w:r w:rsidR="00047BD3" w:rsidRPr="00116AED">
        <w:rPr>
          <w:sz w:val="28"/>
          <w:szCs w:val="28"/>
          <w:lang w:val="en-CA"/>
        </w:rPr>
        <w:t xml:space="preserve">In the case of </w:t>
      </w:r>
      <w:r w:rsidR="00047BD3" w:rsidRPr="00116AED">
        <w:rPr>
          <w:i/>
          <w:sz w:val="28"/>
          <w:szCs w:val="28"/>
          <w:lang w:val="en-CA"/>
        </w:rPr>
        <w:t>R. v. Maybin</w:t>
      </w:r>
      <w:r w:rsidR="00047BD3" w:rsidRPr="00116AED">
        <w:rPr>
          <w:sz w:val="28"/>
          <w:szCs w:val="28"/>
          <w:lang w:val="en-CA"/>
        </w:rPr>
        <w:t>, [2012] 2 S.C.R. 30, the trial judge h</w:t>
      </w:r>
      <w:r w:rsidR="009C2112" w:rsidRPr="00116AED">
        <w:rPr>
          <w:sz w:val="28"/>
          <w:szCs w:val="28"/>
          <w:lang w:val="en-CA"/>
        </w:rPr>
        <w:t>ad</w:t>
      </w:r>
      <w:r w:rsidR="00047BD3" w:rsidRPr="00116AED">
        <w:rPr>
          <w:sz w:val="28"/>
          <w:szCs w:val="28"/>
          <w:lang w:val="en-CA"/>
        </w:rPr>
        <w:t xml:space="preserve"> found that the violent actions of a third party could not have been foreseen by the accused and therefore entered </w:t>
      </w:r>
      <w:r w:rsidR="009C2112" w:rsidRPr="00116AED">
        <w:rPr>
          <w:sz w:val="28"/>
          <w:szCs w:val="28"/>
          <w:lang w:val="en-CA"/>
        </w:rPr>
        <w:t>acquittals</w:t>
      </w:r>
      <w:r w:rsidR="00047BD3" w:rsidRPr="00116AED">
        <w:rPr>
          <w:sz w:val="28"/>
          <w:szCs w:val="28"/>
          <w:lang w:val="en-CA"/>
        </w:rPr>
        <w:t xml:space="preserve">.  The Supreme Court ultimately </w:t>
      </w:r>
      <w:r w:rsidR="009C2112" w:rsidRPr="00116AED">
        <w:rPr>
          <w:sz w:val="28"/>
          <w:szCs w:val="28"/>
          <w:lang w:val="en-CA"/>
        </w:rPr>
        <w:t>disagreed stating:</w:t>
      </w:r>
      <w:r w:rsidR="00047BD3" w:rsidRPr="00116AED">
        <w:rPr>
          <w:sz w:val="28"/>
          <w:szCs w:val="28"/>
          <w:lang w:val="en-CA"/>
        </w:rPr>
        <w:t xml:space="preserve"> </w:t>
      </w:r>
    </w:p>
    <w:p w14:paraId="5D8851A6" w14:textId="1637D0C3" w:rsidR="009C2112" w:rsidRPr="00116AED" w:rsidRDefault="00047BD3" w:rsidP="00D70B80">
      <w:pPr>
        <w:ind w:left="720"/>
        <w:rPr>
          <w:rFonts w:cs="Helvetica"/>
          <w:bCs/>
          <w:color w:val="373739"/>
          <w:sz w:val="24"/>
          <w:szCs w:val="24"/>
          <w:lang w:val="en-CA"/>
        </w:rPr>
      </w:pPr>
      <w:r w:rsidRPr="00116AED">
        <w:rPr>
          <w:rStyle w:val="ssbf1"/>
          <w:rFonts w:cs="Helvetica"/>
          <w:b w:val="0"/>
          <w:bCs w:val="0"/>
          <w:sz w:val="24"/>
          <w:szCs w:val="24"/>
          <w:lang w:val="en-CA"/>
        </w:rPr>
        <w:t>61</w:t>
      </w:r>
      <w:r w:rsidR="00E81077">
        <w:rPr>
          <w:rFonts w:cs="Helvetica"/>
          <w:b/>
          <w:bCs/>
          <w:color w:val="373739"/>
          <w:sz w:val="24"/>
          <w:szCs w:val="24"/>
          <w:lang w:val="en-CA"/>
        </w:rPr>
        <w:t xml:space="preserve">   </w:t>
      </w:r>
      <w:r w:rsidR="009C2112" w:rsidRPr="00116AED">
        <w:rPr>
          <w:rFonts w:cs="Helvetica"/>
          <w:bCs/>
          <w:color w:val="373739"/>
          <w:sz w:val="24"/>
          <w:szCs w:val="24"/>
          <w:lang w:val="en-CA"/>
        </w:rPr>
        <w:t>.  .  .</w:t>
      </w:r>
      <w:r w:rsidRPr="00116AED">
        <w:rPr>
          <w:rFonts w:cs="Helvetica"/>
          <w:bCs/>
          <w:color w:val="373739"/>
          <w:sz w:val="24"/>
          <w:szCs w:val="24"/>
          <w:lang w:val="en-CA"/>
        </w:rPr>
        <w:t xml:space="preserve"> </w:t>
      </w:r>
      <w:r w:rsidRPr="00116AED">
        <w:rPr>
          <w:rFonts w:cs="Helvetica"/>
          <w:bCs/>
          <w:i/>
          <w:color w:val="373739"/>
          <w:sz w:val="24"/>
          <w:szCs w:val="24"/>
          <w:lang w:val="en-CA"/>
        </w:rPr>
        <w:t>based upon</w:t>
      </w:r>
      <w:r w:rsidRPr="00116AED">
        <w:rPr>
          <w:rFonts w:cs="Helvetica"/>
          <w:bCs/>
          <w:color w:val="373739"/>
          <w:sz w:val="24"/>
          <w:szCs w:val="24"/>
          <w:lang w:val="en-CA"/>
        </w:rPr>
        <w:t xml:space="preserve"> the trial judge's </w:t>
      </w:r>
      <w:r w:rsidRPr="00116AED">
        <w:rPr>
          <w:rFonts w:cs="Helvetica"/>
          <w:bCs/>
          <w:i/>
          <w:color w:val="373739"/>
          <w:sz w:val="24"/>
          <w:szCs w:val="24"/>
          <w:lang w:val="en-CA"/>
        </w:rPr>
        <w:t>findings of fact</w:t>
      </w:r>
      <w:r w:rsidRPr="00116AED">
        <w:rPr>
          <w:rFonts w:cs="Helvetica"/>
          <w:bCs/>
          <w:color w:val="373739"/>
          <w:sz w:val="24"/>
          <w:szCs w:val="24"/>
          <w:lang w:val="en-CA"/>
        </w:rPr>
        <w:t xml:space="preserve">, </w:t>
      </w:r>
      <w:r w:rsidRPr="00116AED">
        <w:rPr>
          <w:rFonts w:cs="Helvetica"/>
          <w:bCs/>
          <w:i/>
          <w:color w:val="373739"/>
          <w:sz w:val="24"/>
          <w:szCs w:val="24"/>
          <w:lang w:val="en-CA"/>
        </w:rPr>
        <w:t>it was open to him to conclude</w:t>
      </w:r>
      <w:r w:rsidRPr="00116AED">
        <w:rPr>
          <w:rFonts w:cs="Helvetica"/>
          <w:bCs/>
          <w:color w:val="373739"/>
          <w:sz w:val="24"/>
          <w:szCs w:val="24"/>
          <w:lang w:val="en-CA"/>
        </w:rPr>
        <w:t xml:space="preserve"> that the general nature of the intervening act and the accompanying </w:t>
      </w:r>
      <w:r w:rsidRPr="00116AED">
        <w:rPr>
          <w:rFonts w:cs="Helvetica"/>
          <w:bCs/>
          <w:i/>
          <w:color w:val="373739"/>
          <w:sz w:val="24"/>
          <w:szCs w:val="24"/>
          <w:lang w:val="en-CA"/>
        </w:rPr>
        <w:t>risk of harm</w:t>
      </w:r>
      <w:r w:rsidRPr="00116AED">
        <w:rPr>
          <w:rFonts w:cs="Helvetica"/>
          <w:bCs/>
          <w:color w:val="373739"/>
          <w:sz w:val="24"/>
          <w:szCs w:val="24"/>
          <w:lang w:val="en-CA"/>
        </w:rPr>
        <w:t xml:space="preserve"> </w:t>
      </w:r>
      <w:r w:rsidRPr="00116AED">
        <w:rPr>
          <w:rFonts w:cs="Helvetica"/>
          <w:bCs/>
          <w:i/>
          <w:color w:val="373739"/>
          <w:sz w:val="24"/>
          <w:szCs w:val="24"/>
          <w:lang w:val="en-CA"/>
        </w:rPr>
        <w:t xml:space="preserve">were </w:t>
      </w:r>
      <w:r w:rsidRPr="00116AED">
        <w:rPr>
          <w:rStyle w:val="sssh"/>
          <w:rFonts w:cs="Helvetica"/>
          <w:bCs/>
          <w:i/>
          <w:color w:val="373739"/>
          <w:sz w:val="24"/>
          <w:szCs w:val="24"/>
          <w:lang w:val="en-CA"/>
        </w:rPr>
        <w:t>reasonably</w:t>
      </w:r>
      <w:r w:rsidRPr="00116AED">
        <w:rPr>
          <w:rFonts w:cs="Helvetica"/>
          <w:bCs/>
          <w:i/>
          <w:color w:val="373739"/>
          <w:sz w:val="24"/>
          <w:szCs w:val="24"/>
          <w:lang w:val="en-CA"/>
        </w:rPr>
        <w:t xml:space="preserve"> foreseeable</w:t>
      </w:r>
      <w:r w:rsidRPr="00116AED">
        <w:rPr>
          <w:rFonts w:cs="Helvetica"/>
          <w:bCs/>
          <w:color w:val="373739"/>
          <w:sz w:val="24"/>
          <w:szCs w:val="24"/>
          <w:lang w:val="en-CA"/>
        </w:rPr>
        <w:t xml:space="preserve"> </w:t>
      </w:r>
      <w:r w:rsidR="009C2112" w:rsidRPr="00116AED">
        <w:rPr>
          <w:rFonts w:cs="Helvetica"/>
          <w:bCs/>
          <w:color w:val="373739"/>
          <w:sz w:val="24"/>
          <w:szCs w:val="24"/>
          <w:lang w:val="en-CA"/>
        </w:rPr>
        <w:t xml:space="preserve">.  .  . </w:t>
      </w:r>
      <w:r w:rsidR="00D70B80" w:rsidRPr="00116AED">
        <w:rPr>
          <w:rFonts w:cs="Helvetica"/>
          <w:bCs/>
          <w:color w:val="373739"/>
          <w:sz w:val="24"/>
          <w:szCs w:val="24"/>
          <w:lang w:val="en-CA"/>
        </w:rPr>
        <w:t>[Emphasis mine]</w:t>
      </w:r>
    </w:p>
    <w:p w14:paraId="51B13980" w14:textId="58B3BFFB" w:rsidR="00D70B80" w:rsidRPr="00116AED" w:rsidRDefault="00D4299A" w:rsidP="00D70B80">
      <w:pPr>
        <w:rPr>
          <w:rFonts w:cs="Helvetica"/>
          <w:color w:val="373739"/>
          <w:sz w:val="28"/>
          <w:szCs w:val="28"/>
          <w:lang w:val="en-CA"/>
        </w:rPr>
      </w:pPr>
      <w:r>
        <w:rPr>
          <w:rFonts w:cs="Helvetica"/>
          <w:color w:val="373739"/>
          <w:sz w:val="28"/>
          <w:szCs w:val="28"/>
          <w:lang w:val="en-CA"/>
        </w:rPr>
        <w:t>[18]</w:t>
      </w:r>
      <w:r>
        <w:rPr>
          <w:rFonts w:cs="Helvetica"/>
          <w:color w:val="373739"/>
          <w:sz w:val="28"/>
          <w:szCs w:val="28"/>
          <w:lang w:val="en-CA"/>
        </w:rPr>
        <w:tab/>
      </w:r>
      <w:r w:rsidR="00D70B80" w:rsidRPr="00116AED">
        <w:rPr>
          <w:rFonts w:cs="Helvetica"/>
          <w:color w:val="373739"/>
          <w:sz w:val="28"/>
          <w:szCs w:val="28"/>
          <w:lang w:val="en-CA"/>
        </w:rPr>
        <w:t xml:space="preserve">Based on the foregoing, it seems clear that it is for the trier of fact to determine whether, based on certain given facts, a risk of bodily harm is reasonably foreseeable. </w:t>
      </w:r>
    </w:p>
    <w:p w14:paraId="16F7C86E" w14:textId="77777777" w:rsidR="00E64635" w:rsidRPr="00116AED" w:rsidRDefault="00E64635" w:rsidP="00E64635">
      <w:pPr>
        <w:pStyle w:val="ListParagraph"/>
        <w:numPr>
          <w:ilvl w:val="0"/>
          <w:numId w:val="24"/>
        </w:numPr>
        <w:rPr>
          <w:sz w:val="28"/>
          <w:szCs w:val="28"/>
          <w:lang w:val="en-CA"/>
        </w:rPr>
      </w:pPr>
      <w:r w:rsidRPr="00116AED">
        <w:rPr>
          <w:sz w:val="28"/>
          <w:szCs w:val="28"/>
          <w:lang w:val="en-CA"/>
        </w:rPr>
        <w:t xml:space="preserve">Unlawful Act Manslaughter </w:t>
      </w:r>
    </w:p>
    <w:p w14:paraId="3AD0F123" w14:textId="74243AB5" w:rsidR="0009488C" w:rsidRPr="00116AED" w:rsidRDefault="003000D0">
      <w:pPr>
        <w:rPr>
          <w:sz w:val="28"/>
          <w:szCs w:val="28"/>
          <w:lang w:val="en-CA"/>
        </w:rPr>
      </w:pPr>
      <w:r>
        <w:rPr>
          <w:sz w:val="28"/>
          <w:szCs w:val="28"/>
          <w:lang w:val="en-CA"/>
        </w:rPr>
        <w:t>[19]</w:t>
      </w:r>
      <w:r>
        <w:rPr>
          <w:sz w:val="28"/>
          <w:szCs w:val="28"/>
          <w:lang w:val="en-CA"/>
        </w:rPr>
        <w:tab/>
      </w:r>
      <w:r w:rsidR="0074514A" w:rsidRPr="00116AED">
        <w:rPr>
          <w:sz w:val="28"/>
          <w:szCs w:val="28"/>
          <w:lang w:val="en-CA"/>
        </w:rPr>
        <w:t>The</w:t>
      </w:r>
      <w:r w:rsidR="00B91E0D" w:rsidRPr="00116AED">
        <w:rPr>
          <w:sz w:val="28"/>
          <w:szCs w:val="28"/>
          <w:lang w:val="en-CA"/>
        </w:rPr>
        <w:t xml:space="preserve"> </w:t>
      </w:r>
      <w:r w:rsidR="004F0409" w:rsidRPr="00116AED">
        <w:rPr>
          <w:sz w:val="28"/>
          <w:szCs w:val="28"/>
          <w:lang w:val="en-CA"/>
        </w:rPr>
        <w:t xml:space="preserve">seminal case setting out the requirements of unlawful act manslaughter is </w:t>
      </w:r>
      <w:r w:rsidR="0074514A" w:rsidRPr="00116AED">
        <w:rPr>
          <w:i/>
          <w:sz w:val="28"/>
          <w:szCs w:val="28"/>
          <w:lang w:val="en-CA"/>
        </w:rPr>
        <w:t xml:space="preserve">R.v. Creighton </w:t>
      </w:r>
      <w:r w:rsidR="0074514A" w:rsidRPr="00116AED">
        <w:rPr>
          <w:sz w:val="28"/>
          <w:szCs w:val="28"/>
          <w:lang w:val="en-CA"/>
        </w:rPr>
        <w:t>(1993) 3 SCR 3</w:t>
      </w:r>
      <w:r w:rsidR="0011133A">
        <w:rPr>
          <w:sz w:val="28"/>
          <w:szCs w:val="28"/>
          <w:lang w:val="en-CA"/>
        </w:rPr>
        <w:t xml:space="preserve">.  </w:t>
      </w:r>
      <w:r w:rsidR="004F0409" w:rsidRPr="00116AED">
        <w:rPr>
          <w:sz w:val="28"/>
          <w:szCs w:val="28"/>
          <w:lang w:val="en-CA"/>
        </w:rPr>
        <w:t>In that case, the majority judgment stated</w:t>
      </w:r>
      <w:r w:rsidR="00B91E0D" w:rsidRPr="00116AED">
        <w:rPr>
          <w:sz w:val="28"/>
          <w:szCs w:val="28"/>
          <w:lang w:val="en-CA"/>
        </w:rPr>
        <w:t xml:space="preserve"> </w:t>
      </w:r>
      <w:r w:rsidR="00D539DF" w:rsidRPr="00116AED">
        <w:rPr>
          <w:sz w:val="28"/>
          <w:szCs w:val="28"/>
          <w:lang w:val="en-CA"/>
        </w:rPr>
        <w:t>unlawful act manslaughter contains three general essential elements</w:t>
      </w:r>
      <w:r w:rsidR="004936BF" w:rsidRPr="00116AED">
        <w:rPr>
          <w:sz w:val="28"/>
          <w:szCs w:val="28"/>
          <w:lang w:val="en-CA"/>
        </w:rPr>
        <w:t>:</w:t>
      </w:r>
    </w:p>
    <w:p w14:paraId="7CBFA8FF" w14:textId="77777777" w:rsidR="0074514A" w:rsidRPr="00116AED" w:rsidRDefault="0074514A" w:rsidP="0074514A">
      <w:pPr>
        <w:pStyle w:val="ListParagraph"/>
        <w:numPr>
          <w:ilvl w:val="0"/>
          <w:numId w:val="7"/>
        </w:numPr>
        <w:rPr>
          <w:sz w:val="28"/>
          <w:szCs w:val="28"/>
          <w:lang w:val="en-CA"/>
        </w:rPr>
      </w:pPr>
      <w:r w:rsidRPr="00116AED">
        <w:rPr>
          <w:i/>
          <w:sz w:val="28"/>
          <w:szCs w:val="28"/>
          <w:lang w:val="en-CA"/>
        </w:rPr>
        <w:t>Actus Reus</w:t>
      </w:r>
      <w:r w:rsidRPr="00116AED">
        <w:rPr>
          <w:sz w:val="28"/>
          <w:szCs w:val="28"/>
          <w:lang w:val="en-CA"/>
        </w:rPr>
        <w:t>;</w:t>
      </w:r>
    </w:p>
    <w:p w14:paraId="5FC3444F" w14:textId="77777777" w:rsidR="0074514A" w:rsidRPr="00116AED" w:rsidRDefault="0074514A" w:rsidP="0074514A">
      <w:pPr>
        <w:pStyle w:val="ListParagraph"/>
        <w:numPr>
          <w:ilvl w:val="0"/>
          <w:numId w:val="7"/>
        </w:numPr>
        <w:rPr>
          <w:sz w:val="28"/>
          <w:szCs w:val="28"/>
          <w:lang w:val="en-CA"/>
        </w:rPr>
      </w:pPr>
      <w:r w:rsidRPr="00116AED">
        <w:rPr>
          <w:i/>
          <w:sz w:val="28"/>
          <w:szCs w:val="28"/>
          <w:lang w:val="en-CA"/>
        </w:rPr>
        <w:t>Mens Rea</w:t>
      </w:r>
      <w:r w:rsidRPr="00116AED">
        <w:rPr>
          <w:sz w:val="28"/>
          <w:szCs w:val="28"/>
          <w:lang w:val="en-CA"/>
        </w:rPr>
        <w:t>; and</w:t>
      </w:r>
    </w:p>
    <w:p w14:paraId="61206656" w14:textId="77777777" w:rsidR="00EE222F" w:rsidRPr="00116AED" w:rsidRDefault="0074514A" w:rsidP="00EE222F">
      <w:pPr>
        <w:pStyle w:val="ListParagraph"/>
        <w:numPr>
          <w:ilvl w:val="0"/>
          <w:numId w:val="7"/>
        </w:numPr>
        <w:rPr>
          <w:sz w:val="28"/>
          <w:szCs w:val="28"/>
          <w:lang w:val="en-CA"/>
        </w:rPr>
      </w:pPr>
      <w:r w:rsidRPr="00116AED">
        <w:rPr>
          <w:sz w:val="28"/>
          <w:szCs w:val="28"/>
          <w:lang w:val="en-CA"/>
        </w:rPr>
        <w:t>Capacity</w:t>
      </w:r>
    </w:p>
    <w:p w14:paraId="3302D0B4" w14:textId="1DCE4400" w:rsidR="00EE222F" w:rsidRPr="00116AED" w:rsidRDefault="003000D0" w:rsidP="009716F4">
      <w:pPr>
        <w:rPr>
          <w:sz w:val="28"/>
          <w:szCs w:val="28"/>
          <w:lang w:val="en-CA"/>
        </w:rPr>
      </w:pPr>
      <w:r>
        <w:rPr>
          <w:sz w:val="28"/>
          <w:szCs w:val="28"/>
          <w:lang w:val="en-CA"/>
        </w:rPr>
        <w:t>[20]</w:t>
      </w:r>
      <w:r>
        <w:rPr>
          <w:sz w:val="28"/>
          <w:szCs w:val="28"/>
          <w:lang w:val="en-CA"/>
        </w:rPr>
        <w:tab/>
      </w:r>
      <w:r w:rsidR="00D269CD" w:rsidRPr="00116AED">
        <w:rPr>
          <w:sz w:val="28"/>
          <w:szCs w:val="28"/>
          <w:lang w:val="en-CA"/>
        </w:rPr>
        <w:t>The majority judgment in</w:t>
      </w:r>
      <w:r w:rsidR="00D269CD" w:rsidRPr="00116AED">
        <w:rPr>
          <w:i/>
          <w:sz w:val="28"/>
          <w:szCs w:val="28"/>
          <w:lang w:val="en-CA"/>
        </w:rPr>
        <w:t xml:space="preserve"> Creighton</w:t>
      </w:r>
      <w:r w:rsidR="00D269CD" w:rsidRPr="00116AED">
        <w:rPr>
          <w:sz w:val="28"/>
          <w:szCs w:val="28"/>
          <w:lang w:val="en-CA"/>
        </w:rPr>
        <w:t xml:space="preserve"> provides that those</w:t>
      </w:r>
      <w:r w:rsidR="00EE222F" w:rsidRPr="00116AED">
        <w:rPr>
          <w:sz w:val="28"/>
          <w:szCs w:val="28"/>
          <w:lang w:val="en-CA"/>
        </w:rPr>
        <w:t xml:space="preserve"> general elements in turn have specific requirements</w:t>
      </w:r>
      <w:r w:rsidR="0024623D">
        <w:rPr>
          <w:sz w:val="28"/>
          <w:szCs w:val="28"/>
          <w:lang w:val="en-CA"/>
        </w:rPr>
        <w:t xml:space="preserve">, </w:t>
      </w:r>
      <w:r w:rsidR="00D269CD" w:rsidRPr="00E43E55">
        <w:rPr>
          <w:sz w:val="28"/>
          <w:szCs w:val="28"/>
          <w:lang w:val="en-CA"/>
        </w:rPr>
        <w:t>some of which have been</w:t>
      </w:r>
      <w:r w:rsidR="00470830" w:rsidRPr="00E43E55">
        <w:rPr>
          <w:sz w:val="28"/>
          <w:szCs w:val="28"/>
          <w:lang w:val="en-CA"/>
        </w:rPr>
        <w:t xml:space="preserve"> </w:t>
      </w:r>
      <w:r w:rsidR="00470830" w:rsidRPr="00116AED">
        <w:rPr>
          <w:sz w:val="28"/>
          <w:szCs w:val="28"/>
          <w:lang w:val="en-CA"/>
        </w:rPr>
        <w:t xml:space="preserve">further developed by </w:t>
      </w:r>
      <w:r w:rsidR="00D269CD" w:rsidRPr="00116AED">
        <w:rPr>
          <w:sz w:val="28"/>
          <w:szCs w:val="28"/>
          <w:lang w:val="en-CA"/>
        </w:rPr>
        <w:t>subsequent jurisprudence</w:t>
      </w:r>
      <w:r w:rsidR="009716F4" w:rsidRPr="00116AED">
        <w:rPr>
          <w:sz w:val="28"/>
          <w:szCs w:val="28"/>
          <w:lang w:val="en-CA"/>
        </w:rPr>
        <w:t>.</w:t>
      </w:r>
    </w:p>
    <w:p w14:paraId="0E0D4C9B" w14:textId="77777777" w:rsidR="00B71C0A" w:rsidRPr="00116AED" w:rsidRDefault="00B71C0A" w:rsidP="00EE222F">
      <w:pPr>
        <w:pStyle w:val="ListParagraph"/>
        <w:numPr>
          <w:ilvl w:val="0"/>
          <w:numId w:val="13"/>
        </w:numPr>
        <w:rPr>
          <w:sz w:val="28"/>
          <w:szCs w:val="28"/>
          <w:lang w:val="en-CA"/>
        </w:rPr>
      </w:pPr>
      <w:r w:rsidRPr="00116AED">
        <w:rPr>
          <w:sz w:val="28"/>
          <w:szCs w:val="28"/>
          <w:lang w:val="en-CA"/>
        </w:rPr>
        <w:t xml:space="preserve">The </w:t>
      </w:r>
      <w:r w:rsidRPr="00116AED">
        <w:rPr>
          <w:i/>
          <w:sz w:val="28"/>
          <w:szCs w:val="28"/>
          <w:lang w:val="en-CA"/>
        </w:rPr>
        <w:t>actus reus</w:t>
      </w:r>
      <w:r w:rsidRPr="00116AED">
        <w:rPr>
          <w:sz w:val="28"/>
          <w:szCs w:val="28"/>
          <w:lang w:val="en-CA"/>
        </w:rPr>
        <w:t xml:space="preserve"> component of</w:t>
      </w:r>
      <w:r w:rsidR="00D269CD" w:rsidRPr="00116AED">
        <w:rPr>
          <w:sz w:val="28"/>
          <w:szCs w:val="28"/>
          <w:lang w:val="en-CA"/>
        </w:rPr>
        <w:t xml:space="preserve"> un</w:t>
      </w:r>
      <w:r w:rsidRPr="00116AED">
        <w:rPr>
          <w:sz w:val="28"/>
          <w:szCs w:val="28"/>
          <w:lang w:val="en-CA"/>
        </w:rPr>
        <w:t xml:space="preserve">lawful act </w:t>
      </w:r>
      <w:r w:rsidR="00B91E0D" w:rsidRPr="00116AED">
        <w:rPr>
          <w:sz w:val="28"/>
          <w:szCs w:val="28"/>
          <w:lang w:val="en-CA"/>
        </w:rPr>
        <w:t>manslaughter</w:t>
      </w:r>
      <w:r w:rsidR="00F64FBB" w:rsidRPr="00116AED">
        <w:rPr>
          <w:sz w:val="28"/>
          <w:szCs w:val="28"/>
          <w:lang w:val="en-CA"/>
        </w:rPr>
        <w:t xml:space="preserve">, </w:t>
      </w:r>
      <w:r w:rsidR="00B91E0D" w:rsidRPr="00116AED">
        <w:rPr>
          <w:sz w:val="28"/>
          <w:szCs w:val="28"/>
          <w:lang w:val="en-CA"/>
        </w:rPr>
        <w:t>requires</w:t>
      </w:r>
      <w:r w:rsidRPr="00116AED">
        <w:rPr>
          <w:sz w:val="28"/>
          <w:szCs w:val="28"/>
          <w:lang w:val="en-CA"/>
        </w:rPr>
        <w:t>:</w:t>
      </w:r>
    </w:p>
    <w:p w14:paraId="2F40872A" w14:textId="082553DF" w:rsidR="00B71C0A" w:rsidRPr="00116AED" w:rsidRDefault="006A2F8C" w:rsidP="00EE222F">
      <w:pPr>
        <w:pStyle w:val="ListParagraph"/>
        <w:numPr>
          <w:ilvl w:val="0"/>
          <w:numId w:val="9"/>
        </w:numPr>
        <w:ind w:left="1368"/>
        <w:rPr>
          <w:sz w:val="28"/>
          <w:szCs w:val="28"/>
          <w:lang w:val="en-CA"/>
        </w:rPr>
      </w:pPr>
      <w:r w:rsidRPr="00116AED">
        <w:rPr>
          <w:sz w:val="28"/>
          <w:szCs w:val="28"/>
          <w:lang w:val="en-CA"/>
        </w:rPr>
        <w:lastRenderedPageBreak/>
        <w:t>that</w:t>
      </w:r>
      <w:r w:rsidR="00EE222F" w:rsidRPr="00116AED">
        <w:rPr>
          <w:sz w:val="28"/>
          <w:szCs w:val="28"/>
          <w:lang w:val="en-CA"/>
        </w:rPr>
        <w:t xml:space="preserve"> </w:t>
      </w:r>
      <w:r w:rsidR="00B91E0D" w:rsidRPr="00116AED">
        <w:rPr>
          <w:sz w:val="28"/>
          <w:szCs w:val="28"/>
          <w:lang w:val="en-CA"/>
        </w:rPr>
        <w:t>t</w:t>
      </w:r>
      <w:r w:rsidR="00B71C0A" w:rsidRPr="00116AED">
        <w:rPr>
          <w:sz w:val="28"/>
          <w:szCs w:val="28"/>
          <w:lang w:val="en-CA"/>
        </w:rPr>
        <w:t>he accused commit an act which is unlawful pursuant to a federal or provincial/territorial statute and is not an absolute liability offence</w:t>
      </w:r>
      <w:r w:rsidR="00630876">
        <w:rPr>
          <w:sz w:val="28"/>
          <w:szCs w:val="28"/>
          <w:lang w:val="en-CA"/>
        </w:rPr>
        <w:t>;</w:t>
      </w:r>
      <w:r w:rsidR="00470830" w:rsidRPr="00116AED">
        <w:rPr>
          <w:rStyle w:val="FootnoteReference"/>
          <w:sz w:val="28"/>
          <w:szCs w:val="28"/>
          <w:lang w:val="en-CA"/>
        </w:rPr>
        <w:footnoteReference w:id="2"/>
      </w:r>
    </w:p>
    <w:p w14:paraId="598E1A37" w14:textId="77777777" w:rsidR="00B71C0A" w:rsidRPr="00116AED" w:rsidRDefault="006A2F8C" w:rsidP="00EE222F">
      <w:pPr>
        <w:pStyle w:val="ListParagraph"/>
        <w:numPr>
          <w:ilvl w:val="0"/>
          <w:numId w:val="9"/>
        </w:numPr>
        <w:ind w:left="1368"/>
        <w:rPr>
          <w:sz w:val="28"/>
          <w:szCs w:val="28"/>
          <w:lang w:val="en-CA"/>
        </w:rPr>
      </w:pPr>
      <w:r w:rsidRPr="00116AED">
        <w:rPr>
          <w:sz w:val="28"/>
          <w:szCs w:val="28"/>
          <w:lang w:val="en-CA"/>
        </w:rPr>
        <w:t>which is objectively dangerous;</w:t>
      </w:r>
      <w:r w:rsidR="0062604C" w:rsidRPr="00116AED">
        <w:rPr>
          <w:rStyle w:val="FootnoteReference"/>
          <w:sz w:val="28"/>
          <w:szCs w:val="28"/>
          <w:lang w:val="en-CA"/>
        </w:rPr>
        <w:footnoteReference w:id="3"/>
      </w:r>
      <w:r w:rsidR="0022295E" w:rsidRPr="00116AED">
        <w:rPr>
          <w:sz w:val="28"/>
          <w:szCs w:val="28"/>
          <w:lang w:val="en-CA"/>
        </w:rPr>
        <w:t xml:space="preserve"> and</w:t>
      </w:r>
    </w:p>
    <w:p w14:paraId="3B90A685" w14:textId="77777777" w:rsidR="00C16EFA" w:rsidRPr="00116AED" w:rsidRDefault="00CA1F3A" w:rsidP="00EE222F">
      <w:pPr>
        <w:pStyle w:val="ListParagraph"/>
        <w:numPr>
          <w:ilvl w:val="0"/>
          <w:numId w:val="9"/>
        </w:numPr>
        <w:ind w:left="1368"/>
        <w:rPr>
          <w:sz w:val="28"/>
          <w:szCs w:val="28"/>
          <w:lang w:val="en-CA"/>
        </w:rPr>
      </w:pPr>
      <w:r w:rsidRPr="00116AED">
        <w:rPr>
          <w:sz w:val="28"/>
          <w:szCs w:val="28"/>
          <w:lang w:val="en-CA"/>
        </w:rPr>
        <w:t xml:space="preserve">which </w:t>
      </w:r>
      <w:r w:rsidR="006A2F8C" w:rsidRPr="00116AED">
        <w:rPr>
          <w:sz w:val="28"/>
          <w:szCs w:val="28"/>
          <w:lang w:val="en-CA"/>
        </w:rPr>
        <w:t>causes</w:t>
      </w:r>
      <w:r w:rsidR="00C16EFA" w:rsidRPr="00116AED">
        <w:rPr>
          <w:sz w:val="28"/>
          <w:szCs w:val="28"/>
          <w:lang w:val="en-CA"/>
        </w:rPr>
        <w:t xml:space="preserve"> the death of the deceased. </w:t>
      </w:r>
    </w:p>
    <w:p w14:paraId="3750FD6E" w14:textId="77777777" w:rsidR="00EE222F" w:rsidRPr="00116AED" w:rsidRDefault="00EE222F" w:rsidP="00EE222F">
      <w:pPr>
        <w:pStyle w:val="ListParagraph"/>
        <w:ind w:left="1080"/>
        <w:rPr>
          <w:sz w:val="28"/>
          <w:szCs w:val="28"/>
          <w:lang w:val="en-CA"/>
        </w:rPr>
      </w:pPr>
    </w:p>
    <w:p w14:paraId="391738E2" w14:textId="77777777" w:rsidR="00B91E0D" w:rsidRPr="00116AED" w:rsidRDefault="00B71C0A" w:rsidP="00EE222F">
      <w:pPr>
        <w:pStyle w:val="ListParagraph"/>
        <w:numPr>
          <w:ilvl w:val="0"/>
          <w:numId w:val="13"/>
        </w:numPr>
        <w:rPr>
          <w:sz w:val="28"/>
          <w:szCs w:val="28"/>
          <w:lang w:val="en-CA"/>
        </w:rPr>
      </w:pPr>
      <w:r w:rsidRPr="00116AED">
        <w:rPr>
          <w:sz w:val="28"/>
          <w:szCs w:val="28"/>
          <w:lang w:val="en-CA"/>
        </w:rPr>
        <w:t xml:space="preserve">The </w:t>
      </w:r>
      <w:r w:rsidRPr="00116AED">
        <w:rPr>
          <w:i/>
          <w:sz w:val="28"/>
          <w:szCs w:val="28"/>
          <w:lang w:val="en-CA"/>
        </w:rPr>
        <w:t>mens rea</w:t>
      </w:r>
      <w:r w:rsidRPr="00116AED">
        <w:rPr>
          <w:sz w:val="28"/>
          <w:szCs w:val="28"/>
          <w:lang w:val="en-CA"/>
        </w:rPr>
        <w:t xml:space="preserve"> component</w:t>
      </w:r>
      <w:r w:rsidR="004936BF" w:rsidRPr="00116AED">
        <w:rPr>
          <w:sz w:val="28"/>
          <w:szCs w:val="28"/>
          <w:lang w:val="en-CA"/>
        </w:rPr>
        <w:t xml:space="preserve"> of unlawful act manslaughter</w:t>
      </w:r>
      <w:r w:rsidRPr="00116AED">
        <w:rPr>
          <w:sz w:val="28"/>
          <w:szCs w:val="28"/>
          <w:lang w:val="en-CA"/>
        </w:rPr>
        <w:t xml:space="preserve"> requires that</w:t>
      </w:r>
      <w:r w:rsidR="00B91E0D" w:rsidRPr="00116AED">
        <w:rPr>
          <w:sz w:val="28"/>
          <w:szCs w:val="28"/>
          <w:lang w:val="en-CA"/>
        </w:rPr>
        <w:t xml:space="preserve">: </w:t>
      </w:r>
    </w:p>
    <w:p w14:paraId="4AEDFA5C" w14:textId="77777777" w:rsidR="00A874BD" w:rsidRPr="00116AED" w:rsidRDefault="00A874BD" w:rsidP="00EE222F">
      <w:pPr>
        <w:pStyle w:val="ListParagraph"/>
        <w:numPr>
          <w:ilvl w:val="0"/>
          <w:numId w:val="11"/>
        </w:numPr>
        <w:ind w:left="1368"/>
        <w:rPr>
          <w:sz w:val="28"/>
          <w:szCs w:val="28"/>
          <w:lang w:val="en-CA"/>
        </w:rPr>
      </w:pPr>
      <w:r w:rsidRPr="00116AED">
        <w:rPr>
          <w:sz w:val="28"/>
          <w:szCs w:val="28"/>
          <w:lang w:val="en-CA"/>
        </w:rPr>
        <w:t xml:space="preserve">the </w:t>
      </w:r>
      <w:r w:rsidRPr="00116AED">
        <w:rPr>
          <w:i/>
          <w:sz w:val="28"/>
          <w:szCs w:val="28"/>
          <w:lang w:val="en-CA"/>
        </w:rPr>
        <w:t>mens rea</w:t>
      </w:r>
      <w:r w:rsidRPr="00116AED">
        <w:rPr>
          <w:sz w:val="28"/>
          <w:szCs w:val="28"/>
          <w:lang w:val="en-CA"/>
        </w:rPr>
        <w:t xml:space="preserve"> of the predicate offence is made out; and</w:t>
      </w:r>
    </w:p>
    <w:p w14:paraId="26AA8778" w14:textId="77777777" w:rsidR="00EE222F" w:rsidRPr="00116AED" w:rsidRDefault="00B91E0D" w:rsidP="004B580B">
      <w:pPr>
        <w:pStyle w:val="ListParagraph"/>
        <w:numPr>
          <w:ilvl w:val="0"/>
          <w:numId w:val="11"/>
        </w:numPr>
        <w:ind w:left="1368"/>
        <w:rPr>
          <w:sz w:val="28"/>
          <w:szCs w:val="28"/>
          <w:lang w:val="en-CA"/>
        </w:rPr>
      </w:pPr>
      <w:r w:rsidRPr="00116AED">
        <w:rPr>
          <w:sz w:val="28"/>
          <w:szCs w:val="28"/>
          <w:lang w:val="en-CA"/>
        </w:rPr>
        <w:t>a</w:t>
      </w:r>
      <w:r w:rsidR="00B71C0A" w:rsidRPr="00116AED">
        <w:rPr>
          <w:sz w:val="28"/>
          <w:szCs w:val="28"/>
          <w:lang w:val="en-CA"/>
        </w:rPr>
        <w:t xml:space="preserve"> reasonable person would have foreseen </w:t>
      </w:r>
      <w:r w:rsidRPr="00116AED">
        <w:rPr>
          <w:sz w:val="28"/>
          <w:szCs w:val="28"/>
          <w:lang w:val="en-CA"/>
        </w:rPr>
        <w:t xml:space="preserve">that </w:t>
      </w:r>
      <w:r w:rsidR="00B71C0A" w:rsidRPr="00116AED">
        <w:rPr>
          <w:sz w:val="28"/>
          <w:szCs w:val="28"/>
          <w:lang w:val="en-CA"/>
        </w:rPr>
        <w:t xml:space="preserve">a risk of bodily harm that </w:t>
      </w:r>
      <w:r w:rsidRPr="00116AED">
        <w:rPr>
          <w:sz w:val="28"/>
          <w:szCs w:val="28"/>
          <w:lang w:val="en-CA"/>
        </w:rPr>
        <w:t>is</w:t>
      </w:r>
      <w:r w:rsidR="00B71C0A" w:rsidRPr="00116AED">
        <w:rPr>
          <w:sz w:val="28"/>
          <w:szCs w:val="28"/>
          <w:lang w:val="en-CA"/>
        </w:rPr>
        <w:t xml:space="preserve"> more </w:t>
      </w:r>
      <w:r w:rsidRPr="00116AED">
        <w:rPr>
          <w:sz w:val="28"/>
          <w:szCs w:val="28"/>
          <w:lang w:val="en-CA"/>
        </w:rPr>
        <w:t>than transitory or trifling would result from the</w:t>
      </w:r>
      <w:r w:rsidR="00D269CD" w:rsidRPr="00116AED">
        <w:rPr>
          <w:sz w:val="28"/>
          <w:szCs w:val="28"/>
          <w:lang w:val="en-CA"/>
        </w:rPr>
        <w:t xml:space="preserve"> unlawful act in</w:t>
      </w:r>
      <w:r w:rsidRPr="00116AED">
        <w:rPr>
          <w:sz w:val="28"/>
          <w:szCs w:val="28"/>
          <w:lang w:val="en-CA"/>
        </w:rPr>
        <w:t xml:space="preserve"> question. </w:t>
      </w:r>
    </w:p>
    <w:p w14:paraId="771BDD95" w14:textId="77777777" w:rsidR="004B580B" w:rsidRPr="00116AED" w:rsidRDefault="004B580B" w:rsidP="004B580B">
      <w:pPr>
        <w:pStyle w:val="ListParagraph"/>
        <w:ind w:left="1368"/>
        <w:rPr>
          <w:sz w:val="28"/>
          <w:szCs w:val="28"/>
          <w:lang w:val="en-CA"/>
        </w:rPr>
      </w:pPr>
    </w:p>
    <w:p w14:paraId="031098EA" w14:textId="77777777" w:rsidR="00D539DF" w:rsidRPr="00116AED" w:rsidRDefault="004936BF" w:rsidP="00D539DF">
      <w:pPr>
        <w:pStyle w:val="ListParagraph"/>
        <w:numPr>
          <w:ilvl w:val="0"/>
          <w:numId w:val="13"/>
        </w:numPr>
        <w:rPr>
          <w:sz w:val="28"/>
          <w:szCs w:val="28"/>
          <w:lang w:val="en-CA"/>
        </w:rPr>
      </w:pPr>
      <w:r w:rsidRPr="00116AED">
        <w:rPr>
          <w:sz w:val="28"/>
          <w:szCs w:val="28"/>
          <w:lang w:val="en-CA"/>
        </w:rPr>
        <w:t xml:space="preserve">If both </w:t>
      </w:r>
      <w:r w:rsidRPr="00116AED">
        <w:rPr>
          <w:i/>
          <w:sz w:val="28"/>
          <w:szCs w:val="28"/>
          <w:lang w:val="en-CA"/>
        </w:rPr>
        <w:t>actus reus</w:t>
      </w:r>
      <w:r w:rsidRPr="00116AED">
        <w:rPr>
          <w:sz w:val="28"/>
          <w:szCs w:val="28"/>
          <w:lang w:val="en-CA"/>
        </w:rPr>
        <w:t xml:space="preserve"> and </w:t>
      </w:r>
      <w:r w:rsidRPr="00116AED">
        <w:rPr>
          <w:i/>
          <w:sz w:val="28"/>
          <w:szCs w:val="28"/>
          <w:lang w:val="en-CA"/>
        </w:rPr>
        <w:t>mens rea</w:t>
      </w:r>
      <w:r w:rsidRPr="00116AED">
        <w:rPr>
          <w:sz w:val="28"/>
          <w:szCs w:val="28"/>
          <w:lang w:val="en-CA"/>
        </w:rPr>
        <w:t xml:space="preserve"> are found to have been proved beyond a reasonable doubt, the court must then determine whether or not there is evidence concerning the accused’s personal characteristics </w:t>
      </w:r>
      <w:r w:rsidR="00D269CD" w:rsidRPr="00116AED">
        <w:rPr>
          <w:sz w:val="28"/>
          <w:szCs w:val="28"/>
          <w:lang w:val="en-CA"/>
        </w:rPr>
        <w:t>that gives</w:t>
      </w:r>
      <w:r w:rsidRPr="00116AED">
        <w:rPr>
          <w:sz w:val="28"/>
          <w:szCs w:val="28"/>
          <w:lang w:val="en-CA"/>
        </w:rPr>
        <w:t xml:space="preserve"> rise to a reasonable doubt </w:t>
      </w:r>
      <w:r w:rsidR="00D269CD" w:rsidRPr="00116AED">
        <w:rPr>
          <w:sz w:val="28"/>
          <w:szCs w:val="28"/>
          <w:lang w:val="en-CA"/>
        </w:rPr>
        <w:t>that he had the</w:t>
      </w:r>
      <w:r w:rsidR="00CA1F3A" w:rsidRPr="00116AED">
        <w:rPr>
          <w:sz w:val="28"/>
          <w:szCs w:val="28"/>
          <w:lang w:val="en-CA"/>
        </w:rPr>
        <w:t xml:space="preserve"> capacity</w:t>
      </w:r>
      <w:r w:rsidRPr="00116AED">
        <w:rPr>
          <w:sz w:val="28"/>
          <w:szCs w:val="28"/>
          <w:lang w:val="en-CA"/>
        </w:rPr>
        <w:t xml:space="preserve"> of appreciating the risk flowing from the </w:t>
      </w:r>
      <w:r w:rsidR="00D269CD" w:rsidRPr="00116AED">
        <w:rPr>
          <w:sz w:val="28"/>
          <w:szCs w:val="28"/>
          <w:lang w:val="en-CA"/>
        </w:rPr>
        <w:t>unlawful act he committed</w:t>
      </w:r>
      <w:r w:rsidRPr="00116AED">
        <w:rPr>
          <w:sz w:val="28"/>
          <w:szCs w:val="28"/>
          <w:lang w:val="en-CA"/>
        </w:rPr>
        <w:t xml:space="preserve">. </w:t>
      </w:r>
    </w:p>
    <w:p w14:paraId="2EC6FF2F" w14:textId="230F90D7" w:rsidR="005E61DA" w:rsidRPr="00116AED" w:rsidRDefault="003000D0">
      <w:pPr>
        <w:rPr>
          <w:sz w:val="28"/>
          <w:szCs w:val="28"/>
          <w:lang w:val="en-CA"/>
        </w:rPr>
      </w:pPr>
      <w:r>
        <w:rPr>
          <w:sz w:val="28"/>
          <w:szCs w:val="28"/>
          <w:lang w:val="en-CA"/>
        </w:rPr>
        <w:t>[21]</w:t>
      </w:r>
      <w:r>
        <w:rPr>
          <w:sz w:val="28"/>
          <w:szCs w:val="28"/>
          <w:lang w:val="en-CA"/>
        </w:rPr>
        <w:tab/>
      </w:r>
      <w:r w:rsidR="004936BF" w:rsidRPr="00116AED">
        <w:rPr>
          <w:sz w:val="28"/>
          <w:szCs w:val="28"/>
          <w:lang w:val="en-CA"/>
        </w:rPr>
        <w:t xml:space="preserve">The foregoing are the requirements that must be established at trial. </w:t>
      </w:r>
      <w:r w:rsidR="00D539DF" w:rsidRPr="00116AED">
        <w:rPr>
          <w:i/>
          <w:sz w:val="28"/>
          <w:szCs w:val="28"/>
          <w:lang w:val="en-CA"/>
        </w:rPr>
        <w:t xml:space="preserve">  </w:t>
      </w:r>
      <w:r w:rsidR="00E9603A" w:rsidRPr="00116AED">
        <w:rPr>
          <w:sz w:val="28"/>
          <w:szCs w:val="28"/>
          <w:lang w:val="en-CA"/>
        </w:rPr>
        <w:t>In determining whether the Sheppard test is made out</w:t>
      </w:r>
      <w:r w:rsidR="009C2FFC">
        <w:rPr>
          <w:sz w:val="28"/>
          <w:szCs w:val="28"/>
          <w:lang w:val="en-CA"/>
        </w:rPr>
        <w:t xml:space="preserve"> on unlawful act manslaughter</w:t>
      </w:r>
      <w:r w:rsidR="00E9603A" w:rsidRPr="00116AED">
        <w:rPr>
          <w:sz w:val="28"/>
          <w:szCs w:val="28"/>
          <w:lang w:val="en-CA"/>
        </w:rPr>
        <w:t xml:space="preserve">, I must find that there is some evidence upon which a reasonable trier of fact could find that each of the necessary elements of that offence </w:t>
      </w:r>
      <w:r w:rsidR="005E61DA" w:rsidRPr="00116AED">
        <w:rPr>
          <w:sz w:val="28"/>
          <w:szCs w:val="28"/>
          <w:lang w:val="en-CA"/>
        </w:rPr>
        <w:t>have been proven beyond a reasonable doubt</w:t>
      </w:r>
      <w:r w:rsidR="00E9603A" w:rsidRPr="00116AED">
        <w:rPr>
          <w:sz w:val="28"/>
          <w:szCs w:val="28"/>
          <w:lang w:val="en-CA"/>
        </w:rPr>
        <w:t xml:space="preserve">.  </w:t>
      </w:r>
    </w:p>
    <w:p w14:paraId="23386E11" w14:textId="77777777" w:rsidR="005A1F16" w:rsidRPr="00116AED" w:rsidRDefault="004B580B" w:rsidP="004B580B">
      <w:pPr>
        <w:pStyle w:val="ListParagraph"/>
        <w:numPr>
          <w:ilvl w:val="0"/>
          <w:numId w:val="24"/>
        </w:numPr>
        <w:rPr>
          <w:sz w:val="28"/>
          <w:szCs w:val="28"/>
          <w:lang w:val="en-CA"/>
        </w:rPr>
      </w:pPr>
      <w:r w:rsidRPr="00116AED">
        <w:rPr>
          <w:sz w:val="28"/>
          <w:szCs w:val="28"/>
          <w:lang w:val="en-CA"/>
        </w:rPr>
        <w:t xml:space="preserve">Is </w:t>
      </w:r>
      <w:r w:rsidR="005E61DA" w:rsidRPr="00116AED">
        <w:rPr>
          <w:sz w:val="28"/>
          <w:szCs w:val="28"/>
          <w:lang w:val="en-CA"/>
        </w:rPr>
        <w:t xml:space="preserve">There Sufficient Evidence on the </w:t>
      </w:r>
      <w:r w:rsidR="005E61DA" w:rsidRPr="00116AED">
        <w:rPr>
          <w:i/>
          <w:sz w:val="28"/>
          <w:szCs w:val="28"/>
          <w:lang w:val="en-CA"/>
        </w:rPr>
        <w:t>Actus Reus</w:t>
      </w:r>
      <w:r w:rsidR="005E61DA" w:rsidRPr="00116AED">
        <w:rPr>
          <w:sz w:val="28"/>
          <w:szCs w:val="28"/>
          <w:lang w:val="en-CA"/>
        </w:rPr>
        <w:t xml:space="preserve"> of Unlawful Act Manslaughter?</w:t>
      </w:r>
    </w:p>
    <w:p w14:paraId="46E3514D" w14:textId="77777777" w:rsidR="007F27E8" w:rsidRPr="00025FA2" w:rsidRDefault="007F27E8" w:rsidP="007F27E8">
      <w:pPr>
        <w:pStyle w:val="ListParagraph"/>
        <w:ind w:left="1080"/>
        <w:rPr>
          <w:i/>
          <w:sz w:val="28"/>
          <w:szCs w:val="28"/>
          <w:lang w:val="en-CA"/>
        </w:rPr>
      </w:pPr>
    </w:p>
    <w:p w14:paraId="19B2C99F" w14:textId="77777777" w:rsidR="00132F6C" w:rsidRPr="00025FA2" w:rsidRDefault="007F27E8" w:rsidP="007F27E8">
      <w:pPr>
        <w:pStyle w:val="ListParagraph"/>
        <w:numPr>
          <w:ilvl w:val="0"/>
          <w:numId w:val="19"/>
        </w:numPr>
        <w:rPr>
          <w:i/>
          <w:sz w:val="28"/>
          <w:szCs w:val="28"/>
          <w:lang w:val="en-CA"/>
        </w:rPr>
      </w:pPr>
      <w:r w:rsidRPr="00025FA2">
        <w:rPr>
          <w:i/>
          <w:sz w:val="28"/>
          <w:szCs w:val="28"/>
          <w:lang w:val="en-CA"/>
        </w:rPr>
        <w:t>S. 77 of the Liquor Act, SNWT 2007, c.15 (as amended)</w:t>
      </w:r>
    </w:p>
    <w:p w14:paraId="7AED99A5" w14:textId="27343EF4" w:rsidR="007B1155" w:rsidRPr="00116AED" w:rsidRDefault="003000D0">
      <w:pPr>
        <w:rPr>
          <w:sz w:val="28"/>
          <w:szCs w:val="28"/>
          <w:lang w:val="en-CA"/>
        </w:rPr>
      </w:pPr>
      <w:r>
        <w:rPr>
          <w:sz w:val="28"/>
          <w:szCs w:val="28"/>
          <w:lang w:val="en-CA"/>
        </w:rPr>
        <w:t>[22]</w:t>
      </w:r>
      <w:r>
        <w:rPr>
          <w:sz w:val="28"/>
          <w:szCs w:val="28"/>
          <w:lang w:val="en-CA"/>
        </w:rPr>
        <w:tab/>
      </w:r>
      <w:r w:rsidR="005E61DA" w:rsidRPr="00116AED">
        <w:rPr>
          <w:sz w:val="28"/>
          <w:szCs w:val="28"/>
          <w:lang w:val="en-CA"/>
        </w:rPr>
        <w:t>I find that there</w:t>
      </w:r>
      <w:r w:rsidR="007B1155" w:rsidRPr="00116AED">
        <w:rPr>
          <w:sz w:val="28"/>
          <w:szCs w:val="28"/>
          <w:lang w:val="en-CA"/>
        </w:rPr>
        <w:t xml:space="preserve"> is some evidence that would </w:t>
      </w:r>
      <w:r w:rsidR="005E61DA" w:rsidRPr="00116AED">
        <w:rPr>
          <w:sz w:val="28"/>
          <w:szCs w:val="28"/>
          <w:lang w:val="en-CA"/>
        </w:rPr>
        <w:t xml:space="preserve">adequately </w:t>
      </w:r>
      <w:r w:rsidR="007B1155" w:rsidRPr="00116AED">
        <w:rPr>
          <w:sz w:val="28"/>
          <w:szCs w:val="28"/>
          <w:lang w:val="en-CA"/>
        </w:rPr>
        <w:t>support the conclusion that the</w:t>
      </w:r>
      <w:r w:rsidR="00A95E9E" w:rsidRPr="00116AED">
        <w:rPr>
          <w:sz w:val="28"/>
          <w:szCs w:val="28"/>
          <w:lang w:val="en-CA"/>
        </w:rPr>
        <w:t xml:space="preserve"> </w:t>
      </w:r>
      <w:r w:rsidR="007B1155" w:rsidRPr="00116AED">
        <w:rPr>
          <w:sz w:val="28"/>
          <w:szCs w:val="28"/>
          <w:lang w:val="en-CA"/>
        </w:rPr>
        <w:t xml:space="preserve">offence of unlawfully supplying </w:t>
      </w:r>
      <w:r w:rsidR="00A95E9E" w:rsidRPr="00116AED">
        <w:rPr>
          <w:sz w:val="28"/>
          <w:szCs w:val="28"/>
          <w:lang w:val="en-CA"/>
        </w:rPr>
        <w:t xml:space="preserve">liquor to a minor contrary to s. 77 of the </w:t>
      </w:r>
      <w:r w:rsidR="00A95E9E" w:rsidRPr="00116AED">
        <w:rPr>
          <w:i/>
          <w:sz w:val="28"/>
          <w:szCs w:val="28"/>
          <w:lang w:val="en-CA"/>
        </w:rPr>
        <w:t>Liquor Act</w:t>
      </w:r>
      <w:r w:rsidR="00A95E9E" w:rsidRPr="00116AED">
        <w:rPr>
          <w:sz w:val="28"/>
          <w:szCs w:val="28"/>
          <w:lang w:val="en-CA"/>
        </w:rPr>
        <w:t xml:space="preserve"> of the Northwest Territories </w:t>
      </w:r>
      <w:r w:rsidR="007B1155" w:rsidRPr="00116AED">
        <w:rPr>
          <w:sz w:val="28"/>
          <w:szCs w:val="28"/>
          <w:lang w:val="en-CA"/>
        </w:rPr>
        <w:t xml:space="preserve">is </w:t>
      </w:r>
      <w:r w:rsidR="005E61DA" w:rsidRPr="00116AED">
        <w:rPr>
          <w:sz w:val="28"/>
          <w:szCs w:val="28"/>
          <w:lang w:val="en-CA"/>
        </w:rPr>
        <w:t>made out in the present case.</w:t>
      </w:r>
    </w:p>
    <w:p w14:paraId="082C5AB0" w14:textId="1A5FEEFC" w:rsidR="007B1155" w:rsidRPr="00116AED" w:rsidRDefault="003000D0">
      <w:pPr>
        <w:rPr>
          <w:sz w:val="28"/>
          <w:szCs w:val="28"/>
          <w:lang w:val="en-CA"/>
        </w:rPr>
      </w:pPr>
      <w:r>
        <w:rPr>
          <w:sz w:val="28"/>
          <w:szCs w:val="28"/>
          <w:lang w:val="en-CA"/>
        </w:rPr>
        <w:lastRenderedPageBreak/>
        <w:t>[23]</w:t>
      </w:r>
      <w:r>
        <w:rPr>
          <w:sz w:val="28"/>
          <w:szCs w:val="28"/>
          <w:lang w:val="en-CA"/>
        </w:rPr>
        <w:tab/>
      </w:r>
      <w:r w:rsidR="007B1155" w:rsidRPr="00116AED">
        <w:rPr>
          <w:sz w:val="28"/>
          <w:szCs w:val="28"/>
          <w:lang w:val="en-CA"/>
        </w:rPr>
        <w:t>Section 77 of the</w:t>
      </w:r>
      <w:r w:rsidR="00C16EFA" w:rsidRPr="00116AED">
        <w:rPr>
          <w:sz w:val="28"/>
          <w:szCs w:val="28"/>
          <w:lang w:val="en-CA"/>
        </w:rPr>
        <w:t xml:space="preserve"> </w:t>
      </w:r>
      <w:r w:rsidR="00C16EFA" w:rsidRPr="00116AED">
        <w:rPr>
          <w:i/>
          <w:sz w:val="28"/>
          <w:szCs w:val="28"/>
          <w:lang w:val="en-CA"/>
        </w:rPr>
        <w:t>Liquor</w:t>
      </w:r>
      <w:r w:rsidR="005B1E8F" w:rsidRPr="00116AED">
        <w:rPr>
          <w:i/>
          <w:sz w:val="28"/>
          <w:szCs w:val="28"/>
          <w:lang w:val="en-CA"/>
        </w:rPr>
        <w:t xml:space="preserve"> Act</w:t>
      </w:r>
      <w:r w:rsidR="00C16EFA" w:rsidRPr="00116AED">
        <w:rPr>
          <w:i/>
          <w:sz w:val="28"/>
          <w:szCs w:val="28"/>
          <w:lang w:val="en-CA"/>
        </w:rPr>
        <w:t xml:space="preserve"> </w:t>
      </w:r>
      <w:r w:rsidR="007B1155" w:rsidRPr="00116AED">
        <w:rPr>
          <w:sz w:val="28"/>
          <w:szCs w:val="28"/>
          <w:lang w:val="en-CA"/>
        </w:rPr>
        <w:t xml:space="preserve">states: </w:t>
      </w:r>
    </w:p>
    <w:p w14:paraId="289FBC46" w14:textId="631480C7" w:rsidR="007B1155" w:rsidRPr="00116AED" w:rsidRDefault="005B1E8F" w:rsidP="00CC5479">
      <w:pPr>
        <w:autoSpaceDE w:val="0"/>
        <w:autoSpaceDN w:val="0"/>
        <w:adjustRightInd w:val="0"/>
        <w:spacing w:after="0" w:line="240" w:lineRule="auto"/>
        <w:ind w:left="1440"/>
        <w:rPr>
          <w:rFonts w:ascii="Calibri" w:hAnsi="Calibri" w:cs="TimesNewRomanPSMT"/>
          <w:sz w:val="28"/>
          <w:szCs w:val="28"/>
          <w:lang w:val="en-CA"/>
        </w:rPr>
      </w:pPr>
      <w:r w:rsidRPr="00116AED">
        <w:rPr>
          <w:rFonts w:ascii="Calibri" w:hAnsi="Calibri" w:cs="Times New Roman"/>
          <w:bCs/>
          <w:sz w:val="28"/>
          <w:szCs w:val="28"/>
          <w:lang w:val="en-CA"/>
        </w:rPr>
        <w:t xml:space="preserve">77. </w:t>
      </w:r>
      <w:r w:rsidR="007B1155" w:rsidRPr="00116AED">
        <w:rPr>
          <w:rFonts w:ascii="Calibri" w:hAnsi="Calibri" w:cs="TimesNewRomanPSMT"/>
          <w:sz w:val="28"/>
          <w:szCs w:val="28"/>
          <w:lang w:val="en-CA"/>
        </w:rPr>
        <w:t xml:space="preserve">(1) Except as provided in this Act or the regulations, no person </w:t>
      </w:r>
      <w:r w:rsidR="00CC5479">
        <w:rPr>
          <w:rFonts w:ascii="Calibri" w:hAnsi="Calibri" w:cs="TimesNewRomanPSMT"/>
          <w:sz w:val="28"/>
          <w:szCs w:val="28"/>
          <w:lang w:val="en-CA"/>
        </w:rPr>
        <w:t xml:space="preserve">   </w:t>
      </w:r>
      <w:r w:rsidR="007B1155" w:rsidRPr="00116AED">
        <w:rPr>
          <w:rFonts w:ascii="Calibri" w:hAnsi="Calibri" w:cs="TimesNewRomanPSMT"/>
          <w:sz w:val="28"/>
          <w:szCs w:val="28"/>
          <w:lang w:val="en-CA"/>
        </w:rPr>
        <w:t>shall</w:t>
      </w:r>
    </w:p>
    <w:p w14:paraId="130694F6" w14:textId="77777777" w:rsidR="007B1155" w:rsidRPr="00116AED" w:rsidRDefault="007B1155" w:rsidP="007B1155">
      <w:pPr>
        <w:autoSpaceDE w:val="0"/>
        <w:autoSpaceDN w:val="0"/>
        <w:adjustRightInd w:val="0"/>
        <w:spacing w:after="0" w:line="240" w:lineRule="auto"/>
        <w:ind w:left="1440" w:firstLine="720"/>
        <w:rPr>
          <w:rFonts w:ascii="Calibri" w:hAnsi="Calibri" w:cs="TimesNewRomanPSMT"/>
          <w:sz w:val="28"/>
          <w:szCs w:val="28"/>
          <w:lang w:val="en-CA"/>
        </w:rPr>
      </w:pPr>
      <w:r w:rsidRPr="00116AED">
        <w:rPr>
          <w:rFonts w:ascii="Calibri" w:hAnsi="Calibri" w:cs="TimesNewRomanPSMT"/>
          <w:sz w:val="28"/>
          <w:szCs w:val="28"/>
          <w:lang w:val="en-CA"/>
        </w:rPr>
        <w:t>(a) sell liquor to a minor; or</w:t>
      </w:r>
    </w:p>
    <w:p w14:paraId="7E8D5870" w14:textId="77777777" w:rsidR="007B1155" w:rsidRPr="00116AED" w:rsidRDefault="007B1155" w:rsidP="007B1155">
      <w:pPr>
        <w:ind w:left="1440" w:firstLine="720"/>
        <w:rPr>
          <w:rFonts w:ascii="Calibri" w:hAnsi="Calibri"/>
          <w:sz w:val="28"/>
          <w:szCs w:val="28"/>
          <w:lang w:val="en-CA"/>
        </w:rPr>
      </w:pPr>
      <w:r w:rsidRPr="00116AED">
        <w:rPr>
          <w:rFonts w:ascii="Calibri" w:hAnsi="Calibri" w:cs="TimesNewRomanPSMT"/>
          <w:sz w:val="28"/>
          <w:szCs w:val="28"/>
          <w:lang w:val="en-CA"/>
        </w:rPr>
        <w:t>(b) supply liquor to a minor.</w:t>
      </w:r>
    </w:p>
    <w:p w14:paraId="0F86ADF0" w14:textId="77777777" w:rsidR="007B1155" w:rsidRPr="00116AED" w:rsidRDefault="007B1155" w:rsidP="007B1155">
      <w:pPr>
        <w:autoSpaceDE w:val="0"/>
        <w:autoSpaceDN w:val="0"/>
        <w:adjustRightInd w:val="0"/>
        <w:spacing w:after="0" w:line="240" w:lineRule="auto"/>
        <w:ind w:left="720" w:firstLine="720"/>
        <w:rPr>
          <w:rFonts w:ascii="Calibri" w:hAnsi="Calibri" w:cs="TimesNewRomanPSMT"/>
          <w:sz w:val="28"/>
          <w:szCs w:val="28"/>
          <w:lang w:val="en-CA"/>
        </w:rPr>
      </w:pPr>
      <w:r w:rsidRPr="00116AED">
        <w:rPr>
          <w:rFonts w:ascii="Calibri" w:hAnsi="Calibri" w:cs="TimesNewRomanPSMT"/>
          <w:sz w:val="28"/>
          <w:szCs w:val="28"/>
          <w:lang w:val="en-CA"/>
        </w:rPr>
        <w:t xml:space="preserve"> (2) This section does not apply to supplying liquor to a minor</w:t>
      </w:r>
    </w:p>
    <w:p w14:paraId="3CCB7D5F" w14:textId="77777777" w:rsidR="007B1155" w:rsidRPr="00116AED" w:rsidRDefault="007B1155" w:rsidP="00CC5479">
      <w:pPr>
        <w:autoSpaceDE w:val="0"/>
        <w:autoSpaceDN w:val="0"/>
        <w:adjustRightInd w:val="0"/>
        <w:spacing w:after="0" w:line="240" w:lineRule="auto"/>
        <w:ind w:left="2160"/>
        <w:rPr>
          <w:rFonts w:ascii="Calibri" w:hAnsi="Calibri" w:cs="TimesNewRomanPSMT"/>
          <w:sz w:val="28"/>
          <w:szCs w:val="28"/>
          <w:lang w:val="en-CA"/>
        </w:rPr>
      </w:pPr>
      <w:r w:rsidRPr="00116AED">
        <w:rPr>
          <w:rFonts w:ascii="Calibri" w:hAnsi="Calibri" w:cs="TimesNewRomanPSMT"/>
          <w:sz w:val="28"/>
          <w:szCs w:val="28"/>
          <w:lang w:val="en-CA"/>
        </w:rPr>
        <w:t>(a) in a residence, if the person supplying the liquor is the minor’s parent;</w:t>
      </w:r>
    </w:p>
    <w:p w14:paraId="65956D4B" w14:textId="77777777" w:rsidR="007B1155" w:rsidRPr="00116AED" w:rsidRDefault="007B1155" w:rsidP="007B1155">
      <w:pPr>
        <w:autoSpaceDE w:val="0"/>
        <w:autoSpaceDN w:val="0"/>
        <w:adjustRightInd w:val="0"/>
        <w:spacing w:after="0" w:line="240" w:lineRule="auto"/>
        <w:ind w:left="1440" w:firstLine="720"/>
        <w:rPr>
          <w:rFonts w:ascii="Calibri" w:hAnsi="Calibri" w:cs="TimesNewRomanPSMT"/>
          <w:sz w:val="28"/>
          <w:szCs w:val="28"/>
          <w:lang w:val="en-CA"/>
        </w:rPr>
      </w:pPr>
      <w:r w:rsidRPr="00116AED">
        <w:rPr>
          <w:rFonts w:ascii="Calibri" w:hAnsi="Calibri" w:cs="TimesNewRomanPSMT"/>
          <w:sz w:val="28"/>
          <w:szCs w:val="28"/>
          <w:lang w:val="en-CA"/>
        </w:rPr>
        <w:t>(b) for sacramental purposes; or</w:t>
      </w:r>
    </w:p>
    <w:p w14:paraId="308EB089" w14:textId="77777777" w:rsidR="007B1155" w:rsidRDefault="007B1155" w:rsidP="005B1E8F">
      <w:pPr>
        <w:autoSpaceDE w:val="0"/>
        <w:autoSpaceDN w:val="0"/>
        <w:adjustRightInd w:val="0"/>
        <w:spacing w:after="0" w:line="240" w:lineRule="auto"/>
        <w:ind w:left="2160"/>
        <w:rPr>
          <w:rFonts w:ascii="Calibri" w:hAnsi="Calibri" w:cs="TimesNewRomanPSMT"/>
          <w:sz w:val="28"/>
          <w:szCs w:val="28"/>
          <w:lang w:val="en-CA"/>
        </w:rPr>
      </w:pPr>
      <w:r w:rsidRPr="00116AED">
        <w:rPr>
          <w:rFonts w:ascii="Calibri" w:hAnsi="Calibri" w:cs="TimesNewRomanPSMT"/>
          <w:sz w:val="28"/>
          <w:szCs w:val="28"/>
          <w:lang w:val="en-CA"/>
        </w:rPr>
        <w:t>(c) for medicinal purposes, if the liquor is prescribed or administered by a medical</w:t>
      </w:r>
      <w:r w:rsidR="005B1E8F" w:rsidRPr="00116AED">
        <w:rPr>
          <w:rFonts w:ascii="Calibri" w:hAnsi="Calibri" w:cs="TimesNewRomanPSMT"/>
          <w:sz w:val="28"/>
          <w:szCs w:val="28"/>
          <w:lang w:val="en-CA"/>
        </w:rPr>
        <w:t xml:space="preserve"> </w:t>
      </w:r>
      <w:r w:rsidRPr="00116AED">
        <w:rPr>
          <w:rFonts w:ascii="Calibri" w:hAnsi="Calibri" w:cs="TimesNewRomanPSMT"/>
          <w:sz w:val="28"/>
          <w:szCs w:val="28"/>
          <w:lang w:val="en-CA"/>
        </w:rPr>
        <w:t xml:space="preserve"> practitioner or nurse practitioner.</w:t>
      </w:r>
    </w:p>
    <w:p w14:paraId="41EF10C3" w14:textId="77777777" w:rsidR="006E7269" w:rsidRPr="00116AED" w:rsidRDefault="006E7269" w:rsidP="005B1E8F">
      <w:pPr>
        <w:autoSpaceDE w:val="0"/>
        <w:autoSpaceDN w:val="0"/>
        <w:adjustRightInd w:val="0"/>
        <w:spacing w:after="0" w:line="240" w:lineRule="auto"/>
        <w:ind w:left="2160"/>
        <w:rPr>
          <w:rFonts w:ascii="Calibri" w:hAnsi="Calibri" w:cs="TimesNewRomanPSMT"/>
          <w:sz w:val="28"/>
          <w:szCs w:val="28"/>
          <w:lang w:val="en-CA"/>
        </w:rPr>
      </w:pPr>
    </w:p>
    <w:p w14:paraId="31ED877E" w14:textId="099692DD" w:rsidR="00F64FBB" w:rsidRPr="00116AED" w:rsidRDefault="003000D0">
      <w:pPr>
        <w:rPr>
          <w:sz w:val="28"/>
          <w:szCs w:val="28"/>
          <w:lang w:val="en-CA"/>
        </w:rPr>
      </w:pPr>
      <w:r>
        <w:rPr>
          <w:sz w:val="28"/>
          <w:szCs w:val="28"/>
          <w:lang w:val="en-CA"/>
        </w:rPr>
        <w:t>[24]</w:t>
      </w:r>
      <w:r>
        <w:rPr>
          <w:sz w:val="28"/>
          <w:szCs w:val="28"/>
          <w:lang w:val="en-CA"/>
        </w:rPr>
        <w:tab/>
      </w:r>
      <w:r w:rsidR="00F64FBB" w:rsidRPr="00116AED">
        <w:rPr>
          <w:sz w:val="28"/>
          <w:szCs w:val="28"/>
          <w:lang w:val="en-CA"/>
        </w:rPr>
        <w:t>L</w:t>
      </w:r>
      <w:r w:rsidR="00E65D4B">
        <w:rPr>
          <w:sz w:val="28"/>
          <w:szCs w:val="28"/>
          <w:lang w:val="en-CA"/>
        </w:rPr>
        <w:t>.</w:t>
      </w:r>
      <w:r w:rsidR="00F64FBB" w:rsidRPr="00116AED">
        <w:rPr>
          <w:sz w:val="28"/>
          <w:szCs w:val="28"/>
          <w:lang w:val="en-CA"/>
        </w:rPr>
        <w:t>’s counsel initially suggested that the offence created by the foregoing section is one of absolute liability and is therefore insufficient to make out the</w:t>
      </w:r>
      <w:r w:rsidR="00CC5479">
        <w:rPr>
          <w:sz w:val="28"/>
          <w:szCs w:val="28"/>
          <w:lang w:val="en-CA"/>
        </w:rPr>
        <w:t xml:space="preserve"> requirement of an unlawful act.  </w:t>
      </w:r>
      <w:r w:rsidR="00F64FBB" w:rsidRPr="00116AED">
        <w:rPr>
          <w:sz w:val="28"/>
          <w:szCs w:val="28"/>
          <w:lang w:val="en-CA"/>
        </w:rPr>
        <w:t xml:space="preserve">He now </w:t>
      </w:r>
      <w:r w:rsidR="00F64FBB" w:rsidRPr="007C3614">
        <w:rPr>
          <w:sz w:val="28"/>
          <w:szCs w:val="28"/>
          <w:lang w:val="en-CA"/>
        </w:rPr>
        <w:t>resiles</w:t>
      </w:r>
      <w:r w:rsidR="00F64FBB" w:rsidRPr="00116AED">
        <w:rPr>
          <w:sz w:val="28"/>
          <w:szCs w:val="28"/>
          <w:lang w:val="en-CA"/>
        </w:rPr>
        <w:t xml:space="preserve"> from that position.  I find </w:t>
      </w:r>
      <w:r w:rsidR="005E61DA" w:rsidRPr="00116AED">
        <w:rPr>
          <w:sz w:val="28"/>
          <w:szCs w:val="28"/>
          <w:lang w:val="en-CA"/>
        </w:rPr>
        <w:t>his</w:t>
      </w:r>
      <w:r w:rsidR="00470830" w:rsidRPr="00116AED">
        <w:rPr>
          <w:sz w:val="28"/>
          <w:szCs w:val="28"/>
          <w:lang w:val="en-CA"/>
        </w:rPr>
        <w:t xml:space="preserve"> concession to be appropriate</w:t>
      </w:r>
      <w:r w:rsidR="00F64FBB" w:rsidRPr="00116AED">
        <w:rPr>
          <w:sz w:val="28"/>
          <w:szCs w:val="28"/>
          <w:lang w:val="en-CA"/>
        </w:rPr>
        <w:t xml:space="preserve"> since regulatory offences are presumed to be strict liability offences unless there is clear evidence </w:t>
      </w:r>
      <w:r w:rsidR="00132F6C" w:rsidRPr="00116AED">
        <w:rPr>
          <w:sz w:val="28"/>
          <w:szCs w:val="28"/>
          <w:lang w:val="en-CA"/>
        </w:rPr>
        <w:t xml:space="preserve">of legislative intent to create an absolute liability </w:t>
      </w:r>
      <w:r w:rsidR="00470830" w:rsidRPr="00116AED">
        <w:rPr>
          <w:sz w:val="28"/>
          <w:szCs w:val="28"/>
          <w:lang w:val="en-CA"/>
        </w:rPr>
        <w:t>off</w:t>
      </w:r>
      <w:r w:rsidR="004B580B" w:rsidRPr="00116AED">
        <w:rPr>
          <w:sz w:val="28"/>
          <w:szCs w:val="28"/>
          <w:lang w:val="en-CA"/>
        </w:rPr>
        <w:t>ence</w:t>
      </w:r>
      <w:r w:rsidR="00630876">
        <w:rPr>
          <w:sz w:val="28"/>
          <w:szCs w:val="28"/>
          <w:lang w:val="en-CA"/>
        </w:rPr>
        <w:t>.</w:t>
      </w:r>
      <w:r w:rsidR="004B580B" w:rsidRPr="00116AED">
        <w:rPr>
          <w:rStyle w:val="FootnoteReference"/>
          <w:sz w:val="28"/>
          <w:szCs w:val="28"/>
          <w:lang w:val="en-CA"/>
        </w:rPr>
        <w:footnoteReference w:id="4"/>
      </w:r>
      <w:r w:rsidR="005E61DA" w:rsidRPr="00116AED">
        <w:rPr>
          <w:sz w:val="28"/>
          <w:szCs w:val="28"/>
          <w:lang w:val="en-CA"/>
        </w:rPr>
        <w:t xml:space="preserve">  </w:t>
      </w:r>
      <w:r w:rsidR="00470830" w:rsidRPr="00116AED">
        <w:rPr>
          <w:sz w:val="28"/>
          <w:szCs w:val="28"/>
          <w:lang w:val="en-CA"/>
        </w:rPr>
        <w:t>As</w:t>
      </w:r>
      <w:r w:rsidR="00132F6C" w:rsidRPr="00116AED">
        <w:rPr>
          <w:sz w:val="28"/>
          <w:szCs w:val="28"/>
          <w:lang w:val="en-CA"/>
        </w:rPr>
        <w:t xml:space="preserve"> pointed out by the Crown, the wording of s. 77 does not suggest</w:t>
      </w:r>
      <w:r w:rsidR="00470830" w:rsidRPr="00116AED">
        <w:rPr>
          <w:sz w:val="28"/>
          <w:szCs w:val="28"/>
          <w:lang w:val="en-CA"/>
        </w:rPr>
        <w:t xml:space="preserve"> absolute</w:t>
      </w:r>
      <w:r w:rsidR="00963445">
        <w:rPr>
          <w:sz w:val="28"/>
          <w:szCs w:val="28"/>
          <w:lang w:val="en-CA"/>
        </w:rPr>
        <w:t xml:space="preserve"> liability.  </w:t>
      </w:r>
      <w:r w:rsidR="00132F6C" w:rsidRPr="00116AED">
        <w:rPr>
          <w:sz w:val="28"/>
          <w:szCs w:val="28"/>
          <w:lang w:val="en-CA"/>
        </w:rPr>
        <w:t xml:space="preserve">Moreover, the legislature is presumed to have intended to adopt Charter </w:t>
      </w:r>
      <w:r w:rsidR="0050345E" w:rsidRPr="00116AED">
        <w:rPr>
          <w:sz w:val="28"/>
          <w:szCs w:val="28"/>
          <w:lang w:val="en-CA"/>
        </w:rPr>
        <w:t>complaint</w:t>
      </w:r>
      <w:r w:rsidR="00132F6C" w:rsidRPr="00116AED">
        <w:rPr>
          <w:sz w:val="28"/>
          <w:szCs w:val="28"/>
          <w:lang w:val="en-CA"/>
        </w:rPr>
        <w:t xml:space="preserve"> legislation</w:t>
      </w:r>
      <w:r w:rsidR="00FD4060" w:rsidRPr="00116AED">
        <w:rPr>
          <w:sz w:val="28"/>
          <w:szCs w:val="28"/>
          <w:lang w:val="en-CA"/>
        </w:rPr>
        <w:t>.</w:t>
      </w:r>
      <w:r w:rsidR="004B580B" w:rsidRPr="00116AED">
        <w:rPr>
          <w:rStyle w:val="FootnoteReference"/>
          <w:sz w:val="28"/>
          <w:szCs w:val="28"/>
          <w:lang w:val="en-CA"/>
        </w:rPr>
        <w:footnoteReference w:id="5"/>
      </w:r>
      <w:r w:rsidR="00FD4060" w:rsidRPr="00116AED">
        <w:rPr>
          <w:sz w:val="28"/>
          <w:szCs w:val="28"/>
          <w:lang w:val="en-CA"/>
        </w:rPr>
        <w:t xml:space="preserve">  Absolute</w:t>
      </w:r>
      <w:r w:rsidR="00132F6C" w:rsidRPr="00116AED">
        <w:rPr>
          <w:sz w:val="28"/>
          <w:szCs w:val="28"/>
          <w:lang w:val="en-CA"/>
        </w:rPr>
        <w:t xml:space="preserve">, </w:t>
      </w:r>
      <w:r w:rsidR="0050345E" w:rsidRPr="00116AED">
        <w:rPr>
          <w:sz w:val="28"/>
          <w:szCs w:val="28"/>
          <w:lang w:val="en-CA"/>
        </w:rPr>
        <w:t>liability</w:t>
      </w:r>
      <w:r w:rsidR="00132F6C" w:rsidRPr="00116AED">
        <w:rPr>
          <w:sz w:val="28"/>
          <w:szCs w:val="28"/>
          <w:lang w:val="en-CA"/>
        </w:rPr>
        <w:t xml:space="preserve"> offences are only Charter compliant if, among other things, there is no possibility of imprisonment as punishment.</w:t>
      </w:r>
      <w:r w:rsidR="004B580B" w:rsidRPr="00116AED">
        <w:rPr>
          <w:rStyle w:val="FootnoteReference"/>
          <w:sz w:val="28"/>
          <w:szCs w:val="28"/>
          <w:lang w:val="en-CA"/>
        </w:rPr>
        <w:footnoteReference w:id="6"/>
      </w:r>
      <w:r w:rsidR="00132F6C" w:rsidRPr="00116AED">
        <w:rPr>
          <w:sz w:val="28"/>
          <w:szCs w:val="28"/>
          <w:lang w:val="en-CA"/>
        </w:rPr>
        <w:t xml:space="preserve">  Pursuant to s. 127(a) of the Act, supplying liquor to a minor is, in the case of an adult, </w:t>
      </w:r>
      <w:r w:rsidR="007F27E8" w:rsidRPr="00116AED">
        <w:rPr>
          <w:sz w:val="28"/>
          <w:szCs w:val="28"/>
          <w:lang w:val="en-CA"/>
        </w:rPr>
        <w:t>punishable</w:t>
      </w:r>
      <w:r w:rsidR="00132F6C" w:rsidRPr="00116AED">
        <w:rPr>
          <w:sz w:val="28"/>
          <w:szCs w:val="28"/>
          <w:lang w:val="en-CA"/>
        </w:rPr>
        <w:t xml:space="preserve"> by a fine not exceeding $2,000 or to imprisonment for a term not exceeding 30 days, or to both. </w:t>
      </w:r>
      <w:r w:rsidR="00470830" w:rsidRPr="00116AED">
        <w:rPr>
          <w:sz w:val="28"/>
          <w:szCs w:val="28"/>
          <w:lang w:val="en-CA"/>
        </w:rPr>
        <w:t xml:space="preserve">  I find that s</w:t>
      </w:r>
      <w:r w:rsidR="00132F6C" w:rsidRPr="00116AED">
        <w:rPr>
          <w:sz w:val="28"/>
          <w:szCs w:val="28"/>
          <w:lang w:val="en-CA"/>
        </w:rPr>
        <w:t xml:space="preserve">. 77 of the </w:t>
      </w:r>
      <w:r w:rsidR="00132F6C" w:rsidRPr="00116AED">
        <w:rPr>
          <w:i/>
          <w:sz w:val="28"/>
          <w:szCs w:val="28"/>
          <w:lang w:val="en-CA"/>
        </w:rPr>
        <w:t>Liquor Act</w:t>
      </w:r>
      <w:r w:rsidR="00132F6C" w:rsidRPr="00116AED">
        <w:rPr>
          <w:sz w:val="28"/>
          <w:szCs w:val="28"/>
          <w:lang w:val="en-CA"/>
        </w:rPr>
        <w:t xml:space="preserve"> clearly creates a strict liability and not an absolute liability offence. </w:t>
      </w:r>
    </w:p>
    <w:p w14:paraId="0073BD53" w14:textId="257E161F" w:rsidR="004936BF" w:rsidRPr="00116AED" w:rsidRDefault="003000D0">
      <w:pPr>
        <w:rPr>
          <w:sz w:val="28"/>
          <w:szCs w:val="28"/>
          <w:lang w:val="en-CA"/>
        </w:rPr>
      </w:pPr>
      <w:r>
        <w:rPr>
          <w:sz w:val="28"/>
          <w:szCs w:val="28"/>
          <w:lang w:val="en-CA"/>
        </w:rPr>
        <w:t>[25]</w:t>
      </w:r>
      <w:r>
        <w:rPr>
          <w:sz w:val="28"/>
          <w:szCs w:val="28"/>
          <w:lang w:val="en-CA"/>
        </w:rPr>
        <w:tab/>
      </w:r>
      <w:r w:rsidR="000B28B9" w:rsidRPr="00116AED">
        <w:rPr>
          <w:sz w:val="28"/>
          <w:szCs w:val="28"/>
          <w:lang w:val="en-CA"/>
        </w:rPr>
        <w:t xml:space="preserve">As far as the elements of the </w:t>
      </w:r>
      <w:r w:rsidR="000B28B9" w:rsidRPr="00116AED">
        <w:rPr>
          <w:i/>
          <w:sz w:val="28"/>
          <w:szCs w:val="28"/>
          <w:lang w:val="en-CA"/>
        </w:rPr>
        <w:t>actus reus</w:t>
      </w:r>
      <w:r w:rsidR="000B28B9" w:rsidRPr="00116AED">
        <w:rPr>
          <w:sz w:val="28"/>
          <w:szCs w:val="28"/>
          <w:lang w:val="en-CA"/>
        </w:rPr>
        <w:t xml:space="preserve"> of the predicate offence are concerned, t</w:t>
      </w:r>
      <w:r w:rsidR="00A95E9E" w:rsidRPr="00116AED">
        <w:rPr>
          <w:sz w:val="28"/>
          <w:szCs w:val="28"/>
          <w:lang w:val="en-CA"/>
        </w:rPr>
        <w:t xml:space="preserve">here is some evidence that </w:t>
      </w:r>
      <w:r w:rsidR="00D978B2">
        <w:rPr>
          <w:sz w:val="28"/>
          <w:szCs w:val="28"/>
          <w:lang w:val="en-CA"/>
        </w:rPr>
        <w:t xml:space="preserve">L. </w:t>
      </w:r>
      <w:r w:rsidR="00A95E9E" w:rsidRPr="00116AED">
        <w:rPr>
          <w:sz w:val="28"/>
          <w:szCs w:val="28"/>
          <w:lang w:val="en-CA"/>
        </w:rPr>
        <w:t xml:space="preserve">was controlling the bottle of alcohol throughout the evening in question.  There is evidence that he was the one who initially obtained it before he and </w:t>
      </w:r>
      <w:r w:rsidR="006A2218">
        <w:rPr>
          <w:sz w:val="28"/>
          <w:szCs w:val="28"/>
          <w:lang w:val="en-CA"/>
        </w:rPr>
        <w:t xml:space="preserve">D. </w:t>
      </w:r>
      <w:r w:rsidR="00A95E9E" w:rsidRPr="00116AED">
        <w:rPr>
          <w:sz w:val="28"/>
          <w:szCs w:val="28"/>
          <w:lang w:val="en-CA"/>
        </w:rPr>
        <w:t xml:space="preserve">began on the walk where they were joined by E.  There is evidence that he was located between </w:t>
      </w:r>
      <w:r w:rsidR="006A2218">
        <w:rPr>
          <w:sz w:val="28"/>
          <w:szCs w:val="28"/>
          <w:lang w:val="en-CA"/>
        </w:rPr>
        <w:t xml:space="preserve">E. </w:t>
      </w:r>
      <w:r w:rsidR="00A95E9E" w:rsidRPr="00116AED">
        <w:rPr>
          <w:sz w:val="28"/>
          <w:szCs w:val="28"/>
          <w:lang w:val="en-CA"/>
        </w:rPr>
        <w:t xml:space="preserve">and </w:t>
      </w:r>
      <w:r w:rsidR="006A2218">
        <w:rPr>
          <w:sz w:val="28"/>
          <w:szCs w:val="28"/>
          <w:lang w:val="en-CA"/>
        </w:rPr>
        <w:t xml:space="preserve">D. </w:t>
      </w:r>
      <w:r w:rsidR="00A95E9E" w:rsidRPr="00116AED">
        <w:rPr>
          <w:sz w:val="28"/>
          <w:szCs w:val="28"/>
          <w:lang w:val="en-CA"/>
        </w:rPr>
        <w:t xml:space="preserve">when they were </w:t>
      </w:r>
      <w:r w:rsidR="00A95E9E" w:rsidRPr="00116AED">
        <w:rPr>
          <w:sz w:val="28"/>
          <w:szCs w:val="28"/>
          <w:lang w:val="en-CA"/>
        </w:rPr>
        <w:lastRenderedPageBreak/>
        <w:t xml:space="preserve">sitting by the river bank before </w:t>
      </w:r>
      <w:r w:rsidR="006A2218">
        <w:rPr>
          <w:sz w:val="28"/>
          <w:szCs w:val="28"/>
          <w:lang w:val="en-CA"/>
        </w:rPr>
        <w:t xml:space="preserve">E. </w:t>
      </w:r>
      <w:r w:rsidR="00A95E9E" w:rsidRPr="00116AED">
        <w:rPr>
          <w:sz w:val="28"/>
          <w:szCs w:val="28"/>
          <w:lang w:val="en-CA"/>
        </w:rPr>
        <w:t xml:space="preserve">lost consciousness and </w:t>
      </w:r>
      <w:r w:rsidR="007F27E8" w:rsidRPr="00116AED">
        <w:rPr>
          <w:sz w:val="28"/>
          <w:szCs w:val="28"/>
          <w:lang w:val="en-CA"/>
        </w:rPr>
        <w:t xml:space="preserve">that </w:t>
      </w:r>
      <w:r w:rsidR="00963445">
        <w:rPr>
          <w:sz w:val="28"/>
          <w:szCs w:val="28"/>
          <w:lang w:val="en-CA"/>
        </w:rPr>
        <w:t xml:space="preserve">when </w:t>
      </w:r>
      <w:r w:rsidR="007F27E8" w:rsidRPr="00116AED">
        <w:rPr>
          <w:sz w:val="28"/>
          <w:szCs w:val="28"/>
          <w:lang w:val="en-CA"/>
        </w:rPr>
        <w:t>either</w:t>
      </w:r>
      <w:r w:rsidR="00A95E9E" w:rsidRPr="00116AED">
        <w:rPr>
          <w:sz w:val="28"/>
          <w:szCs w:val="28"/>
          <w:lang w:val="en-CA"/>
        </w:rPr>
        <w:t xml:space="preserve"> </w:t>
      </w:r>
      <w:r w:rsidR="006A2218">
        <w:rPr>
          <w:sz w:val="28"/>
          <w:szCs w:val="28"/>
          <w:lang w:val="en-CA"/>
        </w:rPr>
        <w:t xml:space="preserve">E. </w:t>
      </w:r>
      <w:r w:rsidR="00A95E9E" w:rsidRPr="00116AED">
        <w:rPr>
          <w:sz w:val="28"/>
          <w:szCs w:val="28"/>
          <w:lang w:val="en-CA"/>
        </w:rPr>
        <w:t xml:space="preserve">or </w:t>
      </w:r>
      <w:r w:rsidR="006A2218">
        <w:rPr>
          <w:sz w:val="28"/>
          <w:szCs w:val="28"/>
          <w:lang w:val="en-CA"/>
        </w:rPr>
        <w:t xml:space="preserve">D. </w:t>
      </w:r>
      <w:r w:rsidR="00A95E9E" w:rsidRPr="00116AED">
        <w:rPr>
          <w:sz w:val="28"/>
          <w:szCs w:val="28"/>
          <w:lang w:val="en-CA"/>
        </w:rPr>
        <w:t xml:space="preserve">drank from the bottle, the bottle would go back to </w:t>
      </w:r>
      <w:r w:rsidR="00D978B2">
        <w:rPr>
          <w:sz w:val="28"/>
          <w:szCs w:val="28"/>
          <w:lang w:val="en-CA"/>
        </w:rPr>
        <w:t xml:space="preserve">L. </w:t>
      </w:r>
      <w:r w:rsidR="00A95E9E" w:rsidRPr="00116AED">
        <w:rPr>
          <w:sz w:val="28"/>
          <w:szCs w:val="28"/>
          <w:lang w:val="en-CA"/>
        </w:rPr>
        <w:t xml:space="preserve">who would then pass it on or drink from it. </w:t>
      </w:r>
      <w:r w:rsidR="007B1155" w:rsidRPr="00116AED">
        <w:rPr>
          <w:sz w:val="28"/>
          <w:szCs w:val="28"/>
          <w:lang w:val="en-CA"/>
        </w:rPr>
        <w:t xml:space="preserve"> There is evidence that </w:t>
      </w:r>
      <w:r w:rsidR="006A2218">
        <w:rPr>
          <w:sz w:val="28"/>
          <w:szCs w:val="28"/>
          <w:lang w:val="en-CA"/>
        </w:rPr>
        <w:t xml:space="preserve">E. </w:t>
      </w:r>
      <w:r w:rsidR="00A95E9E" w:rsidRPr="00116AED">
        <w:rPr>
          <w:sz w:val="28"/>
          <w:szCs w:val="28"/>
          <w:lang w:val="en-CA"/>
        </w:rPr>
        <w:t>was 12 years old at the time, well be</w:t>
      </w:r>
      <w:r w:rsidR="00963445">
        <w:rPr>
          <w:sz w:val="28"/>
          <w:szCs w:val="28"/>
          <w:lang w:val="en-CA"/>
        </w:rPr>
        <w:t>low the legal a</w:t>
      </w:r>
      <w:r w:rsidR="000958E9">
        <w:rPr>
          <w:sz w:val="28"/>
          <w:szCs w:val="28"/>
          <w:lang w:val="en-CA"/>
        </w:rPr>
        <w:t>ge</w:t>
      </w:r>
      <w:r w:rsidR="00963445">
        <w:rPr>
          <w:sz w:val="28"/>
          <w:szCs w:val="28"/>
          <w:lang w:val="en-CA"/>
        </w:rPr>
        <w:t xml:space="preserve"> for drinking.  </w:t>
      </w:r>
      <w:r w:rsidR="00A95E9E" w:rsidRPr="00116AED">
        <w:rPr>
          <w:sz w:val="28"/>
          <w:szCs w:val="28"/>
          <w:lang w:val="en-CA"/>
        </w:rPr>
        <w:t>In determining whether the underlying offence is made out</w:t>
      </w:r>
      <w:r w:rsidR="00470830" w:rsidRPr="00116AED">
        <w:rPr>
          <w:sz w:val="28"/>
          <w:szCs w:val="28"/>
          <w:lang w:val="en-CA"/>
        </w:rPr>
        <w:t>, the</w:t>
      </w:r>
      <w:r w:rsidR="00EE222F" w:rsidRPr="00116AED">
        <w:rPr>
          <w:sz w:val="28"/>
          <w:szCs w:val="28"/>
          <w:lang w:val="en-CA"/>
        </w:rPr>
        <w:t xml:space="preserve"> fact that </w:t>
      </w:r>
      <w:r w:rsidR="00D978B2">
        <w:rPr>
          <w:sz w:val="28"/>
          <w:szCs w:val="28"/>
          <w:lang w:val="en-CA"/>
        </w:rPr>
        <w:t xml:space="preserve">L. </w:t>
      </w:r>
      <w:r w:rsidR="00EE222F" w:rsidRPr="00116AED">
        <w:rPr>
          <w:sz w:val="28"/>
          <w:szCs w:val="28"/>
          <w:lang w:val="en-CA"/>
        </w:rPr>
        <w:t xml:space="preserve">himself was underage at the </w:t>
      </w:r>
      <w:r w:rsidR="00470830" w:rsidRPr="00116AED">
        <w:rPr>
          <w:sz w:val="28"/>
          <w:szCs w:val="28"/>
          <w:lang w:val="en-CA"/>
        </w:rPr>
        <w:t>time</w:t>
      </w:r>
      <w:r w:rsidR="00EE222F" w:rsidRPr="00116AED">
        <w:rPr>
          <w:sz w:val="28"/>
          <w:szCs w:val="28"/>
          <w:lang w:val="en-CA"/>
        </w:rPr>
        <w:t xml:space="preserve"> is irrelevant. </w:t>
      </w:r>
    </w:p>
    <w:p w14:paraId="7332D6BE" w14:textId="3B76289D" w:rsidR="00D374B5" w:rsidRPr="00116AED" w:rsidRDefault="003000D0">
      <w:pPr>
        <w:rPr>
          <w:sz w:val="28"/>
          <w:szCs w:val="28"/>
          <w:lang w:val="en-CA"/>
        </w:rPr>
      </w:pPr>
      <w:r>
        <w:rPr>
          <w:sz w:val="28"/>
          <w:szCs w:val="28"/>
          <w:lang w:val="en-CA"/>
        </w:rPr>
        <w:t>[26]</w:t>
      </w:r>
      <w:r>
        <w:rPr>
          <w:sz w:val="28"/>
          <w:szCs w:val="28"/>
          <w:lang w:val="en-CA"/>
        </w:rPr>
        <w:tab/>
      </w:r>
      <w:r w:rsidR="00132F6C" w:rsidRPr="00116AED">
        <w:rPr>
          <w:sz w:val="28"/>
          <w:szCs w:val="28"/>
          <w:lang w:val="en-CA"/>
        </w:rPr>
        <w:t xml:space="preserve">There is </w:t>
      </w:r>
      <w:r w:rsidR="005E61DA" w:rsidRPr="00116AED">
        <w:rPr>
          <w:sz w:val="28"/>
          <w:szCs w:val="28"/>
          <w:lang w:val="en-CA"/>
        </w:rPr>
        <w:t xml:space="preserve">sufficient </w:t>
      </w:r>
      <w:r w:rsidR="00132F6C" w:rsidRPr="00116AED">
        <w:rPr>
          <w:sz w:val="28"/>
          <w:szCs w:val="28"/>
          <w:lang w:val="en-CA"/>
        </w:rPr>
        <w:t xml:space="preserve">evidence </w:t>
      </w:r>
      <w:r w:rsidR="00470830" w:rsidRPr="00116AED">
        <w:rPr>
          <w:sz w:val="28"/>
          <w:szCs w:val="28"/>
          <w:lang w:val="en-CA"/>
        </w:rPr>
        <w:t>up</w:t>
      </w:r>
      <w:r w:rsidR="00132F6C" w:rsidRPr="00116AED">
        <w:rPr>
          <w:sz w:val="28"/>
          <w:szCs w:val="28"/>
          <w:lang w:val="en-CA"/>
        </w:rPr>
        <w:t>on which a</w:t>
      </w:r>
      <w:r w:rsidR="000B28B9" w:rsidRPr="00116AED">
        <w:rPr>
          <w:sz w:val="28"/>
          <w:szCs w:val="28"/>
          <w:lang w:val="en-CA"/>
        </w:rPr>
        <w:t xml:space="preserve"> reasonable</w:t>
      </w:r>
      <w:r w:rsidR="00132F6C" w:rsidRPr="00116AED">
        <w:rPr>
          <w:sz w:val="28"/>
          <w:szCs w:val="28"/>
          <w:lang w:val="en-CA"/>
        </w:rPr>
        <w:t xml:space="preserve"> jury properly instructed could find that </w:t>
      </w:r>
      <w:r w:rsidR="00D978B2">
        <w:rPr>
          <w:sz w:val="28"/>
          <w:szCs w:val="28"/>
          <w:lang w:val="en-CA"/>
        </w:rPr>
        <w:t xml:space="preserve">L. </w:t>
      </w:r>
      <w:r w:rsidR="00132F6C" w:rsidRPr="00116AED">
        <w:rPr>
          <w:sz w:val="28"/>
          <w:szCs w:val="28"/>
          <w:lang w:val="en-CA"/>
        </w:rPr>
        <w:t xml:space="preserve">committed the offence of unlawfully </w:t>
      </w:r>
      <w:r w:rsidR="000B28B9" w:rsidRPr="00116AED">
        <w:rPr>
          <w:sz w:val="28"/>
          <w:szCs w:val="28"/>
          <w:lang w:val="en-CA"/>
        </w:rPr>
        <w:t>supplying</w:t>
      </w:r>
      <w:r w:rsidR="00132F6C" w:rsidRPr="00116AED">
        <w:rPr>
          <w:sz w:val="28"/>
          <w:szCs w:val="28"/>
          <w:lang w:val="en-CA"/>
        </w:rPr>
        <w:t xml:space="preserve"> liquor to a minor contrary to s. 77 of the </w:t>
      </w:r>
      <w:r w:rsidR="00132F6C" w:rsidRPr="00116AED">
        <w:rPr>
          <w:i/>
          <w:sz w:val="28"/>
          <w:szCs w:val="28"/>
          <w:lang w:val="en-CA"/>
        </w:rPr>
        <w:t>Liquor Act</w:t>
      </w:r>
      <w:r w:rsidR="000B28B9" w:rsidRPr="00116AED">
        <w:rPr>
          <w:sz w:val="28"/>
          <w:szCs w:val="28"/>
          <w:lang w:val="en-CA"/>
        </w:rPr>
        <w:t>.</w:t>
      </w:r>
    </w:p>
    <w:p w14:paraId="00651CB5" w14:textId="77777777" w:rsidR="00D374B5" w:rsidRPr="00116AED" w:rsidRDefault="00F24D7B" w:rsidP="00F24D7B">
      <w:pPr>
        <w:ind w:left="1440"/>
        <w:rPr>
          <w:i/>
          <w:sz w:val="28"/>
          <w:szCs w:val="28"/>
          <w:lang w:val="en-CA"/>
        </w:rPr>
      </w:pPr>
      <w:r w:rsidRPr="00116AED">
        <w:rPr>
          <w:i/>
          <w:sz w:val="28"/>
          <w:szCs w:val="28"/>
          <w:lang w:val="en-CA"/>
        </w:rPr>
        <w:t>ii.</w:t>
      </w:r>
      <w:r w:rsidRPr="00116AED">
        <w:rPr>
          <w:i/>
          <w:sz w:val="28"/>
          <w:szCs w:val="28"/>
          <w:lang w:val="en-CA"/>
        </w:rPr>
        <w:tab/>
      </w:r>
      <w:r w:rsidR="00D374B5" w:rsidRPr="00116AED">
        <w:rPr>
          <w:i/>
          <w:sz w:val="28"/>
          <w:szCs w:val="28"/>
          <w:lang w:val="en-CA"/>
        </w:rPr>
        <w:t>Objective Dangerousness</w:t>
      </w:r>
    </w:p>
    <w:p w14:paraId="420AF723" w14:textId="12BB2C9C" w:rsidR="00AC4E3F" w:rsidRPr="00116AED" w:rsidRDefault="003000D0">
      <w:pPr>
        <w:rPr>
          <w:rFonts w:ascii="Helvetica" w:hAnsi="Helvetica" w:cs="Helvetica"/>
          <w:sz w:val="28"/>
          <w:szCs w:val="28"/>
          <w:lang w:val="en-CA"/>
        </w:rPr>
      </w:pPr>
      <w:r>
        <w:rPr>
          <w:sz w:val="28"/>
          <w:szCs w:val="28"/>
          <w:lang w:val="en-CA"/>
        </w:rPr>
        <w:t>[27]</w:t>
      </w:r>
      <w:r>
        <w:rPr>
          <w:sz w:val="28"/>
          <w:szCs w:val="28"/>
          <w:lang w:val="en-CA"/>
        </w:rPr>
        <w:tab/>
      </w:r>
      <w:r w:rsidR="005E61DA" w:rsidRPr="00116AED">
        <w:rPr>
          <w:sz w:val="28"/>
          <w:szCs w:val="28"/>
          <w:lang w:val="en-CA"/>
        </w:rPr>
        <w:t>The</w:t>
      </w:r>
      <w:r w:rsidR="00D374B5" w:rsidRPr="00116AED">
        <w:rPr>
          <w:sz w:val="28"/>
          <w:szCs w:val="28"/>
          <w:lang w:val="en-CA"/>
        </w:rPr>
        <w:t xml:space="preserve"> British Columbia </w:t>
      </w:r>
      <w:r w:rsidR="005E61DA" w:rsidRPr="00116AED">
        <w:rPr>
          <w:sz w:val="28"/>
          <w:szCs w:val="28"/>
          <w:lang w:val="en-CA"/>
        </w:rPr>
        <w:t>Supreme Court</w:t>
      </w:r>
      <w:r w:rsidR="00D374B5" w:rsidRPr="00116AED">
        <w:rPr>
          <w:sz w:val="28"/>
          <w:szCs w:val="28"/>
          <w:lang w:val="en-CA"/>
        </w:rPr>
        <w:t xml:space="preserve">, </w:t>
      </w:r>
      <w:r w:rsidR="005E61DA" w:rsidRPr="00116AED">
        <w:rPr>
          <w:sz w:val="28"/>
          <w:szCs w:val="28"/>
          <w:lang w:val="en-CA"/>
        </w:rPr>
        <w:t>in R</w:t>
      </w:r>
      <w:r w:rsidR="00BF179E" w:rsidRPr="00116AED">
        <w:rPr>
          <w:i/>
          <w:sz w:val="28"/>
          <w:szCs w:val="28"/>
          <w:lang w:val="en-CA"/>
        </w:rPr>
        <w:t>. v. Tremblay,</w:t>
      </w:r>
      <w:r w:rsidR="00BF179E" w:rsidRPr="00116AED">
        <w:rPr>
          <w:sz w:val="28"/>
          <w:szCs w:val="28"/>
          <w:lang w:val="en-CA"/>
        </w:rPr>
        <w:t xml:space="preserve"> [2013] BCJ No. 959 (BCSC), </w:t>
      </w:r>
      <w:r w:rsidR="00D374B5" w:rsidRPr="00116AED">
        <w:rPr>
          <w:sz w:val="28"/>
          <w:szCs w:val="28"/>
          <w:lang w:val="en-CA"/>
        </w:rPr>
        <w:t xml:space="preserve">when considering </w:t>
      </w:r>
      <w:r w:rsidR="00AC4E3F" w:rsidRPr="00116AED">
        <w:rPr>
          <w:sz w:val="28"/>
          <w:szCs w:val="28"/>
          <w:lang w:val="en-CA"/>
        </w:rPr>
        <w:t xml:space="preserve">similar legislation in </w:t>
      </w:r>
      <w:r w:rsidR="00BF179E" w:rsidRPr="00116AED">
        <w:rPr>
          <w:sz w:val="28"/>
          <w:szCs w:val="28"/>
          <w:lang w:val="en-CA"/>
        </w:rPr>
        <w:t xml:space="preserve">a </w:t>
      </w:r>
      <w:r w:rsidR="00AC4E3F" w:rsidRPr="00116AED">
        <w:rPr>
          <w:sz w:val="28"/>
          <w:szCs w:val="28"/>
          <w:lang w:val="en-CA"/>
        </w:rPr>
        <w:t>case where the charg</w:t>
      </w:r>
      <w:r w:rsidR="00BF179E" w:rsidRPr="00116AED">
        <w:rPr>
          <w:sz w:val="28"/>
          <w:szCs w:val="28"/>
          <w:lang w:val="en-CA"/>
        </w:rPr>
        <w:t>es included criminal negligence</w:t>
      </w:r>
      <w:r w:rsidR="00AC4E3F" w:rsidRPr="00116AED">
        <w:rPr>
          <w:sz w:val="28"/>
          <w:szCs w:val="28"/>
          <w:lang w:val="en-CA"/>
        </w:rPr>
        <w:t xml:space="preserve"> and failing to provide the necessaries of life</w:t>
      </w:r>
      <w:r w:rsidR="00BF179E" w:rsidRPr="00116AED">
        <w:rPr>
          <w:sz w:val="28"/>
          <w:szCs w:val="28"/>
          <w:lang w:val="en-CA"/>
        </w:rPr>
        <w:t>,</w:t>
      </w:r>
      <w:r w:rsidR="00AC4E3F" w:rsidRPr="00116AED">
        <w:rPr>
          <w:sz w:val="28"/>
          <w:szCs w:val="28"/>
          <w:lang w:val="en-CA"/>
        </w:rPr>
        <w:t xml:space="preserve"> </w:t>
      </w:r>
      <w:r w:rsidR="00BF179E" w:rsidRPr="00116AED">
        <w:rPr>
          <w:sz w:val="28"/>
          <w:szCs w:val="28"/>
          <w:lang w:val="en-CA"/>
        </w:rPr>
        <w:t>stated:</w:t>
      </w:r>
    </w:p>
    <w:p w14:paraId="39B7DA13" w14:textId="77777777" w:rsidR="00AC4E3F" w:rsidRPr="00116AED" w:rsidRDefault="00AC4E3F" w:rsidP="0011564A">
      <w:pPr>
        <w:ind w:left="720"/>
        <w:rPr>
          <w:sz w:val="24"/>
          <w:szCs w:val="24"/>
          <w:lang w:val="en-CA"/>
        </w:rPr>
      </w:pPr>
      <w:r w:rsidRPr="00116AED">
        <w:rPr>
          <w:rStyle w:val="ssbf1"/>
          <w:rFonts w:cs="Helvetica"/>
          <w:b w:val="0"/>
          <w:bCs w:val="0"/>
          <w:color w:val="auto"/>
          <w:sz w:val="24"/>
          <w:szCs w:val="24"/>
          <w:lang w:val="en-CA"/>
        </w:rPr>
        <w:t>82</w:t>
      </w:r>
      <w:r w:rsidRPr="00116AED">
        <w:rPr>
          <w:rFonts w:cs="Helvetica"/>
          <w:b/>
          <w:sz w:val="24"/>
          <w:szCs w:val="24"/>
          <w:lang w:val="en-CA"/>
        </w:rPr>
        <w:t>  </w:t>
      </w:r>
      <w:r w:rsidRPr="00116AED">
        <w:rPr>
          <w:rFonts w:cs="Helvetica"/>
          <w:sz w:val="24"/>
          <w:szCs w:val="24"/>
          <w:lang w:val="en-CA"/>
        </w:rPr>
        <w:t xml:space="preserve">The </w:t>
      </w:r>
      <w:r w:rsidRPr="00116AED">
        <w:rPr>
          <w:rStyle w:val="ssit1"/>
          <w:rFonts w:cs="Helvetica"/>
          <w:sz w:val="24"/>
          <w:szCs w:val="24"/>
          <w:lang w:val="en-CA"/>
        </w:rPr>
        <w:t>Liquor Control and Licensing Act</w:t>
      </w:r>
      <w:r w:rsidRPr="00116AED">
        <w:rPr>
          <w:rFonts w:cs="Helvetica"/>
          <w:sz w:val="24"/>
          <w:szCs w:val="24"/>
          <w:lang w:val="en-CA"/>
        </w:rPr>
        <w:t xml:space="preserve"> prohibits a person from possessing liquor for the purpose of supplying it to a minor and, of course, from actually supplying liquor to a minor. </w:t>
      </w:r>
      <w:r w:rsidR="00A558A8" w:rsidRPr="00116AED">
        <w:rPr>
          <w:rFonts w:cs="Helvetica"/>
          <w:sz w:val="24"/>
          <w:szCs w:val="24"/>
          <w:lang w:val="en-CA"/>
        </w:rPr>
        <w:t xml:space="preserve"> </w:t>
      </w:r>
      <w:r w:rsidRPr="00116AED">
        <w:rPr>
          <w:rFonts w:cs="Helvetica"/>
          <w:sz w:val="24"/>
          <w:szCs w:val="24"/>
          <w:lang w:val="en-CA"/>
        </w:rPr>
        <w:t>This reflects society's concern that minors must be protected from the direct and indirect harmful consequences of the consumption of liquor</w:t>
      </w:r>
      <w:r w:rsidRPr="00116AED">
        <w:rPr>
          <w:sz w:val="24"/>
          <w:szCs w:val="24"/>
          <w:lang w:val="en-CA"/>
        </w:rPr>
        <w:t>.</w:t>
      </w:r>
    </w:p>
    <w:p w14:paraId="5D35E364" w14:textId="77777777" w:rsidR="00BF179E" w:rsidRPr="00116AED" w:rsidRDefault="00BF179E" w:rsidP="0011564A">
      <w:pPr>
        <w:ind w:left="720"/>
        <w:rPr>
          <w:sz w:val="24"/>
          <w:szCs w:val="24"/>
          <w:lang w:val="en-CA"/>
        </w:rPr>
      </w:pPr>
      <w:r w:rsidRPr="00116AED">
        <w:rPr>
          <w:sz w:val="24"/>
          <w:szCs w:val="24"/>
          <w:lang w:val="en-CA"/>
        </w:rPr>
        <w:t xml:space="preserve">.   .   . </w:t>
      </w:r>
    </w:p>
    <w:p w14:paraId="77616105" w14:textId="556ADE41" w:rsidR="00AC4E3F" w:rsidRPr="00116AED" w:rsidRDefault="00AC4E3F" w:rsidP="0011564A">
      <w:pPr>
        <w:spacing w:before="100" w:beforeAutospacing="1" w:after="100" w:afterAutospacing="1" w:line="240" w:lineRule="auto"/>
        <w:ind w:left="720"/>
        <w:rPr>
          <w:rFonts w:eastAsia="Times New Roman" w:cs="Helvetica"/>
          <w:sz w:val="24"/>
          <w:szCs w:val="24"/>
          <w:lang w:val="en-CA"/>
        </w:rPr>
      </w:pPr>
      <w:r w:rsidRPr="00116AED">
        <w:rPr>
          <w:rFonts w:eastAsia="Times New Roman" w:cs="Helvetica"/>
          <w:sz w:val="24"/>
          <w:szCs w:val="24"/>
          <w:lang w:val="en-CA"/>
        </w:rPr>
        <w:t>86  </w:t>
      </w:r>
      <w:r w:rsidR="000B28B9" w:rsidRPr="00116AED">
        <w:rPr>
          <w:rFonts w:eastAsia="Times New Roman" w:cs="Helvetica"/>
          <w:sz w:val="24"/>
          <w:szCs w:val="24"/>
          <w:lang w:val="en-CA"/>
        </w:rPr>
        <w:t xml:space="preserve">.   .   . </w:t>
      </w:r>
      <w:r w:rsidRPr="00116AED">
        <w:rPr>
          <w:rFonts w:eastAsia="Times New Roman" w:cs="Helvetica"/>
          <w:sz w:val="24"/>
          <w:szCs w:val="24"/>
          <w:lang w:val="en-CA"/>
        </w:rPr>
        <w:t xml:space="preserve"> Society regards children to be vulnerable and thus </w:t>
      </w:r>
      <w:r w:rsidR="00963445">
        <w:rPr>
          <w:rFonts w:eastAsia="Times New Roman" w:cs="Helvetica"/>
          <w:sz w:val="24"/>
          <w:szCs w:val="24"/>
          <w:lang w:val="en-CA"/>
        </w:rPr>
        <w:t xml:space="preserve">in need of care and attention.  </w:t>
      </w:r>
      <w:r w:rsidRPr="00116AED">
        <w:rPr>
          <w:rFonts w:eastAsia="Times New Roman" w:cs="Helvetica"/>
          <w:sz w:val="24"/>
          <w:szCs w:val="24"/>
          <w:lang w:val="en-CA"/>
        </w:rPr>
        <w:t xml:space="preserve">The consumption of illicit drugs and alcohol by teen-aged children is unquestionably a high-risk activity which the statutory prohibitions seek to prevent. </w:t>
      </w:r>
      <w:r w:rsidR="00A558A8" w:rsidRPr="00116AED">
        <w:rPr>
          <w:rFonts w:eastAsia="Times New Roman" w:cs="Helvetica"/>
          <w:sz w:val="24"/>
          <w:szCs w:val="24"/>
          <w:lang w:val="en-CA"/>
        </w:rPr>
        <w:t xml:space="preserve"> </w:t>
      </w:r>
      <w:r w:rsidRPr="00116AED">
        <w:rPr>
          <w:rFonts w:eastAsia="Times New Roman" w:cs="Helvetica"/>
          <w:sz w:val="24"/>
          <w:szCs w:val="24"/>
          <w:lang w:val="en-CA"/>
        </w:rPr>
        <w:t>These prohibitions indicate the importance of the societal objective.</w:t>
      </w:r>
    </w:p>
    <w:p w14:paraId="6DD3FA05" w14:textId="31AB1AA4" w:rsidR="00AA29A4" w:rsidRPr="00116AED" w:rsidRDefault="003000D0" w:rsidP="00AA29A4">
      <w:pPr>
        <w:rPr>
          <w:sz w:val="28"/>
          <w:szCs w:val="28"/>
          <w:lang w:val="en-CA"/>
        </w:rPr>
      </w:pPr>
      <w:r>
        <w:rPr>
          <w:sz w:val="28"/>
          <w:szCs w:val="28"/>
          <w:lang w:val="en-CA"/>
        </w:rPr>
        <w:t>[28]</w:t>
      </w:r>
      <w:r>
        <w:rPr>
          <w:sz w:val="28"/>
          <w:szCs w:val="28"/>
          <w:lang w:val="en-CA"/>
        </w:rPr>
        <w:tab/>
      </w:r>
      <w:r w:rsidR="00AA29A4" w:rsidRPr="00116AED">
        <w:rPr>
          <w:sz w:val="28"/>
          <w:szCs w:val="28"/>
          <w:lang w:val="en-CA"/>
        </w:rPr>
        <w:t xml:space="preserve">As noted by the Crown, the evidence of Dr. Brooks-Lim referred to the particular susceptibility of children to the effects of alcohol. </w:t>
      </w:r>
    </w:p>
    <w:p w14:paraId="782B7FBC" w14:textId="7A06DDAD" w:rsidR="000B28B9" w:rsidRPr="00116AED" w:rsidRDefault="003000D0">
      <w:pPr>
        <w:rPr>
          <w:sz w:val="28"/>
          <w:szCs w:val="28"/>
          <w:lang w:val="en-CA"/>
        </w:rPr>
      </w:pPr>
      <w:r>
        <w:rPr>
          <w:sz w:val="28"/>
          <w:szCs w:val="28"/>
          <w:lang w:val="en-CA"/>
        </w:rPr>
        <w:t>[29]</w:t>
      </w:r>
      <w:r>
        <w:rPr>
          <w:sz w:val="28"/>
          <w:szCs w:val="28"/>
          <w:lang w:val="en-CA"/>
        </w:rPr>
        <w:tab/>
      </w:r>
      <w:r w:rsidR="000B28B9" w:rsidRPr="00116AED">
        <w:rPr>
          <w:sz w:val="28"/>
          <w:szCs w:val="28"/>
          <w:lang w:val="en-CA"/>
        </w:rPr>
        <w:t xml:space="preserve">The exemptions that are referred to in </w:t>
      </w:r>
      <w:r w:rsidR="005E61DA" w:rsidRPr="00116AED">
        <w:rPr>
          <w:sz w:val="28"/>
          <w:szCs w:val="28"/>
          <w:lang w:val="en-CA"/>
        </w:rPr>
        <w:t xml:space="preserve">s 77(2) of the </w:t>
      </w:r>
      <w:r w:rsidR="005E61DA" w:rsidRPr="00116AED">
        <w:rPr>
          <w:i/>
          <w:sz w:val="28"/>
          <w:szCs w:val="28"/>
          <w:lang w:val="en-CA"/>
        </w:rPr>
        <w:t>Liquor Act</w:t>
      </w:r>
      <w:r w:rsidR="00860EEA" w:rsidRPr="00116AED">
        <w:rPr>
          <w:sz w:val="28"/>
          <w:szCs w:val="28"/>
          <w:lang w:val="en-CA"/>
        </w:rPr>
        <w:t xml:space="preserve"> all refer to situations where the risk </w:t>
      </w:r>
      <w:r w:rsidR="00AA29A4" w:rsidRPr="00116AED">
        <w:rPr>
          <w:sz w:val="28"/>
          <w:szCs w:val="28"/>
          <w:lang w:val="en-CA"/>
        </w:rPr>
        <w:t xml:space="preserve">associated with minors consuming alcohol </w:t>
      </w:r>
      <w:r w:rsidR="00860EEA" w:rsidRPr="00116AED">
        <w:rPr>
          <w:sz w:val="28"/>
          <w:szCs w:val="28"/>
          <w:lang w:val="en-CA"/>
        </w:rPr>
        <w:t>is</w:t>
      </w:r>
      <w:r w:rsidR="00AA29A4" w:rsidRPr="00116AED">
        <w:rPr>
          <w:sz w:val="28"/>
          <w:szCs w:val="28"/>
          <w:lang w:val="en-CA"/>
        </w:rPr>
        <w:t xml:space="preserve"> substantially</w:t>
      </w:r>
      <w:r w:rsidR="00860EEA" w:rsidRPr="00116AED">
        <w:rPr>
          <w:sz w:val="28"/>
          <w:szCs w:val="28"/>
          <w:lang w:val="en-CA"/>
        </w:rPr>
        <w:t xml:space="preserve"> attenuated by the supervision</w:t>
      </w:r>
      <w:r w:rsidR="00044BA6">
        <w:rPr>
          <w:sz w:val="28"/>
          <w:szCs w:val="28"/>
          <w:lang w:val="en-CA"/>
        </w:rPr>
        <w:t xml:space="preserve"> or oversight</w:t>
      </w:r>
      <w:r w:rsidR="00860EEA" w:rsidRPr="00116AED">
        <w:rPr>
          <w:sz w:val="28"/>
          <w:szCs w:val="28"/>
          <w:lang w:val="en-CA"/>
        </w:rPr>
        <w:t xml:space="preserve"> of responsible adults such as parents</w:t>
      </w:r>
      <w:r w:rsidR="00AA29A4" w:rsidRPr="00116AED">
        <w:rPr>
          <w:sz w:val="28"/>
          <w:szCs w:val="28"/>
          <w:lang w:val="en-CA"/>
        </w:rPr>
        <w:t>,</w:t>
      </w:r>
      <w:r w:rsidR="00860EEA" w:rsidRPr="00116AED">
        <w:rPr>
          <w:sz w:val="28"/>
          <w:szCs w:val="28"/>
          <w:lang w:val="en-CA"/>
        </w:rPr>
        <w:t xml:space="preserve"> religious officials</w:t>
      </w:r>
      <w:r w:rsidR="00AA29A4" w:rsidRPr="00116AED">
        <w:rPr>
          <w:sz w:val="28"/>
          <w:szCs w:val="28"/>
          <w:lang w:val="en-CA"/>
        </w:rPr>
        <w:t>,</w:t>
      </w:r>
      <w:r w:rsidR="00860EEA" w:rsidRPr="00116AED">
        <w:rPr>
          <w:sz w:val="28"/>
          <w:szCs w:val="28"/>
          <w:lang w:val="en-CA"/>
        </w:rPr>
        <w:t xml:space="preserve"> or medical professionals. </w:t>
      </w:r>
    </w:p>
    <w:p w14:paraId="37D03B1F" w14:textId="74733692" w:rsidR="002807B7" w:rsidRPr="00116AED" w:rsidRDefault="003000D0">
      <w:pPr>
        <w:rPr>
          <w:sz w:val="28"/>
          <w:szCs w:val="28"/>
          <w:lang w:val="en-CA"/>
        </w:rPr>
      </w:pPr>
      <w:r>
        <w:rPr>
          <w:sz w:val="28"/>
          <w:szCs w:val="28"/>
          <w:lang w:val="en-CA"/>
        </w:rPr>
        <w:t>[30]</w:t>
      </w:r>
      <w:r>
        <w:rPr>
          <w:sz w:val="28"/>
          <w:szCs w:val="28"/>
          <w:lang w:val="en-CA"/>
        </w:rPr>
        <w:tab/>
      </w:r>
      <w:r w:rsidR="002807B7" w:rsidRPr="00116AED">
        <w:rPr>
          <w:sz w:val="28"/>
          <w:szCs w:val="28"/>
          <w:lang w:val="en-CA"/>
        </w:rPr>
        <w:t>In deciding the question of whether L</w:t>
      </w:r>
      <w:r w:rsidR="00E65D4B">
        <w:rPr>
          <w:sz w:val="28"/>
          <w:szCs w:val="28"/>
          <w:lang w:val="en-CA"/>
        </w:rPr>
        <w:t>.</w:t>
      </w:r>
      <w:r w:rsidR="002807B7" w:rsidRPr="00116AED">
        <w:rPr>
          <w:sz w:val="28"/>
          <w:szCs w:val="28"/>
          <w:lang w:val="en-CA"/>
        </w:rPr>
        <w:t>’s action</w:t>
      </w:r>
      <w:r w:rsidR="00CF0C8C" w:rsidRPr="00116AED">
        <w:rPr>
          <w:sz w:val="28"/>
          <w:szCs w:val="28"/>
          <w:lang w:val="en-CA"/>
        </w:rPr>
        <w:t xml:space="preserve">s were objectively dangerous, the question I have to ask myself is </w:t>
      </w:r>
      <w:r w:rsidR="00044BA6">
        <w:rPr>
          <w:sz w:val="28"/>
          <w:szCs w:val="28"/>
          <w:lang w:val="en-CA"/>
        </w:rPr>
        <w:t>w</w:t>
      </w:r>
      <w:r w:rsidR="00044BA6" w:rsidRPr="00116AED">
        <w:rPr>
          <w:sz w:val="28"/>
          <w:szCs w:val="28"/>
          <w:lang w:val="en-CA"/>
        </w:rPr>
        <w:t>hether</w:t>
      </w:r>
      <w:r w:rsidR="00CF0C8C" w:rsidRPr="00116AED">
        <w:rPr>
          <w:sz w:val="28"/>
          <w:szCs w:val="28"/>
          <w:lang w:val="en-CA"/>
        </w:rPr>
        <w:t xml:space="preserve"> a reasonable person in the same circumstances would have realized that he or she was exposing </w:t>
      </w:r>
      <w:r w:rsidR="006A2218">
        <w:rPr>
          <w:sz w:val="28"/>
          <w:szCs w:val="28"/>
          <w:lang w:val="en-CA"/>
        </w:rPr>
        <w:t xml:space="preserve">E. </w:t>
      </w:r>
      <w:r w:rsidR="00CF0C8C" w:rsidRPr="00116AED">
        <w:rPr>
          <w:sz w:val="28"/>
          <w:szCs w:val="28"/>
          <w:lang w:val="en-CA"/>
        </w:rPr>
        <w:t xml:space="preserve">to a </w:t>
      </w:r>
      <w:r w:rsidR="00CF0C8C" w:rsidRPr="00116AED">
        <w:rPr>
          <w:sz w:val="28"/>
          <w:szCs w:val="28"/>
          <w:lang w:val="en-CA"/>
        </w:rPr>
        <w:lastRenderedPageBreak/>
        <w:t xml:space="preserve">risk </w:t>
      </w:r>
      <w:r w:rsidR="00963445">
        <w:rPr>
          <w:sz w:val="28"/>
          <w:szCs w:val="28"/>
          <w:lang w:val="en-CA"/>
        </w:rPr>
        <w:t>of nontrivial bodily harm.  The b</w:t>
      </w:r>
      <w:r w:rsidR="00CF0C8C" w:rsidRPr="00116AED">
        <w:rPr>
          <w:sz w:val="28"/>
          <w:szCs w:val="28"/>
          <w:lang w:val="en-CA"/>
        </w:rPr>
        <w:t>odily harm</w:t>
      </w:r>
      <w:r w:rsidR="00963445">
        <w:rPr>
          <w:sz w:val="28"/>
          <w:szCs w:val="28"/>
          <w:lang w:val="en-CA"/>
        </w:rPr>
        <w:t xml:space="preserve"> that must be foreseeable</w:t>
      </w:r>
      <w:r w:rsidR="00CF0C8C" w:rsidRPr="00116AED">
        <w:rPr>
          <w:sz w:val="28"/>
          <w:szCs w:val="28"/>
          <w:lang w:val="en-CA"/>
        </w:rPr>
        <w:t xml:space="preserve"> is any hurt or injury that interferes with a person’s health or comfort and is more than just brief or minor.  The Crown does not have to prove objective foreseeability of death</w:t>
      </w:r>
      <w:r w:rsidR="00630876">
        <w:rPr>
          <w:sz w:val="28"/>
          <w:szCs w:val="28"/>
          <w:lang w:val="en-CA"/>
        </w:rPr>
        <w:t>.</w:t>
      </w:r>
      <w:r w:rsidR="00CF0C8C" w:rsidRPr="00116AED">
        <w:rPr>
          <w:rStyle w:val="FootnoteReference"/>
          <w:sz w:val="28"/>
          <w:szCs w:val="28"/>
          <w:lang w:val="en-CA"/>
        </w:rPr>
        <w:footnoteReference w:id="7"/>
      </w:r>
      <w:r w:rsidR="00CF0C8C" w:rsidRPr="00116AED">
        <w:rPr>
          <w:sz w:val="28"/>
          <w:szCs w:val="28"/>
          <w:lang w:val="en-CA"/>
        </w:rPr>
        <w:t xml:space="preserve"> </w:t>
      </w:r>
    </w:p>
    <w:p w14:paraId="4A78D66C" w14:textId="030181A5" w:rsidR="00CF0C8C" w:rsidRPr="00116AED" w:rsidRDefault="003000D0" w:rsidP="00CF0C8C">
      <w:pPr>
        <w:rPr>
          <w:sz w:val="28"/>
          <w:szCs w:val="28"/>
          <w:lang w:val="en-CA"/>
        </w:rPr>
      </w:pPr>
      <w:r>
        <w:rPr>
          <w:sz w:val="28"/>
          <w:szCs w:val="28"/>
          <w:lang w:val="en-CA"/>
        </w:rPr>
        <w:t>[31]</w:t>
      </w:r>
      <w:r>
        <w:rPr>
          <w:sz w:val="28"/>
          <w:szCs w:val="28"/>
          <w:lang w:val="en-CA"/>
        </w:rPr>
        <w:tab/>
      </w:r>
      <w:r w:rsidR="00CF0C8C" w:rsidRPr="00116AED">
        <w:rPr>
          <w:sz w:val="28"/>
          <w:szCs w:val="28"/>
          <w:lang w:val="en-CA"/>
        </w:rPr>
        <w:t>The test for determining the objective dangerousness component of the</w:t>
      </w:r>
      <w:r w:rsidR="00CF0C8C" w:rsidRPr="00701D81">
        <w:rPr>
          <w:i/>
          <w:sz w:val="28"/>
          <w:szCs w:val="28"/>
          <w:lang w:val="en-CA"/>
        </w:rPr>
        <w:t xml:space="preserve"> actus reus</w:t>
      </w:r>
      <w:r w:rsidR="00CF0C8C" w:rsidRPr="00116AED">
        <w:rPr>
          <w:sz w:val="28"/>
          <w:szCs w:val="28"/>
          <w:lang w:val="en-CA"/>
        </w:rPr>
        <w:t xml:space="preserve"> of</w:t>
      </w:r>
      <w:r w:rsidR="00963445">
        <w:rPr>
          <w:sz w:val="28"/>
          <w:szCs w:val="28"/>
          <w:lang w:val="en-CA"/>
        </w:rPr>
        <w:t xml:space="preserve"> unlawful act manslaughter</w:t>
      </w:r>
      <w:r w:rsidR="00CF0C8C" w:rsidRPr="00116AED">
        <w:rPr>
          <w:sz w:val="28"/>
          <w:szCs w:val="28"/>
          <w:lang w:val="en-CA"/>
        </w:rPr>
        <w:t xml:space="preserve"> </w:t>
      </w:r>
      <w:r w:rsidR="00701D81" w:rsidRPr="00116AED">
        <w:rPr>
          <w:sz w:val="28"/>
          <w:szCs w:val="28"/>
          <w:lang w:val="en-CA"/>
        </w:rPr>
        <w:t>is,</w:t>
      </w:r>
      <w:r w:rsidR="00963445">
        <w:rPr>
          <w:sz w:val="28"/>
          <w:szCs w:val="28"/>
          <w:lang w:val="en-CA"/>
        </w:rPr>
        <w:t xml:space="preserve"> in fact, </w:t>
      </w:r>
      <w:r w:rsidR="00CF0C8C" w:rsidRPr="00116AED">
        <w:rPr>
          <w:sz w:val="28"/>
          <w:szCs w:val="28"/>
          <w:lang w:val="en-CA"/>
        </w:rPr>
        <w:t xml:space="preserve">the same as </w:t>
      </w:r>
      <w:r w:rsidR="00701D81" w:rsidRPr="00116AED">
        <w:rPr>
          <w:sz w:val="28"/>
          <w:szCs w:val="28"/>
          <w:lang w:val="en-CA"/>
        </w:rPr>
        <w:t>the 2nd</w:t>
      </w:r>
      <w:r w:rsidR="00CF0C8C" w:rsidRPr="00116AED">
        <w:rPr>
          <w:sz w:val="28"/>
          <w:szCs w:val="28"/>
          <w:lang w:val="en-CA"/>
        </w:rPr>
        <w:t xml:space="preserve"> component</w:t>
      </w:r>
      <w:r w:rsidR="00963445">
        <w:rPr>
          <w:sz w:val="28"/>
          <w:szCs w:val="28"/>
          <w:lang w:val="en-CA"/>
        </w:rPr>
        <w:t xml:space="preserve"> of the </w:t>
      </w:r>
      <w:r w:rsidR="00963445" w:rsidRPr="00701D81">
        <w:rPr>
          <w:i/>
          <w:sz w:val="28"/>
          <w:szCs w:val="28"/>
          <w:lang w:val="en-CA"/>
        </w:rPr>
        <w:t xml:space="preserve">mens </w:t>
      </w:r>
      <w:r w:rsidR="00CF0C8C" w:rsidRPr="00701D81">
        <w:rPr>
          <w:i/>
          <w:sz w:val="28"/>
          <w:szCs w:val="28"/>
          <w:lang w:val="en-CA"/>
        </w:rPr>
        <w:t>rea</w:t>
      </w:r>
      <w:r w:rsidR="00CF0C8C" w:rsidRPr="00116AED">
        <w:rPr>
          <w:sz w:val="28"/>
          <w:szCs w:val="28"/>
          <w:lang w:val="en-CA"/>
        </w:rPr>
        <w:t xml:space="preserve"> which requires that a reasonable person would have foreseen that a risk of bodily harm that is more than transitory or trifling would result from the unlawful act in question. </w:t>
      </w:r>
    </w:p>
    <w:p w14:paraId="18C6D5FD" w14:textId="7DFF168B" w:rsidR="009E68E1" w:rsidRPr="00116AED" w:rsidRDefault="003000D0" w:rsidP="009E68E1">
      <w:pPr>
        <w:rPr>
          <w:sz w:val="28"/>
          <w:szCs w:val="28"/>
          <w:lang w:val="en-CA"/>
        </w:rPr>
      </w:pPr>
      <w:r>
        <w:rPr>
          <w:sz w:val="28"/>
          <w:szCs w:val="28"/>
          <w:lang w:val="en-CA"/>
        </w:rPr>
        <w:t>[32]</w:t>
      </w:r>
      <w:r>
        <w:rPr>
          <w:sz w:val="28"/>
          <w:szCs w:val="28"/>
          <w:lang w:val="en-CA"/>
        </w:rPr>
        <w:tab/>
      </w:r>
      <w:r w:rsidR="009E68E1" w:rsidRPr="00116AED">
        <w:rPr>
          <w:sz w:val="28"/>
          <w:szCs w:val="28"/>
          <w:lang w:val="en-CA"/>
        </w:rPr>
        <w:t>L</w:t>
      </w:r>
      <w:r w:rsidR="00E65D4B">
        <w:rPr>
          <w:sz w:val="28"/>
          <w:szCs w:val="28"/>
          <w:lang w:val="en-CA"/>
        </w:rPr>
        <w:t>.</w:t>
      </w:r>
      <w:r w:rsidR="009E68E1" w:rsidRPr="00116AED">
        <w:rPr>
          <w:sz w:val="28"/>
          <w:szCs w:val="28"/>
          <w:lang w:val="en-CA"/>
        </w:rPr>
        <w:t xml:space="preserve">’s counsel argues that in spite of the majority judgment in </w:t>
      </w:r>
      <w:r w:rsidR="009E68E1" w:rsidRPr="00116AED">
        <w:rPr>
          <w:i/>
          <w:sz w:val="28"/>
          <w:szCs w:val="28"/>
          <w:lang w:val="en-CA"/>
        </w:rPr>
        <w:t>Creighton</w:t>
      </w:r>
      <w:r w:rsidR="009E68E1" w:rsidRPr="00116AED">
        <w:rPr>
          <w:sz w:val="28"/>
          <w:szCs w:val="28"/>
          <w:lang w:val="en-CA"/>
        </w:rPr>
        <w:t>, the standard of a reasonable adult should not be a</w:t>
      </w:r>
      <w:r w:rsidR="00DC364E">
        <w:rPr>
          <w:sz w:val="28"/>
          <w:szCs w:val="28"/>
          <w:lang w:val="en-CA"/>
        </w:rPr>
        <w:t xml:space="preserve">pplied to a thirteen year old.  </w:t>
      </w:r>
      <w:r w:rsidR="009E68E1" w:rsidRPr="00116AED">
        <w:rPr>
          <w:sz w:val="28"/>
          <w:szCs w:val="28"/>
          <w:lang w:val="en-CA"/>
        </w:rPr>
        <w:t>He argues that th</w:t>
      </w:r>
      <w:r w:rsidR="00DC364E">
        <w:rPr>
          <w:sz w:val="28"/>
          <w:szCs w:val="28"/>
          <w:lang w:val="en-CA"/>
        </w:rPr>
        <w:t xml:space="preserve">e standard should be that of a reasonable </w:t>
      </w:r>
      <w:r w:rsidR="009E68E1" w:rsidRPr="00116AED">
        <w:rPr>
          <w:sz w:val="28"/>
          <w:szCs w:val="28"/>
          <w:lang w:val="en-CA"/>
        </w:rPr>
        <w:t xml:space="preserve">person the same age as </w:t>
      </w:r>
      <w:r w:rsidR="00DC364E">
        <w:rPr>
          <w:sz w:val="28"/>
          <w:szCs w:val="28"/>
          <w:lang w:val="en-CA"/>
        </w:rPr>
        <w:t xml:space="preserve">L.  </w:t>
      </w:r>
      <w:r w:rsidR="009E68E1" w:rsidRPr="00116AED">
        <w:rPr>
          <w:sz w:val="28"/>
          <w:szCs w:val="28"/>
          <w:lang w:val="en-CA"/>
        </w:rPr>
        <w:t>He further argues that it should not only be a reasonable person of L</w:t>
      </w:r>
      <w:r w:rsidR="00E65D4B">
        <w:rPr>
          <w:sz w:val="28"/>
          <w:szCs w:val="28"/>
          <w:lang w:val="en-CA"/>
        </w:rPr>
        <w:t>.</w:t>
      </w:r>
      <w:r w:rsidR="009E68E1" w:rsidRPr="00116AED">
        <w:rPr>
          <w:sz w:val="28"/>
          <w:szCs w:val="28"/>
          <w:lang w:val="en-CA"/>
        </w:rPr>
        <w:t xml:space="preserve">’s age, but also a person with the same </w:t>
      </w:r>
      <w:r w:rsidR="00DC364E">
        <w:rPr>
          <w:sz w:val="28"/>
          <w:szCs w:val="28"/>
          <w:lang w:val="en-CA"/>
        </w:rPr>
        <w:t xml:space="preserve">general </w:t>
      </w:r>
      <w:r w:rsidR="009E68E1" w:rsidRPr="00116AED">
        <w:rPr>
          <w:sz w:val="28"/>
          <w:szCs w:val="28"/>
          <w:lang w:val="en-CA"/>
        </w:rPr>
        <w:t xml:space="preserve">personal characteristics, such as intelligence and experience, as L.  He has made these submissions when referring to the objective foreseeability of bodily harm.  However, it would seem that these same submissions would apply when determining whether a marked departure from the standard of a reasonable person is made out. </w:t>
      </w:r>
    </w:p>
    <w:p w14:paraId="1F0BFBD7" w14:textId="6763DBDC" w:rsidR="00CF0C8C" w:rsidRPr="00116AED" w:rsidRDefault="003000D0">
      <w:pPr>
        <w:rPr>
          <w:sz w:val="28"/>
          <w:szCs w:val="28"/>
          <w:lang w:val="en-CA"/>
        </w:rPr>
      </w:pPr>
      <w:r>
        <w:rPr>
          <w:sz w:val="28"/>
          <w:szCs w:val="28"/>
          <w:lang w:val="en-CA"/>
        </w:rPr>
        <w:t>[33]</w:t>
      </w:r>
      <w:r>
        <w:rPr>
          <w:sz w:val="28"/>
          <w:szCs w:val="28"/>
          <w:lang w:val="en-CA"/>
        </w:rPr>
        <w:tab/>
      </w:r>
      <w:r w:rsidR="009E68E1" w:rsidRPr="00116AED">
        <w:rPr>
          <w:sz w:val="28"/>
          <w:szCs w:val="28"/>
          <w:lang w:val="en-CA"/>
        </w:rPr>
        <w:t>Since I really have little to no evidence concerning L</w:t>
      </w:r>
      <w:r w:rsidR="00E65D4B">
        <w:rPr>
          <w:sz w:val="28"/>
          <w:szCs w:val="28"/>
          <w:lang w:val="en-CA"/>
        </w:rPr>
        <w:t>.</w:t>
      </w:r>
      <w:r w:rsidR="009E68E1" w:rsidRPr="00116AED">
        <w:rPr>
          <w:sz w:val="28"/>
          <w:szCs w:val="28"/>
          <w:lang w:val="en-CA"/>
        </w:rPr>
        <w:t>’s intelligence and experience, it would stand to reason that even if I were to accept Mr. Harte’s submissions on this point, I would need to apply the test of a reasonable 13 year old.  However, I find that I do not need to determine whether the standard is that of a reasonable adult or reasonable 13 year old, since I find that L</w:t>
      </w:r>
      <w:r w:rsidR="00E65D4B">
        <w:rPr>
          <w:sz w:val="28"/>
          <w:szCs w:val="28"/>
          <w:lang w:val="en-CA"/>
        </w:rPr>
        <w:t>.</w:t>
      </w:r>
      <w:r w:rsidR="009E68E1" w:rsidRPr="00116AED">
        <w:rPr>
          <w:sz w:val="28"/>
          <w:szCs w:val="28"/>
          <w:lang w:val="en-CA"/>
        </w:rPr>
        <w:t xml:space="preserve">’s actions as described in the evidence I have before me </w:t>
      </w:r>
      <w:r w:rsidR="00DC364E">
        <w:rPr>
          <w:sz w:val="28"/>
          <w:szCs w:val="28"/>
          <w:lang w:val="en-CA"/>
        </w:rPr>
        <w:t xml:space="preserve">could be found to </w:t>
      </w:r>
      <w:r w:rsidR="009E68E1" w:rsidRPr="00116AED">
        <w:rPr>
          <w:sz w:val="28"/>
          <w:szCs w:val="28"/>
          <w:lang w:val="en-CA"/>
        </w:rPr>
        <w:t xml:space="preserve">constitute a marked departure from both standards. </w:t>
      </w:r>
    </w:p>
    <w:p w14:paraId="29C93209" w14:textId="752BD53A" w:rsidR="00860EEA" w:rsidRPr="00116AED" w:rsidRDefault="003000D0">
      <w:pPr>
        <w:rPr>
          <w:sz w:val="28"/>
          <w:szCs w:val="28"/>
          <w:lang w:val="en-CA"/>
        </w:rPr>
      </w:pPr>
      <w:r>
        <w:rPr>
          <w:sz w:val="28"/>
          <w:szCs w:val="28"/>
          <w:lang w:val="en-CA"/>
        </w:rPr>
        <w:t>[34]</w:t>
      </w:r>
      <w:r>
        <w:rPr>
          <w:sz w:val="28"/>
          <w:szCs w:val="28"/>
          <w:lang w:val="en-CA"/>
        </w:rPr>
        <w:tab/>
      </w:r>
      <w:r w:rsidR="00860EEA" w:rsidRPr="00116AED">
        <w:rPr>
          <w:sz w:val="28"/>
          <w:szCs w:val="28"/>
          <w:lang w:val="en-CA"/>
        </w:rPr>
        <w:t>In this case L</w:t>
      </w:r>
      <w:r w:rsidR="00E65D4B">
        <w:rPr>
          <w:sz w:val="28"/>
          <w:szCs w:val="28"/>
          <w:lang w:val="en-CA"/>
        </w:rPr>
        <w:t>.</w:t>
      </w:r>
      <w:r w:rsidR="00860EEA" w:rsidRPr="00116AED">
        <w:rPr>
          <w:sz w:val="28"/>
          <w:szCs w:val="28"/>
          <w:lang w:val="en-CA"/>
        </w:rPr>
        <w:t xml:space="preserve">’s actions in committing the predicate offence, as described by </w:t>
      </w:r>
      <w:r w:rsidR="006A2218">
        <w:rPr>
          <w:sz w:val="28"/>
          <w:szCs w:val="28"/>
          <w:lang w:val="en-CA"/>
        </w:rPr>
        <w:t>D.</w:t>
      </w:r>
      <w:r w:rsidR="00860EEA" w:rsidRPr="00116AED">
        <w:rPr>
          <w:sz w:val="28"/>
          <w:szCs w:val="28"/>
          <w:lang w:val="en-CA"/>
        </w:rPr>
        <w:t xml:space="preserve">, </w:t>
      </w:r>
      <w:r w:rsidR="00AA29A4" w:rsidRPr="00116AED">
        <w:rPr>
          <w:sz w:val="28"/>
          <w:szCs w:val="28"/>
          <w:lang w:val="en-CA"/>
        </w:rPr>
        <w:t>were very dangerous.</w:t>
      </w:r>
      <w:r w:rsidR="003F5B5F">
        <w:rPr>
          <w:sz w:val="28"/>
          <w:szCs w:val="28"/>
          <w:lang w:val="en-CA"/>
        </w:rPr>
        <w:t xml:space="preserve">  </w:t>
      </w:r>
      <w:r w:rsidR="00DC364E">
        <w:rPr>
          <w:sz w:val="28"/>
          <w:szCs w:val="28"/>
          <w:lang w:val="en-CA"/>
        </w:rPr>
        <w:t xml:space="preserve">He supplied a large amount of alcohol to the 12 year old </w:t>
      </w:r>
      <w:r w:rsidR="006A2218">
        <w:rPr>
          <w:sz w:val="28"/>
          <w:szCs w:val="28"/>
          <w:lang w:val="en-CA"/>
        </w:rPr>
        <w:t xml:space="preserve">E. </w:t>
      </w:r>
      <w:r w:rsidR="00DC364E">
        <w:rPr>
          <w:sz w:val="28"/>
          <w:szCs w:val="28"/>
          <w:lang w:val="en-CA"/>
        </w:rPr>
        <w:t xml:space="preserve">in what appears to have been a short amount of time. </w:t>
      </w:r>
      <w:r w:rsidR="00AA29A4" w:rsidRPr="00116AED">
        <w:rPr>
          <w:sz w:val="28"/>
          <w:szCs w:val="28"/>
          <w:lang w:val="en-CA"/>
        </w:rPr>
        <w:t xml:space="preserve">  He</w:t>
      </w:r>
      <w:r w:rsidR="00860EEA" w:rsidRPr="00116AED">
        <w:rPr>
          <w:sz w:val="28"/>
          <w:szCs w:val="28"/>
          <w:lang w:val="en-CA"/>
        </w:rPr>
        <w:t xml:space="preserve"> continued to supply </w:t>
      </w:r>
      <w:r w:rsidR="00DC364E">
        <w:rPr>
          <w:sz w:val="28"/>
          <w:szCs w:val="28"/>
          <w:lang w:val="en-CA"/>
        </w:rPr>
        <w:t>her</w:t>
      </w:r>
      <w:r w:rsidR="00AA29A4" w:rsidRPr="00116AED">
        <w:rPr>
          <w:sz w:val="28"/>
          <w:szCs w:val="28"/>
          <w:lang w:val="en-CA"/>
        </w:rPr>
        <w:t xml:space="preserve"> with alcohol after she </w:t>
      </w:r>
      <w:r w:rsidR="00860EEA" w:rsidRPr="00116AED">
        <w:rPr>
          <w:sz w:val="28"/>
          <w:szCs w:val="28"/>
          <w:lang w:val="en-CA"/>
        </w:rPr>
        <w:t xml:space="preserve">was showing </w:t>
      </w:r>
      <w:r w:rsidR="00AA29A4" w:rsidRPr="00116AED">
        <w:rPr>
          <w:sz w:val="28"/>
          <w:szCs w:val="28"/>
          <w:lang w:val="en-CA"/>
        </w:rPr>
        <w:t xml:space="preserve">clear and obvious signs of being heavily </w:t>
      </w:r>
      <w:r w:rsidR="00AA29A4" w:rsidRPr="00116AED">
        <w:rPr>
          <w:sz w:val="28"/>
          <w:szCs w:val="28"/>
          <w:lang w:val="en-CA"/>
        </w:rPr>
        <w:lastRenderedPageBreak/>
        <w:t xml:space="preserve">intoxicated such </w:t>
      </w:r>
      <w:r w:rsidR="000D4BBB" w:rsidRPr="00116AED">
        <w:rPr>
          <w:sz w:val="28"/>
          <w:szCs w:val="28"/>
          <w:lang w:val="en-CA"/>
        </w:rPr>
        <w:t>as lack</w:t>
      </w:r>
      <w:r w:rsidR="00860EEA" w:rsidRPr="00116AED">
        <w:rPr>
          <w:sz w:val="28"/>
          <w:szCs w:val="28"/>
          <w:lang w:val="en-CA"/>
        </w:rPr>
        <w:t xml:space="preserve"> of balance, motor impairment, reduced coordination, behavioural changes and altered speech.  There is </w:t>
      </w:r>
      <w:r w:rsidR="00AA29A4" w:rsidRPr="00116AED">
        <w:rPr>
          <w:sz w:val="28"/>
          <w:szCs w:val="28"/>
          <w:lang w:val="en-CA"/>
        </w:rPr>
        <w:t>sufficient</w:t>
      </w:r>
      <w:r w:rsidR="00860EEA" w:rsidRPr="00116AED">
        <w:rPr>
          <w:sz w:val="28"/>
          <w:szCs w:val="28"/>
          <w:lang w:val="en-CA"/>
        </w:rPr>
        <w:t xml:space="preserve"> evidence from which a reasonable trier of fact could conclude that </w:t>
      </w:r>
      <w:r w:rsidR="00AA29A4" w:rsidRPr="00116AED">
        <w:rPr>
          <w:sz w:val="28"/>
          <w:szCs w:val="28"/>
          <w:lang w:val="en-CA"/>
        </w:rPr>
        <w:t>not only was the</w:t>
      </w:r>
      <w:r w:rsidR="00860EEA" w:rsidRPr="00116AED">
        <w:rPr>
          <w:sz w:val="28"/>
          <w:szCs w:val="28"/>
          <w:lang w:val="en-CA"/>
        </w:rPr>
        <w:t xml:space="preserve"> predicate offence</w:t>
      </w:r>
      <w:r w:rsidR="00AA29A4" w:rsidRPr="00116AED">
        <w:rPr>
          <w:sz w:val="28"/>
          <w:szCs w:val="28"/>
          <w:lang w:val="en-CA"/>
        </w:rPr>
        <w:t xml:space="preserve"> committed, it was</w:t>
      </w:r>
      <w:r w:rsidR="00860EEA" w:rsidRPr="00116AED">
        <w:rPr>
          <w:sz w:val="28"/>
          <w:szCs w:val="28"/>
          <w:lang w:val="en-CA"/>
        </w:rPr>
        <w:t xml:space="preserve"> objectively dangerous</w:t>
      </w:r>
      <w:r w:rsidR="00DC364E">
        <w:rPr>
          <w:sz w:val="28"/>
          <w:szCs w:val="28"/>
          <w:lang w:val="en-CA"/>
        </w:rPr>
        <w:t xml:space="preserve"> on either standard</w:t>
      </w:r>
      <w:r w:rsidR="00860EEA" w:rsidRPr="00116AED">
        <w:rPr>
          <w:sz w:val="28"/>
          <w:szCs w:val="28"/>
          <w:lang w:val="en-CA"/>
        </w:rPr>
        <w:t xml:space="preserve">. </w:t>
      </w:r>
    </w:p>
    <w:p w14:paraId="26914F53" w14:textId="6BD73B21" w:rsidR="009E68E1" w:rsidRPr="00116AED" w:rsidRDefault="003000D0" w:rsidP="009E68E1">
      <w:pPr>
        <w:rPr>
          <w:sz w:val="28"/>
          <w:szCs w:val="28"/>
          <w:lang w:val="en-CA"/>
        </w:rPr>
      </w:pPr>
      <w:r>
        <w:rPr>
          <w:sz w:val="28"/>
          <w:szCs w:val="28"/>
          <w:lang w:val="en-CA"/>
        </w:rPr>
        <w:t>[35]</w:t>
      </w:r>
      <w:r>
        <w:rPr>
          <w:sz w:val="28"/>
          <w:szCs w:val="28"/>
          <w:lang w:val="en-CA"/>
        </w:rPr>
        <w:tab/>
      </w:r>
      <w:r w:rsidR="009E68E1" w:rsidRPr="00116AED">
        <w:rPr>
          <w:sz w:val="28"/>
          <w:szCs w:val="28"/>
          <w:lang w:val="en-CA"/>
        </w:rPr>
        <w:t>I agree with the Crown that one c</w:t>
      </w:r>
      <w:r w:rsidR="00DC364E">
        <w:rPr>
          <w:sz w:val="28"/>
          <w:szCs w:val="28"/>
          <w:lang w:val="en-CA"/>
        </w:rPr>
        <w:t>ould find that it was reasonably</w:t>
      </w:r>
      <w:r w:rsidR="009E68E1" w:rsidRPr="00116AED">
        <w:rPr>
          <w:sz w:val="28"/>
          <w:szCs w:val="28"/>
          <w:lang w:val="en-CA"/>
        </w:rPr>
        <w:t xml:space="preserve"> foreseeable that a 12 year old girl would pass out given the large amount </w:t>
      </w:r>
      <w:r w:rsidR="0024623D">
        <w:rPr>
          <w:sz w:val="28"/>
          <w:szCs w:val="28"/>
          <w:lang w:val="en-CA"/>
        </w:rPr>
        <w:t xml:space="preserve">of alcohol L. supplied to her </w:t>
      </w:r>
      <w:r w:rsidR="009E68E1" w:rsidRPr="00116AED">
        <w:rPr>
          <w:sz w:val="28"/>
          <w:szCs w:val="28"/>
          <w:lang w:val="en-CA"/>
        </w:rPr>
        <w:t xml:space="preserve">and </w:t>
      </w:r>
      <w:r w:rsidR="0024623D">
        <w:rPr>
          <w:sz w:val="28"/>
          <w:szCs w:val="28"/>
          <w:lang w:val="en-CA"/>
        </w:rPr>
        <w:t xml:space="preserve">the </w:t>
      </w:r>
      <w:r w:rsidR="009E68E1" w:rsidRPr="00116AED">
        <w:rPr>
          <w:sz w:val="28"/>
          <w:szCs w:val="28"/>
          <w:lang w:val="en-CA"/>
        </w:rPr>
        <w:t xml:space="preserve">short time frame in which she consumed </w:t>
      </w:r>
      <w:r w:rsidR="0024623D">
        <w:rPr>
          <w:sz w:val="28"/>
          <w:szCs w:val="28"/>
          <w:lang w:val="en-CA"/>
        </w:rPr>
        <w:t xml:space="preserve">it. </w:t>
      </w:r>
      <w:r w:rsidR="009E68E1" w:rsidRPr="00116AED">
        <w:rPr>
          <w:sz w:val="28"/>
          <w:szCs w:val="28"/>
          <w:lang w:val="en-CA"/>
        </w:rPr>
        <w:t xml:space="preserve">  As stated in the case of </w:t>
      </w:r>
      <w:r w:rsidR="009E68E1" w:rsidRPr="00116AED">
        <w:rPr>
          <w:i/>
          <w:sz w:val="28"/>
          <w:szCs w:val="28"/>
          <w:lang w:val="en-CA"/>
        </w:rPr>
        <w:t>R. v. A.(J.),</w:t>
      </w:r>
      <w:r w:rsidR="009E68E1" w:rsidRPr="00116AED">
        <w:rPr>
          <w:sz w:val="28"/>
          <w:szCs w:val="28"/>
          <w:lang w:val="en-CA"/>
        </w:rPr>
        <w:t xml:space="preserve"> 2010 ONCA 226, rendering someone unconsciousness and unrousable for a significant period of time can meet the definition of bodily harm that is more than trifling.</w:t>
      </w:r>
      <w:r w:rsidR="009E68E1" w:rsidRPr="00116AED">
        <w:rPr>
          <w:rStyle w:val="FootnoteReference"/>
          <w:sz w:val="28"/>
          <w:szCs w:val="28"/>
          <w:lang w:val="en-CA"/>
        </w:rPr>
        <w:footnoteReference w:id="8"/>
      </w:r>
      <w:r w:rsidR="00DC364E">
        <w:rPr>
          <w:sz w:val="28"/>
          <w:szCs w:val="28"/>
          <w:lang w:val="en-CA"/>
        </w:rPr>
        <w:t xml:space="preserve">  </w:t>
      </w:r>
      <w:r w:rsidR="009E68E1" w:rsidRPr="00116AED">
        <w:rPr>
          <w:sz w:val="28"/>
          <w:szCs w:val="28"/>
          <w:lang w:val="en-CA"/>
        </w:rPr>
        <w:t>It would be open to a reasonable jury to conclude that whatever th</w:t>
      </w:r>
      <w:r w:rsidR="00DC364E">
        <w:rPr>
          <w:sz w:val="28"/>
          <w:szCs w:val="28"/>
          <w:lang w:val="en-CA"/>
        </w:rPr>
        <w:t>e standard, it was foreseeable,</w:t>
      </w:r>
      <w:r w:rsidR="009E68E1" w:rsidRPr="00116AED">
        <w:rPr>
          <w:sz w:val="28"/>
          <w:szCs w:val="28"/>
          <w:lang w:val="en-CA"/>
        </w:rPr>
        <w:t xml:space="preserve"> given </w:t>
      </w:r>
      <w:r w:rsidR="006A2218">
        <w:rPr>
          <w:sz w:val="28"/>
          <w:szCs w:val="28"/>
          <w:lang w:val="en-CA"/>
        </w:rPr>
        <w:t xml:space="preserve">E.’s </w:t>
      </w:r>
      <w:r w:rsidR="009E68E1" w:rsidRPr="00116AED">
        <w:rPr>
          <w:sz w:val="28"/>
          <w:szCs w:val="28"/>
          <w:lang w:val="en-CA"/>
        </w:rPr>
        <w:t xml:space="preserve">alcohol consumption, </w:t>
      </w:r>
      <w:r w:rsidR="00DC364E">
        <w:rPr>
          <w:sz w:val="28"/>
          <w:szCs w:val="28"/>
          <w:lang w:val="en-CA"/>
        </w:rPr>
        <w:t xml:space="preserve">that </w:t>
      </w:r>
      <w:r w:rsidR="009E68E1" w:rsidRPr="00116AED">
        <w:rPr>
          <w:sz w:val="28"/>
          <w:szCs w:val="28"/>
          <w:lang w:val="en-CA"/>
        </w:rPr>
        <w:t xml:space="preserve">there was a risk that she would be rendered unconscious and unrousable for an extended period of time.  </w:t>
      </w:r>
    </w:p>
    <w:p w14:paraId="2F9CE4A4" w14:textId="3B0456EE" w:rsidR="009E68E1" w:rsidRPr="00116AED" w:rsidRDefault="003000D0" w:rsidP="009E68E1">
      <w:pPr>
        <w:rPr>
          <w:sz w:val="28"/>
          <w:szCs w:val="28"/>
          <w:lang w:val="en-CA"/>
        </w:rPr>
      </w:pPr>
      <w:r>
        <w:rPr>
          <w:sz w:val="28"/>
          <w:szCs w:val="28"/>
          <w:lang w:val="en-CA"/>
        </w:rPr>
        <w:t>[36]</w:t>
      </w:r>
      <w:r>
        <w:rPr>
          <w:sz w:val="28"/>
          <w:szCs w:val="28"/>
          <w:lang w:val="en-CA"/>
        </w:rPr>
        <w:tab/>
      </w:r>
      <w:r w:rsidR="009E68E1" w:rsidRPr="00116AED">
        <w:rPr>
          <w:sz w:val="28"/>
          <w:szCs w:val="28"/>
          <w:lang w:val="en-CA"/>
        </w:rPr>
        <w:t xml:space="preserve">On </w:t>
      </w:r>
      <w:r w:rsidR="006A2218">
        <w:rPr>
          <w:sz w:val="28"/>
          <w:szCs w:val="28"/>
          <w:lang w:val="en-CA"/>
        </w:rPr>
        <w:t>D.</w:t>
      </w:r>
      <w:r w:rsidR="00DC364E">
        <w:rPr>
          <w:sz w:val="28"/>
          <w:szCs w:val="28"/>
          <w:lang w:val="en-CA"/>
        </w:rPr>
        <w:t>’</w:t>
      </w:r>
      <w:r w:rsidR="00E65D4B">
        <w:rPr>
          <w:sz w:val="28"/>
          <w:szCs w:val="28"/>
          <w:lang w:val="en-CA"/>
        </w:rPr>
        <w:t>s</w:t>
      </w:r>
      <w:r w:rsidR="00DC364E">
        <w:rPr>
          <w:sz w:val="28"/>
          <w:szCs w:val="28"/>
          <w:lang w:val="en-CA"/>
        </w:rPr>
        <w:t xml:space="preserve"> evidence </w:t>
      </w:r>
      <w:r w:rsidR="00D978B2">
        <w:rPr>
          <w:sz w:val="28"/>
          <w:szCs w:val="28"/>
          <w:lang w:val="en-CA"/>
        </w:rPr>
        <w:t xml:space="preserve">L. </w:t>
      </w:r>
      <w:r w:rsidR="00DC364E">
        <w:rPr>
          <w:sz w:val="28"/>
          <w:szCs w:val="28"/>
          <w:lang w:val="en-CA"/>
        </w:rPr>
        <w:t>told him, “It</w:t>
      </w:r>
      <w:r w:rsidR="009E68E1" w:rsidRPr="00116AED">
        <w:rPr>
          <w:sz w:val="28"/>
          <w:szCs w:val="28"/>
          <w:lang w:val="en-CA"/>
        </w:rPr>
        <w:t>’s your only chance</w:t>
      </w:r>
      <w:r w:rsidR="00DC364E">
        <w:rPr>
          <w:sz w:val="28"/>
          <w:szCs w:val="28"/>
          <w:lang w:val="en-CA"/>
        </w:rPr>
        <w:t>.</w:t>
      </w:r>
      <w:r w:rsidR="009E68E1" w:rsidRPr="00116AED">
        <w:rPr>
          <w:sz w:val="28"/>
          <w:szCs w:val="28"/>
          <w:lang w:val="en-CA"/>
        </w:rPr>
        <w:t xml:space="preserve">”, immediately after </w:t>
      </w:r>
      <w:r w:rsidR="006A2218">
        <w:rPr>
          <w:sz w:val="28"/>
          <w:szCs w:val="28"/>
          <w:lang w:val="en-CA"/>
        </w:rPr>
        <w:t xml:space="preserve">E. </w:t>
      </w:r>
      <w:r w:rsidR="009E68E1" w:rsidRPr="00116AED">
        <w:rPr>
          <w:sz w:val="28"/>
          <w:szCs w:val="28"/>
          <w:lang w:val="en-CA"/>
        </w:rPr>
        <w:t xml:space="preserve">had passed out and </w:t>
      </w:r>
      <w:r w:rsidR="00D978B2">
        <w:rPr>
          <w:sz w:val="28"/>
          <w:szCs w:val="28"/>
          <w:lang w:val="en-CA"/>
        </w:rPr>
        <w:t xml:space="preserve">L. </w:t>
      </w:r>
      <w:r w:rsidR="009E68E1" w:rsidRPr="00116AED">
        <w:rPr>
          <w:sz w:val="28"/>
          <w:szCs w:val="28"/>
          <w:lang w:val="en-CA"/>
        </w:rPr>
        <w:t>had suggested getting her help and imm</w:t>
      </w:r>
      <w:r w:rsidR="00DC364E">
        <w:rPr>
          <w:sz w:val="28"/>
          <w:szCs w:val="28"/>
          <w:lang w:val="en-CA"/>
        </w:rPr>
        <w:t xml:space="preserve">ediately before </w:t>
      </w:r>
      <w:r w:rsidR="00D978B2">
        <w:rPr>
          <w:sz w:val="28"/>
          <w:szCs w:val="28"/>
          <w:lang w:val="en-CA"/>
        </w:rPr>
        <w:t xml:space="preserve">L. </w:t>
      </w:r>
      <w:r w:rsidR="00DC364E">
        <w:rPr>
          <w:sz w:val="28"/>
          <w:szCs w:val="28"/>
          <w:lang w:val="en-CA"/>
        </w:rPr>
        <w:t xml:space="preserve">raped her.  </w:t>
      </w:r>
      <w:r w:rsidR="009E68E1" w:rsidRPr="00116AED">
        <w:rPr>
          <w:sz w:val="28"/>
          <w:szCs w:val="28"/>
          <w:lang w:val="en-CA"/>
        </w:rPr>
        <w:t xml:space="preserve">These words and actions could be considered as evidence showing that </w:t>
      </w:r>
      <w:r w:rsidR="00D978B2">
        <w:rPr>
          <w:sz w:val="28"/>
          <w:szCs w:val="28"/>
          <w:lang w:val="en-CA"/>
        </w:rPr>
        <w:t xml:space="preserve">L. </w:t>
      </w:r>
      <w:r w:rsidR="009E68E1" w:rsidRPr="00116AED">
        <w:rPr>
          <w:sz w:val="28"/>
          <w:szCs w:val="28"/>
          <w:lang w:val="en-CA"/>
        </w:rPr>
        <w:t xml:space="preserve">was aware that </w:t>
      </w:r>
      <w:r w:rsidR="006A2218">
        <w:rPr>
          <w:sz w:val="28"/>
          <w:szCs w:val="28"/>
          <w:lang w:val="en-CA"/>
        </w:rPr>
        <w:t xml:space="preserve">E. </w:t>
      </w:r>
      <w:r w:rsidR="009E68E1" w:rsidRPr="00116AED">
        <w:rPr>
          <w:sz w:val="28"/>
          <w:szCs w:val="28"/>
          <w:lang w:val="en-CA"/>
        </w:rPr>
        <w:t xml:space="preserve">would not be rousable following her loss of consciousness due to alcohol consumption. </w:t>
      </w:r>
      <w:r w:rsidR="00DC364E">
        <w:rPr>
          <w:sz w:val="28"/>
          <w:szCs w:val="28"/>
          <w:lang w:val="en-CA"/>
        </w:rPr>
        <w:t xml:space="preserve"> It </w:t>
      </w:r>
      <w:r w:rsidR="009E68E1" w:rsidRPr="00116AED">
        <w:rPr>
          <w:sz w:val="28"/>
          <w:szCs w:val="28"/>
          <w:lang w:val="en-CA"/>
        </w:rPr>
        <w:t xml:space="preserve">would therefore be reasonable to find that he would have foreseen that same possibility when he was providing her alcohol after she was displaying indicia of heavy intoxication. </w:t>
      </w:r>
    </w:p>
    <w:p w14:paraId="30FC37FA" w14:textId="562DFC98" w:rsidR="009E68E1" w:rsidRPr="00116AED" w:rsidRDefault="003000D0" w:rsidP="009E68E1">
      <w:pPr>
        <w:rPr>
          <w:sz w:val="28"/>
          <w:szCs w:val="28"/>
          <w:lang w:val="en-CA"/>
        </w:rPr>
      </w:pPr>
      <w:r>
        <w:rPr>
          <w:sz w:val="28"/>
          <w:szCs w:val="28"/>
          <w:lang w:val="en-CA"/>
        </w:rPr>
        <w:t>[37]</w:t>
      </w:r>
      <w:r>
        <w:rPr>
          <w:sz w:val="28"/>
          <w:szCs w:val="28"/>
          <w:lang w:val="en-CA"/>
        </w:rPr>
        <w:tab/>
      </w:r>
      <w:r w:rsidR="009E68E1" w:rsidRPr="00116AED">
        <w:rPr>
          <w:sz w:val="28"/>
          <w:szCs w:val="28"/>
          <w:lang w:val="en-CA"/>
        </w:rPr>
        <w:t xml:space="preserve">Similarly, </w:t>
      </w:r>
      <w:r w:rsidR="0024623D">
        <w:rPr>
          <w:sz w:val="28"/>
          <w:szCs w:val="28"/>
          <w:lang w:val="en-CA"/>
        </w:rPr>
        <w:t xml:space="preserve">D. testified </w:t>
      </w:r>
      <w:r w:rsidR="009E68E1" w:rsidRPr="00116AED">
        <w:rPr>
          <w:sz w:val="28"/>
          <w:szCs w:val="28"/>
          <w:lang w:val="en-CA"/>
        </w:rPr>
        <w:t xml:space="preserve">after the sexual assault, </w:t>
      </w:r>
      <w:r w:rsidR="00D978B2">
        <w:rPr>
          <w:sz w:val="28"/>
          <w:szCs w:val="28"/>
          <w:lang w:val="en-CA"/>
        </w:rPr>
        <w:t xml:space="preserve">L. </w:t>
      </w:r>
      <w:r w:rsidR="009E68E1" w:rsidRPr="00116AED">
        <w:rPr>
          <w:sz w:val="28"/>
          <w:szCs w:val="28"/>
          <w:lang w:val="en-CA"/>
        </w:rPr>
        <w:t xml:space="preserve">put </w:t>
      </w:r>
      <w:r w:rsidR="006A2218">
        <w:rPr>
          <w:sz w:val="28"/>
          <w:szCs w:val="28"/>
          <w:lang w:val="en-CA"/>
        </w:rPr>
        <w:t xml:space="preserve">E. </w:t>
      </w:r>
      <w:r w:rsidR="009E68E1" w:rsidRPr="00116AED">
        <w:rPr>
          <w:sz w:val="28"/>
          <w:szCs w:val="28"/>
          <w:lang w:val="en-CA"/>
        </w:rPr>
        <w:t>on her side to prevent her from choking on her vomit</w:t>
      </w:r>
      <w:r w:rsidR="00370EAE">
        <w:rPr>
          <w:sz w:val="28"/>
          <w:szCs w:val="28"/>
          <w:lang w:val="en-CA"/>
        </w:rPr>
        <w:t xml:space="preserve">.  </w:t>
      </w:r>
      <w:r w:rsidR="00DC364E">
        <w:rPr>
          <w:sz w:val="28"/>
          <w:szCs w:val="28"/>
          <w:lang w:val="en-CA"/>
        </w:rPr>
        <w:t>This could</w:t>
      </w:r>
      <w:r w:rsidR="009E68E1" w:rsidRPr="00116AED">
        <w:rPr>
          <w:sz w:val="28"/>
          <w:szCs w:val="28"/>
          <w:lang w:val="en-CA"/>
        </w:rPr>
        <w:t xml:space="preserve"> be considered as evidence that he was in fact aware of the danger of her passing out and choking on her vomit.  This knowledge can also be considered as evidence that some </w:t>
      </w:r>
      <w:r w:rsidR="00670D26">
        <w:rPr>
          <w:sz w:val="28"/>
          <w:szCs w:val="28"/>
          <w:lang w:val="en-CA"/>
        </w:rPr>
        <w:t xml:space="preserve"> of </w:t>
      </w:r>
      <w:r w:rsidR="009E68E1" w:rsidRPr="00116AED">
        <w:rPr>
          <w:sz w:val="28"/>
          <w:szCs w:val="28"/>
          <w:lang w:val="en-CA"/>
        </w:rPr>
        <w:t xml:space="preserve">the real dangers of excessive alcohol consumption that can cause bodily harm </w:t>
      </w:r>
      <w:r w:rsidR="00670D26">
        <w:rPr>
          <w:sz w:val="28"/>
          <w:szCs w:val="28"/>
          <w:lang w:val="en-CA"/>
        </w:rPr>
        <w:t>including</w:t>
      </w:r>
      <w:r w:rsidR="009E68E1" w:rsidRPr="00116AED">
        <w:rPr>
          <w:sz w:val="28"/>
          <w:szCs w:val="28"/>
          <w:lang w:val="en-CA"/>
        </w:rPr>
        <w:t xml:space="preserve"> death were known to </w:t>
      </w:r>
      <w:r w:rsidR="00D978B2">
        <w:rPr>
          <w:sz w:val="28"/>
          <w:szCs w:val="28"/>
          <w:lang w:val="en-CA"/>
        </w:rPr>
        <w:t xml:space="preserve">L. </w:t>
      </w:r>
      <w:r w:rsidR="009E68E1" w:rsidRPr="00116AED">
        <w:rPr>
          <w:sz w:val="28"/>
          <w:szCs w:val="28"/>
          <w:lang w:val="en-CA"/>
        </w:rPr>
        <w:t xml:space="preserve">and </w:t>
      </w:r>
      <w:r w:rsidR="00670D26">
        <w:rPr>
          <w:sz w:val="28"/>
          <w:szCs w:val="28"/>
          <w:lang w:val="en-CA"/>
        </w:rPr>
        <w:t xml:space="preserve">that they were generally </w:t>
      </w:r>
      <w:r w:rsidR="009E68E1" w:rsidRPr="00116AED">
        <w:rPr>
          <w:sz w:val="28"/>
          <w:szCs w:val="28"/>
          <w:lang w:val="en-CA"/>
        </w:rPr>
        <w:t>foreseeable</w:t>
      </w:r>
      <w:r w:rsidR="00670D26">
        <w:rPr>
          <w:sz w:val="28"/>
          <w:szCs w:val="28"/>
          <w:lang w:val="en-CA"/>
        </w:rPr>
        <w:t xml:space="preserve"> while he was supplying alcohol to E</w:t>
      </w:r>
      <w:r w:rsidR="009E68E1" w:rsidRPr="00116AED">
        <w:rPr>
          <w:sz w:val="28"/>
          <w:szCs w:val="28"/>
          <w:lang w:val="en-CA"/>
        </w:rPr>
        <w:t xml:space="preserve">.  </w:t>
      </w:r>
    </w:p>
    <w:p w14:paraId="56FC47D6" w14:textId="3D403F7E" w:rsidR="009E68E1" w:rsidRPr="00116AED" w:rsidRDefault="003000D0" w:rsidP="009E68E1">
      <w:pPr>
        <w:rPr>
          <w:sz w:val="28"/>
          <w:szCs w:val="28"/>
          <w:lang w:val="en-CA"/>
        </w:rPr>
      </w:pPr>
      <w:r>
        <w:rPr>
          <w:sz w:val="28"/>
          <w:szCs w:val="28"/>
          <w:lang w:val="en-CA"/>
        </w:rPr>
        <w:t>[38]</w:t>
      </w:r>
      <w:r>
        <w:rPr>
          <w:sz w:val="28"/>
          <w:szCs w:val="28"/>
          <w:lang w:val="en-CA"/>
        </w:rPr>
        <w:tab/>
      </w:r>
      <w:r w:rsidR="00670D26">
        <w:rPr>
          <w:sz w:val="28"/>
          <w:szCs w:val="28"/>
          <w:lang w:val="en-CA"/>
        </w:rPr>
        <w:t xml:space="preserve">I conclude that the fact that someone can lose </w:t>
      </w:r>
      <w:r w:rsidR="009E68E1" w:rsidRPr="00116AED">
        <w:rPr>
          <w:sz w:val="28"/>
          <w:szCs w:val="28"/>
          <w:lang w:val="en-CA"/>
        </w:rPr>
        <w:t>consciousness and be unrousable for an extended period of time is something th</w:t>
      </w:r>
      <w:r w:rsidR="00670D26">
        <w:rPr>
          <w:sz w:val="28"/>
          <w:szCs w:val="28"/>
          <w:lang w:val="en-CA"/>
        </w:rPr>
        <w:t xml:space="preserve">at a reasonable trier of </w:t>
      </w:r>
      <w:r w:rsidR="00670D26">
        <w:rPr>
          <w:sz w:val="28"/>
          <w:szCs w:val="28"/>
          <w:lang w:val="en-CA"/>
        </w:rPr>
        <w:lastRenderedPageBreak/>
        <w:t>fact could find as being</w:t>
      </w:r>
      <w:r w:rsidR="009E68E1" w:rsidRPr="00116AED">
        <w:rPr>
          <w:sz w:val="28"/>
          <w:szCs w:val="28"/>
          <w:lang w:val="en-CA"/>
        </w:rPr>
        <w:t xml:space="preserve"> foreseeable by a reasonable 13-year-o</w:t>
      </w:r>
      <w:r w:rsidR="00670D26">
        <w:rPr>
          <w:sz w:val="28"/>
          <w:szCs w:val="28"/>
          <w:lang w:val="en-CA"/>
        </w:rPr>
        <w:t xml:space="preserve">ld.  So is the possibility of a </w:t>
      </w:r>
      <w:r w:rsidR="009E68E1" w:rsidRPr="00116AED">
        <w:rPr>
          <w:sz w:val="28"/>
          <w:szCs w:val="28"/>
          <w:lang w:val="en-CA"/>
        </w:rPr>
        <w:t>passed out intoxicated person choking on their own vomit.  I find that the fact that children are more susceptible to the effects of alcohol</w:t>
      </w:r>
      <w:r w:rsidR="00670D26">
        <w:rPr>
          <w:sz w:val="28"/>
          <w:szCs w:val="28"/>
          <w:lang w:val="en-CA"/>
        </w:rPr>
        <w:t xml:space="preserve"> consumption is also something that could legitimately be found to be</w:t>
      </w:r>
      <w:r w:rsidR="009E68E1" w:rsidRPr="00116AED">
        <w:rPr>
          <w:sz w:val="28"/>
          <w:szCs w:val="28"/>
          <w:lang w:val="en-CA"/>
        </w:rPr>
        <w:t xml:space="preserve"> foreseeable by a reasonable 13-year-old. </w:t>
      </w:r>
    </w:p>
    <w:p w14:paraId="275CCAAA" w14:textId="038BE3E3" w:rsidR="009E68E1" w:rsidRPr="00116AED" w:rsidRDefault="003000D0" w:rsidP="009E68E1">
      <w:pPr>
        <w:rPr>
          <w:sz w:val="28"/>
          <w:szCs w:val="28"/>
          <w:lang w:val="en-CA"/>
        </w:rPr>
      </w:pPr>
      <w:r>
        <w:rPr>
          <w:sz w:val="28"/>
          <w:szCs w:val="28"/>
          <w:lang w:val="en-CA"/>
        </w:rPr>
        <w:t>[39]</w:t>
      </w:r>
      <w:r>
        <w:rPr>
          <w:sz w:val="28"/>
          <w:szCs w:val="28"/>
          <w:lang w:val="en-CA"/>
        </w:rPr>
        <w:tab/>
      </w:r>
      <w:r w:rsidR="009E68E1" w:rsidRPr="00116AED">
        <w:rPr>
          <w:sz w:val="28"/>
          <w:szCs w:val="28"/>
          <w:lang w:val="en-CA"/>
        </w:rPr>
        <w:t>There are also other dangers of bodily harm that a properly instructed trier of fact might find reasonably foreseeable in L</w:t>
      </w:r>
      <w:r w:rsidR="00E65D4B">
        <w:rPr>
          <w:sz w:val="28"/>
          <w:szCs w:val="28"/>
          <w:lang w:val="en-CA"/>
        </w:rPr>
        <w:t>.</w:t>
      </w:r>
      <w:r w:rsidR="009E68E1" w:rsidRPr="00116AED">
        <w:rPr>
          <w:sz w:val="28"/>
          <w:szCs w:val="28"/>
          <w:lang w:val="en-CA"/>
        </w:rPr>
        <w:t>’s actions in supplying alcohol to an already intoxicated</w:t>
      </w:r>
      <w:r w:rsidR="00670D26">
        <w:rPr>
          <w:sz w:val="28"/>
          <w:szCs w:val="28"/>
          <w:lang w:val="en-CA"/>
        </w:rPr>
        <w:t xml:space="preserve"> 12-year-old.  It </w:t>
      </w:r>
      <w:r w:rsidR="009E68E1" w:rsidRPr="00116AED">
        <w:rPr>
          <w:sz w:val="28"/>
          <w:szCs w:val="28"/>
          <w:lang w:val="en-CA"/>
        </w:rPr>
        <w:t>was reasonably</w:t>
      </w:r>
      <w:r w:rsidR="00670D26">
        <w:rPr>
          <w:sz w:val="28"/>
          <w:szCs w:val="28"/>
          <w:lang w:val="en-CA"/>
        </w:rPr>
        <w:t xml:space="preserve"> foreseeable on either standard</w:t>
      </w:r>
      <w:r w:rsidR="009E68E1" w:rsidRPr="00116AED">
        <w:rPr>
          <w:sz w:val="28"/>
          <w:szCs w:val="28"/>
          <w:lang w:val="en-CA"/>
        </w:rPr>
        <w:t xml:space="preserve"> that she might lose balance and seriously injure herself.  It matters not that this route to bodily harm is different from that which was </w:t>
      </w:r>
      <w:r w:rsidR="00670D26">
        <w:rPr>
          <w:sz w:val="28"/>
          <w:szCs w:val="28"/>
          <w:lang w:val="en-CA"/>
        </w:rPr>
        <w:t xml:space="preserve">actually experienced by E.  </w:t>
      </w:r>
      <w:r w:rsidR="009E68E1" w:rsidRPr="00116AED">
        <w:rPr>
          <w:sz w:val="28"/>
          <w:szCs w:val="28"/>
          <w:lang w:val="en-CA"/>
        </w:rPr>
        <w:t xml:space="preserve">Some form of foreseeable risk of bodily harm that is beyond transitory or trifling is all that is required.  </w:t>
      </w:r>
    </w:p>
    <w:p w14:paraId="2DD7A125" w14:textId="459B000E" w:rsidR="009E68E1" w:rsidRPr="00116AED" w:rsidRDefault="003000D0" w:rsidP="009E68E1">
      <w:pPr>
        <w:rPr>
          <w:sz w:val="28"/>
          <w:szCs w:val="28"/>
          <w:lang w:val="en-CA"/>
        </w:rPr>
      </w:pPr>
      <w:r>
        <w:rPr>
          <w:sz w:val="28"/>
          <w:szCs w:val="28"/>
          <w:lang w:val="en-CA"/>
        </w:rPr>
        <w:t>[40]</w:t>
      </w:r>
      <w:r>
        <w:rPr>
          <w:sz w:val="28"/>
          <w:szCs w:val="28"/>
          <w:lang w:val="en-CA"/>
        </w:rPr>
        <w:tab/>
      </w:r>
      <w:r w:rsidR="009E68E1" w:rsidRPr="00116AED">
        <w:rPr>
          <w:sz w:val="28"/>
          <w:szCs w:val="28"/>
          <w:lang w:val="en-CA"/>
        </w:rPr>
        <w:t xml:space="preserve">Furthermore, given the prevalence of sexual assaults on unconscious victims that exists in the Northwest Territories, a reasonable juror might conclude that </w:t>
      </w:r>
      <w:r w:rsidR="0024623D">
        <w:rPr>
          <w:sz w:val="28"/>
          <w:szCs w:val="28"/>
          <w:lang w:val="en-CA"/>
        </w:rPr>
        <w:t xml:space="preserve">as a result of E.’s alcohol consumption, </w:t>
      </w:r>
      <w:r w:rsidR="009E68E1" w:rsidRPr="00116AED">
        <w:rPr>
          <w:sz w:val="28"/>
          <w:szCs w:val="28"/>
          <w:lang w:val="en-CA"/>
        </w:rPr>
        <w:t xml:space="preserve"> there was a foreseeable risk that she would be</w:t>
      </w:r>
      <w:r w:rsidR="00670D26">
        <w:rPr>
          <w:sz w:val="28"/>
          <w:szCs w:val="28"/>
          <w:lang w:val="en-CA"/>
        </w:rPr>
        <w:t xml:space="preserve"> rendered unconscious and then </w:t>
      </w:r>
      <w:r w:rsidR="009E68E1" w:rsidRPr="00116AED">
        <w:rPr>
          <w:sz w:val="28"/>
          <w:szCs w:val="28"/>
          <w:lang w:val="en-CA"/>
        </w:rPr>
        <w:t>assaulted</w:t>
      </w:r>
      <w:r w:rsidR="00670D26">
        <w:rPr>
          <w:sz w:val="28"/>
          <w:szCs w:val="28"/>
          <w:lang w:val="en-CA"/>
        </w:rPr>
        <w:t xml:space="preserve"> in some manner</w:t>
      </w:r>
      <w:r w:rsidR="009E68E1" w:rsidRPr="00116AED">
        <w:rPr>
          <w:sz w:val="28"/>
          <w:szCs w:val="28"/>
          <w:lang w:val="en-CA"/>
        </w:rPr>
        <w:t xml:space="preserve"> with nontrivial bodily harm of some form resulting.  </w:t>
      </w:r>
      <w:r w:rsidR="00670D26">
        <w:rPr>
          <w:sz w:val="28"/>
          <w:szCs w:val="28"/>
          <w:lang w:val="en-CA"/>
        </w:rPr>
        <w:t xml:space="preserve">Once again, it does not matter </w:t>
      </w:r>
      <w:r w:rsidR="009E68E1" w:rsidRPr="00116AED">
        <w:rPr>
          <w:sz w:val="28"/>
          <w:szCs w:val="28"/>
          <w:lang w:val="en-CA"/>
        </w:rPr>
        <w:t>that that form of bodily harm was not directly related to her ultimate death from alcohol poisoning</w:t>
      </w:r>
      <w:r w:rsidR="005C2B07">
        <w:rPr>
          <w:sz w:val="28"/>
          <w:szCs w:val="28"/>
          <w:lang w:val="en-CA"/>
        </w:rPr>
        <w:t xml:space="preserve">.  </w:t>
      </w:r>
      <w:r w:rsidR="00670D26">
        <w:rPr>
          <w:sz w:val="28"/>
          <w:szCs w:val="28"/>
          <w:lang w:val="en-CA"/>
        </w:rPr>
        <w:t>So</w:t>
      </w:r>
      <w:r w:rsidR="009E68E1" w:rsidRPr="00116AED">
        <w:rPr>
          <w:sz w:val="28"/>
          <w:szCs w:val="28"/>
          <w:lang w:val="en-CA"/>
        </w:rPr>
        <w:t xml:space="preserve"> long as</w:t>
      </w:r>
      <w:r w:rsidR="00670D26">
        <w:rPr>
          <w:sz w:val="28"/>
          <w:szCs w:val="28"/>
          <w:lang w:val="en-CA"/>
        </w:rPr>
        <w:t xml:space="preserve"> some form of nontrivial bodily harm was </w:t>
      </w:r>
      <w:r w:rsidR="009E68E1" w:rsidRPr="00116AED">
        <w:rPr>
          <w:sz w:val="28"/>
          <w:szCs w:val="28"/>
          <w:lang w:val="en-CA"/>
        </w:rPr>
        <w:t>objectively foreseeable</w:t>
      </w:r>
      <w:r w:rsidR="00670D26">
        <w:rPr>
          <w:sz w:val="28"/>
          <w:szCs w:val="28"/>
          <w:lang w:val="en-CA"/>
        </w:rPr>
        <w:t xml:space="preserve"> that is enough to constitute objective foreseeability</w:t>
      </w:r>
      <w:r w:rsidR="009E68E1" w:rsidRPr="00116AED">
        <w:rPr>
          <w:sz w:val="28"/>
          <w:szCs w:val="28"/>
          <w:lang w:val="en-CA"/>
        </w:rPr>
        <w:t xml:space="preserve">.  </w:t>
      </w:r>
    </w:p>
    <w:p w14:paraId="444DC38F" w14:textId="26EC627B" w:rsidR="009E68E1" w:rsidRPr="00116AED" w:rsidRDefault="003000D0">
      <w:pPr>
        <w:rPr>
          <w:sz w:val="28"/>
          <w:szCs w:val="28"/>
          <w:lang w:val="en-CA"/>
        </w:rPr>
      </w:pPr>
      <w:r>
        <w:rPr>
          <w:sz w:val="28"/>
          <w:szCs w:val="28"/>
          <w:lang w:val="en-CA"/>
        </w:rPr>
        <w:t>[41]</w:t>
      </w:r>
      <w:r>
        <w:rPr>
          <w:sz w:val="28"/>
          <w:szCs w:val="28"/>
          <w:lang w:val="en-CA"/>
        </w:rPr>
        <w:tab/>
      </w:r>
      <w:r w:rsidR="009E68E1" w:rsidRPr="00116AED">
        <w:rPr>
          <w:sz w:val="28"/>
          <w:szCs w:val="28"/>
          <w:lang w:val="en-CA"/>
        </w:rPr>
        <w:t xml:space="preserve"> As will later be seen when examining the decision of the Supreme Court in </w:t>
      </w:r>
      <w:r w:rsidR="009E68E1" w:rsidRPr="00116AED">
        <w:rPr>
          <w:i/>
          <w:sz w:val="28"/>
          <w:szCs w:val="28"/>
          <w:lang w:val="en-CA"/>
        </w:rPr>
        <w:t xml:space="preserve">Maybin, </w:t>
      </w:r>
      <w:r w:rsidR="009E68E1" w:rsidRPr="00116AED">
        <w:rPr>
          <w:sz w:val="28"/>
          <w:szCs w:val="28"/>
          <w:lang w:val="en-CA"/>
        </w:rPr>
        <w:t>[2012] 2 SCR 30, and the facts of that case, both of which I will review later on in this judgment, the route to foreseeable bodily harm need not be direct.</w:t>
      </w:r>
    </w:p>
    <w:p w14:paraId="76542AD9" w14:textId="162A3D17" w:rsidR="0062604C" w:rsidRPr="00116AED" w:rsidRDefault="003000D0">
      <w:pPr>
        <w:rPr>
          <w:sz w:val="28"/>
          <w:szCs w:val="28"/>
          <w:lang w:val="en-CA"/>
        </w:rPr>
      </w:pPr>
      <w:r>
        <w:rPr>
          <w:sz w:val="28"/>
          <w:szCs w:val="28"/>
          <w:lang w:val="en-CA"/>
        </w:rPr>
        <w:t>[42]</w:t>
      </w:r>
      <w:r>
        <w:rPr>
          <w:sz w:val="28"/>
          <w:szCs w:val="28"/>
          <w:lang w:val="en-CA"/>
        </w:rPr>
        <w:tab/>
      </w:r>
      <w:r w:rsidR="00AA29A4" w:rsidRPr="00116AED">
        <w:rPr>
          <w:sz w:val="28"/>
          <w:szCs w:val="28"/>
          <w:lang w:val="en-CA"/>
        </w:rPr>
        <w:t>It may be true there was evidence</w:t>
      </w:r>
      <w:r w:rsidR="002F3835" w:rsidRPr="00116AED">
        <w:rPr>
          <w:sz w:val="28"/>
          <w:szCs w:val="28"/>
          <w:lang w:val="en-CA"/>
        </w:rPr>
        <w:t xml:space="preserve"> that L</w:t>
      </w:r>
      <w:r w:rsidR="00E65D4B">
        <w:rPr>
          <w:sz w:val="28"/>
          <w:szCs w:val="28"/>
          <w:lang w:val="en-CA"/>
        </w:rPr>
        <w:t>.</w:t>
      </w:r>
      <w:r w:rsidR="002F3835" w:rsidRPr="00116AED">
        <w:rPr>
          <w:sz w:val="28"/>
          <w:szCs w:val="28"/>
          <w:lang w:val="en-CA"/>
        </w:rPr>
        <w:t xml:space="preserve">, </w:t>
      </w:r>
      <w:r w:rsidR="00D239EA" w:rsidRPr="00116AED">
        <w:rPr>
          <w:sz w:val="28"/>
          <w:szCs w:val="28"/>
          <w:lang w:val="en-CA"/>
        </w:rPr>
        <w:t xml:space="preserve">who </w:t>
      </w:r>
      <w:r w:rsidR="002F3835" w:rsidRPr="00116AED">
        <w:rPr>
          <w:sz w:val="28"/>
          <w:szCs w:val="28"/>
          <w:lang w:val="en-CA"/>
        </w:rPr>
        <w:t>at 13 years of age</w:t>
      </w:r>
      <w:r w:rsidR="00D239EA" w:rsidRPr="00116AED">
        <w:rPr>
          <w:sz w:val="28"/>
          <w:szCs w:val="28"/>
          <w:lang w:val="en-CA"/>
        </w:rPr>
        <w:t xml:space="preserve"> was also consuming alcohol</w:t>
      </w:r>
      <w:r w:rsidR="002F3835" w:rsidRPr="00116AED">
        <w:rPr>
          <w:sz w:val="28"/>
          <w:szCs w:val="28"/>
          <w:lang w:val="en-CA"/>
        </w:rPr>
        <w:t>, faced a level of danger that was somewhat similar to that of E.  However, that</w:t>
      </w:r>
      <w:r w:rsidR="00AA29A4" w:rsidRPr="00116AED">
        <w:rPr>
          <w:sz w:val="28"/>
          <w:szCs w:val="28"/>
          <w:lang w:val="en-CA"/>
        </w:rPr>
        <w:t xml:space="preserve"> evidence</w:t>
      </w:r>
      <w:r w:rsidR="002F3835" w:rsidRPr="00116AED">
        <w:rPr>
          <w:sz w:val="28"/>
          <w:szCs w:val="28"/>
          <w:lang w:val="en-CA"/>
        </w:rPr>
        <w:t xml:space="preserve"> </w:t>
      </w:r>
      <w:r w:rsidR="00765379" w:rsidRPr="00116AED">
        <w:rPr>
          <w:sz w:val="28"/>
          <w:szCs w:val="28"/>
          <w:lang w:val="en-CA"/>
        </w:rPr>
        <w:t>cannot</w:t>
      </w:r>
      <w:r w:rsidR="002F3835" w:rsidRPr="00116AED">
        <w:rPr>
          <w:sz w:val="28"/>
          <w:szCs w:val="28"/>
          <w:lang w:val="en-CA"/>
        </w:rPr>
        <w:t xml:space="preserve"> </w:t>
      </w:r>
      <w:r w:rsidR="0011564A" w:rsidRPr="00116AED">
        <w:rPr>
          <w:sz w:val="28"/>
          <w:szCs w:val="28"/>
          <w:lang w:val="en-CA"/>
        </w:rPr>
        <w:t>alter the</w:t>
      </w:r>
      <w:r w:rsidR="00AA29A4" w:rsidRPr="00116AED">
        <w:rPr>
          <w:sz w:val="28"/>
          <w:szCs w:val="28"/>
          <w:lang w:val="en-CA"/>
        </w:rPr>
        <w:t xml:space="preserve"> objective</w:t>
      </w:r>
      <w:r w:rsidR="002F3835" w:rsidRPr="00116AED">
        <w:rPr>
          <w:sz w:val="28"/>
          <w:szCs w:val="28"/>
          <w:lang w:val="en-CA"/>
        </w:rPr>
        <w:t xml:space="preserve"> dang</w:t>
      </w:r>
      <w:r w:rsidR="00860EEA" w:rsidRPr="00116AED">
        <w:rPr>
          <w:sz w:val="28"/>
          <w:szCs w:val="28"/>
          <w:lang w:val="en-CA"/>
        </w:rPr>
        <w:t xml:space="preserve">erousness of his actions. </w:t>
      </w:r>
    </w:p>
    <w:p w14:paraId="15FCC83C" w14:textId="665DEA88" w:rsidR="00AA29A4" w:rsidRPr="00116AED" w:rsidRDefault="003000D0">
      <w:pPr>
        <w:rPr>
          <w:sz w:val="28"/>
          <w:szCs w:val="28"/>
          <w:lang w:val="en-CA"/>
        </w:rPr>
      </w:pPr>
      <w:r>
        <w:rPr>
          <w:sz w:val="28"/>
          <w:szCs w:val="28"/>
          <w:lang w:val="en-CA"/>
        </w:rPr>
        <w:t>[43]</w:t>
      </w:r>
      <w:r>
        <w:rPr>
          <w:sz w:val="28"/>
          <w:szCs w:val="28"/>
          <w:lang w:val="en-CA"/>
        </w:rPr>
        <w:tab/>
      </w:r>
      <w:r w:rsidR="00AA29A4" w:rsidRPr="00116AED">
        <w:rPr>
          <w:sz w:val="28"/>
          <w:szCs w:val="28"/>
          <w:lang w:val="en-CA"/>
        </w:rPr>
        <w:t xml:space="preserve">I find there is some evidence upon which a reasonable and properly instructed trier of fact could find that the </w:t>
      </w:r>
      <w:r w:rsidR="00AA29A4" w:rsidRPr="00116AED">
        <w:rPr>
          <w:i/>
          <w:sz w:val="28"/>
          <w:szCs w:val="28"/>
          <w:lang w:val="en-CA"/>
        </w:rPr>
        <w:t>actus reus</w:t>
      </w:r>
      <w:r w:rsidR="00AA29A4" w:rsidRPr="00116AED">
        <w:rPr>
          <w:sz w:val="28"/>
          <w:szCs w:val="28"/>
          <w:lang w:val="en-CA"/>
        </w:rPr>
        <w:t xml:space="preserve"> of unlawful act manslaughter has been prove</w:t>
      </w:r>
      <w:r w:rsidR="0024623D">
        <w:rPr>
          <w:sz w:val="28"/>
          <w:szCs w:val="28"/>
          <w:lang w:val="en-CA"/>
        </w:rPr>
        <w:t>n</w:t>
      </w:r>
      <w:r w:rsidR="00AA29A4" w:rsidRPr="00116AED">
        <w:rPr>
          <w:sz w:val="28"/>
          <w:szCs w:val="28"/>
          <w:lang w:val="en-CA"/>
        </w:rPr>
        <w:t xml:space="preserve"> beyond a reasonable doubt. </w:t>
      </w:r>
    </w:p>
    <w:p w14:paraId="1D9A73F3" w14:textId="77777777" w:rsidR="00AA29A4" w:rsidRPr="00116AED" w:rsidRDefault="00AA29A4" w:rsidP="00AA29A4">
      <w:pPr>
        <w:pStyle w:val="ListParagraph"/>
        <w:numPr>
          <w:ilvl w:val="0"/>
          <w:numId w:val="24"/>
        </w:numPr>
        <w:rPr>
          <w:sz w:val="28"/>
          <w:szCs w:val="28"/>
          <w:lang w:val="en-CA"/>
        </w:rPr>
      </w:pPr>
      <w:r w:rsidRPr="00116AED">
        <w:rPr>
          <w:sz w:val="28"/>
          <w:szCs w:val="28"/>
          <w:lang w:val="en-CA"/>
        </w:rPr>
        <w:lastRenderedPageBreak/>
        <w:t xml:space="preserve">Is There Sufficient Evidence on the </w:t>
      </w:r>
      <w:r w:rsidRPr="00116AED">
        <w:rPr>
          <w:i/>
          <w:sz w:val="28"/>
          <w:szCs w:val="28"/>
          <w:lang w:val="en-CA"/>
        </w:rPr>
        <w:t>Mens Rea</w:t>
      </w:r>
      <w:r w:rsidRPr="00116AED">
        <w:rPr>
          <w:sz w:val="28"/>
          <w:szCs w:val="28"/>
          <w:lang w:val="en-CA"/>
        </w:rPr>
        <w:t xml:space="preserve"> of Unlawful Act Manslaughter?</w:t>
      </w:r>
    </w:p>
    <w:p w14:paraId="495EF610" w14:textId="77777777" w:rsidR="00AA29A4" w:rsidRPr="00116AED" w:rsidRDefault="00AA29A4" w:rsidP="00AA29A4">
      <w:pPr>
        <w:pStyle w:val="ListParagraph"/>
        <w:ind w:left="1080"/>
        <w:rPr>
          <w:sz w:val="28"/>
          <w:szCs w:val="28"/>
          <w:lang w:val="en-CA"/>
        </w:rPr>
      </w:pPr>
    </w:p>
    <w:p w14:paraId="5B1293E9" w14:textId="5C48BBEA" w:rsidR="006F771E" w:rsidRPr="00025FA2" w:rsidRDefault="00B74AE0" w:rsidP="001835C4">
      <w:pPr>
        <w:pStyle w:val="ListParagraph"/>
        <w:ind w:left="1440" w:hanging="360"/>
        <w:rPr>
          <w:i/>
          <w:sz w:val="28"/>
          <w:szCs w:val="28"/>
          <w:lang w:val="en-CA"/>
        </w:rPr>
      </w:pPr>
      <w:r w:rsidRPr="00025FA2">
        <w:rPr>
          <w:i/>
          <w:sz w:val="28"/>
          <w:szCs w:val="28"/>
          <w:lang w:val="en-CA"/>
        </w:rPr>
        <w:t>i</w:t>
      </w:r>
      <w:r w:rsidRPr="00025FA2">
        <w:rPr>
          <w:i/>
          <w:sz w:val="28"/>
          <w:szCs w:val="28"/>
          <w:lang w:val="en-CA"/>
        </w:rPr>
        <w:tab/>
        <w:t xml:space="preserve">The Mens Rea Required for Providing Liquor to </w:t>
      </w:r>
      <w:r w:rsidR="0024623D">
        <w:rPr>
          <w:i/>
          <w:sz w:val="28"/>
          <w:szCs w:val="28"/>
          <w:lang w:val="en-CA"/>
        </w:rPr>
        <w:t>a</w:t>
      </w:r>
      <w:r w:rsidRPr="00025FA2">
        <w:rPr>
          <w:i/>
          <w:sz w:val="28"/>
          <w:szCs w:val="28"/>
          <w:lang w:val="en-CA"/>
        </w:rPr>
        <w:t xml:space="preserve"> Minor contrary to S</w:t>
      </w:r>
      <w:r w:rsidR="001835C4" w:rsidRPr="00025FA2">
        <w:rPr>
          <w:i/>
          <w:sz w:val="28"/>
          <w:szCs w:val="28"/>
          <w:lang w:val="en-CA"/>
        </w:rPr>
        <w:t>.</w:t>
      </w:r>
      <w:r w:rsidRPr="00025FA2">
        <w:rPr>
          <w:i/>
          <w:sz w:val="28"/>
          <w:szCs w:val="28"/>
          <w:lang w:val="en-CA"/>
        </w:rPr>
        <w:t>77 of the Liquor Act as a Predicate Offence to Unlawful</w:t>
      </w:r>
      <w:r w:rsidR="001835C4" w:rsidRPr="00025FA2">
        <w:rPr>
          <w:i/>
          <w:sz w:val="28"/>
          <w:szCs w:val="28"/>
          <w:lang w:val="en-CA"/>
        </w:rPr>
        <w:t xml:space="preserve"> Act Manslaughter – A Marked Departure from the Standard of a Reasonable Person.</w:t>
      </w:r>
    </w:p>
    <w:p w14:paraId="72C13226" w14:textId="3BFB4E41" w:rsidR="00D943AE" w:rsidRPr="00116AED" w:rsidRDefault="003000D0" w:rsidP="00B74AE0">
      <w:pPr>
        <w:rPr>
          <w:sz w:val="28"/>
          <w:szCs w:val="28"/>
          <w:lang w:val="en-CA"/>
        </w:rPr>
      </w:pPr>
      <w:r>
        <w:rPr>
          <w:sz w:val="28"/>
          <w:szCs w:val="28"/>
          <w:lang w:val="en-CA"/>
        </w:rPr>
        <w:t>[44]</w:t>
      </w:r>
      <w:r>
        <w:rPr>
          <w:sz w:val="28"/>
          <w:szCs w:val="28"/>
          <w:lang w:val="en-CA"/>
        </w:rPr>
        <w:tab/>
      </w:r>
      <w:r w:rsidR="00D239EA" w:rsidRPr="00116AED">
        <w:rPr>
          <w:sz w:val="28"/>
          <w:szCs w:val="28"/>
          <w:lang w:val="en-CA"/>
        </w:rPr>
        <w:t>As</w:t>
      </w:r>
      <w:r w:rsidR="00B74AE0" w:rsidRPr="00116AED">
        <w:rPr>
          <w:sz w:val="28"/>
          <w:szCs w:val="28"/>
          <w:lang w:val="en-CA"/>
        </w:rPr>
        <w:t xml:space="preserve"> noted, unlawful act manslaughter requires that the </w:t>
      </w:r>
      <w:r w:rsidR="00B74AE0" w:rsidRPr="00116AED">
        <w:rPr>
          <w:i/>
          <w:sz w:val="28"/>
          <w:szCs w:val="28"/>
          <w:lang w:val="en-CA"/>
        </w:rPr>
        <w:t>mens rea</w:t>
      </w:r>
      <w:r w:rsidR="00B74AE0" w:rsidRPr="00116AED">
        <w:rPr>
          <w:sz w:val="28"/>
          <w:szCs w:val="28"/>
          <w:lang w:val="en-CA"/>
        </w:rPr>
        <w:t xml:space="preserve"> of the predicate offence be pr</w:t>
      </w:r>
      <w:r w:rsidR="00F24D7B" w:rsidRPr="00116AED">
        <w:rPr>
          <w:sz w:val="28"/>
          <w:szCs w:val="28"/>
          <w:lang w:val="en-CA"/>
        </w:rPr>
        <w:t>ove</w:t>
      </w:r>
      <w:r w:rsidR="0024623D">
        <w:rPr>
          <w:sz w:val="28"/>
          <w:szCs w:val="28"/>
          <w:lang w:val="en-CA"/>
        </w:rPr>
        <w:t>n</w:t>
      </w:r>
      <w:r w:rsidR="00F24D7B" w:rsidRPr="00116AED">
        <w:rPr>
          <w:sz w:val="28"/>
          <w:szCs w:val="28"/>
          <w:lang w:val="en-CA"/>
        </w:rPr>
        <w:t xml:space="preserve"> beyond a reasonable doubt.  </w:t>
      </w:r>
      <w:r w:rsidR="00B74AE0" w:rsidRPr="00116AED">
        <w:rPr>
          <w:sz w:val="28"/>
          <w:szCs w:val="28"/>
          <w:lang w:val="en-CA"/>
        </w:rPr>
        <w:t xml:space="preserve">In this case the predicate offence </w:t>
      </w:r>
      <w:r w:rsidR="00F24D7B" w:rsidRPr="00116AED">
        <w:rPr>
          <w:sz w:val="28"/>
          <w:szCs w:val="28"/>
          <w:lang w:val="en-CA"/>
        </w:rPr>
        <w:t>relied upon</w:t>
      </w:r>
      <w:r w:rsidR="0024623D">
        <w:rPr>
          <w:sz w:val="28"/>
          <w:szCs w:val="28"/>
          <w:lang w:val="en-CA"/>
        </w:rPr>
        <w:t xml:space="preserve"> by</w:t>
      </w:r>
      <w:r w:rsidR="00B74AE0" w:rsidRPr="00116AED">
        <w:rPr>
          <w:sz w:val="28"/>
          <w:szCs w:val="28"/>
          <w:lang w:val="en-CA"/>
        </w:rPr>
        <w:t xml:space="preserve"> the Crown is a strict liability offence. </w:t>
      </w:r>
      <w:r w:rsidR="00D943AE" w:rsidRPr="00116AED">
        <w:rPr>
          <w:sz w:val="28"/>
          <w:szCs w:val="28"/>
          <w:lang w:val="en-CA"/>
        </w:rPr>
        <w:t xml:space="preserve"> </w:t>
      </w:r>
    </w:p>
    <w:p w14:paraId="78ADDA35" w14:textId="5422F257" w:rsidR="00D943AE" w:rsidRPr="00116AED" w:rsidRDefault="003000D0" w:rsidP="00B74AE0">
      <w:pPr>
        <w:rPr>
          <w:sz w:val="28"/>
          <w:szCs w:val="28"/>
          <w:lang w:val="en-CA"/>
        </w:rPr>
      </w:pPr>
      <w:r>
        <w:rPr>
          <w:sz w:val="28"/>
          <w:szCs w:val="28"/>
          <w:lang w:val="en-CA"/>
        </w:rPr>
        <w:t>[45]</w:t>
      </w:r>
      <w:r>
        <w:rPr>
          <w:sz w:val="28"/>
          <w:szCs w:val="28"/>
          <w:lang w:val="en-CA"/>
        </w:rPr>
        <w:tab/>
      </w:r>
      <w:r w:rsidR="00B74AE0" w:rsidRPr="00116AED">
        <w:rPr>
          <w:sz w:val="28"/>
          <w:szCs w:val="28"/>
          <w:lang w:val="en-CA"/>
        </w:rPr>
        <w:t xml:space="preserve">Strict liability offences do not require proof of </w:t>
      </w:r>
      <w:r w:rsidR="00B74AE0" w:rsidRPr="00AD4846">
        <w:rPr>
          <w:i/>
          <w:sz w:val="28"/>
          <w:szCs w:val="28"/>
          <w:lang w:val="en-CA"/>
        </w:rPr>
        <w:t>mens rea</w:t>
      </w:r>
      <w:r w:rsidR="00B74AE0" w:rsidRPr="00116AED">
        <w:rPr>
          <w:sz w:val="28"/>
          <w:szCs w:val="28"/>
          <w:lang w:val="en-CA"/>
        </w:rPr>
        <w:t xml:space="preserve">.  Once the </w:t>
      </w:r>
      <w:r w:rsidR="00B74AE0" w:rsidRPr="00116AED">
        <w:rPr>
          <w:i/>
          <w:sz w:val="28"/>
          <w:szCs w:val="28"/>
          <w:lang w:val="en-CA"/>
        </w:rPr>
        <w:t>actus reus</w:t>
      </w:r>
      <w:r w:rsidR="00B74AE0" w:rsidRPr="00116AED">
        <w:rPr>
          <w:sz w:val="28"/>
          <w:szCs w:val="28"/>
          <w:lang w:val="en-CA"/>
        </w:rPr>
        <w:t xml:space="preserve"> has been proved a </w:t>
      </w:r>
      <w:r w:rsidR="00B74AE0" w:rsidRPr="00116AED">
        <w:rPr>
          <w:i/>
          <w:sz w:val="28"/>
          <w:szCs w:val="28"/>
          <w:lang w:val="en-CA"/>
        </w:rPr>
        <w:t xml:space="preserve">prima facie </w:t>
      </w:r>
      <w:r w:rsidR="00B74AE0" w:rsidRPr="00116AED">
        <w:rPr>
          <w:sz w:val="28"/>
          <w:szCs w:val="28"/>
          <w:lang w:val="en-CA"/>
        </w:rPr>
        <w:t xml:space="preserve">case is established and </w:t>
      </w:r>
      <w:r w:rsidR="00D943AE" w:rsidRPr="00116AED">
        <w:rPr>
          <w:sz w:val="28"/>
          <w:szCs w:val="28"/>
          <w:lang w:val="en-CA"/>
        </w:rPr>
        <w:t xml:space="preserve">in order for the accused to be acquitted, </w:t>
      </w:r>
      <w:r w:rsidR="00B74AE0" w:rsidRPr="00116AED">
        <w:rPr>
          <w:sz w:val="28"/>
          <w:szCs w:val="28"/>
          <w:lang w:val="en-CA"/>
        </w:rPr>
        <w:t xml:space="preserve">the evidence </w:t>
      </w:r>
      <w:r w:rsidR="00D943AE" w:rsidRPr="00116AED">
        <w:rPr>
          <w:sz w:val="28"/>
          <w:szCs w:val="28"/>
          <w:lang w:val="en-CA"/>
        </w:rPr>
        <w:t xml:space="preserve">must establish that the he </w:t>
      </w:r>
      <w:r w:rsidR="00B74AE0" w:rsidRPr="00116AED">
        <w:rPr>
          <w:sz w:val="28"/>
          <w:szCs w:val="28"/>
          <w:lang w:val="en-CA"/>
        </w:rPr>
        <w:t>was duly diligent</w:t>
      </w:r>
      <w:r w:rsidR="00D943AE" w:rsidRPr="00116AED">
        <w:rPr>
          <w:sz w:val="28"/>
          <w:szCs w:val="28"/>
          <w:lang w:val="en-CA"/>
        </w:rPr>
        <w:t xml:space="preserve"> </w:t>
      </w:r>
      <w:r w:rsidR="00F24D7B" w:rsidRPr="00116AED">
        <w:rPr>
          <w:sz w:val="28"/>
          <w:szCs w:val="28"/>
          <w:lang w:val="en-CA"/>
        </w:rPr>
        <w:t>at the time he committed the</w:t>
      </w:r>
      <w:r w:rsidR="00D943AE" w:rsidRPr="00116AED">
        <w:rPr>
          <w:sz w:val="28"/>
          <w:szCs w:val="28"/>
          <w:lang w:val="en-CA"/>
        </w:rPr>
        <w:t xml:space="preserve"> </w:t>
      </w:r>
      <w:r w:rsidR="00D943AE" w:rsidRPr="00B46122">
        <w:rPr>
          <w:i/>
          <w:sz w:val="28"/>
          <w:szCs w:val="28"/>
          <w:lang w:val="en-CA"/>
        </w:rPr>
        <w:t>actus reus</w:t>
      </w:r>
      <w:r w:rsidR="00B74AE0" w:rsidRPr="00116AED">
        <w:rPr>
          <w:sz w:val="28"/>
          <w:szCs w:val="28"/>
          <w:lang w:val="en-CA"/>
        </w:rPr>
        <w:t>.  If howe</w:t>
      </w:r>
      <w:r w:rsidR="00AD4846">
        <w:rPr>
          <w:sz w:val="28"/>
          <w:szCs w:val="28"/>
          <w:lang w:val="en-CA"/>
        </w:rPr>
        <w:t xml:space="preserve">ver, one takes such an approach, </w:t>
      </w:r>
      <w:r w:rsidR="00B74AE0" w:rsidRPr="00116AED">
        <w:rPr>
          <w:sz w:val="28"/>
          <w:szCs w:val="28"/>
          <w:lang w:val="en-CA"/>
        </w:rPr>
        <w:t>wh</w:t>
      </w:r>
      <w:r w:rsidR="00AD4846">
        <w:rPr>
          <w:sz w:val="28"/>
          <w:szCs w:val="28"/>
          <w:lang w:val="en-CA"/>
        </w:rPr>
        <w:t>ere</w:t>
      </w:r>
      <w:r w:rsidR="00B74AE0" w:rsidRPr="00116AED">
        <w:rPr>
          <w:sz w:val="28"/>
          <w:szCs w:val="28"/>
          <w:lang w:val="en-CA"/>
        </w:rPr>
        <w:t xml:space="preserve"> a strict liability offence is the predicate offence to unlawful act manslaughter, on</w:t>
      </w:r>
      <w:r w:rsidR="001835C4" w:rsidRPr="00116AED">
        <w:rPr>
          <w:sz w:val="28"/>
          <w:szCs w:val="28"/>
          <w:lang w:val="en-CA"/>
        </w:rPr>
        <w:t xml:space="preserve">e effectively reduces the requirements that the Crown would be required to establish if a criminal </w:t>
      </w:r>
      <w:r w:rsidR="00D943AE" w:rsidRPr="00116AED">
        <w:rPr>
          <w:sz w:val="28"/>
          <w:szCs w:val="28"/>
          <w:lang w:val="en-CA"/>
        </w:rPr>
        <w:t>offence</w:t>
      </w:r>
      <w:r w:rsidR="001835C4" w:rsidRPr="00116AED">
        <w:rPr>
          <w:sz w:val="28"/>
          <w:szCs w:val="28"/>
          <w:lang w:val="en-CA"/>
        </w:rPr>
        <w:t xml:space="preserve"> were the predicate offence. </w:t>
      </w:r>
    </w:p>
    <w:p w14:paraId="40990D94" w14:textId="1FC00B86" w:rsidR="00B74AE0" w:rsidRPr="00116AED" w:rsidRDefault="003000D0" w:rsidP="00B74AE0">
      <w:pPr>
        <w:rPr>
          <w:sz w:val="28"/>
          <w:szCs w:val="28"/>
          <w:lang w:val="en-CA"/>
        </w:rPr>
      </w:pPr>
      <w:r>
        <w:rPr>
          <w:sz w:val="28"/>
          <w:szCs w:val="28"/>
          <w:lang w:val="en-CA"/>
        </w:rPr>
        <w:t>[46]</w:t>
      </w:r>
      <w:r>
        <w:rPr>
          <w:sz w:val="28"/>
          <w:szCs w:val="28"/>
          <w:lang w:val="en-CA"/>
        </w:rPr>
        <w:tab/>
      </w:r>
      <w:r w:rsidR="00D943AE" w:rsidRPr="00116AED">
        <w:rPr>
          <w:sz w:val="28"/>
          <w:szCs w:val="28"/>
          <w:lang w:val="en-CA"/>
        </w:rPr>
        <w:t>In the case of</w:t>
      </w:r>
      <w:r w:rsidR="001835C4" w:rsidRPr="00116AED">
        <w:rPr>
          <w:sz w:val="28"/>
          <w:szCs w:val="28"/>
          <w:lang w:val="en-CA"/>
        </w:rPr>
        <w:t xml:space="preserve"> criminal offences where carelessness is an element of the offence</w:t>
      </w:r>
      <w:r w:rsidR="006A4DD9" w:rsidRPr="00116AED">
        <w:rPr>
          <w:sz w:val="28"/>
          <w:szCs w:val="28"/>
          <w:lang w:val="en-CA"/>
        </w:rPr>
        <w:t>, the</w:t>
      </w:r>
      <w:r w:rsidR="00F24D7B" w:rsidRPr="00116AED">
        <w:rPr>
          <w:sz w:val="28"/>
          <w:szCs w:val="28"/>
          <w:lang w:val="en-CA"/>
        </w:rPr>
        <w:t xml:space="preserve"> offence must be read as requiring </w:t>
      </w:r>
      <w:r w:rsidR="00566E07" w:rsidRPr="00116AED">
        <w:rPr>
          <w:sz w:val="28"/>
          <w:szCs w:val="28"/>
          <w:lang w:val="en-CA"/>
        </w:rPr>
        <w:t xml:space="preserve">a </w:t>
      </w:r>
      <w:r w:rsidR="001835C4" w:rsidRPr="00116AED">
        <w:rPr>
          <w:i/>
          <w:sz w:val="28"/>
          <w:szCs w:val="28"/>
          <w:lang w:val="en-CA"/>
        </w:rPr>
        <w:t xml:space="preserve">marked departure from the standard </w:t>
      </w:r>
      <w:r w:rsidR="00566E07" w:rsidRPr="00116AED">
        <w:rPr>
          <w:i/>
          <w:sz w:val="28"/>
          <w:szCs w:val="28"/>
          <w:lang w:val="en-CA"/>
        </w:rPr>
        <w:t>of a reasonable person</w:t>
      </w:r>
      <w:r w:rsidR="00F24D7B" w:rsidRPr="00116AED">
        <w:rPr>
          <w:sz w:val="28"/>
          <w:szCs w:val="28"/>
          <w:lang w:val="en-CA"/>
        </w:rPr>
        <w:t xml:space="preserve"> </w:t>
      </w:r>
      <w:r w:rsidR="00AD4846">
        <w:rPr>
          <w:sz w:val="28"/>
          <w:szCs w:val="28"/>
          <w:lang w:val="en-CA"/>
        </w:rPr>
        <w:t xml:space="preserve">as the objective </w:t>
      </w:r>
      <w:r w:rsidR="00AD4846" w:rsidRPr="00AD4846">
        <w:rPr>
          <w:i/>
          <w:sz w:val="28"/>
          <w:szCs w:val="28"/>
          <w:lang w:val="en-CA"/>
        </w:rPr>
        <w:t>mens rea</w:t>
      </w:r>
      <w:r w:rsidR="00AD4846">
        <w:rPr>
          <w:sz w:val="28"/>
          <w:szCs w:val="28"/>
          <w:lang w:val="en-CA"/>
        </w:rPr>
        <w:t xml:space="preserve"> of the offence, </w:t>
      </w:r>
      <w:r w:rsidR="00566E07" w:rsidRPr="00116AED">
        <w:rPr>
          <w:sz w:val="28"/>
          <w:szCs w:val="28"/>
          <w:lang w:val="en-CA"/>
        </w:rPr>
        <w:t xml:space="preserve">in order for </w:t>
      </w:r>
      <w:r w:rsidR="00AD4846">
        <w:rPr>
          <w:sz w:val="28"/>
          <w:szCs w:val="28"/>
          <w:lang w:val="en-CA"/>
        </w:rPr>
        <w:t>it</w:t>
      </w:r>
      <w:r w:rsidR="00566E07" w:rsidRPr="00116AED">
        <w:rPr>
          <w:sz w:val="28"/>
          <w:szCs w:val="28"/>
          <w:lang w:val="en-CA"/>
        </w:rPr>
        <w:t xml:space="preserve"> to be Charter compliant</w:t>
      </w:r>
      <w:r w:rsidR="00B3756C" w:rsidRPr="00116AED">
        <w:rPr>
          <w:sz w:val="28"/>
          <w:szCs w:val="28"/>
          <w:lang w:val="en-CA"/>
        </w:rPr>
        <w:t>.</w:t>
      </w:r>
      <w:r w:rsidR="00B3756C" w:rsidRPr="00116AED">
        <w:rPr>
          <w:rStyle w:val="FootnoteReference"/>
          <w:sz w:val="28"/>
          <w:szCs w:val="28"/>
          <w:lang w:val="en-CA"/>
        </w:rPr>
        <w:footnoteReference w:id="9"/>
      </w:r>
      <w:r w:rsidR="00566E07" w:rsidRPr="00116AED">
        <w:rPr>
          <w:sz w:val="28"/>
          <w:szCs w:val="28"/>
          <w:lang w:val="en-CA"/>
        </w:rPr>
        <w:t xml:space="preserve">  Clearly the same can be said for cases of unlawful act manslaughter</w:t>
      </w:r>
      <w:r w:rsidR="00956C53" w:rsidRPr="00116AED">
        <w:rPr>
          <w:sz w:val="28"/>
          <w:szCs w:val="28"/>
          <w:lang w:val="en-CA"/>
        </w:rPr>
        <w:t>, where such a criminal</w:t>
      </w:r>
      <w:r w:rsidR="00566E07" w:rsidRPr="00116AED">
        <w:rPr>
          <w:sz w:val="28"/>
          <w:szCs w:val="28"/>
          <w:lang w:val="en-CA"/>
        </w:rPr>
        <w:t xml:space="preserve"> offence is relied upon as the predicate offence.</w:t>
      </w:r>
      <w:r w:rsidR="001A5C49" w:rsidRPr="00116AED">
        <w:rPr>
          <w:rStyle w:val="FootnoteReference"/>
          <w:sz w:val="28"/>
          <w:szCs w:val="28"/>
          <w:lang w:val="en-CA"/>
        </w:rPr>
        <w:footnoteReference w:id="10"/>
      </w:r>
      <w:r w:rsidR="00D808CB">
        <w:rPr>
          <w:sz w:val="28"/>
          <w:szCs w:val="28"/>
          <w:lang w:val="en-CA"/>
        </w:rPr>
        <w:t xml:space="preserve">  </w:t>
      </w:r>
      <w:r w:rsidR="001A5C49" w:rsidRPr="00116AED">
        <w:rPr>
          <w:sz w:val="28"/>
          <w:szCs w:val="28"/>
          <w:lang w:val="en-CA"/>
        </w:rPr>
        <w:t xml:space="preserve">It </w:t>
      </w:r>
      <w:r w:rsidR="00956C53" w:rsidRPr="00116AED">
        <w:rPr>
          <w:sz w:val="28"/>
          <w:szCs w:val="28"/>
          <w:lang w:val="en-CA"/>
        </w:rPr>
        <w:t>would seem reasonable</w:t>
      </w:r>
      <w:r w:rsidR="001A5C49" w:rsidRPr="00116AED">
        <w:rPr>
          <w:sz w:val="28"/>
          <w:szCs w:val="28"/>
          <w:lang w:val="en-CA"/>
        </w:rPr>
        <w:t xml:space="preserve"> that the same requirement should apply where the predicate offence</w:t>
      </w:r>
      <w:r w:rsidR="00533E4A" w:rsidRPr="00116AED">
        <w:rPr>
          <w:sz w:val="28"/>
          <w:szCs w:val="28"/>
          <w:lang w:val="en-CA"/>
        </w:rPr>
        <w:t xml:space="preserve"> for </w:t>
      </w:r>
      <w:r w:rsidR="00956C53" w:rsidRPr="00116AED">
        <w:rPr>
          <w:sz w:val="28"/>
          <w:szCs w:val="28"/>
          <w:lang w:val="en-CA"/>
        </w:rPr>
        <w:t>unlawful act manslaughter is a provincial offence of</w:t>
      </w:r>
      <w:r w:rsidR="001A5C49" w:rsidRPr="00116AED">
        <w:rPr>
          <w:sz w:val="28"/>
          <w:szCs w:val="28"/>
          <w:lang w:val="en-CA"/>
        </w:rPr>
        <w:t xml:space="preserve"> strict liabil</w:t>
      </w:r>
      <w:r w:rsidR="00D808CB">
        <w:rPr>
          <w:sz w:val="28"/>
          <w:szCs w:val="28"/>
          <w:lang w:val="en-CA"/>
        </w:rPr>
        <w:t xml:space="preserve">ity.  </w:t>
      </w:r>
      <w:r w:rsidR="00F547A1" w:rsidRPr="00116AED">
        <w:rPr>
          <w:sz w:val="28"/>
          <w:szCs w:val="28"/>
          <w:lang w:val="en-CA"/>
        </w:rPr>
        <w:t>As</w:t>
      </w:r>
      <w:r w:rsidR="002B3ADC" w:rsidRPr="00116AED">
        <w:rPr>
          <w:sz w:val="28"/>
          <w:szCs w:val="28"/>
          <w:lang w:val="en-CA"/>
        </w:rPr>
        <w:t xml:space="preserve"> stated by Curran J., in </w:t>
      </w:r>
      <w:r w:rsidR="001A5C49" w:rsidRPr="00116AED">
        <w:rPr>
          <w:i/>
          <w:sz w:val="28"/>
          <w:szCs w:val="28"/>
          <w:lang w:val="en-CA"/>
        </w:rPr>
        <w:t>R. v. Curragh</w:t>
      </w:r>
      <w:r w:rsidR="00D30E2F" w:rsidRPr="00116AED">
        <w:rPr>
          <w:sz w:val="28"/>
          <w:szCs w:val="28"/>
          <w:lang w:val="en-CA"/>
        </w:rPr>
        <w:t xml:space="preserve"> (1994), 25 CR (4</w:t>
      </w:r>
      <w:r w:rsidR="00D30E2F" w:rsidRPr="00116AED">
        <w:rPr>
          <w:sz w:val="28"/>
          <w:szCs w:val="28"/>
          <w:vertAlign w:val="superscript"/>
          <w:lang w:val="en-CA"/>
        </w:rPr>
        <w:t>th</w:t>
      </w:r>
      <w:r w:rsidR="00D30E2F" w:rsidRPr="00116AED">
        <w:rPr>
          <w:sz w:val="28"/>
          <w:szCs w:val="28"/>
          <w:lang w:val="en-CA"/>
        </w:rPr>
        <w:t>) 377 (NSPC)</w:t>
      </w:r>
      <w:r w:rsidR="00630876">
        <w:rPr>
          <w:sz w:val="28"/>
          <w:szCs w:val="28"/>
          <w:lang w:val="en-CA"/>
        </w:rPr>
        <w:t>:</w:t>
      </w:r>
      <w:r w:rsidR="00513A26" w:rsidRPr="00116AED">
        <w:rPr>
          <w:rStyle w:val="FootnoteReference"/>
          <w:sz w:val="28"/>
          <w:szCs w:val="28"/>
          <w:lang w:val="en-CA"/>
        </w:rPr>
        <w:footnoteReference w:id="11"/>
      </w:r>
    </w:p>
    <w:p w14:paraId="4AAAB703" w14:textId="4EC9A9A8" w:rsidR="001A5C49" w:rsidRPr="00116AED" w:rsidRDefault="001A5C49" w:rsidP="00513A26">
      <w:pPr>
        <w:ind w:left="720"/>
        <w:rPr>
          <w:rFonts w:ascii="Calibri" w:hAnsi="Calibri" w:cs="Helvetica"/>
          <w:sz w:val="24"/>
          <w:szCs w:val="24"/>
          <w:lang w:val="en-CA"/>
        </w:rPr>
      </w:pPr>
      <w:r w:rsidRPr="00116AED">
        <w:rPr>
          <w:rFonts w:ascii="Calibri" w:hAnsi="Calibri" w:cs="Helvetica"/>
          <w:sz w:val="24"/>
          <w:szCs w:val="24"/>
          <w:lang w:val="en-CA"/>
        </w:rPr>
        <w:t xml:space="preserve">12 </w:t>
      </w:r>
      <w:r w:rsidR="00025FA2">
        <w:rPr>
          <w:rFonts w:ascii="Calibri" w:hAnsi="Calibri" w:cs="Helvetica"/>
          <w:sz w:val="24"/>
          <w:szCs w:val="24"/>
          <w:lang w:val="en-CA"/>
        </w:rPr>
        <w:t xml:space="preserve">  </w:t>
      </w:r>
      <w:r w:rsidRPr="00116AED">
        <w:rPr>
          <w:rFonts w:ascii="Calibri" w:hAnsi="Calibri" w:cs="Helvetica"/>
          <w:sz w:val="24"/>
          <w:szCs w:val="24"/>
          <w:lang w:val="en-CA"/>
        </w:rPr>
        <w:t xml:space="preserve">On this issue I would disagree with the Crown even on </w:t>
      </w:r>
      <w:r w:rsidRPr="00116AED">
        <w:rPr>
          <w:rStyle w:val="ssit1"/>
          <w:rFonts w:ascii="Calibri" w:hAnsi="Calibri" w:cs="Helvetica"/>
          <w:sz w:val="24"/>
          <w:szCs w:val="24"/>
          <w:lang w:val="en-CA"/>
        </w:rPr>
        <w:t>Occupational Health and Safety Act</w:t>
      </w:r>
      <w:r w:rsidRPr="00116AED">
        <w:rPr>
          <w:rFonts w:ascii="Calibri" w:hAnsi="Calibri" w:cs="Helvetica"/>
          <w:sz w:val="24"/>
          <w:szCs w:val="24"/>
          <w:lang w:val="en-CA"/>
        </w:rPr>
        <w:t xml:space="preserve"> charges, but certainly when the charge is manslaughter.</w:t>
      </w:r>
      <w:r w:rsidR="00A558A8" w:rsidRPr="00116AED">
        <w:rPr>
          <w:rFonts w:ascii="Calibri" w:hAnsi="Calibri" w:cs="Helvetica"/>
          <w:sz w:val="24"/>
          <w:szCs w:val="24"/>
          <w:lang w:val="en-CA"/>
        </w:rPr>
        <w:t xml:space="preserve">  </w:t>
      </w:r>
      <w:r w:rsidRPr="00116AED">
        <w:rPr>
          <w:rFonts w:ascii="Calibri" w:hAnsi="Calibri" w:cs="Helvetica"/>
          <w:sz w:val="24"/>
          <w:szCs w:val="24"/>
          <w:lang w:val="en-CA"/>
        </w:rPr>
        <w:t>The Crown has acknowledged that the manslaughter counts are charges of penal negligence.</w:t>
      </w:r>
      <w:r w:rsidR="00A558A8" w:rsidRPr="00116AED">
        <w:rPr>
          <w:rFonts w:ascii="Calibri" w:hAnsi="Calibri" w:cs="Helvetica"/>
          <w:sz w:val="24"/>
          <w:szCs w:val="24"/>
          <w:lang w:val="en-CA"/>
        </w:rPr>
        <w:t xml:space="preserve"> </w:t>
      </w:r>
      <w:r w:rsidRPr="00116AED">
        <w:rPr>
          <w:rFonts w:ascii="Calibri" w:hAnsi="Calibri" w:cs="Helvetica"/>
          <w:sz w:val="24"/>
          <w:szCs w:val="24"/>
          <w:lang w:val="en-CA"/>
        </w:rPr>
        <w:t xml:space="preserve"> To say </w:t>
      </w:r>
      <w:r w:rsidRPr="00116AED">
        <w:rPr>
          <w:rFonts w:ascii="Calibri" w:hAnsi="Calibri" w:cs="Helvetica"/>
          <w:sz w:val="24"/>
          <w:szCs w:val="24"/>
          <w:lang w:val="en-CA"/>
        </w:rPr>
        <w:lastRenderedPageBreak/>
        <w:t>the accused would have the onus of proving the absence of negligence on the balance of probability is inappropriate and wrong.</w:t>
      </w:r>
      <w:r w:rsidR="00A558A8" w:rsidRPr="00116AED">
        <w:rPr>
          <w:rFonts w:ascii="Calibri" w:hAnsi="Calibri" w:cs="Helvetica"/>
          <w:sz w:val="24"/>
          <w:szCs w:val="24"/>
          <w:lang w:val="en-CA"/>
        </w:rPr>
        <w:t xml:space="preserve"> </w:t>
      </w:r>
      <w:r w:rsidRPr="00116AED">
        <w:rPr>
          <w:rFonts w:ascii="Calibri" w:hAnsi="Calibri" w:cs="Helvetica"/>
          <w:sz w:val="24"/>
          <w:szCs w:val="24"/>
          <w:lang w:val="en-CA"/>
        </w:rPr>
        <w:t xml:space="preserve"> It might be argued that the words "without taking systematic steps to prevent explosions of coal dust" at least impliedly adopt the "reasonable precautions" provision of s. 9(1) (</w:t>
      </w:r>
      <w:r w:rsidRPr="00116AED">
        <w:rPr>
          <w:rStyle w:val="ssit1"/>
          <w:rFonts w:ascii="Calibri" w:hAnsi="Calibri" w:cs="Helvetica"/>
          <w:sz w:val="24"/>
          <w:szCs w:val="24"/>
          <w:lang w:val="en-CA"/>
        </w:rPr>
        <w:t>f</w:t>
      </w:r>
      <w:r w:rsidRPr="00116AED">
        <w:rPr>
          <w:rFonts w:ascii="Calibri" w:hAnsi="Calibri" w:cs="Helvetica"/>
          <w:sz w:val="24"/>
          <w:szCs w:val="24"/>
          <w:lang w:val="en-CA"/>
        </w:rPr>
        <w:t>).</w:t>
      </w:r>
      <w:r w:rsidR="00A558A8" w:rsidRPr="00116AED">
        <w:rPr>
          <w:rFonts w:ascii="Calibri" w:hAnsi="Calibri" w:cs="Helvetica"/>
          <w:sz w:val="24"/>
          <w:szCs w:val="24"/>
          <w:lang w:val="en-CA"/>
        </w:rPr>
        <w:t xml:space="preserve"> </w:t>
      </w:r>
      <w:r w:rsidRPr="00116AED">
        <w:rPr>
          <w:rFonts w:ascii="Calibri" w:hAnsi="Calibri" w:cs="Helvetica"/>
          <w:sz w:val="24"/>
          <w:szCs w:val="24"/>
          <w:lang w:val="en-CA"/>
        </w:rPr>
        <w:t xml:space="preserve"> In any event, the Supreme Court of Canada in </w:t>
      </w:r>
      <w:r w:rsidRPr="00116AED">
        <w:rPr>
          <w:rStyle w:val="ssit1"/>
          <w:rFonts w:ascii="Calibri" w:hAnsi="Calibri" w:cs="Helvetica"/>
          <w:sz w:val="24"/>
          <w:szCs w:val="24"/>
          <w:lang w:val="en-CA"/>
        </w:rPr>
        <w:t>Creighton</w:t>
      </w:r>
      <w:r w:rsidRPr="00116AED">
        <w:rPr>
          <w:rFonts w:ascii="Calibri" w:hAnsi="Calibri" w:cs="Helvetica"/>
          <w:sz w:val="24"/>
          <w:szCs w:val="24"/>
          <w:lang w:val="en-CA"/>
        </w:rPr>
        <w:t xml:space="preserve">, supra, has made it clear that, </w:t>
      </w:r>
      <w:r w:rsidRPr="00116AED">
        <w:rPr>
          <w:rStyle w:val="ssun1"/>
          <w:rFonts w:ascii="Calibri" w:hAnsi="Calibri" w:cs="Helvetica"/>
          <w:sz w:val="24"/>
          <w:szCs w:val="24"/>
          <w:u w:val="none"/>
          <w:lang w:val="en-CA"/>
        </w:rPr>
        <w:t xml:space="preserve">in all unlawful act manslaughter charges based on underlying offences of penal negligence, failure by a marked degree to take the care a reasonable person would take in the circumstances is an element of the offence. </w:t>
      </w:r>
      <w:r w:rsidR="00A558A8" w:rsidRPr="00116AED">
        <w:rPr>
          <w:rStyle w:val="ssun1"/>
          <w:rFonts w:ascii="Calibri" w:hAnsi="Calibri" w:cs="Helvetica"/>
          <w:sz w:val="24"/>
          <w:szCs w:val="24"/>
          <w:u w:val="none"/>
          <w:lang w:val="en-CA"/>
        </w:rPr>
        <w:t xml:space="preserve"> </w:t>
      </w:r>
      <w:r w:rsidRPr="00116AED">
        <w:rPr>
          <w:rStyle w:val="ssun1"/>
          <w:rFonts w:ascii="Calibri" w:hAnsi="Calibri" w:cs="Helvetica"/>
          <w:sz w:val="24"/>
          <w:szCs w:val="24"/>
          <w:u w:val="none"/>
          <w:lang w:val="en-CA"/>
        </w:rPr>
        <w:t>Like all other elements, it is something that must be proved by the Crown.</w:t>
      </w:r>
      <w:r w:rsidR="009F583F">
        <w:rPr>
          <w:rFonts w:ascii="Calibri" w:hAnsi="Calibri" w:cs="Helvetica"/>
          <w:sz w:val="24"/>
          <w:szCs w:val="24"/>
          <w:lang w:val="en-CA"/>
        </w:rPr>
        <w:t xml:space="preserve">  </w:t>
      </w:r>
      <w:r w:rsidRPr="00116AED">
        <w:rPr>
          <w:rFonts w:ascii="Calibri" w:hAnsi="Calibri" w:cs="Helvetica"/>
          <w:sz w:val="24"/>
          <w:szCs w:val="24"/>
          <w:lang w:val="en-CA"/>
        </w:rPr>
        <w:t>The Crown itself recognized that to be the state of the law when it said, in para. 62 of its brief, that "lack of reasonableness must be proved beyond a reasonable doubt".</w:t>
      </w:r>
      <w:r w:rsidR="00A558A8" w:rsidRPr="00116AED">
        <w:rPr>
          <w:rFonts w:ascii="Calibri" w:hAnsi="Calibri" w:cs="Helvetica"/>
          <w:sz w:val="24"/>
          <w:szCs w:val="24"/>
          <w:lang w:val="en-CA"/>
        </w:rPr>
        <w:t xml:space="preserve">  </w:t>
      </w:r>
      <w:r w:rsidRPr="00116AED">
        <w:rPr>
          <w:rFonts w:ascii="Calibri" w:hAnsi="Calibri" w:cs="Helvetica"/>
          <w:sz w:val="24"/>
          <w:szCs w:val="24"/>
          <w:lang w:val="en-CA"/>
        </w:rPr>
        <w:t xml:space="preserve">The manslaughter charge against </w:t>
      </w:r>
      <w:r w:rsidRPr="00116AED">
        <w:rPr>
          <w:rStyle w:val="ssit1"/>
          <w:rFonts w:ascii="Calibri" w:hAnsi="Calibri" w:cs="Helvetica"/>
          <w:sz w:val="24"/>
          <w:szCs w:val="24"/>
          <w:lang w:val="en-CA"/>
        </w:rPr>
        <w:t>Curragh</w:t>
      </w:r>
      <w:r w:rsidRPr="00116AED">
        <w:rPr>
          <w:rFonts w:ascii="Calibri" w:hAnsi="Calibri" w:cs="Helvetica"/>
          <w:sz w:val="24"/>
          <w:szCs w:val="24"/>
          <w:lang w:val="en-CA"/>
        </w:rPr>
        <w:t>, therefore, fails to include an essential element of the charge.</w:t>
      </w:r>
    </w:p>
    <w:p w14:paraId="123BDC8A" w14:textId="77777777" w:rsidR="00533E4A" w:rsidRPr="00116AED" w:rsidRDefault="00533E4A" w:rsidP="00513A26">
      <w:pPr>
        <w:ind w:left="720"/>
        <w:rPr>
          <w:rFonts w:ascii="Calibri" w:hAnsi="Calibri" w:cs="Helvetica"/>
          <w:sz w:val="24"/>
          <w:szCs w:val="24"/>
          <w:lang w:val="en-CA"/>
        </w:rPr>
      </w:pPr>
      <w:r w:rsidRPr="00116AED">
        <w:rPr>
          <w:rFonts w:ascii="Calibri" w:hAnsi="Calibri" w:cs="Helvetica"/>
          <w:sz w:val="24"/>
          <w:szCs w:val="24"/>
          <w:lang w:val="en-CA"/>
        </w:rPr>
        <w:t>.    .    .</w:t>
      </w:r>
    </w:p>
    <w:p w14:paraId="1D884392" w14:textId="297E825A" w:rsidR="009E2941" w:rsidRPr="00116AED" w:rsidRDefault="00533E4A" w:rsidP="009E2941">
      <w:pPr>
        <w:ind w:left="720"/>
        <w:rPr>
          <w:rFonts w:ascii="Calibri" w:hAnsi="Calibri"/>
          <w:sz w:val="24"/>
          <w:szCs w:val="24"/>
          <w:lang w:val="en-CA"/>
        </w:rPr>
      </w:pPr>
      <w:r w:rsidRPr="00116AED">
        <w:rPr>
          <w:rFonts w:ascii="Calibri" w:hAnsi="Calibri" w:cs="Helvetica"/>
          <w:sz w:val="24"/>
          <w:szCs w:val="24"/>
          <w:lang w:val="en-CA"/>
        </w:rPr>
        <w:t xml:space="preserve">23 </w:t>
      </w:r>
      <w:r w:rsidR="00025FA2">
        <w:rPr>
          <w:rFonts w:ascii="Calibri" w:hAnsi="Calibri" w:cs="Helvetica"/>
          <w:sz w:val="24"/>
          <w:szCs w:val="24"/>
          <w:lang w:val="en-CA"/>
        </w:rPr>
        <w:t xml:space="preserve">  </w:t>
      </w:r>
      <w:r w:rsidRPr="00116AED">
        <w:rPr>
          <w:rFonts w:ascii="Calibri" w:hAnsi="Calibri" w:cs="Helvetica"/>
          <w:sz w:val="24"/>
          <w:szCs w:val="24"/>
          <w:lang w:val="en-CA"/>
        </w:rPr>
        <w:t>The manslaughter charges are valid, although the charge against Curragh must be read as including an allegation that the company failed to take every precaution that was reasonable in the circumstances against health or safety hazards and both charges must be read as requiring the Crown to prove a marked departure from the care that would have been taken by a reasonable person.</w:t>
      </w:r>
    </w:p>
    <w:p w14:paraId="0F94FCAD" w14:textId="470B08A3" w:rsidR="00B74AE0" w:rsidRPr="00116AED" w:rsidRDefault="003000D0" w:rsidP="00B74AE0">
      <w:pPr>
        <w:rPr>
          <w:sz w:val="28"/>
          <w:szCs w:val="28"/>
          <w:lang w:val="en-CA"/>
        </w:rPr>
      </w:pPr>
      <w:r>
        <w:rPr>
          <w:sz w:val="28"/>
          <w:szCs w:val="28"/>
          <w:lang w:val="en-CA"/>
        </w:rPr>
        <w:t>[47]</w:t>
      </w:r>
      <w:r>
        <w:rPr>
          <w:sz w:val="28"/>
          <w:szCs w:val="28"/>
          <w:lang w:val="en-CA"/>
        </w:rPr>
        <w:tab/>
      </w:r>
      <w:r w:rsidR="009E2941" w:rsidRPr="00116AED">
        <w:rPr>
          <w:sz w:val="28"/>
          <w:szCs w:val="28"/>
          <w:lang w:val="en-CA"/>
        </w:rPr>
        <w:t>In an article entitled</w:t>
      </w:r>
      <w:r w:rsidR="00CD0653" w:rsidRPr="00116AED">
        <w:rPr>
          <w:sz w:val="28"/>
          <w:szCs w:val="28"/>
          <w:lang w:val="en-CA"/>
        </w:rPr>
        <w:t xml:space="preserve"> “</w:t>
      </w:r>
      <w:r w:rsidR="00C93371" w:rsidRPr="00116AED">
        <w:rPr>
          <w:sz w:val="28"/>
          <w:szCs w:val="28"/>
          <w:lang w:val="en-CA"/>
        </w:rPr>
        <w:t>Beatty, J.F</w:t>
      </w:r>
      <w:r w:rsidR="00CD0653" w:rsidRPr="00116AED">
        <w:rPr>
          <w:sz w:val="28"/>
          <w:szCs w:val="28"/>
          <w:lang w:val="en-CA"/>
        </w:rPr>
        <w:t>.</w:t>
      </w:r>
      <w:r w:rsidR="009E2941" w:rsidRPr="00116AED">
        <w:rPr>
          <w:sz w:val="28"/>
          <w:szCs w:val="28"/>
          <w:lang w:val="en-CA"/>
        </w:rPr>
        <w:t>,</w:t>
      </w:r>
      <w:r w:rsidR="00CD0653" w:rsidRPr="00116AED">
        <w:rPr>
          <w:sz w:val="28"/>
          <w:szCs w:val="28"/>
          <w:lang w:val="en-CA"/>
        </w:rPr>
        <w:t xml:space="preserve"> and the Law of Manslaughter”</w:t>
      </w:r>
      <w:r w:rsidR="006A4DD9">
        <w:rPr>
          <w:sz w:val="28"/>
          <w:szCs w:val="28"/>
          <w:lang w:val="en-CA"/>
        </w:rPr>
        <w:t xml:space="preserve"> (2010), 47 Alta. L. Rev. 651.</w:t>
      </w:r>
      <w:r w:rsidR="00025FA2">
        <w:rPr>
          <w:sz w:val="28"/>
          <w:szCs w:val="28"/>
          <w:lang w:val="en-CA"/>
        </w:rPr>
        <w:t xml:space="preserve">, </w:t>
      </w:r>
      <w:r w:rsidR="00025FA2" w:rsidRPr="00116AED">
        <w:rPr>
          <w:sz w:val="28"/>
          <w:szCs w:val="28"/>
          <w:lang w:val="en-CA"/>
        </w:rPr>
        <w:t>Professor</w:t>
      </w:r>
      <w:r w:rsidR="009E2941" w:rsidRPr="00116AED">
        <w:rPr>
          <w:sz w:val="28"/>
          <w:szCs w:val="28"/>
          <w:lang w:val="en-CA"/>
        </w:rPr>
        <w:t xml:space="preserve"> Wilson</w:t>
      </w:r>
      <w:r w:rsidR="00F547A1" w:rsidRPr="00116AED">
        <w:rPr>
          <w:sz w:val="28"/>
          <w:szCs w:val="28"/>
          <w:lang w:val="en-CA"/>
        </w:rPr>
        <w:t xml:space="preserve"> succinctly</w:t>
      </w:r>
      <w:r w:rsidR="009E2941" w:rsidRPr="00116AED">
        <w:rPr>
          <w:sz w:val="28"/>
          <w:szCs w:val="28"/>
          <w:lang w:val="en-CA"/>
        </w:rPr>
        <w:t xml:space="preserve"> explained the </w:t>
      </w:r>
      <w:r w:rsidR="00F547A1" w:rsidRPr="00116AED">
        <w:rPr>
          <w:sz w:val="28"/>
          <w:szCs w:val="28"/>
          <w:lang w:val="en-CA"/>
        </w:rPr>
        <w:t xml:space="preserve">logic of requiring the elevated standard </w:t>
      </w:r>
      <w:r w:rsidR="009E2941" w:rsidRPr="00116AED">
        <w:rPr>
          <w:sz w:val="28"/>
          <w:szCs w:val="28"/>
          <w:lang w:val="en-CA"/>
        </w:rPr>
        <w:t>where the predicate offence is</w:t>
      </w:r>
      <w:r w:rsidR="0024623D">
        <w:rPr>
          <w:sz w:val="28"/>
          <w:szCs w:val="28"/>
          <w:lang w:val="en-CA"/>
        </w:rPr>
        <w:t xml:space="preserve"> one of</w:t>
      </w:r>
      <w:r w:rsidR="009E2941" w:rsidRPr="00116AED">
        <w:rPr>
          <w:sz w:val="28"/>
          <w:szCs w:val="28"/>
          <w:lang w:val="en-CA"/>
        </w:rPr>
        <w:t xml:space="preserve"> strict liability</w:t>
      </w:r>
      <w:r w:rsidR="00F547A1" w:rsidRPr="00116AED">
        <w:rPr>
          <w:sz w:val="28"/>
          <w:szCs w:val="28"/>
          <w:lang w:val="en-CA"/>
        </w:rPr>
        <w:t xml:space="preserve"> stating:</w:t>
      </w:r>
      <w:r w:rsidR="009E2941" w:rsidRPr="00116AED">
        <w:rPr>
          <w:sz w:val="28"/>
          <w:szCs w:val="28"/>
          <w:lang w:val="en-CA"/>
        </w:rPr>
        <w:t xml:space="preserve"> </w:t>
      </w:r>
    </w:p>
    <w:p w14:paraId="61AE3B02" w14:textId="77777777" w:rsidR="00CD0653" w:rsidRPr="00116AED" w:rsidRDefault="00CD0653" w:rsidP="00513A26">
      <w:pPr>
        <w:spacing w:before="100" w:beforeAutospacing="1" w:after="100" w:afterAutospacing="1" w:line="240" w:lineRule="auto"/>
        <w:ind w:left="720"/>
        <w:rPr>
          <w:rFonts w:ascii="Calibri" w:eastAsia="Times New Roman" w:hAnsi="Calibri" w:cs="Helvetica"/>
          <w:sz w:val="24"/>
          <w:szCs w:val="24"/>
          <w:lang w:val="en-CA"/>
        </w:rPr>
      </w:pPr>
      <w:r w:rsidRPr="00116AED">
        <w:rPr>
          <w:rFonts w:ascii="Calibri" w:eastAsia="Times New Roman" w:hAnsi="Calibri" w:cs="Helvetica"/>
          <w:sz w:val="24"/>
          <w:szCs w:val="24"/>
          <w:lang w:val="en-CA"/>
        </w:rPr>
        <w:t>Since the unlawful act for unlawful act manslaughter may be any offence other than an offence of absolute liability, a provincial strict liability offence would qualify.</w:t>
      </w:r>
      <w:r w:rsidR="00A558A8" w:rsidRPr="00116AED">
        <w:rPr>
          <w:rFonts w:ascii="Calibri" w:eastAsia="Times New Roman" w:hAnsi="Calibri" w:cs="Helvetica"/>
          <w:sz w:val="24"/>
          <w:szCs w:val="24"/>
          <w:lang w:val="en-CA"/>
        </w:rPr>
        <w:t xml:space="preserve">  </w:t>
      </w:r>
      <w:r w:rsidRPr="00116AED">
        <w:rPr>
          <w:rFonts w:ascii="Calibri" w:eastAsia="Times New Roman" w:hAnsi="Calibri" w:cs="Helvetica"/>
          <w:sz w:val="24"/>
          <w:szCs w:val="24"/>
          <w:lang w:val="en-CA"/>
        </w:rPr>
        <w:t xml:space="preserve">When a person is charged with a strict liability offence that person, rather than the Crown, carries the legal burden of proof with regard to the fault element. </w:t>
      </w:r>
      <w:r w:rsidR="00A558A8" w:rsidRPr="00116AED">
        <w:rPr>
          <w:rFonts w:ascii="Calibri" w:eastAsia="Times New Roman" w:hAnsi="Calibri" w:cs="Helvetica"/>
          <w:sz w:val="24"/>
          <w:szCs w:val="24"/>
          <w:lang w:val="en-CA"/>
        </w:rPr>
        <w:t xml:space="preserve"> </w:t>
      </w:r>
      <w:r w:rsidRPr="00116AED">
        <w:rPr>
          <w:rFonts w:ascii="Calibri" w:eastAsia="Times New Roman" w:hAnsi="Calibri" w:cs="Helvetica"/>
          <w:sz w:val="24"/>
          <w:szCs w:val="24"/>
          <w:lang w:val="en-CA"/>
        </w:rPr>
        <w:t>The accused is required to show, on a balance of probabilities, that he or she acted as a reasonable person; that is, he must demonstrate due diligence.</w:t>
      </w:r>
      <w:r w:rsidR="00A558A8" w:rsidRPr="00116AED">
        <w:rPr>
          <w:rFonts w:ascii="Calibri" w:eastAsia="Times New Roman" w:hAnsi="Calibri" w:cs="Helvetica"/>
          <w:sz w:val="24"/>
          <w:szCs w:val="24"/>
          <w:lang w:val="en-CA"/>
        </w:rPr>
        <w:t xml:space="preserve"> </w:t>
      </w:r>
      <w:r w:rsidRPr="00116AED">
        <w:rPr>
          <w:rFonts w:ascii="Calibri" w:eastAsia="Times New Roman" w:hAnsi="Calibri" w:cs="Helvetica"/>
          <w:sz w:val="24"/>
          <w:szCs w:val="24"/>
          <w:lang w:val="en-CA"/>
        </w:rPr>
        <w:t xml:space="preserve"> This is a standard of civil negligence. </w:t>
      </w:r>
      <w:r w:rsidR="00A558A8" w:rsidRPr="00116AED">
        <w:rPr>
          <w:rFonts w:ascii="Calibri" w:eastAsia="Times New Roman" w:hAnsi="Calibri" w:cs="Helvetica"/>
          <w:sz w:val="24"/>
          <w:szCs w:val="24"/>
          <w:lang w:val="en-CA"/>
        </w:rPr>
        <w:t xml:space="preserve"> </w:t>
      </w:r>
      <w:r w:rsidRPr="00116AED">
        <w:rPr>
          <w:rFonts w:ascii="Calibri" w:eastAsia="Times New Roman" w:hAnsi="Calibri" w:cs="Helvetica"/>
          <w:sz w:val="24"/>
          <w:szCs w:val="24"/>
          <w:lang w:val="en-CA"/>
        </w:rPr>
        <w:t xml:space="preserve">Thus, there are both conceptual and practical problems when the unlawful act alleged by the Crown is an offence of strict liability. </w:t>
      </w:r>
      <w:r w:rsidR="00A558A8" w:rsidRPr="00116AED">
        <w:rPr>
          <w:rFonts w:ascii="Calibri" w:eastAsia="Times New Roman" w:hAnsi="Calibri" w:cs="Helvetica"/>
          <w:sz w:val="24"/>
          <w:szCs w:val="24"/>
          <w:lang w:val="en-CA"/>
        </w:rPr>
        <w:t xml:space="preserve"> </w:t>
      </w:r>
      <w:r w:rsidRPr="00116AED">
        <w:rPr>
          <w:rFonts w:ascii="Calibri" w:eastAsia="Times New Roman" w:hAnsi="Calibri" w:cs="Helvetica"/>
          <w:sz w:val="24"/>
          <w:szCs w:val="24"/>
          <w:lang w:val="en-CA"/>
        </w:rPr>
        <w:t>With regard to this predicate offence, does the accused have the legal burden of proof</w:t>
      </w:r>
      <w:r w:rsidR="00A558A8" w:rsidRPr="00116AED">
        <w:rPr>
          <w:rFonts w:ascii="Calibri" w:eastAsia="Times New Roman" w:hAnsi="Calibri" w:cs="Helvetica"/>
          <w:sz w:val="24"/>
          <w:szCs w:val="24"/>
          <w:lang w:val="en-CA"/>
        </w:rPr>
        <w:t xml:space="preserve"> on a balance of probabilities?  </w:t>
      </w:r>
      <w:r w:rsidRPr="00116AED">
        <w:rPr>
          <w:rFonts w:ascii="Calibri" w:eastAsia="Times New Roman" w:hAnsi="Calibri" w:cs="Helvetica"/>
          <w:sz w:val="24"/>
          <w:szCs w:val="24"/>
          <w:lang w:val="en-CA"/>
        </w:rPr>
        <w:t>Or does the burden shift to the Crown, and if so, what is the standard of proof, balance of probabilities or beyond a reasonable doubt?</w:t>
      </w:r>
    </w:p>
    <w:p w14:paraId="741AA479" w14:textId="681B33DE" w:rsidR="00CD0653" w:rsidRPr="00116AED" w:rsidRDefault="00CD0653" w:rsidP="00513A26">
      <w:pPr>
        <w:spacing w:before="100" w:beforeAutospacing="1" w:after="100" w:afterAutospacing="1" w:line="240" w:lineRule="auto"/>
        <w:ind w:left="720"/>
        <w:rPr>
          <w:rFonts w:ascii="Calibri" w:eastAsia="Times New Roman" w:hAnsi="Calibri" w:cs="Helvetica"/>
          <w:sz w:val="24"/>
          <w:szCs w:val="24"/>
          <w:lang w:val="en-CA"/>
        </w:rPr>
      </w:pPr>
      <w:r w:rsidRPr="00116AED">
        <w:rPr>
          <w:rFonts w:ascii="Calibri" w:eastAsia="Times New Roman" w:hAnsi="Calibri" w:cs="Helvetica"/>
          <w:sz w:val="24"/>
          <w:szCs w:val="24"/>
          <w:lang w:val="en-CA"/>
        </w:rPr>
        <w:t xml:space="preserve">The Supreme Court did not have to directly address these questions in the </w:t>
      </w:r>
      <w:r w:rsidRPr="00116AED">
        <w:rPr>
          <w:rFonts w:ascii="Calibri" w:eastAsia="Times New Roman" w:hAnsi="Calibri" w:cs="Helvetica"/>
          <w:i/>
          <w:iCs/>
          <w:sz w:val="24"/>
          <w:szCs w:val="24"/>
          <w:lang w:val="en-CA"/>
        </w:rPr>
        <w:t>Creighton</w:t>
      </w:r>
      <w:r w:rsidRPr="00116AED">
        <w:rPr>
          <w:rFonts w:ascii="Calibri" w:eastAsia="Times New Roman" w:hAnsi="Calibri" w:cs="Helvetica"/>
          <w:i/>
          <w:sz w:val="24"/>
          <w:szCs w:val="24"/>
          <w:lang w:val="en-CA"/>
        </w:rPr>
        <w:t xml:space="preserve"> </w:t>
      </w:r>
      <w:r w:rsidRPr="00116AED">
        <w:rPr>
          <w:rFonts w:ascii="Calibri" w:eastAsia="Times New Roman" w:hAnsi="Calibri" w:cs="Helvetica"/>
          <w:sz w:val="24"/>
          <w:szCs w:val="24"/>
          <w:lang w:val="en-CA"/>
        </w:rPr>
        <w:t xml:space="preserve">decision since the predicate offence was "trafficking" under the federal </w:t>
      </w:r>
      <w:r w:rsidRPr="00116AED">
        <w:rPr>
          <w:rFonts w:ascii="Calibri" w:eastAsia="Times New Roman" w:hAnsi="Calibri" w:cs="Helvetica"/>
          <w:iCs/>
          <w:sz w:val="24"/>
          <w:szCs w:val="24"/>
          <w:lang w:val="en-CA"/>
        </w:rPr>
        <w:t>Narcotic Control Act</w:t>
      </w:r>
      <w:r w:rsidRPr="00116AED">
        <w:rPr>
          <w:rFonts w:ascii="Calibri" w:eastAsia="Times New Roman" w:hAnsi="Calibri" w:cs="Helvetica"/>
          <w:sz w:val="24"/>
          <w:szCs w:val="24"/>
          <w:lang w:val="en-CA"/>
        </w:rPr>
        <w:t>, not a strict liability offence.</w:t>
      </w:r>
      <w:r w:rsidR="00CF01EC" w:rsidRPr="00116AED">
        <w:rPr>
          <w:rFonts w:ascii="Calibri" w:eastAsia="Times New Roman" w:hAnsi="Calibri" w:cs="Helvetica"/>
          <w:sz w:val="24"/>
          <w:szCs w:val="24"/>
          <w:lang w:val="en-CA"/>
        </w:rPr>
        <w:t xml:space="preserve"> </w:t>
      </w:r>
      <w:r w:rsidRPr="00116AED">
        <w:rPr>
          <w:rFonts w:ascii="Calibri" w:eastAsia="Times New Roman" w:hAnsi="Calibri" w:cs="Helvetica"/>
          <w:sz w:val="24"/>
          <w:szCs w:val="24"/>
          <w:lang w:val="en-CA"/>
        </w:rPr>
        <w:t xml:space="preserve"> However, </w:t>
      </w:r>
      <w:r w:rsidR="00D26F08">
        <w:rPr>
          <w:rFonts w:ascii="Calibri" w:eastAsia="Times New Roman" w:hAnsi="Calibri" w:cs="Helvetica"/>
          <w:sz w:val="24"/>
          <w:szCs w:val="24"/>
          <w:lang w:val="en-CA"/>
        </w:rPr>
        <w:t>McLachli</w:t>
      </w:r>
      <w:r w:rsidR="00D26F08" w:rsidRPr="00116AED">
        <w:rPr>
          <w:rFonts w:ascii="Calibri" w:eastAsia="Times New Roman" w:hAnsi="Calibri" w:cs="Helvetica"/>
          <w:sz w:val="24"/>
          <w:szCs w:val="24"/>
          <w:lang w:val="en-CA"/>
        </w:rPr>
        <w:t>n</w:t>
      </w:r>
      <w:r w:rsidRPr="00116AED">
        <w:rPr>
          <w:rFonts w:ascii="Calibri" w:eastAsia="Times New Roman" w:hAnsi="Calibri" w:cs="Helvetica"/>
          <w:sz w:val="24"/>
          <w:szCs w:val="24"/>
          <w:lang w:val="en-CA"/>
        </w:rPr>
        <w:t xml:space="preserve"> J. (as she then was) did state that "a predicate offence involving carelessness or negligence must also be read as requiring </w:t>
      </w:r>
      <w:r w:rsidRPr="00116AED">
        <w:rPr>
          <w:rFonts w:ascii="Calibri" w:eastAsia="Times New Roman" w:hAnsi="Calibri" w:cs="Helvetica"/>
          <w:sz w:val="24"/>
          <w:szCs w:val="24"/>
          <w:lang w:val="en-CA"/>
        </w:rPr>
        <w:lastRenderedPageBreak/>
        <w:t>a 'marked departure' from the stan</w:t>
      </w:r>
      <w:r w:rsidR="00025FA2">
        <w:rPr>
          <w:rFonts w:ascii="Calibri" w:eastAsia="Times New Roman" w:hAnsi="Calibri" w:cs="Helvetica"/>
          <w:sz w:val="24"/>
          <w:szCs w:val="24"/>
          <w:lang w:val="en-CA"/>
        </w:rPr>
        <w:t xml:space="preserve">dard of the reasonable person."  </w:t>
      </w:r>
      <w:r w:rsidRPr="00116AED">
        <w:rPr>
          <w:rFonts w:ascii="Calibri" w:eastAsia="Times New Roman" w:hAnsi="Calibri" w:cs="Helvetica"/>
          <w:sz w:val="24"/>
          <w:szCs w:val="24"/>
          <w:lang w:val="en-CA"/>
        </w:rPr>
        <w:t xml:space="preserve">That comment played an important role in the subsequent decision </w:t>
      </w:r>
      <w:r w:rsidRPr="00116AED">
        <w:rPr>
          <w:rFonts w:ascii="Calibri" w:eastAsia="Times New Roman" w:hAnsi="Calibri" w:cs="Helvetica"/>
          <w:i/>
          <w:sz w:val="24"/>
          <w:szCs w:val="24"/>
          <w:lang w:val="en-CA"/>
        </w:rPr>
        <w:t xml:space="preserve">of </w:t>
      </w:r>
      <w:r w:rsidRPr="00116AED">
        <w:rPr>
          <w:rFonts w:ascii="Calibri" w:eastAsia="Times New Roman" w:hAnsi="Calibri" w:cs="Helvetica"/>
          <w:i/>
          <w:iCs/>
          <w:sz w:val="24"/>
          <w:szCs w:val="24"/>
          <w:lang w:val="en-CA"/>
        </w:rPr>
        <w:t>R. v. Curragh Inc</w:t>
      </w:r>
      <w:r w:rsidRPr="00116AED">
        <w:rPr>
          <w:rFonts w:ascii="Calibri" w:eastAsia="Times New Roman" w:hAnsi="Calibri" w:cs="Helvetica"/>
          <w:iCs/>
          <w:sz w:val="24"/>
          <w:szCs w:val="24"/>
          <w:lang w:val="en-CA"/>
        </w:rPr>
        <w:t>.</w:t>
      </w:r>
      <w:r w:rsidRPr="00116AED">
        <w:rPr>
          <w:rFonts w:ascii="Calibri" w:eastAsia="Times New Roman" w:hAnsi="Calibri" w:cs="Helvetica"/>
          <w:sz w:val="24"/>
          <w:szCs w:val="24"/>
          <w:lang w:val="en-CA"/>
        </w:rPr>
        <w:t>, better kn</w:t>
      </w:r>
      <w:r w:rsidR="00913242">
        <w:rPr>
          <w:rFonts w:ascii="Calibri" w:eastAsia="Times New Roman" w:hAnsi="Calibri" w:cs="Helvetica"/>
          <w:sz w:val="24"/>
          <w:szCs w:val="24"/>
          <w:lang w:val="en-CA"/>
        </w:rPr>
        <w:t xml:space="preserve">own as the Westray Mining case.  </w:t>
      </w:r>
      <w:r w:rsidRPr="00116AED">
        <w:rPr>
          <w:rFonts w:ascii="Calibri" w:eastAsia="Times New Roman" w:hAnsi="Calibri" w:cs="Helvetica"/>
          <w:sz w:val="24"/>
          <w:szCs w:val="24"/>
          <w:lang w:val="en-CA"/>
        </w:rPr>
        <w:t xml:space="preserve">In that case the alleged unlawful acts consisted of violations of provincial occupational health and safety as well as mine safety regulations. </w:t>
      </w:r>
      <w:r w:rsidR="00913242">
        <w:rPr>
          <w:rFonts w:ascii="Calibri" w:eastAsia="Times New Roman" w:hAnsi="Calibri" w:cs="Helvetica"/>
          <w:sz w:val="24"/>
          <w:szCs w:val="24"/>
          <w:lang w:val="en-CA"/>
        </w:rPr>
        <w:t xml:space="preserve"> </w:t>
      </w:r>
      <w:r w:rsidR="00CF01EC" w:rsidRPr="00116AED">
        <w:rPr>
          <w:rFonts w:ascii="Calibri" w:eastAsia="Times New Roman" w:hAnsi="Calibri" w:cs="Helvetica"/>
          <w:sz w:val="24"/>
          <w:szCs w:val="24"/>
          <w:lang w:val="en-CA"/>
        </w:rPr>
        <w:t>T</w:t>
      </w:r>
      <w:r w:rsidRPr="00116AED">
        <w:rPr>
          <w:rFonts w:ascii="Calibri" w:eastAsia="Times New Roman" w:hAnsi="Calibri" w:cs="Helvetica"/>
          <w:sz w:val="24"/>
          <w:szCs w:val="24"/>
          <w:lang w:val="en-CA"/>
        </w:rPr>
        <w:t xml:space="preserve">hese were provincial strict liability offences that, if prosecuted on their own, would require the accused to establish due diligence on a balance of probabilities. </w:t>
      </w:r>
      <w:r w:rsidR="00CF01EC" w:rsidRPr="00116AED">
        <w:rPr>
          <w:rFonts w:ascii="Calibri" w:eastAsia="Times New Roman" w:hAnsi="Calibri" w:cs="Helvetica"/>
          <w:sz w:val="24"/>
          <w:szCs w:val="24"/>
          <w:lang w:val="en-CA"/>
        </w:rPr>
        <w:t xml:space="preserve"> </w:t>
      </w:r>
      <w:r w:rsidRPr="00116AED">
        <w:rPr>
          <w:rFonts w:ascii="Calibri" w:eastAsia="Times New Roman" w:hAnsi="Calibri" w:cs="Helvetica"/>
          <w:sz w:val="24"/>
          <w:szCs w:val="24"/>
          <w:lang w:val="en-CA"/>
        </w:rPr>
        <w:t>However, because the charge was manslaughter, the Court held that the Crown was required to prove all elements of the offence beyond a reasonable doubt, including the fault element, a "marked departure" from the standard of a reasonable person.</w:t>
      </w:r>
      <w:r w:rsidR="00CF01EC" w:rsidRPr="00116AED">
        <w:rPr>
          <w:rFonts w:ascii="Calibri" w:eastAsia="Times New Roman" w:hAnsi="Calibri" w:cs="Helvetica"/>
          <w:sz w:val="24"/>
          <w:szCs w:val="24"/>
          <w:lang w:val="en-CA"/>
        </w:rPr>
        <w:t xml:space="preserve"> </w:t>
      </w:r>
      <w:r w:rsidRPr="00116AED">
        <w:rPr>
          <w:rFonts w:ascii="Calibri" w:eastAsia="Times New Roman" w:hAnsi="Calibri" w:cs="Helvetica"/>
          <w:sz w:val="24"/>
          <w:szCs w:val="24"/>
          <w:lang w:val="en-CA"/>
        </w:rPr>
        <w:t xml:space="preserve"> The elevation in status of the unlawful act from provincial offence to predicate offence was highlighted by the Court's finding that a manslaughter charge could proceed even where the predicate offence itself could not be prosecuted due to the expiration of a limitation period.</w:t>
      </w:r>
    </w:p>
    <w:p w14:paraId="3D24B39D" w14:textId="77777777" w:rsidR="00CD0653" w:rsidRPr="00116AED" w:rsidRDefault="00CD0653" w:rsidP="00513A26">
      <w:pPr>
        <w:spacing w:before="100" w:beforeAutospacing="1" w:after="100" w:afterAutospacing="1" w:line="240" w:lineRule="auto"/>
        <w:ind w:left="720"/>
        <w:rPr>
          <w:rFonts w:ascii="Calibri" w:eastAsia="Times New Roman" w:hAnsi="Calibri" w:cs="Helvetica"/>
          <w:sz w:val="24"/>
          <w:szCs w:val="24"/>
          <w:lang w:val="en-CA"/>
        </w:rPr>
      </w:pPr>
      <w:r w:rsidRPr="00116AED">
        <w:rPr>
          <w:rFonts w:ascii="Calibri" w:eastAsia="Times New Roman" w:hAnsi="Calibri" w:cs="Helvetica"/>
          <w:sz w:val="24"/>
          <w:szCs w:val="24"/>
          <w:lang w:val="en-CA"/>
        </w:rPr>
        <w:t xml:space="preserve">Thus, in those cases where the predicate offence is a strict liability offence, the fault element will be elevated from simple negligence to a "marked departure" and the Crown will be required to prove that </w:t>
      </w:r>
      <w:r w:rsidRPr="00116AED">
        <w:rPr>
          <w:rFonts w:ascii="Calibri" w:eastAsia="Times New Roman" w:hAnsi="Calibri" w:cs="Helvetica"/>
          <w:i/>
          <w:iCs/>
          <w:sz w:val="24"/>
          <w:szCs w:val="24"/>
          <w:lang w:val="en-CA"/>
        </w:rPr>
        <w:t>mens rea</w:t>
      </w:r>
      <w:r w:rsidR="00CF01EC" w:rsidRPr="00116AED">
        <w:rPr>
          <w:rFonts w:ascii="Calibri" w:eastAsia="Times New Roman" w:hAnsi="Calibri" w:cs="Helvetica"/>
          <w:sz w:val="24"/>
          <w:szCs w:val="24"/>
          <w:lang w:val="en-CA"/>
        </w:rPr>
        <w:t xml:space="preserve"> beyond a reasonable doubt.  </w:t>
      </w:r>
      <w:r w:rsidRPr="00116AED">
        <w:rPr>
          <w:rFonts w:ascii="Calibri" w:eastAsia="Times New Roman" w:hAnsi="Calibri" w:cs="Helvetica"/>
          <w:sz w:val="24"/>
          <w:szCs w:val="24"/>
          <w:lang w:val="en-CA"/>
        </w:rPr>
        <w:t xml:space="preserve">Where the unlawful act has a fault element of penal negligence or subjective fault, the Crown will be required to prove that particular fault element beyond a reasonable doubt. </w:t>
      </w:r>
      <w:r w:rsidR="00CF01EC" w:rsidRPr="00116AED">
        <w:rPr>
          <w:rFonts w:ascii="Calibri" w:eastAsia="Times New Roman" w:hAnsi="Calibri" w:cs="Helvetica"/>
          <w:sz w:val="24"/>
          <w:szCs w:val="24"/>
          <w:lang w:val="en-CA"/>
        </w:rPr>
        <w:t xml:space="preserve"> </w:t>
      </w:r>
      <w:r w:rsidRPr="00116AED">
        <w:rPr>
          <w:rFonts w:ascii="Calibri" w:eastAsia="Times New Roman" w:hAnsi="Calibri" w:cs="Helvetica"/>
          <w:sz w:val="24"/>
          <w:szCs w:val="24"/>
          <w:lang w:val="en-CA"/>
        </w:rPr>
        <w:t>Examples of offences that have a subjective fault requirement and have served as an unlawful act on a manslaughter charge include assault, mischief, unlawful confinement, and trafficking in a controlled substance</w:t>
      </w:r>
      <w:r w:rsidR="00513A26" w:rsidRPr="00116AED">
        <w:rPr>
          <w:rFonts w:ascii="Calibri" w:eastAsia="Times New Roman" w:hAnsi="Calibri" w:cs="Helvetica"/>
          <w:sz w:val="24"/>
          <w:szCs w:val="24"/>
          <w:lang w:val="en-CA"/>
        </w:rPr>
        <w:t>.</w:t>
      </w:r>
    </w:p>
    <w:p w14:paraId="440B590A" w14:textId="0B62D220" w:rsidR="00513A26" w:rsidRPr="00116AED" w:rsidRDefault="003000D0" w:rsidP="00F547A1">
      <w:pPr>
        <w:spacing w:before="100" w:beforeAutospacing="1" w:after="100" w:afterAutospacing="1" w:line="240" w:lineRule="auto"/>
        <w:rPr>
          <w:rFonts w:ascii="Calibri" w:eastAsia="Times New Roman" w:hAnsi="Calibri" w:cs="Helvetica"/>
          <w:sz w:val="28"/>
          <w:szCs w:val="28"/>
          <w:lang w:val="en-CA"/>
        </w:rPr>
      </w:pPr>
      <w:r>
        <w:rPr>
          <w:rFonts w:ascii="Calibri" w:eastAsia="Times New Roman" w:hAnsi="Calibri" w:cs="Helvetica"/>
          <w:sz w:val="28"/>
          <w:szCs w:val="28"/>
          <w:lang w:val="en-CA"/>
        </w:rPr>
        <w:t>[48]</w:t>
      </w:r>
      <w:r>
        <w:rPr>
          <w:rFonts w:ascii="Calibri" w:eastAsia="Times New Roman" w:hAnsi="Calibri" w:cs="Helvetica"/>
          <w:sz w:val="28"/>
          <w:szCs w:val="28"/>
          <w:lang w:val="en-CA"/>
        </w:rPr>
        <w:tab/>
      </w:r>
      <w:r w:rsidR="00433A68" w:rsidRPr="00116AED">
        <w:rPr>
          <w:rFonts w:ascii="Calibri" w:eastAsia="Times New Roman" w:hAnsi="Calibri" w:cs="Helvetica"/>
          <w:sz w:val="28"/>
          <w:szCs w:val="28"/>
          <w:lang w:val="en-CA"/>
        </w:rPr>
        <w:t>I agree with the foregoing reasoning.  Unlawful act manslaughter can be based on a predicate offence of strict liability so long as the accused’s conduct in committing the offence amounts to a marked departure from the standard of a reasonable person and, of cours</w:t>
      </w:r>
      <w:r w:rsidR="00CF01EC" w:rsidRPr="00116AED">
        <w:rPr>
          <w:rFonts w:ascii="Calibri" w:eastAsia="Times New Roman" w:hAnsi="Calibri" w:cs="Helvetica"/>
          <w:sz w:val="28"/>
          <w:szCs w:val="28"/>
          <w:lang w:val="en-CA"/>
        </w:rPr>
        <w:t xml:space="preserve">e, it is objectively dangerous.  </w:t>
      </w:r>
      <w:r w:rsidR="00433A68" w:rsidRPr="00116AED">
        <w:rPr>
          <w:rFonts w:ascii="Calibri" w:eastAsia="Times New Roman" w:hAnsi="Calibri" w:cs="Helvetica"/>
          <w:sz w:val="28"/>
          <w:szCs w:val="28"/>
          <w:lang w:val="en-CA"/>
        </w:rPr>
        <w:t>I note that the Crown in its written materials has submitted that a marked departure is an essential element of the offence of unlawful act manslaughter</w:t>
      </w:r>
      <w:r w:rsidR="00CF01EC" w:rsidRPr="00116AED">
        <w:rPr>
          <w:rFonts w:ascii="Calibri" w:eastAsia="Times New Roman" w:hAnsi="Calibri" w:cs="Helvetica"/>
          <w:sz w:val="28"/>
          <w:szCs w:val="28"/>
          <w:lang w:val="en-CA"/>
        </w:rPr>
        <w:t xml:space="preserve">.  </w:t>
      </w:r>
      <w:r w:rsidR="00433A68" w:rsidRPr="00116AED">
        <w:rPr>
          <w:rFonts w:ascii="Calibri" w:eastAsia="Times New Roman" w:hAnsi="Calibri" w:cs="Helvetica"/>
          <w:sz w:val="28"/>
          <w:szCs w:val="28"/>
          <w:lang w:val="en-CA"/>
        </w:rPr>
        <w:t xml:space="preserve">While I disagree that that is generally the case, I agree that it is so in the case before me. </w:t>
      </w:r>
    </w:p>
    <w:p w14:paraId="0263A7A8" w14:textId="75787006" w:rsidR="009E68E1" w:rsidRPr="00116AED" w:rsidRDefault="003000D0" w:rsidP="009E68E1">
      <w:pPr>
        <w:pStyle w:val="ListParagraph"/>
        <w:ind w:left="0"/>
        <w:rPr>
          <w:sz w:val="28"/>
          <w:szCs w:val="28"/>
          <w:lang w:val="en-CA"/>
        </w:rPr>
      </w:pPr>
      <w:r>
        <w:rPr>
          <w:rFonts w:ascii="Calibri" w:eastAsia="Times New Roman" w:hAnsi="Calibri" w:cs="Helvetica"/>
          <w:sz w:val="28"/>
          <w:szCs w:val="28"/>
          <w:lang w:val="en-CA"/>
        </w:rPr>
        <w:t>[49]</w:t>
      </w:r>
      <w:r>
        <w:rPr>
          <w:rFonts w:ascii="Calibri" w:eastAsia="Times New Roman" w:hAnsi="Calibri" w:cs="Helvetica"/>
          <w:sz w:val="28"/>
          <w:szCs w:val="28"/>
          <w:lang w:val="en-CA"/>
        </w:rPr>
        <w:tab/>
      </w:r>
      <w:r w:rsidR="00B3756C" w:rsidRPr="00116AED">
        <w:rPr>
          <w:rFonts w:ascii="Calibri" w:eastAsia="Times New Roman" w:hAnsi="Calibri" w:cs="Helvetica"/>
          <w:sz w:val="28"/>
          <w:szCs w:val="28"/>
          <w:lang w:val="en-CA"/>
        </w:rPr>
        <w:t xml:space="preserve">I conclude that </w:t>
      </w:r>
      <w:r w:rsidR="00A674E3" w:rsidRPr="00116AED">
        <w:rPr>
          <w:rFonts w:ascii="Calibri" w:eastAsia="Times New Roman" w:hAnsi="Calibri" w:cs="Helvetica"/>
          <w:sz w:val="28"/>
          <w:szCs w:val="28"/>
          <w:lang w:val="en-CA"/>
        </w:rPr>
        <w:t xml:space="preserve">in order to establish the </w:t>
      </w:r>
      <w:r w:rsidR="00A674E3" w:rsidRPr="00116AED">
        <w:rPr>
          <w:rFonts w:ascii="Calibri" w:eastAsia="Times New Roman" w:hAnsi="Calibri" w:cs="Helvetica"/>
          <w:i/>
          <w:sz w:val="28"/>
          <w:szCs w:val="28"/>
          <w:lang w:val="en-CA"/>
        </w:rPr>
        <w:t>mens rea</w:t>
      </w:r>
      <w:r w:rsidR="00A674E3" w:rsidRPr="00116AED">
        <w:rPr>
          <w:rFonts w:ascii="Calibri" w:eastAsia="Times New Roman" w:hAnsi="Calibri" w:cs="Helvetica"/>
          <w:sz w:val="28"/>
          <w:szCs w:val="28"/>
          <w:lang w:val="en-CA"/>
        </w:rPr>
        <w:t xml:space="preserve"> for unlawful act manslaughter in a case where the Crown relies on a strict liability offence as the unlawful act, a trier of fact must find that the accused’s conduct in committing the offence constituted a </w:t>
      </w:r>
      <w:r w:rsidR="00A674E3" w:rsidRPr="00116AED">
        <w:rPr>
          <w:sz w:val="28"/>
          <w:szCs w:val="28"/>
          <w:lang w:val="en-CA"/>
        </w:rPr>
        <w:t>marked departure from the standard of a reasonable person.</w:t>
      </w:r>
    </w:p>
    <w:p w14:paraId="44239566" w14:textId="2586C3DC" w:rsidR="00CD0653" w:rsidRPr="00116AED" w:rsidRDefault="003000D0" w:rsidP="00B74AE0">
      <w:pPr>
        <w:rPr>
          <w:sz w:val="28"/>
          <w:szCs w:val="28"/>
          <w:lang w:val="en-CA"/>
        </w:rPr>
      </w:pPr>
      <w:r>
        <w:rPr>
          <w:sz w:val="28"/>
          <w:szCs w:val="28"/>
          <w:lang w:val="en-CA"/>
        </w:rPr>
        <w:t>[50]</w:t>
      </w:r>
      <w:r>
        <w:rPr>
          <w:sz w:val="28"/>
          <w:szCs w:val="28"/>
          <w:lang w:val="en-CA"/>
        </w:rPr>
        <w:tab/>
      </w:r>
      <w:r w:rsidR="004431B7" w:rsidRPr="00116AED">
        <w:rPr>
          <w:sz w:val="28"/>
          <w:szCs w:val="28"/>
          <w:lang w:val="en-CA"/>
        </w:rPr>
        <w:t>Much of what I have already said about the facts when dealing with the question of objective reasonable</w:t>
      </w:r>
      <w:r w:rsidR="00767275" w:rsidRPr="00116AED">
        <w:rPr>
          <w:sz w:val="28"/>
          <w:szCs w:val="28"/>
          <w:lang w:val="en-CA"/>
        </w:rPr>
        <w:t xml:space="preserve">ness is relevant to this issue.  </w:t>
      </w:r>
      <w:r w:rsidR="004431B7" w:rsidRPr="00116AED">
        <w:rPr>
          <w:sz w:val="28"/>
          <w:szCs w:val="28"/>
          <w:lang w:val="en-CA"/>
        </w:rPr>
        <w:t>Based on the evidence,</w:t>
      </w:r>
      <w:r w:rsidR="00767275" w:rsidRPr="00116AED">
        <w:rPr>
          <w:sz w:val="28"/>
          <w:szCs w:val="28"/>
          <w:lang w:val="en-CA"/>
        </w:rPr>
        <w:t xml:space="preserve"> </w:t>
      </w:r>
      <w:r w:rsidR="00D978B2">
        <w:rPr>
          <w:sz w:val="28"/>
          <w:szCs w:val="28"/>
          <w:lang w:val="en-CA"/>
        </w:rPr>
        <w:t xml:space="preserve">L. </w:t>
      </w:r>
      <w:r w:rsidR="00767275" w:rsidRPr="00116AED">
        <w:rPr>
          <w:sz w:val="28"/>
          <w:szCs w:val="28"/>
          <w:lang w:val="en-CA"/>
        </w:rPr>
        <w:t xml:space="preserve">supplied </w:t>
      </w:r>
      <w:r w:rsidR="006A2218">
        <w:rPr>
          <w:sz w:val="28"/>
          <w:szCs w:val="28"/>
          <w:lang w:val="en-CA"/>
        </w:rPr>
        <w:t xml:space="preserve">E. </w:t>
      </w:r>
      <w:r w:rsidR="00767275" w:rsidRPr="00116AED">
        <w:rPr>
          <w:sz w:val="28"/>
          <w:szCs w:val="28"/>
          <w:lang w:val="en-CA"/>
        </w:rPr>
        <w:t>with the alcohol</w:t>
      </w:r>
      <w:r w:rsidR="008F3EF0">
        <w:rPr>
          <w:sz w:val="28"/>
          <w:szCs w:val="28"/>
          <w:lang w:val="en-CA"/>
        </w:rPr>
        <w:t xml:space="preserve"> that killed her.  </w:t>
      </w:r>
      <w:r w:rsidR="004431B7" w:rsidRPr="00116AED">
        <w:rPr>
          <w:sz w:val="28"/>
          <w:szCs w:val="28"/>
          <w:lang w:val="en-CA"/>
        </w:rPr>
        <w:t xml:space="preserve">The alcohol in question </w:t>
      </w:r>
      <w:r w:rsidR="004431B7" w:rsidRPr="00116AED">
        <w:rPr>
          <w:sz w:val="28"/>
          <w:szCs w:val="28"/>
          <w:lang w:val="en-CA"/>
        </w:rPr>
        <w:lastRenderedPageBreak/>
        <w:t xml:space="preserve">appears to have been hard liquor as opposed to beer or wine.  The description of the bottle is consistent with the shape and size of a </w:t>
      </w:r>
      <w:r w:rsidR="00AC116B" w:rsidRPr="00116AED">
        <w:rPr>
          <w:sz w:val="28"/>
          <w:szCs w:val="28"/>
          <w:lang w:val="en-CA"/>
        </w:rPr>
        <w:t>26-ounce</w:t>
      </w:r>
      <w:r w:rsidR="008F3EF0">
        <w:rPr>
          <w:sz w:val="28"/>
          <w:szCs w:val="28"/>
          <w:lang w:val="en-CA"/>
        </w:rPr>
        <w:t xml:space="preserve"> bottle of hard liquor.  </w:t>
      </w:r>
      <w:r w:rsidR="006A2218">
        <w:rPr>
          <w:sz w:val="28"/>
          <w:szCs w:val="28"/>
          <w:lang w:val="en-CA"/>
        </w:rPr>
        <w:t>D.</w:t>
      </w:r>
      <w:r w:rsidR="004431B7" w:rsidRPr="00116AED">
        <w:rPr>
          <w:sz w:val="28"/>
          <w:szCs w:val="28"/>
          <w:lang w:val="en-CA"/>
        </w:rPr>
        <w:t>’</w:t>
      </w:r>
      <w:r w:rsidR="00E65D4B">
        <w:rPr>
          <w:sz w:val="28"/>
          <w:szCs w:val="28"/>
          <w:lang w:val="en-CA"/>
        </w:rPr>
        <w:t>s</w:t>
      </w:r>
      <w:r w:rsidR="004431B7" w:rsidRPr="00116AED">
        <w:rPr>
          <w:sz w:val="28"/>
          <w:szCs w:val="28"/>
          <w:lang w:val="en-CA"/>
        </w:rPr>
        <w:t xml:space="preserve"> description of the taste is also consistent with that of hard liquor.  From the forensic evidence concerning </w:t>
      </w:r>
      <w:r w:rsidR="006A2218">
        <w:rPr>
          <w:sz w:val="28"/>
          <w:szCs w:val="28"/>
          <w:lang w:val="en-CA"/>
        </w:rPr>
        <w:t>E.’s</w:t>
      </w:r>
      <w:r w:rsidR="00E65D4B">
        <w:rPr>
          <w:sz w:val="28"/>
          <w:szCs w:val="28"/>
          <w:lang w:val="en-CA"/>
        </w:rPr>
        <w:t xml:space="preserve"> </w:t>
      </w:r>
      <w:r w:rsidR="004431B7" w:rsidRPr="00116AED">
        <w:rPr>
          <w:sz w:val="28"/>
          <w:szCs w:val="28"/>
          <w:lang w:val="en-CA"/>
        </w:rPr>
        <w:t xml:space="preserve">blood alcohol readings at the time of death, and </w:t>
      </w:r>
      <w:r w:rsidR="006A2218">
        <w:rPr>
          <w:sz w:val="28"/>
          <w:szCs w:val="28"/>
          <w:lang w:val="en-CA"/>
        </w:rPr>
        <w:t>D.</w:t>
      </w:r>
      <w:r w:rsidR="004431B7" w:rsidRPr="00116AED">
        <w:rPr>
          <w:sz w:val="28"/>
          <w:szCs w:val="28"/>
          <w:lang w:val="en-CA"/>
        </w:rPr>
        <w:t>’</w:t>
      </w:r>
      <w:r w:rsidR="00E65D4B">
        <w:rPr>
          <w:sz w:val="28"/>
          <w:szCs w:val="28"/>
          <w:lang w:val="en-CA"/>
        </w:rPr>
        <w:t>s</w:t>
      </w:r>
      <w:r w:rsidR="004431B7" w:rsidRPr="00116AED">
        <w:rPr>
          <w:sz w:val="28"/>
          <w:szCs w:val="28"/>
          <w:lang w:val="en-CA"/>
        </w:rPr>
        <w:t xml:space="preserve"> evidence</w:t>
      </w:r>
      <w:r w:rsidR="00C5507B" w:rsidRPr="00116AED">
        <w:rPr>
          <w:sz w:val="28"/>
          <w:szCs w:val="28"/>
          <w:lang w:val="en-CA"/>
        </w:rPr>
        <w:t xml:space="preserve"> on how </w:t>
      </w:r>
      <w:r w:rsidR="006A2218">
        <w:rPr>
          <w:sz w:val="28"/>
          <w:szCs w:val="28"/>
          <w:lang w:val="en-CA"/>
        </w:rPr>
        <w:t xml:space="preserve">E. </w:t>
      </w:r>
      <w:r w:rsidR="00C5507B" w:rsidRPr="00116AED">
        <w:rPr>
          <w:sz w:val="28"/>
          <w:szCs w:val="28"/>
          <w:lang w:val="en-CA"/>
        </w:rPr>
        <w:t xml:space="preserve">drank it, a jury could concluded that </w:t>
      </w:r>
      <w:r w:rsidR="00D978B2">
        <w:rPr>
          <w:sz w:val="28"/>
          <w:szCs w:val="28"/>
          <w:lang w:val="en-CA"/>
        </w:rPr>
        <w:t xml:space="preserve">L. </w:t>
      </w:r>
      <w:r w:rsidR="00C5507B" w:rsidRPr="00116AED">
        <w:rPr>
          <w:sz w:val="28"/>
          <w:szCs w:val="28"/>
          <w:lang w:val="en-CA"/>
        </w:rPr>
        <w:t xml:space="preserve">supplied the 12 year old </w:t>
      </w:r>
      <w:r w:rsidR="006A2218">
        <w:rPr>
          <w:sz w:val="28"/>
          <w:szCs w:val="28"/>
          <w:lang w:val="en-CA"/>
        </w:rPr>
        <w:t xml:space="preserve">E. </w:t>
      </w:r>
      <w:r w:rsidR="0024623D">
        <w:rPr>
          <w:sz w:val="28"/>
          <w:szCs w:val="28"/>
          <w:lang w:val="en-CA"/>
        </w:rPr>
        <w:t xml:space="preserve">with </w:t>
      </w:r>
      <w:r w:rsidR="00C5507B" w:rsidRPr="00116AED">
        <w:rPr>
          <w:sz w:val="28"/>
          <w:szCs w:val="28"/>
          <w:lang w:val="en-CA"/>
        </w:rPr>
        <w:t>a great deal of</w:t>
      </w:r>
      <w:r w:rsidR="00767275" w:rsidRPr="00116AED">
        <w:rPr>
          <w:sz w:val="28"/>
          <w:szCs w:val="28"/>
          <w:lang w:val="en-CA"/>
        </w:rPr>
        <w:t xml:space="preserve"> hard</w:t>
      </w:r>
      <w:r w:rsidR="00C5507B" w:rsidRPr="00116AED">
        <w:rPr>
          <w:sz w:val="28"/>
          <w:szCs w:val="28"/>
          <w:lang w:val="en-CA"/>
        </w:rPr>
        <w:t xml:space="preserve"> alcohol</w:t>
      </w:r>
      <w:r w:rsidR="004431B7" w:rsidRPr="00116AED">
        <w:rPr>
          <w:sz w:val="28"/>
          <w:szCs w:val="28"/>
          <w:lang w:val="en-CA"/>
        </w:rPr>
        <w:t xml:space="preserve"> </w:t>
      </w:r>
      <w:r w:rsidR="00C5507B" w:rsidRPr="00116AED">
        <w:rPr>
          <w:sz w:val="28"/>
          <w:szCs w:val="28"/>
          <w:lang w:val="en-CA"/>
        </w:rPr>
        <w:t>in a short amount of time.  He continued to do so, and in fact encouraged her to d</w:t>
      </w:r>
      <w:r w:rsidR="0024623D">
        <w:rPr>
          <w:sz w:val="28"/>
          <w:szCs w:val="28"/>
          <w:lang w:val="en-CA"/>
        </w:rPr>
        <w:t>rink more</w:t>
      </w:r>
      <w:r w:rsidR="00C5507B" w:rsidRPr="00116AED">
        <w:rPr>
          <w:sz w:val="28"/>
          <w:szCs w:val="28"/>
          <w:lang w:val="en-CA"/>
        </w:rPr>
        <w:t xml:space="preserve"> when she displaying clear indicia of heavy intoxication. </w:t>
      </w:r>
    </w:p>
    <w:p w14:paraId="24273AD5" w14:textId="3E14A0E5" w:rsidR="00DE1AF0" w:rsidRPr="00116AED" w:rsidRDefault="003000D0" w:rsidP="00B74AE0">
      <w:pPr>
        <w:rPr>
          <w:sz w:val="28"/>
          <w:szCs w:val="28"/>
          <w:lang w:val="en-CA"/>
        </w:rPr>
      </w:pPr>
      <w:r>
        <w:rPr>
          <w:sz w:val="28"/>
          <w:szCs w:val="28"/>
          <w:lang w:val="en-CA"/>
        </w:rPr>
        <w:t>[51]</w:t>
      </w:r>
      <w:r>
        <w:rPr>
          <w:sz w:val="28"/>
          <w:szCs w:val="28"/>
          <w:lang w:val="en-CA"/>
        </w:rPr>
        <w:tab/>
      </w:r>
      <w:r w:rsidR="00C5507B" w:rsidRPr="00116AED">
        <w:rPr>
          <w:sz w:val="28"/>
          <w:szCs w:val="28"/>
          <w:lang w:val="en-CA"/>
        </w:rPr>
        <w:t xml:space="preserve">The last alcohol that was provided to </w:t>
      </w:r>
      <w:r w:rsidR="006A2218">
        <w:rPr>
          <w:sz w:val="28"/>
          <w:szCs w:val="28"/>
          <w:lang w:val="en-CA"/>
        </w:rPr>
        <w:t xml:space="preserve">E. </w:t>
      </w:r>
      <w:r w:rsidR="00C5507B" w:rsidRPr="00116AED">
        <w:rPr>
          <w:sz w:val="28"/>
          <w:szCs w:val="28"/>
          <w:lang w:val="en-CA"/>
        </w:rPr>
        <w:t xml:space="preserve">was </w:t>
      </w:r>
      <w:r w:rsidR="0024623D">
        <w:rPr>
          <w:sz w:val="28"/>
          <w:szCs w:val="28"/>
          <w:lang w:val="en-CA"/>
        </w:rPr>
        <w:t>at</w:t>
      </w:r>
      <w:r w:rsidR="00C5507B" w:rsidRPr="00116AED">
        <w:rPr>
          <w:sz w:val="28"/>
          <w:szCs w:val="28"/>
          <w:lang w:val="en-CA"/>
        </w:rPr>
        <w:t xml:space="preserve"> a location</w:t>
      </w:r>
      <w:r w:rsidR="00DE1AF0" w:rsidRPr="00116AED">
        <w:rPr>
          <w:sz w:val="28"/>
          <w:szCs w:val="28"/>
          <w:lang w:val="en-CA"/>
        </w:rPr>
        <w:t xml:space="preserve"> where the three young persons w</w:t>
      </w:r>
      <w:r w:rsidR="00C5507B" w:rsidRPr="00116AED">
        <w:rPr>
          <w:sz w:val="28"/>
          <w:szCs w:val="28"/>
          <w:lang w:val="en-CA"/>
        </w:rPr>
        <w:t>ould not be seen by adults</w:t>
      </w:r>
      <w:r w:rsidR="00767275" w:rsidRPr="00116AED">
        <w:rPr>
          <w:sz w:val="28"/>
          <w:szCs w:val="28"/>
          <w:lang w:val="en-CA"/>
        </w:rPr>
        <w:t>,</w:t>
      </w:r>
      <w:r w:rsidR="00C5507B" w:rsidRPr="00116AED">
        <w:rPr>
          <w:sz w:val="28"/>
          <w:szCs w:val="28"/>
          <w:lang w:val="en-CA"/>
        </w:rPr>
        <w:t xml:space="preserve"> who would therefore not be in a position to intervene.</w:t>
      </w:r>
      <w:r w:rsidR="00913242">
        <w:rPr>
          <w:sz w:val="28"/>
          <w:szCs w:val="28"/>
          <w:lang w:val="en-CA"/>
        </w:rPr>
        <w:t xml:space="preserve">  </w:t>
      </w:r>
      <w:r w:rsidR="00CB6EBC" w:rsidRPr="00116AED">
        <w:rPr>
          <w:sz w:val="28"/>
          <w:szCs w:val="28"/>
          <w:lang w:val="en-CA"/>
        </w:rPr>
        <w:t xml:space="preserve">This was the location where </w:t>
      </w:r>
      <w:r w:rsidR="00D978B2">
        <w:rPr>
          <w:sz w:val="28"/>
          <w:szCs w:val="28"/>
          <w:lang w:val="en-CA"/>
        </w:rPr>
        <w:t xml:space="preserve">L. </w:t>
      </w:r>
      <w:r w:rsidR="00CB6EBC" w:rsidRPr="00116AED">
        <w:rPr>
          <w:sz w:val="28"/>
          <w:szCs w:val="28"/>
          <w:lang w:val="en-CA"/>
        </w:rPr>
        <w:t xml:space="preserve">sexually assaulted </w:t>
      </w:r>
      <w:r w:rsidR="006A2218">
        <w:rPr>
          <w:sz w:val="28"/>
          <w:szCs w:val="28"/>
          <w:lang w:val="en-CA"/>
        </w:rPr>
        <w:t xml:space="preserve">E. </w:t>
      </w:r>
      <w:r w:rsidR="00913242">
        <w:rPr>
          <w:sz w:val="28"/>
          <w:szCs w:val="28"/>
          <w:lang w:val="en-CA"/>
        </w:rPr>
        <w:t xml:space="preserve">by raping her </w:t>
      </w:r>
      <w:r w:rsidR="00CB6EBC" w:rsidRPr="00116AED">
        <w:rPr>
          <w:sz w:val="28"/>
          <w:szCs w:val="28"/>
          <w:lang w:val="en-CA"/>
        </w:rPr>
        <w:t xml:space="preserve">after she lost consciousness. </w:t>
      </w:r>
      <w:r w:rsidR="00C5507B" w:rsidRPr="00116AED">
        <w:rPr>
          <w:sz w:val="28"/>
          <w:szCs w:val="28"/>
          <w:lang w:val="en-CA"/>
        </w:rPr>
        <w:t xml:space="preserve"> I </w:t>
      </w:r>
      <w:r w:rsidR="00EB7333" w:rsidRPr="00116AED">
        <w:rPr>
          <w:sz w:val="28"/>
          <w:szCs w:val="28"/>
          <w:lang w:val="en-CA"/>
        </w:rPr>
        <w:t>find</w:t>
      </w:r>
      <w:r w:rsidR="00C5507B" w:rsidRPr="00116AED">
        <w:rPr>
          <w:sz w:val="28"/>
          <w:szCs w:val="28"/>
          <w:lang w:val="en-CA"/>
        </w:rPr>
        <w:t xml:space="preserve"> that the location where </w:t>
      </w:r>
      <w:r w:rsidR="00D978B2">
        <w:rPr>
          <w:sz w:val="28"/>
          <w:szCs w:val="28"/>
          <w:lang w:val="en-CA"/>
        </w:rPr>
        <w:t xml:space="preserve">L. </w:t>
      </w:r>
      <w:r w:rsidR="00CB6EBC" w:rsidRPr="00116AED">
        <w:rPr>
          <w:sz w:val="28"/>
          <w:szCs w:val="28"/>
          <w:lang w:val="en-CA"/>
        </w:rPr>
        <w:t xml:space="preserve">provided </w:t>
      </w:r>
      <w:r w:rsidR="006A2218">
        <w:rPr>
          <w:sz w:val="28"/>
          <w:szCs w:val="28"/>
          <w:lang w:val="en-CA"/>
        </w:rPr>
        <w:t xml:space="preserve">E. </w:t>
      </w:r>
      <w:r w:rsidR="00CB6EBC" w:rsidRPr="00116AED">
        <w:rPr>
          <w:sz w:val="28"/>
          <w:szCs w:val="28"/>
          <w:lang w:val="en-CA"/>
        </w:rPr>
        <w:t xml:space="preserve">with the last </w:t>
      </w:r>
      <w:r w:rsidR="00DE1AF0" w:rsidRPr="00116AED">
        <w:rPr>
          <w:sz w:val="28"/>
          <w:szCs w:val="28"/>
          <w:lang w:val="en-CA"/>
        </w:rPr>
        <w:t>of the</w:t>
      </w:r>
      <w:r w:rsidR="00CB6EBC" w:rsidRPr="00116AED">
        <w:rPr>
          <w:sz w:val="28"/>
          <w:szCs w:val="28"/>
          <w:lang w:val="en-CA"/>
        </w:rPr>
        <w:t xml:space="preserve"> alcohol that killed her is something that can be taken into account when determining whether his conduct makes out </w:t>
      </w:r>
      <w:r w:rsidR="00DE1AF0" w:rsidRPr="00116AED">
        <w:rPr>
          <w:sz w:val="28"/>
          <w:szCs w:val="28"/>
          <w:lang w:val="en-CA"/>
        </w:rPr>
        <w:t xml:space="preserve">a marked departure from the standard of a reasonable person. </w:t>
      </w:r>
    </w:p>
    <w:p w14:paraId="1008C085" w14:textId="386D4017" w:rsidR="00C5507B" w:rsidRPr="00116AED" w:rsidRDefault="003000D0" w:rsidP="00B74AE0">
      <w:pPr>
        <w:rPr>
          <w:sz w:val="28"/>
          <w:szCs w:val="28"/>
          <w:lang w:val="en-CA"/>
        </w:rPr>
      </w:pPr>
      <w:r>
        <w:rPr>
          <w:sz w:val="28"/>
          <w:szCs w:val="28"/>
          <w:lang w:val="en-CA"/>
        </w:rPr>
        <w:t>[52]</w:t>
      </w:r>
      <w:r>
        <w:rPr>
          <w:sz w:val="28"/>
          <w:szCs w:val="28"/>
          <w:lang w:val="en-CA"/>
        </w:rPr>
        <w:tab/>
      </w:r>
      <w:r w:rsidR="00DE1AF0" w:rsidRPr="00116AED">
        <w:rPr>
          <w:sz w:val="28"/>
          <w:szCs w:val="28"/>
          <w:lang w:val="en-CA"/>
        </w:rPr>
        <w:t xml:space="preserve">What I previously said concerning the standard of reasonableness that applies to objective dangerousness, also applies to the “marked departure” test.  </w:t>
      </w:r>
      <w:r w:rsidR="00C5507B" w:rsidRPr="00116AED">
        <w:rPr>
          <w:sz w:val="28"/>
          <w:szCs w:val="28"/>
          <w:lang w:val="en-CA"/>
        </w:rPr>
        <w:t>In my view</w:t>
      </w:r>
      <w:r w:rsidR="00EB7333" w:rsidRPr="00116AED">
        <w:rPr>
          <w:sz w:val="28"/>
          <w:szCs w:val="28"/>
          <w:lang w:val="en-CA"/>
        </w:rPr>
        <w:t>,</w:t>
      </w:r>
      <w:r w:rsidR="00C5507B" w:rsidRPr="00116AED">
        <w:rPr>
          <w:sz w:val="28"/>
          <w:szCs w:val="28"/>
          <w:lang w:val="en-CA"/>
        </w:rPr>
        <w:t xml:space="preserve"> providing a large amount of hard </w:t>
      </w:r>
      <w:r w:rsidR="0024623D">
        <w:rPr>
          <w:sz w:val="28"/>
          <w:szCs w:val="28"/>
          <w:lang w:val="en-CA"/>
        </w:rPr>
        <w:t>liquor</w:t>
      </w:r>
      <w:r w:rsidR="00EB7333" w:rsidRPr="00116AED">
        <w:rPr>
          <w:sz w:val="28"/>
          <w:szCs w:val="28"/>
          <w:lang w:val="en-CA"/>
        </w:rPr>
        <w:t xml:space="preserve"> to a 12-year-</w:t>
      </w:r>
      <w:r w:rsidR="00CB6EBC" w:rsidRPr="00116AED">
        <w:rPr>
          <w:sz w:val="28"/>
          <w:szCs w:val="28"/>
          <w:lang w:val="en-CA"/>
        </w:rPr>
        <w:t>old in a short time, wit</w:t>
      </w:r>
      <w:r w:rsidR="00EB7333" w:rsidRPr="00116AED">
        <w:rPr>
          <w:sz w:val="28"/>
          <w:szCs w:val="28"/>
          <w:lang w:val="en-CA"/>
        </w:rPr>
        <w:t xml:space="preserve">hout any moderation or control, </w:t>
      </w:r>
      <w:r w:rsidR="00CB6EBC" w:rsidRPr="00116AED">
        <w:rPr>
          <w:sz w:val="28"/>
          <w:szCs w:val="28"/>
          <w:lang w:val="en-CA"/>
        </w:rPr>
        <w:t xml:space="preserve">encouraging </w:t>
      </w:r>
      <w:r w:rsidR="006A2218">
        <w:rPr>
          <w:sz w:val="28"/>
          <w:szCs w:val="28"/>
          <w:lang w:val="en-CA"/>
        </w:rPr>
        <w:t xml:space="preserve">E. </w:t>
      </w:r>
      <w:r w:rsidR="00CB6EBC" w:rsidRPr="00116AED">
        <w:rPr>
          <w:sz w:val="28"/>
          <w:szCs w:val="28"/>
          <w:lang w:val="en-CA"/>
        </w:rPr>
        <w:t>to consume alcohol even after she show</w:t>
      </w:r>
      <w:r w:rsidR="00EB7333" w:rsidRPr="00116AED">
        <w:rPr>
          <w:sz w:val="28"/>
          <w:szCs w:val="28"/>
          <w:lang w:val="en-CA"/>
        </w:rPr>
        <w:t>ed signs of heavy intoxication</w:t>
      </w:r>
      <w:r w:rsidR="00CB6EBC" w:rsidRPr="00116AED">
        <w:rPr>
          <w:sz w:val="28"/>
          <w:szCs w:val="28"/>
          <w:lang w:val="en-CA"/>
        </w:rPr>
        <w:t>,</w:t>
      </w:r>
      <w:r w:rsidR="00EB7333" w:rsidRPr="00116AED">
        <w:rPr>
          <w:sz w:val="28"/>
          <w:szCs w:val="28"/>
          <w:lang w:val="en-CA"/>
        </w:rPr>
        <w:t xml:space="preserve"> and continuing to do so in a location where it would be difficult to detect her presence,</w:t>
      </w:r>
      <w:r w:rsidR="00CB6EBC" w:rsidRPr="00116AED">
        <w:rPr>
          <w:sz w:val="28"/>
          <w:szCs w:val="28"/>
          <w:lang w:val="en-CA"/>
        </w:rPr>
        <w:t xml:space="preserve"> is evidence on which a jury could find that L</w:t>
      </w:r>
      <w:r w:rsidR="00E65D4B">
        <w:rPr>
          <w:sz w:val="28"/>
          <w:szCs w:val="28"/>
          <w:lang w:val="en-CA"/>
        </w:rPr>
        <w:t>.</w:t>
      </w:r>
      <w:r w:rsidR="00CB6EBC" w:rsidRPr="00116AED">
        <w:rPr>
          <w:sz w:val="28"/>
          <w:szCs w:val="28"/>
          <w:lang w:val="en-CA"/>
        </w:rPr>
        <w:t xml:space="preserve">’s conduct in supplying the liquor to </w:t>
      </w:r>
      <w:r w:rsidR="006A2218">
        <w:rPr>
          <w:sz w:val="28"/>
          <w:szCs w:val="28"/>
          <w:lang w:val="en-CA"/>
        </w:rPr>
        <w:t xml:space="preserve">E. </w:t>
      </w:r>
      <w:r w:rsidR="00CB6EBC" w:rsidRPr="00116AED">
        <w:rPr>
          <w:sz w:val="28"/>
          <w:szCs w:val="28"/>
          <w:lang w:val="en-CA"/>
        </w:rPr>
        <w:t>constituted a marked departure from the standard o</w:t>
      </w:r>
      <w:r w:rsidR="00DE1AF0" w:rsidRPr="00116AED">
        <w:rPr>
          <w:sz w:val="28"/>
          <w:szCs w:val="28"/>
          <w:lang w:val="en-CA"/>
        </w:rPr>
        <w:t xml:space="preserve">f </w:t>
      </w:r>
      <w:r w:rsidR="00913242" w:rsidRPr="00116AED">
        <w:rPr>
          <w:sz w:val="28"/>
          <w:szCs w:val="28"/>
          <w:lang w:val="en-CA"/>
        </w:rPr>
        <w:t xml:space="preserve">both </w:t>
      </w:r>
      <w:r w:rsidR="00913242">
        <w:rPr>
          <w:sz w:val="28"/>
          <w:szCs w:val="28"/>
          <w:lang w:val="en-CA"/>
        </w:rPr>
        <w:t>a</w:t>
      </w:r>
      <w:r w:rsidR="00913242" w:rsidRPr="00116AED">
        <w:rPr>
          <w:sz w:val="28"/>
          <w:szCs w:val="28"/>
          <w:lang w:val="en-CA"/>
        </w:rPr>
        <w:t xml:space="preserve"> reasonable</w:t>
      </w:r>
      <w:r w:rsidR="00EB7333" w:rsidRPr="00116AED">
        <w:rPr>
          <w:sz w:val="28"/>
          <w:szCs w:val="28"/>
          <w:lang w:val="en-CA"/>
        </w:rPr>
        <w:t xml:space="preserve"> adult or</w:t>
      </w:r>
      <w:r w:rsidR="00DE1AF0" w:rsidRPr="00116AED">
        <w:rPr>
          <w:sz w:val="28"/>
          <w:szCs w:val="28"/>
          <w:lang w:val="en-CA"/>
        </w:rPr>
        <w:t xml:space="preserve"> reasonable</w:t>
      </w:r>
      <w:r w:rsidR="00EB7333" w:rsidRPr="00116AED">
        <w:rPr>
          <w:sz w:val="28"/>
          <w:szCs w:val="28"/>
          <w:lang w:val="en-CA"/>
        </w:rPr>
        <w:t xml:space="preserve"> 13-year-</w:t>
      </w:r>
      <w:r w:rsidR="00CB6EBC" w:rsidRPr="00116AED">
        <w:rPr>
          <w:sz w:val="28"/>
          <w:szCs w:val="28"/>
          <w:lang w:val="en-CA"/>
        </w:rPr>
        <w:t xml:space="preserve">old.  </w:t>
      </w:r>
      <w:r w:rsidR="00250422" w:rsidRPr="00116AED">
        <w:rPr>
          <w:sz w:val="28"/>
          <w:szCs w:val="28"/>
          <w:lang w:val="en-CA"/>
        </w:rPr>
        <w:t>Once again, since I have not heard evidence concerning L</w:t>
      </w:r>
      <w:r w:rsidR="00E65D4B">
        <w:rPr>
          <w:sz w:val="28"/>
          <w:szCs w:val="28"/>
          <w:lang w:val="en-CA"/>
        </w:rPr>
        <w:t>.</w:t>
      </w:r>
      <w:r w:rsidR="00250422" w:rsidRPr="00116AED">
        <w:rPr>
          <w:sz w:val="28"/>
          <w:szCs w:val="28"/>
          <w:lang w:val="en-CA"/>
        </w:rPr>
        <w:t>’s personal characteristics, I can only apply the more general standard of a reasonable 13-year-old.</w:t>
      </w:r>
      <w:r w:rsidR="00DE1AF0" w:rsidRPr="00116AED">
        <w:rPr>
          <w:sz w:val="28"/>
          <w:szCs w:val="28"/>
          <w:lang w:val="en-CA"/>
        </w:rPr>
        <w:t xml:space="preserve"> </w:t>
      </w:r>
    </w:p>
    <w:p w14:paraId="3ACE5834" w14:textId="77777777" w:rsidR="0062604C" w:rsidRPr="00D808CB" w:rsidRDefault="00CB6EBC" w:rsidP="00D808CB">
      <w:pPr>
        <w:ind w:left="1440" w:hanging="360"/>
        <w:rPr>
          <w:i/>
          <w:sz w:val="28"/>
          <w:szCs w:val="28"/>
          <w:lang w:val="en-CA"/>
        </w:rPr>
      </w:pPr>
      <w:r w:rsidRPr="00D808CB">
        <w:rPr>
          <w:i/>
          <w:sz w:val="28"/>
          <w:szCs w:val="28"/>
          <w:lang w:val="en-CA"/>
        </w:rPr>
        <w:t xml:space="preserve">ii </w:t>
      </w:r>
      <w:r w:rsidR="00E35727" w:rsidRPr="00D808CB">
        <w:rPr>
          <w:i/>
          <w:sz w:val="28"/>
          <w:szCs w:val="28"/>
          <w:lang w:val="en-CA"/>
        </w:rPr>
        <w:tab/>
      </w:r>
      <w:r w:rsidRPr="00D808CB">
        <w:rPr>
          <w:i/>
          <w:sz w:val="28"/>
          <w:szCs w:val="28"/>
          <w:lang w:val="en-CA"/>
        </w:rPr>
        <w:t>Objective</w:t>
      </w:r>
      <w:r w:rsidR="00472007" w:rsidRPr="00D808CB">
        <w:rPr>
          <w:i/>
          <w:sz w:val="28"/>
          <w:szCs w:val="28"/>
          <w:lang w:val="en-CA"/>
        </w:rPr>
        <w:t xml:space="preserve"> Foreseeability </w:t>
      </w:r>
      <w:r w:rsidR="007F27E8" w:rsidRPr="00D808CB">
        <w:rPr>
          <w:i/>
          <w:sz w:val="28"/>
          <w:szCs w:val="28"/>
          <w:lang w:val="en-CA"/>
        </w:rPr>
        <w:t xml:space="preserve">of </w:t>
      </w:r>
      <w:r w:rsidR="00735289" w:rsidRPr="00D808CB">
        <w:rPr>
          <w:i/>
          <w:sz w:val="28"/>
          <w:szCs w:val="28"/>
          <w:lang w:val="en-CA"/>
        </w:rPr>
        <w:t>a</w:t>
      </w:r>
      <w:r w:rsidR="007F27E8" w:rsidRPr="00D808CB">
        <w:rPr>
          <w:i/>
          <w:sz w:val="28"/>
          <w:szCs w:val="28"/>
          <w:lang w:val="en-CA"/>
        </w:rPr>
        <w:t xml:space="preserve"> Risk of Bodily Harm which is neither Trifling nor T</w:t>
      </w:r>
      <w:r w:rsidR="00472007" w:rsidRPr="00D808CB">
        <w:rPr>
          <w:i/>
          <w:sz w:val="28"/>
          <w:szCs w:val="28"/>
          <w:lang w:val="en-CA"/>
        </w:rPr>
        <w:t xml:space="preserve">ransitory. </w:t>
      </w:r>
    </w:p>
    <w:p w14:paraId="191A8AF9" w14:textId="12D8FA1F" w:rsidR="00CB6EBC" w:rsidRPr="00116AED" w:rsidRDefault="003000D0">
      <w:pPr>
        <w:rPr>
          <w:sz w:val="28"/>
          <w:szCs w:val="28"/>
          <w:lang w:val="en-CA"/>
        </w:rPr>
      </w:pPr>
      <w:r>
        <w:rPr>
          <w:sz w:val="28"/>
          <w:szCs w:val="28"/>
          <w:lang w:val="en-CA"/>
        </w:rPr>
        <w:t>[53]</w:t>
      </w:r>
      <w:r>
        <w:rPr>
          <w:sz w:val="28"/>
          <w:szCs w:val="28"/>
          <w:lang w:val="en-CA"/>
        </w:rPr>
        <w:tab/>
      </w:r>
      <w:r w:rsidR="009E68E1" w:rsidRPr="00116AED">
        <w:rPr>
          <w:sz w:val="28"/>
          <w:szCs w:val="28"/>
          <w:lang w:val="en-CA"/>
        </w:rPr>
        <w:t xml:space="preserve">The test for the </w:t>
      </w:r>
      <w:r w:rsidR="009E68E1" w:rsidRPr="00116AED">
        <w:rPr>
          <w:i/>
          <w:sz w:val="28"/>
          <w:szCs w:val="28"/>
          <w:lang w:val="en-CA"/>
        </w:rPr>
        <w:t>mens rea</w:t>
      </w:r>
      <w:r w:rsidR="009E68E1" w:rsidRPr="00116AED">
        <w:rPr>
          <w:sz w:val="28"/>
          <w:szCs w:val="28"/>
          <w:lang w:val="en-CA"/>
        </w:rPr>
        <w:t xml:space="preserve"> requirement of objective foreseeability of nontrivial bodily harm is the same as the objective dangerousness component of the </w:t>
      </w:r>
      <w:r w:rsidR="009E68E1" w:rsidRPr="00116AED">
        <w:rPr>
          <w:i/>
          <w:sz w:val="28"/>
          <w:szCs w:val="28"/>
          <w:lang w:val="en-CA"/>
        </w:rPr>
        <w:t>actus reus.</w:t>
      </w:r>
      <w:r w:rsidR="009E68E1" w:rsidRPr="00116AED">
        <w:rPr>
          <w:sz w:val="28"/>
          <w:szCs w:val="28"/>
          <w:lang w:val="en-CA"/>
        </w:rPr>
        <w:t xml:space="preserve">  </w:t>
      </w:r>
      <w:r w:rsidR="00DE1AF0" w:rsidRPr="00116AED">
        <w:rPr>
          <w:sz w:val="28"/>
          <w:szCs w:val="28"/>
          <w:lang w:val="en-CA"/>
        </w:rPr>
        <w:t>Therefore my</w:t>
      </w:r>
      <w:r w:rsidR="009E68E1" w:rsidRPr="00116AED">
        <w:rPr>
          <w:sz w:val="28"/>
          <w:szCs w:val="28"/>
          <w:lang w:val="en-CA"/>
        </w:rPr>
        <w:t xml:space="preserve"> reasons for finding objective dangerousness also </w:t>
      </w:r>
      <w:r w:rsidR="009E68E1" w:rsidRPr="00116AED">
        <w:rPr>
          <w:sz w:val="28"/>
          <w:szCs w:val="28"/>
          <w:lang w:val="en-CA"/>
        </w:rPr>
        <w:lastRenderedPageBreak/>
        <w:t xml:space="preserve">apply to the second requirement of the </w:t>
      </w:r>
      <w:r w:rsidR="009E68E1" w:rsidRPr="00913242">
        <w:rPr>
          <w:i/>
          <w:sz w:val="28"/>
          <w:szCs w:val="28"/>
          <w:lang w:val="en-CA"/>
        </w:rPr>
        <w:t>mens rea</w:t>
      </w:r>
      <w:r w:rsidR="009E68E1" w:rsidRPr="00116AED">
        <w:rPr>
          <w:sz w:val="28"/>
          <w:szCs w:val="28"/>
          <w:lang w:val="en-CA"/>
        </w:rPr>
        <w:t xml:space="preserve"> of unlawful act manslaughter. </w:t>
      </w:r>
      <w:r w:rsidR="00913242">
        <w:rPr>
          <w:sz w:val="28"/>
          <w:szCs w:val="28"/>
          <w:lang w:val="en-CA"/>
        </w:rPr>
        <w:t xml:space="preserve"> </w:t>
      </w:r>
      <w:r w:rsidR="00DE1AF0" w:rsidRPr="00116AED">
        <w:rPr>
          <w:sz w:val="28"/>
          <w:szCs w:val="28"/>
          <w:lang w:val="en-CA"/>
        </w:rPr>
        <w:t>I find that there was objective foreseeability of a risk of bodily harm</w:t>
      </w:r>
      <w:r w:rsidR="00913242">
        <w:rPr>
          <w:sz w:val="28"/>
          <w:szCs w:val="28"/>
          <w:lang w:val="en-CA"/>
        </w:rPr>
        <w:t>,</w:t>
      </w:r>
      <w:r w:rsidR="00DE1AF0" w:rsidRPr="00116AED">
        <w:rPr>
          <w:sz w:val="28"/>
          <w:szCs w:val="28"/>
          <w:lang w:val="en-CA"/>
        </w:rPr>
        <w:t xml:space="preserve"> which was </w:t>
      </w:r>
      <w:r w:rsidR="00250422" w:rsidRPr="00116AED">
        <w:rPr>
          <w:sz w:val="28"/>
          <w:szCs w:val="28"/>
          <w:lang w:val="en-CA"/>
        </w:rPr>
        <w:t>neither transitory nor</w:t>
      </w:r>
      <w:r w:rsidR="00DE1AF0" w:rsidRPr="00116AED">
        <w:rPr>
          <w:sz w:val="28"/>
          <w:szCs w:val="28"/>
          <w:lang w:val="en-CA"/>
        </w:rPr>
        <w:t xml:space="preserve"> trifling.  </w:t>
      </w:r>
      <w:r w:rsidR="00250422" w:rsidRPr="00116AED">
        <w:rPr>
          <w:sz w:val="28"/>
          <w:szCs w:val="28"/>
          <w:lang w:val="en-CA"/>
        </w:rPr>
        <w:t>As stated earlier, objective foreseeability of that risk is made out regardless of which of the three standards p</w:t>
      </w:r>
      <w:r w:rsidR="0024623D">
        <w:rPr>
          <w:sz w:val="28"/>
          <w:szCs w:val="28"/>
          <w:lang w:val="en-CA"/>
        </w:rPr>
        <w:t>roposed</w:t>
      </w:r>
      <w:r w:rsidR="00250422" w:rsidRPr="00116AED">
        <w:rPr>
          <w:sz w:val="28"/>
          <w:szCs w:val="28"/>
          <w:lang w:val="en-CA"/>
        </w:rPr>
        <w:t xml:space="preserve"> by the Crown and L</w:t>
      </w:r>
      <w:r w:rsidR="000B62F1">
        <w:rPr>
          <w:sz w:val="28"/>
          <w:szCs w:val="28"/>
          <w:lang w:val="en-CA"/>
        </w:rPr>
        <w:t>.</w:t>
      </w:r>
      <w:r w:rsidR="00250422" w:rsidRPr="00116AED">
        <w:rPr>
          <w:sz w:val="28"/>
          <w:szCs w:val="28"/>
          <w:lang w:val="en-CA"/>
        </w:rPr>
        <w:t xml:space="preserve">’s counsel apply. </w:t>
      </w:r>
    </w:p>
    <w:p w14:paraId="2A524242" w14:textId="77777777" w:rsidR="000F3EC4" w:rsidRPr="00116AED" w:rsidRDefault="00735289" w:rsidP="00AA29A4">
      <w:pPr>
        <w:pStyle w:val="ListParagraph"/>
        <w:numPr>
          <w:ilvl w:val="0"/>
          <w:numId w:val="24"/>
        </w:numPr>
        <w:rPr>
          <w:sz w:val="28"/>
          <w:szCs w:val="28"/>
          <w:lang w:val="en-CA"/>
        </w:rPr>
      </w:pPr>
      <w:r w:rsidRPr="00116AED">
        <w:rPr>
          <w:sz w:val="28"/>
          <w:szCs w:val="28"/>
          <w:lang w:val="en-CA"/>
        </w:rPr>
        <w:t>Capacity</w:t>
      </w:r>
    </w:p>
    <w:p w14:paraId="30C4A29D" w14:textId="402E6E9A" w:rsidR="00A861E6" w:rsidRPr="00116AED" w:rsidRDefault="003000D0" w:rsidP="00735289">
      <w:pPr>
        <w:rPr>
          <w:sz w:val="28"/>
          <w:szCs w:val="28"/>
          <w:lang w:val="en-CA"/>
        </w:rPr>
      </w:pPr>
      <w:r>
        <w:rPr>
          <w:sz w:val="28"/>
          <w:szCs w:val="28"/>
          <w:lang w:val="en-CA"/>
        </w:rPr>
        <w:t>[54]</w:t>
      </w:r>
      <w:r>
        <w:rPr>
          <w:sz w:val="28"/>
          <w:szCs w:val="28"/>
          <w:lang w:val="en-CA"/>
        </w:rPr>
        <w:tab/>
      </w:r>
      <w:r w:rsidR="00735289" w:rsidRPr="00116AED">
        <w:rPr>
          <w:sz w:val="28"/>
          <w:szCs w:val="28"/>
          <w:lang w:val="en-CA"/>
        </w:rPr>
        <w:t xml:space="preserve">I </w:t>
      </w:r>
      <w:r w:rsidR="008E2781" w:rsidRPr="00116AED">
        <w:rPr>
          <w:sz w:val="28"/>
          <w:szCs w:val="28"/>
          <w:lang w:val="en-CA"/>
        </w:rPr>
        <w:t>have concluded</w:t>
      </w:r>
      <w:r w:rsidR="00735289" w:rsidRPr="00116AED">
        <w:rPr>
          <w:sz w:val="28"/>
          <w:szCs w:val="28"/>
          <w:lang w:val="en-CA"/>
        </w:rPr>
        <w:t xml:space="preserve"> that I </w:t>
      </w:r>
      <w:r w:rsidR="00EB4466">
        <w:rPr>
          <w:sz w:val="28"/>
          <w:szCs w:val="28"/>
          <w:lang w:val="en-CA"/>
        </w:rPr>
        <w:t>should not</w:t>
      </w:r>
      <w:r w:rsidR="00735289" w:rsidRPr="00116AED">
        <w:rPr>
          <w:sz w:val="28"/>
          <w:szCs w:val="28"/>
          <w:lang w:val="en-CA"/>
        </w:rPr>
        <w:t xml:space="preserve"> conside</w:t>
      </w:r>
      <w:r w:rsidR="00EB4466">
        <w:rPr>
          <w:sz w:val="28"/>
          <w:szCs w:val="28"/>
          <w:lang w:val="en-CA"/>
        </w:rPr>
        <w:t xml:space="preserve">r the issue of capacity on a no </w:t>
      </w:r>
      <w:r w:rsidR="00735289" w:rsidRPr="00116AED">
        <w:rPr>
          <w:sz w:val="28"/>
          <w:szCs w:val="28"/>
          <w:lang w:val="en-CA"/>
        </w:rPr>
        <w:t xml:space="preserve">evidence motion. </w:t>
      </w:r>
      <w:r w:rsidR="00EB4466">
        <w:rPr>
          <w:sz w:val="28"/>
          <w:szCs w:val="28"/>
          <w:lang w:val="en-CA"/>
        </w:rPr>
        <w:t xml:space="preserve"> </w:t>
      </w:r>
      <w:r w:rsidR="00735289" w:rsidRPr="00116AED">
        <w:rPr>
          <w:sz w:val="28"/>
          <w:szCs w:val="28"/>
          <w:lang w:val="en-CA"/>
        </w:rPr>
        <w:t xml:space="preserve">In a sense the issue of capacity is analogous to a defence in that at trial capacity need </w:t>
      </w:r>
      <w:r w:rsidR="008E2781" w:rsidRPr="00116AED">
        <w:rPr>
          <w:sz w:val="28"/>
          <w:szCs w:val="28"/>
          <w:lang w:val="en-CA"/>
        </w:rPr>
        <w:t xml:space="preserve">be </w:t>
      </w:r>
      <w:r w:rsidR="00735289" w:rsidRPr="00116AED">
        <w:rPr>
          <w:sz w:val="28"/>
          <w:szCs w:val="28"/>
          <w:lang w:val="en-CA"/>
        </w:rPr>
        <w:t xml:space="preserve">addressed only </w:t>
      </w:r>
      <w:r w:rsidR="008E2781" w:rsidRPr="00116AED">
        <w:rPr>
          <w:sz w:val="28"/>
          <w:szCs w:val="28"/>
          <w:lang w:val="en-CA"/>
        </w:rPr>
        <w:t>after</w:t>
      </w:r>
      <w:r w:rsidR="00735289" w:rsidRPr="00116AED">
        <w:rPr>
          <w:sz w:val="28"/>
          <w:szCs w:val="28"/>
          <w:lang w:val="en-CA"/>
        </w:rPr>
        <w:t xml:space="preserve"> trier of fact has already determined that the offence is otherwise made out. </w:t>
      </w:r>
      <w:r w:rsidR="008E2781" w:rsidRPr="00116AED">
        <w:rPr>
          <w:sz w:val="28"/>
          <w:szCs w:val="28"/>
          <w:lang w:val="en-CA"/>
        </w:rPr>
        <w:t xml:space="preserve">  </w:t>
      </w:r>
      <w:r w:rsidR="00735289" w:rsidRPr="00116AED">
        <w:rPr>
          <w:sz w:val="28"/>
          <w:szCs w:val="28"/>
          <w:lang w:val="en-CA"/>
        </w:rPr>
        <w:t>It is also analogous to a defence in the sense that when determining capacity, the trial judge must determine whether or not the evidence gives rise</w:t>
      </w:r>
      <w:r w:rsidR="00261D68">
        <w:rPr>
          <w:sz w:val="28"/>
          <w:szCs w:val="28"/>
          <w:lang w:val="en-CA"/>
        </w:rPr>
        <w:t xml:space="preserve"> to a reasonable doubt as to whether the accused lacked the </w:t>
      </w:r>
      <w:r w:rsidR="00735289" w:rsidRPr="00116AED">
        <w:rPr>
          <w:sz w:val="28"/>
          <w:szCs w:val="28"/>
          <w:lang w:val="en-CA"/>
        </w:rPr>
        <w:t>capacity</w:t>
      </w:r>
      <w:r w:rsidR="00261D68">
        <w:rPr>
          <w:sz w:val="28"/>
          <w:szCs w:val="28"/>
          <w:lang w:val="en-CA"/>
        </w:rPr>
        <w:t xml:space="preserve"> to appreciate the risk of non</w:t>
      </w:r>
      <w:r w:rsidR="008E2781" w:rsidRPr="00116AED">
        <w:rPr>
          <w:sz w:val="28"/>
          <w:szCs w:val="28"/>
          <w:lang w:val="en-CA"/>
        </w:rPr>
        <w:t>trivial harm that flowed from his conduct</w:t>
      </w:r>
      <w:r w:rsidR="00735289" w:rsidRPr="00116AED">
        <w:rPr>
          <w:sz w:val="28"/>
          <w:szCs w:val="28"/>
          <w:lang w:val="en-CA"/>
        </w:rPr>
        <w:t xml:space="preserve">. </w:t>
      </w:r>
    </w:p>
    <w:p w14:paraId="029F2333" w14:textId="3E2852DA" w:rsidR="00A861E6" w:rsidRPr="00116AED" w:rsidRDefault="003000D0" w:rsidP="00735289">
      <w:pPr>
        <w:rPr>
          <w:sz w:val="28"/>
          <w:szCs w:val="28"/>
          <w:lang w:val="en-CA"/>
        </w:rPr>
      </w:pPr>
      <w:r>
        <w:rPr>
          <w:sz w:val="28"/>
          <w:szCs w:val="28"/>
          <w:lang w:val="en-CA"/>
        </w:rPr>
        <w:t>[55]</w:t>
      </w:r>
      <w:r>
        <w:rPr>
          <w:sz w:val="28"/>
          <w:szCs w:val="28"/>
          <w:lang w:val="en-CA"/>
        </w:rPr>
        <w:tab/>
      </w:r>
      <w:r w:rsidR="00A861E6" w:rsidRPr="00116AED">
        <w:rPr>
          <w:sz w:val="28"/>
          <w:szCs w:val="28"/>
          <w:lang w:val="en-CA"/>
        </w:rPr>
        <w:t>Some evidence</w:t>
      </w:r>
      <w:r w:rsidR="008E2781" w:rsidRPr="00116AED">
        <w:rPr>
          <w:sz w:val="28"/>
          <w:szCs w:val="28"/>
          <w:lang w:val="en-CA"/>
        </w:rPr>
        <w:t xml:space="preserve"> of the accused’s personal characteristics</w:t>
      </w:r>
      <w:r w:rsidR="00A861E6" w:rsidRPr="00116AED">
        <w:rPr>
          <w:sz w:val="28"/>
          <w:szCs w:val="28"/>
          <w:lang w:val="en-CA"/>
        </w:rPr>
        <w:t xml:space="preserve"> would be necessary for a judge to carry out that task</w:t>
      </w:r>
      <w:r w:rsidR="001250A2" w:rsidRPr="00116AED">
        <w:rPr>
          <w:sz w:val="28"/>
          <w:szCs w:val="28"/>
          <w:lang w:val="en-CA"/>
        </w:rPr>
        <w:t xml:space="preserve">.  </w:t>
      </w:r>
      <w:r w:rsidR="00A861E6" w:rsidRPr="00116AED">
        <w:rPr>
          <w:sz w:val="28"/>
          <w:szCs w:val="28"/>
          <w:lang w:val="en-CA"/>
        </w:rPr>
        <w:t>In a case where there is no evidence on capacity, a trial judge cannot make a finding of incapacity.  Because some evidence would be required along with an assessment of that evidence, capacity</w:t>
      </w:r>
      <w:r w:rsidR="00735289" w:rsidRPr="00116AED">
        <w:rPr>
          <w:sz w:val="28"/>
          <w:szCs w:val="28"/>
          <w:lang w:val="en-CA"/>
        </w:rPr>
        <w:t xml:space="preserve"> in this sense is not so</w:t>
      </w:r>
      <w:r w:rsidR="00A861E6" w:rsidRPr="00116AED">
        <w:rPr>
          <w:sz w:val="28"/>
          <w:szCs w:val="28"/>
          <w:lang w:val="en-CA"/>
        </w:rPr>
        <w:t>mething that can be determined when applying the Sheppard test.</w:t>
      </w:r>
      <w:r w:rsidR="00735289" w:rsidRPr="00116AED">
        <w:rPr>
          <w:sz w:val="28"/>
          <w:szCs w:val="28"/>
          <w:lang w:val="en-CA"/>
        </w:rPr>
        <w:t xml:space="preserve"> </w:t>
      </w:r>
    </w:p>
    <w:p w14:paraId="2E161DEA" w14:textId="45127F04" w:rsidR="00735289" w:rsidRPr="00116AED" w:rsidRDefault="003000D0" w:rsidP="00393622">
      <w:pPr>
        <w:rPr>
          <w:sz w:val="28"/>
          <w:szCs w:val="28"/>
          <w:lang w:val="en-CA"/>
        </w:rPr>
      </w:pPr>
      <w:r>
        <w:rPr>
          <w:sz w:val="28"/>
          <w:szCs w:val="28"/>
          <w:lang w:val="en-CA"/>
        </w:rPr>
        <w:t>[56]</w:t>
      </w:r>
      <w:r>
        <w:rPr>
          <w:sz w:val="28"/>
          <w:szCs w:val="28"/>
          <w:lang w:val="en-CA"/>
        </w:rPr>
        <w:tab/>
      </w:r>
      <w:r w:rsidR="00735289" w:rsidRPr="00116AED">
        <w:rPr>
          <w:sz w:val="28"/>
          <w:szCs w:val="28"/>
          <w:lang w:val="en-CA"/>
        </w:rPr>
        <w:t>In any even</w:t>
      </w:r>
      <w:r w:rsidR="00B35093" w:rsidRPr="00116AED">
        <w:rPr>
          <w:sz w:val="28"/>
          <w:szCs w:val="28"/>
          <w:lang w:val="en-CA"/>
        </w:rPr>
        <w:t>t, I have little to no evidence, other than perhaps L</w:t>
      </w:r>
      <w:r w:rsidR="00E65D4B">
        <w:rPr>
          <w:sz w:val="28"/>
          <w:szCs w:val="28"/>
          <w:lang w:val="en-CA"/>
        </w:rPr>
        <w:t>.</w:t>
      </w:r>
      <w:r w:rsidR="00B35093" w:rsidRPr="00116AED">
        <w:rPr>
          <w:sz w:val="28"/>
          <w:szCs w:val="28"/>
          <w:lang w:val="en-CA"/>
        </w:rPr>
        <w:t xml:space="preserve">’s age at the </w:t>
      </w:r>
      <w:r w:rsidR="008061E7" w:rsidRPr="00116AED">
        <w:rPr>
          <w:sz w:val="28"/>
          <w:szCs w:val="28"/>
          <w:lang w:val="en-CA"/>
        </w:rPr>
        <w:t>time</w:t>
      </w:r>
      <w:r w:rsidR="00261D68" w:rsidRPr="00116AED">
        <w:rPr>
          <w:sz w:val="28"/>
          <w:szCs w:val="28"/>
          <w:lang w:val="en-CA"/>
        </w:rPr>
        <w:t>, that</w:t>
      </w:r>
      <w:r w:rsidR="00735289" w:rsidRPr="00116AED">
        <w:rPr>
          <w:sz w:val="28"/>
          <w:szCs w:val="28"/>
          <w:lang w:val="en-CA"/>
        </w:rPr>
        <w:t xml:space="preserve"> is relevant to L</w:t>
      </w:r>
      <w:r w:rsidR="00E65D4B">
        <w:rPr>
          <w:sz w:val="28"/>
          <w:szCs w:val="28"/>
          <w:lang w:val="en-CA"/>
        </w:rPr>
        <w:t>.</w:t>
      </w:r>
      <w:r w:rsidR="00735289" w:rsidRPr="00116AED">
        <w:rPr>
          <w:sz w:val="28"/>
          <w:szCs w:val="28"/>
          <w:lang w:val="en-CA"/>
        </w:rPr>
        <w:t>’s personal characteristics</w:t>
      </w:r>
      <w:r w:rsidR="008F3EF0">
        <w:rPr>
          <w:sz w:val="28"/>
          <w:szCs w:val="28"/>
          <w:lang w:val="en-CA"/>
        </w:rPr>
        <w:t xml:space="preserve">.  </w:t>
      </w:r>
      <w:r w:rsidR="00A861E6" w:rsidRPr="00116AED">
        <w:rPr>
          <w:sz w:val="28"/>
          <w:szCs w:val="28"/>
          <w:lang w:val="en-CA"/>
        </w:rPr>
        <w:t>I conclude that it would</w:t>
      </w:r>
      <w:r w:rsidR="00393622" w:rsidRPr="00116AED">
        <w:rPr>
          <w:sz w:val="28"/>
          <w:szCs w:val="28"/>
          <w:lang w:val="en-CA"/>
        </w:rPr>
        <w:t xml:space="preserve"> therefore</w:t>
      </w:r>
      <w:r w:rsidR="00A861E6" w:rsidRPr="00116AED">
        <w:rPr>
          <w:sz w:val="28"/>
          <w:szCs w:val="28"/>
          <w:lang w:val="en-CA"/>
        </w:rPr>
        <w:t xml:space="preserve"> be </w:t>
      </w:r>
      <w:r w:rsidR="00735289" w:rsidRPr="00116AED">
        <w:rPr>
          <w:sz w:val="28"/>
          <w:szCs w:val="28"/>
          <w:lang w:val="en-CA"/>
        </w:rPr>
        <w:t>impossible for a trier</w:t>
      </w:r>
      <w:r w:rsidR="00A861E6" w:rsidRPr="00116AED">
        <w:rPr>
          <w:sz w:val="28"/>
          <w:szCs w:val="28"/>
          <w:lang w:val="en-CA"/>
        </w:rPr>
        <w:t xml:space="preserve"> of fact to conclude that a</w:t>
      </w:r>
      <w:r w:rsidR="00735289" w:rsidRPr="00116AED">
        <w:rPr>
          <w:sz w:val="28"/>
          <w:szCs w:val="28"/>
          <w:lang w:val="en-CA"/>
        </w:rPr>
        <w:t xml:space="preserve"> reasonable doubt</w:t>
      </w:r>
      <w:r w:rsidR="00A861E6" w:rsidRPr="00116AED">
        <w:rPr>
          <w:sz w:val="28"/>
          <w:szCs w:val="28"/>
          <w:lang w:val="en-CA"/>
        </w:rPr>
        <w:t xml:space="preserve"> exists that </w:t>
      </w:r>
      <w:r w:rsidR="00D978B2">
        <w:rPr>
          <w:sz w:val="28"/>
          <w:szCs w:val="28"/>
          <w:lang w:val="en-CA"/>
        </w:rPr>
        <w:t xml:space="preserve">L. </w:t>
      </w:r>
      <w:r w:rsidR="00A861E6" w:rsidRPr="00116AED">
        <w:rPr>
          <w:sz w:val="28"/>
          <w:szCs w:val="28"/>
          <w:lang w:val="en-CA"/>
        </w:rPr>
        <w:t xml:space="preserve">had the capacity to foresee the risk of </w:t>
      </w:r>
      <w:r w:rsidR="006C7215" w:rsidRPr="00116AED">
        <w:rPr>
          <w:sz w:val="28"/>
          <w:szCs w:val="28"/>
          <w:lang w:val="en-CA"/>
        </w:rPr>
        <w:t xml:space="preserve">nontrivial </w:t>
      </w:r>
      <w:r w:rsidR="00A861E6" w:rsidRPr="00116AED">
        <w:rPr>
          <w:sz w:val="28"/>
          <w:szCs w:val="28"/>
          <w:lang w:val="en-CA"/>
        </w:rPr>
        <w:t>bodily harm that flowed from his conduct</w:t>
      </w:r>
      <w:r w:rsidR="00393622" w:rsidRPr="00116AED">
        <w:rPr>
          <w:sz w:val="28"/>
          <w:szCs w:val="28"/>
          <w:lang w:val="en-CA"/>
        </w:rPr>
        <w:t xml:space="preserve">. </w:t>
      </w:r>
    </w:p>
    <w:p w14:paraId="2186714E" w14:textId="77777777" w:rsidR="000F3EC4" w:rsidRPr="00116AED" w:rsidRDefault="000F3EC4" w:rsidP="00AA29A4">
      <w:pPr>
        <w:pStyle w:val="ListParagraph"/>
        <w:numPr>
          <w:ilvl w:val="0"/>
          <w:numId w:val="24"/>
        </w:numPr>
        <w:rPr>
          <w:i/>
          <w:sz w:val="28"/>
          <w:szCs w:val="28"/>
          <w:lang w:val="en-CA"/>
        </w:rPr>
      </w:pPr>
      <w:r w:rsidRPr="00116AED">
        <w:rPr>
          <w:i/>
          <w:sz w:val="28"/>
          <w:szCs w:val="28"/>
          <w:lang w:val="en-CA"/>
        </w:rPr>
        <w:t>Novus Actus Interveniens</w:t>
      </w:r>
    </w:p>
    <w:p w14:paraId="3DB578E8" w14:textId="29003527" w:rsidR="00EA0C54" w:rsidRPr="00116AED" w:rsidRDefault="003000D0">
      <w:pPr>
        <w:rPr>
          <w:sz w:val="28"/>
          <w:szCs w:val="28"/>
          <w:lang w:val="en-CA"/>
        </w:rPr>
      </w:pPr>
      <w:r>
        <w:rPr>
          <w:sz w:val="28"/>
          <w:szCs w:val="28"/>
          <w:lang w:val="en-CA"/>
        </w:rPr>
        <w:t>[57]</w:t>
      </w:r>
      <w:r>
        <w:rPr>
          <w:sz w:val="28"/>
          <w:szCs w:val="28"/>
          <w:lang w:val="en-CA"/>
        </w:rPr>
        <w:tab/>
      </w:r>
      <w:r w:rsidR="00797C52" w:rsidRPr="00116AED">
        <w:rPr>
          <w:sz w:val="28"/>
          <w:szCs w:val="28"/>
          <w:lang w:val="en-CA"/>
        </w:rPr>
        <w:t xml:space="preserve">Counsel for </w:t>
      </w:r>
      <w:r w:rsidR="00D978B2">
        <w:rPr>
          <w:sz w:val="28"/>
          <w:szCs w:val="28"/>
          <w:lang w:val="en-CA"/>
        </w:rPr>
        <w:t xml:space="preserve">L. </w:t>
      </w:r>
      <w:r w:rsidR="00797C52" w:rsidRPr="00116AED">
        <w:rPr>
          <w:sz w:val="28"/>
          <w:szCs w:val="28"/>
          <w:lang w:val="en-CA"/>
        </w:rPr>
        <w:t xml:space="preserve">submits that </w:t>
      </w:r>
      <w:r w:rsidR="006A2218">
        <w:rPr>
          <w:sz w:val="28"/>
          <w:szCs w:val="28"/>
          <w:lang w:val="en-CA"/>
        </w:rPr>
        <w:t>E.’s</w:t>
      </w:r>
      <w:r w:rsidR="00797C52" w:rsidRPr="00116AED">
        <w:rPr>
          <w:sz w:val="28"/>
          <w:szCs w:val="28"/>
          <w:lang w:val="en-CA"/>
        </w:rPr>
        <w:t xml:space="preserve"> decision to drink the alcohol supplied to her by </w:t>
      </w:r>
      <w:r w:rsidR="00D978B2">
        <w:rPr>
          <w:sz w:val="28"/>
          <w:szCs w:val="28"/>
          <w:lang w:val="en-CA"/>
        </w:rPr>
        <w:t xml:space="preserve">L. </w:t>
      </w:r>
      <w:r w:rsidR="00797C52" w:rsidRPr="00116AED">
        <w:rPr>
          <w:sz w:val="28"/>
          <w:szCs w:val="28"/>
          <w:lang w:val="en-CA"/>
        </w:rPr>
        <w:t xml:space="preserve">constituted a </w:t>
      </w:r>
      <w:r w:rsidR="00797C52" w:rsidRPr="00116AED">
        <w:rPr>
          <w:i/>
          <w:sz w:val="28"/>
          <w:szCs w:val="28"/>
          <w:lang w:val="en-CA"/>
        </w:rPr>
        <w:t>novus actus interveniens</w:t>
      </w:r>
      <w:r w:rsidR="00797C52" w:rsidRPr="00116AED">
        <w:rPr>
          <w:sz w:val="28"/>
          <w:szCs w:val="28"/>
          <w:lang w:val="en-CA"/>
        </w:rPr>
        <w:t xml:space="preserve"> and therefore interrupted the chain of legal causation so as to relieve </w:t>
      </w:r>
      <w:r w:rsidR="00D978B2">
        <w:rPr>
          <w:sz w:val="28"/>
          <w:szCs w:val="28"/>
          <w:lang w:val="en-CA"/>
        </w:rPr>
        <w:t xml:space="preserve">L. </w:t>
      </w:r>
      <w:r w:rsidR="00797C52" w:rsidRPr="00116AED">
        <w:rPr>
          <w:sz w:val="28"/>
          <w:szCs w:val="28"/>
          <w:lang w:val="en-CA"/>
        </w:rPr>
        <w:t xml:space="preserve">of responsibility for supplying </w:t>
      </w:r>
      <w:r w:rsidR="006C7215" w:rsidRPr="00116AED">
        <w:rPr>
          <w:sz w:val="28"/>
          <w:szCs w:val="28"/>
          <w:lang w:val="en-CA"/>
        </w:rPr>
        <w:t>liquor to E</w:t>
      </w:r>
      <w:r w:rsidR="00797C52" w:rsidRPr="00116AED">
        <w:rPr>
          <w:sz w:val="28"/>
          <w:szCs w:val="28"/>
          <w:lang w:val="en-CA"/>
        </w:rPr>
        <w:t xml:space="preserve">.  </w:t>
      </w:r>
    </w:p>
    <w:p w14:paraId="75EC1F44" w14:textId="448BEC30" w:rsidR="006C7215" w:rsidRPr="00116AED" w:rsidRDefault="003000D0">
      <w:pPr>
        <w:rPr>
          <w:sz w:val="28"/>
          <w:szCs w:val="28"/>
          <w:lang w:val="en-CA"/>
        </w:rPr>
      </w:pPr>
      <w:r>
        <w:rPr>
          <w:sz w:val="28"/>
          <w:szCs w:val="28"/>
          <w:lang w:val="en-CA"/>
        </w:rPr>
        <w:lastRenderedPageBreak/>
        <w:t>[58]</w:t>
      </w:r>
      <w:r>
        <w:rPr>
          <w:sz w:val="28"/>
          <w:szCs w:val="28"/>
          <w:lang w:val="en-CA"/>
        </w:rPr>
        <w:tab/>
      </w:r>
      <w:r w:rsidR="00797C52" w:rsidRPr="00116AED">
        <w:rPr>
          <w:sz w:val="28"/>
          <w:szCs w:val="28"/>
          <w:lang w:val="en-CA"/>
        </w:rPr>
        <w:t>Certainly, the</w:t>
      </w:r>
      <w:r w:rsidR="006C7215" w:rsidRPr="00116AED">
        <w:rPr>
          <w:sz w:val="28"/>
          <w:szCs w:val="28"/>
          <w:lang w:val="en-CA"/>
        </w:rPr>
        <w:t xml:space="preserve">re is </w:t>
      </w:r>
      <w:r w:rsidR="008061E7" w:rsidRPr="00116AED">
        <w:rPr>
          <w:sz w:val="28"/>
          <w:szCs w:val="28"/>
          <w:lang w:val="en-CA"/>
        </w:rPr>
        <w:t>limited</w:t>
      </w:r>
      <w:r w:rsidR="006C7215" w:rsidRPr="00116AED">
        <w:rPr>
          <w:sz w:val="28"/>
          <w:szCs w:val="28"/>
          <w:lang w:val="en-CA"/>
        </w:rPr>
        <w:t xml:space="preserve"> support </w:t>
      </w:r>
      <w:r w:rsidR="008061E7" w:rsidRPr="00116AED">
        <w:rPr>
          <w:sz w:val="28"/>
          <w:szCs w:val="28"/>
          <w:lang w:val="en-CA"/>
        </w:rPr>
        <w:t>for</w:t>
      </w:r>
      <w:r w:rsidR="006C7215" w:rsidRPr="00116AED">
        <w:rPr>
          <w:sz w:val="28"/>
          <w:szCs w:val="28"/>
          <w:lang w:val="en-CA"/>
        </w:rPr>
        <w:t xml:space="preserve"> his position in the applicable law </w:t>
      </w:r>
      <w:r w:rsidR="008061E7" w:rsidRPr="00116AED">
        <w:rPr>
          <w:sz w:val="28"/>
          <w:szCs w:val="28"/>
          <w:lang w:val="en-CA"/>
        </w:rPr>
        <w:t xml:space="preserve">from the United Kingdom.  </w:t>
      </w:r>
      <w:r w:rsidR="00FF3271" w:rsidRPr="00116AED">
        <w:rPr>
          <w:sz w:val="28"/>
          <w:szCs w:val="28"/>
          <w:lang w:val="en-CA"/>
        </w:rPr>
        <w:t xml:space="preserve">In </w:t>
      </w:r>
      <w:r w:rsidR="006C7215" w:rsidRPr="00116AED">
        <w:rPr>
          <w:sz w:val="28"/>
          <w:szCs w:val="28"/>
          <w:lang w:val="en-CA"/>
        </w:rPr>
        <w:t xml:space="preserve">the case of </w:t>
      </w:r>
      <w:r w:rsidR="00FF3271" w:rsidRPr="00116AED">
        <w:rPr>
          <w:i/>
          <w:sz w:val="28"/>
          <w:szCs w:val="28"/>
          <w:lang w:val="en-CA"/>
        </w:rPr>
        <w:t>R</w:t>
      </w:r>
      <w:r w:rsidR="00797C52" w:rsidRPr="00116AED">
        <w:rPr>
          <w:i/>
          <w:sz w:val="28"/>
          <w:szCs w:val="28"/>
          <w:lang w:val="en-CA"/>
        </w:rPr>
        <w:t>. v. Kennedy</w:t>
      </w:r>
      <w:r w:rsidR="006C7215" w:rsidRPr="00116AED">
        <w:rPr>
          <w:sz w:val="28"/>
          <w:szCs w:val="28"/>
          <w:lang w:val="en-CA"/>
        </w:rPr>
        <w:t xml:space="preserve">, [2007] </w:t>
      </w:r>
      <w:r w:rsidR="00EA0C54" w:rsidRPr="00116AED">
        <w:rPr>
          <w:sz w:val="28"/>
          <w:szCs w:val="28"/>
          <w:lang w:val="en-CA"/>
        </w:rPr>
        <w:t>UKHL 38, the appellant had prepared a dose of heroin for the deceased and gave him</w:t>
      </w:r>
      <w:r w:rsidR="00261D68">
        <w:rPr>
          <w:sz w:val="28"/>
          <w:szCs w:val="28"/>
          <w:lang w:val="en-CA"/>
        </w:rPr>
        <w:t xml:space="preserve"> a syringe ready for injection.  </w:t>
      </w:r>
      <w:r w:rsidR="00EA0C54" w:rsidRPr="00116AED">
        <w:rPr>
          <w:sz w:val="28"/>
          <w:szCs w:val="28"/>
          <w:lang w:val="en-CA"/>
        </w:rPr>
        <w:t xml:space="preserve">The deceased then injected himself and returned the empty </w:t>
      </w:r>
      <w:r w:rsidR="006C7215" w:rsidRPr="00116AED">
        <w:rPr>
          <w:sz w:val="28"/>
          <w:szCs w:val="28"/>
          <w:lang w:val="en-CA"/>
        </w:rPr>
        <w:t>syringe</w:t>
      </w:r>
      <w:r w:rsidR="00EA0C54" w:rsidRPr="00116AED">
        <w:rPr>
          <w:sz w:val="28"/>
          <w:szCs w:val="28"/>
          <w:lang w:val="en-CA"/>
        </w:rPr>
        <w:t xml:space="preserve"> to the appellant.  He die</w:t>
      </w:r>
      <w:r w:rsidR="00261D68">
        <w:rPr>
          <w:sz w:val="28"/>
          <w:szCs w:val="28"/>
          <w:lang w:val="en-CA"/>
        </w:rPr>
        <w:t xml:space="preserve">d as a result of the injection.  </w:t>
      </w:r>
      <w:r w:rsidR="00EA0C54" w:rsidRPr="00116AED">
        <w:rPr>
          <w:sz w:val="28"/>
          <w:szCs w:val="28"/>
          <w:lang w:val="en-CA"/>
        </w:rPr>
        <w:t xml:space="preserve">The cause of death was inhalation of gastric contents while acutely intoxicated by opiates and alcohol. </w:t>
      </w:r>
    </w:p>
    <w:p w14:paraId="7E785C60" w14:textId="46F0B824" w:rsidR="000F3EC4" w:rsidRPr="00116AED" w:rsidRDefault="003000D0">
      <w:pPr>
        <w:rPr>
          <w:sz w:val="28"/>
          <w:szCs w:val="28"/>
          <w:lang w:val="en-CA"/>
        </w:rPr>
      </w:pPr>
      <w:r>
        <w:rPr>
          <w:sz w:val="28"/>
          <w:szCs w:val="28"/>
          <w:lang w:val="en-CA"/>
        </w:rPr>
        <w:t>[59]</w:t>
      </w:r>
      <w:r>
        <w:rPr>
          <w:sz w:val="28"/>
          <w:szCs w:val="28"/>
          <w:lang w:val="en-CA"/>
        </w:rPr>
        <w:tab/>
      </w:r>
      <w:r w:rsidR="006C7215" w:rsidRPr="00116AED">
        <w:rPr>
          <w:sz w:val="28"/>
          <w:szCs w:val="28"/>
          <w:lang w:val="en-CA"/>
        </w:rPr>
        <w:t xml:space="preserve">In </w:t>
      </w:r>
      <w:r w:rsidR="006C7215" w:rsidRPr="00116AED">
        <w:rPr>
          <w:i/>
          <w:sz w:val="28"/>
          <w:szCs w:val="28"/>
          <w:lang w:val="en-CA"/>
        </w:rPr>
        <w:t>Kennedy</w:t>
      </w:r>
      <w:r w:rsidR="006C7215" w:rsidRPr="00116AED">
        <w:rPr>
          <w:sz w:val="28"/>
          <w:szCs w:val="28"/>
          <w:lang w:val="en-CA"/>
        </w:rPr>
        <w:t xml:space="preserve"> </w:t>
      </w:r>
      <w:r w:rsidR="00EA0C54" w:rsidRPr="00116AED">
        <w:rPr>
          <w:sz w:val="28"/>
          <w:szCs w:val="28"/>
          <w:lang w:val="en-CA"/>
        </w:rPr>
        <w:t xml:space="preserve">the Court of Appeal </w:t>
      </w:r>
      <w:r w:rsidR="006C7215" w:rsidRPr="00116AED">
        <w:rPr>
          <w:sz w:val="28"/>
          <w:szCs w:val="28"/>
          <w:lang w:val="en-CA"/>
        </w:rPr>
        <w:t>of England and Wales certified the question</w:t>
      </w:r>
      <w:r w:rsidR="00EA0C54" w:rsidRPr="00116AED">
        <w:rPr>
          <w:sz w:val="28"/>
          <w:szCs w:val="28"/>
          <w:lang w:val="en-CA"/>
        </w:rPr>
        <w:t xml:space="preserve"> “When is it appropriate to find </w:t>
      </w:r>
      <w:r w:rsidR="001A5C49" w:rsidRPr="00116AED">
        <w:rPr>
          <w:sz w:val="28"/>
          <w:szCs w:val="28"/>
          <w:lang w:val="en-CA"/>
        </w:rPr>
        <w:t>someone</w:t>
      </w:r>
      <w:r w:rsidR="00EA0C54" w:rsidRPr="00116AED">
        <w:rPr>
          <w:sz w:val="28"/>
          <w:szCs w:val="28"/>
          <w:lang w:val="en-CA"/>
        </w:rPr>
        <w:t xml:space="preserve"> guilty of manslaughter where that person has been involved in the supply of a class A controlled drug, which is then freely and voluntarily self-administered by the person to whom it was supplied, and the administration of the drug then causes his death?”</w:t>
      </w:r>
      <w:r w:rsidR="00261D68">
        <w:rPr>
          <w:sz w:val="28"/>
          <w:szCs w:val="28"/>
          <w:lang w:val="en-CA"/>
        </w:rPr>
        <w:t xml:space="preserve">, </w:t>
      </w:r>
      <w:r w:rsidR="006C7215" w:rsidRPr="00116AED">
        <w:rPr>
          <w:sz w:val="28"/>
          <w:szCs w:val="28"/>
          <w:lang w:val="en-CA"/>
        </w:rPr>
        <w:t xml:space="preserve">for the opinion of the House of Lords. </w:t>
      </w:r>
      <w:r w:rsidR="00261D68">
        <w:rPr>
          <w:sz w:val="28"/>
          <w:szCs w:val="28"/>
          <w:lang w:val="en-CA"/>
        </w:rPr>
        <w:t xml:space="preserve"> </w:t>
      </w:r>
      <w:r w:rsidR="00EA0C54" w:rsidRPr="00116AED">
        <w:rPr>
          <w:sz w:val="28"/>
          <w:szCs w:val="28"/>
          <w:lang w:val="en-CA"/>
        </w:rPr>
        <w:t xml:space="preserve">After reviewing the relevant </w:t>
      </w:r>
      <w:r w:rsidR="006C7215" w:rsidRPr="00116AED">
        <w:rPr>
          <w:sz w:val="28"/>
          <w:szCs w:val="28"/>
          <w:lang w:val="en-CA"/>
        </w:rPr>
        <w:t>British</w:t>
      </w:r>
      <w:r w:rsidR="00EA0C54" w:rsidRPr="00116AED">
        <w:rPr>
          <w:sz w:val="28"/>
          <w:szCs w:val="28"/>
          <w:lang w:val="en-CA"/>
        </w:rPr>
        <w:t xml:space="preserve"> law surrounding </w:t>
      </w:r>
      <w:r w:rsidR="006C7215" w:rsidRPr="00116AED">
        <w:rPr>
          <w:i/>
          <w:sz w:val="28"/>
          <w:szCs w:val="28"/>
          <w:lang w:val="en-CA"/>
        </w:rPr>
        <w:t>novus actus interveniens</w:t>
      </w:r>
      <w:r w:rsidR="006C7215" w:rsidRPr="00116AED">
        <w:rPr>
          <w:sz w:val="28"/>
          <w:szCs w:val="28"/>
          <w:lang w:val="en-CA"/>
        </w:rPr>
        <w:t xml:space="preserve"> in criminal cases</w:t>
      </w:r>
      <w:r w:rsidR="00EA0C54" w:rsidRPr="00116AED">
        <w:rPr>
          <w:sz w:val="28"/>
          <w:szCs w:val="28"/>
          <w:lang w:val="en-CA"/>
        </w:rPr>
        <w:t>, the House of Lords answered the question by stating</w:t>
      </w:r>
      <w:r w:rsidR="008061E7" w:rsidRPr="00116AED">
        <w:rPr>
          <w:sz w:val="28"/>
          <w:szCs w:val="28"/>
          <w:lang w:val="en-CA"/>
        </w:rPr>
        <w:t>,</w:t>
      </w:r>
      <w:r w:rsidR="00EA0C54" w:rsidRPr="00116AED">
        <w:rPr>
          <w:sz w:val="28"/>
          <w:szCs w:val="28"/>
          <w:lang w:val="en-CA"/>
        </w:rPr>
        <w:t xml:space="preserve"> “In the case of a fully-informed adult, never</w:t>
      </w:r>
      <w:r w:rsidR="008061E7" w:rsidRPr="00116AED">
        <w:rPr>
          <w:sz w:val="28"/>
          <w:szCs w:val="28"/>
          <w:lang w:val="en-CA"/>
        </w:rPr>
        <w:t>.”</w:t>
      </w:r>
    </w:p>
    <w:p w14:paraId="6A7CC5A2" w14:textId="58084B8B" w:rsidR="00F2154B" w:rsidRPr="00116AED" w:rsidRDefault="003000D0">
      <w:pPr>
        <w:rPr>
          <w:sz w:val="28"/>
          <w:szCs w:val="28"/>
          <w:lang w:val="en-CA"/>
        </w:rPr>
      </w:pPr>
      <w:r>
        <w:rPr>
          <w:sz w:val="28"/>
          <w:szCs w:val="28"/>
          <w:lang w:val="en-CA"/>
        </w:rPr>
        <w:t>[60]</w:t>
      </w:r>
      <w:r>
        <w:rPr>
          <w:sz w:val="28"/>
          <w:szCs w:val="28"/>
          <w:lang w:val="en-CA"/>
        </w:rPr>
        <w:tab/>
      </w:r>
      <w:r w:rsidR="00EA0C54" w:rsidRPr="00116AED">
        <w:rPr>
          <w:sz w:val="28"/>
          <w:szCs w:val="28"/>
          <w:lang w:val="en-CA"/>
        </w:rPr>
        <w:t xml:space="preserve">However, </w:t>
      </w:r>
      <w:r w:rsidR="006A2218">
        <w:rPr>
          <w:sz w:val="28"/>
          <w:szCs w:val="28"/>
          <w:lang w:val="en-CA"/>
        </w:rPr>
        <w:t xml:space="preserve">E. </w:t>
      </w:r>
      <w:r w:rsidR="00EA0C54" w:rsidRPr="00116AED">
        <w:rPr>
          <w:sz w:val="28"/>
          <w:szCs w:val="28"/>
          <w:lang w:val="en-CA"/>
        </w:rPr>
        <w:t>was certainly not an adult</w:t>
      </w:r>
      <w:r w:rsidR="006C7215" w:rsidRPr="00116AED">
        <w:rPr>
          <w:sz w:val="28"/>
          <w:szCs w:val="28"/>
          <w:lang w:val="en-CA"/>
        </w:rPr>
        <w:t>.  Of at least equal importance</w:t>
      </w:r>
      <w:r w:rsidR="00102CFB" w:rsidRPr="00116AED">
        <w:rPr>
          <w:sz w:val="28"/>
          <w:szCs w:val="28"/>
          <w:lang w:val="en-CA"/>
        </w:rPr>
        <w:t xml:space="preserve">, </w:t>
      </w:r>
      <w:r w:rsidR="00102CFB" w:rsidRPr="00116AED">
        <w:rPr>
          <w:i/>
          <w:sz w:val="28"/>
          <w:szCs w:val="28"/>
          <w:lang w:val="en-CA"/>
        </w:rPr>
        <w:t>novus actus</w:t>
      </w:r>
      <w:r w:rsidR="00102CFB" w:rsidRPr="00116AED">
        <w:rPr>
          <w:sz w:val="28"/>
          <w:szCs w:val="28"/>
          <w:lang w:val="en-CA"/>
        </w:rPr>
        <w:t xml:space="preserve"> in manslaughter cases is </w:t>
      </w:r>
      <w:r w:rsidR="008061E7" w:rsidRPr="00116AED">
        <w:rPr>
          <w:sz w:val="28"/>
          <w:szCs w:val="28"/>
          <w:lang w:val="en-CA"/>
        </w:rPr>
        <w:t>applied far more sparingly</w:t>
      </w:r>
      <w:r w:rsidR="00250AAC" w:rsidRPr="00116AED">
        <w:rPr>
          <w:sz w:val="28"/>
          <w:szCs w:val="28"/>
          <w:lang w:val="en-CA"/>
        </w:rPr>
        <w:t xml:space="preserve"> in Canada</w:t>
      </w:r>
      <w:r w:rsidR="008061E7" w:rsidRPr="00116AED">
        <w:rPr>
          <w:sz w:val="28"/>
          <w:szCs w:val="28"/>
          <w:lang w:val="en-CA"/>
        </w:rPr>
        <w:t xml:space="preserve"> than</w:t>
      </w:r>
      <w:r w:rsidR="00BA3C20">
        <w:rPr>
          <w:sz w:val="28"/>
          <w:szCs w:val="28"/>
          <w:lang w:val="en-CA"/>
        </w:rPr>
        <w:t xml:space="preserve"> in the United Kingdom.  </w:t>
      </w:r>
      <w:r w:rsidR="00091482" w:rsidRPr="00116AED">
        <w:rPr>
          <w:sz w:val="28"/>
          <w:szCs w:val="28"/>
          <w:lang w:val="en-CA"/>
        </w:rPr>
        <w:t>As</w:t>
      </w:r>
      <w:r w:rsidR="00F2154B" w:rsidRPr="00116AED">
        <w:rPr>
          <w:sz w:val="28"/>
          <w:szCs w:val="28"/>
          <w:lang w:val="en-CA"/>
        </w:rPr>
        <w:t xml:space="preserve"> pointed out</w:t>
      </w:r>
      <w:r w:rsidR="00091482" w:rsidRPr="00116AED">
        <w:rPr>
          <w:sz w:val="28"/>
          <w:szCs w:val="28"/>
          <w:lang w:val="en-CA"/>
        </w:rPr>
        <w:t xml:space="preserve"> by Ferguson J.</w:t>
      </w:r>
      <w:r w:rsidR="00F2154B" w:rsidRPr="00116AED">
        <w:rPr>
          <w:sz w:val="28"/>
          <w:szCs w:val="28"/>
          <w:lang w:val="en-CA"/>
        </w:rPr>
        <w:t xml:space="preserve"> in </w:t>
      </w:r>
      <w:r w:rsidR="00F2154B" w:rsidRPr="00116AED">
        <w:rPr>
          <w:i/>
          <w:sz w:val="28"/>
          <w:szCs w:val="28"/>
          <w:lang w:val="en-CA"/>
        </w:rPr>
        <w:t>R. v. Valiquette</w:t>
      </w:r>
      <w:r w:rsidR="008061E7" w:rsidRPr="00116AED">
        <w:rPr>
          <w:i/>
          <w:sz w:val="28"/>
          <w:szCs w:val="28"/>
          <w:lang w:val="en-CA"/>
        </w:rPr>
        <w:t>,</w:t>
      </w:r>
      <w:r w:rsidR="00F2154B" w:rsidRPr="00116AED">
        <w:rPr>
          <w:i/>
          <w:sz w:val="28"/>
          <w:szCs w:val="28"/>
          <w:lang w:val="en-CA"/>
        </w:rPr>
        <w:t xml:space="preserve"> </w:t>
      </w:r>
      <w:r w:rsidR="005244B6" w:rsidRPr="00116AED">
        <w:rPr>
          <w:sz w:val="28"/>
          <w:szCs w:val="28"/>
          <w:lang w:val="en-CA"/>
        </w:rPr>
        <w:t>[2017] NBJ No. 50 (QB) in the following paragraphs:</w:t>
      </w:r>
    </w:p>
    <w:p w14:paraId="4FB6D44F" w14:textId="135AB111" w:rsidR="00091482" w:rsidRPr="00261D68" w:rsidRDefault="00091482" w:rsidP="005244B6">
      <w:pPr>
        <w:spacing w:before="100" w:beforeAutospacing="1" w:after="100" w:afterAutospacing="1" w:line="240" w:lineRule="auto"/>
        <w:ind w:left="720"/>
        <w:rPr>
          <w:rFonts w:ascii="Helvetica" w:eastAsia="Times New Roman" w:hAnsi="Helvetica" w:cs="Helvetica"/>
          <w:lang w:val="en-CA"/>
        </w:rPr>
      </w:pPr>
      <w:r w:rsidRPr="00261D68">
        <w:rPr>
          <w:rFonts w:eastAsia="Times New Roman" w:cs="Helvetica"/>
          <w:bCs/>
          <w:lang w:val="en-CA"/>
        </w:rPr>
        <w:t>191</w:t>
      </w:r>
      <w:r w:rsidRPr="00261D68">
        <w:rPr>
          <w:rFonts w:eastAsia="Times New Roman" w:cs="Helvetica"/>
          <w:lang w:val="en-CA"/>
        </w:rPr>
        <w:t>  The jurisprudence of this country has not followed that path.</w:t>
      </w:r>
      <w:r w:rsidR="008061E7" w:rsidRPr="00261D68">
        <w:rPr>
          <w:rFonts w:eastAsia="Times New Roman" w:cs="Helvetica"/>
          <w:lang w:val="en-CA"/>
        </w:rPr>
        <w:t xml:space="preserve"> </w:t>
      </w:r>
      <w:r w:rsidRPr="00261D68">
        <w:rPr>
          <w:rFonts w:eastAsia="Times New Roman" w:cs="Helvetica"/>
          <w:lang w:val="en-CA"/>
        </w:rPr>
        <w:t xml:space="preserve"> Instead, as well explained by Hamilton J.A. in </w:t>
      </w:r>
      <w:r w:rsidRPr="00261D68">
        <w:rPr>
          <w:rFonts w:eastAsia="Times New Roman" w:cs="Helvetica"/>
          <w:i/>
          <w:iCs/>
          <w:lang w:val="en-CA"/>
        </w:rPr>
        <w:t>R. v. Haas</w:t>
      </w:r>
      <w:r w:rsidRPr="00261D68">
        <w:rPr>
          <w:rFonts w:eastAsia="Times New Roman" w:cs="Helvetica"/>
          <w:lang w:val="en-CA"/>
        </w:rPr>
        <w:t xml:space="preserve"> </w:t>
      </w:r>
      <w:hyperlink r:id="rId11" w:tooltip="Manitoba Court of Appeal" w:history="1">
        <w:r w:rsidRPr="00261D68">
          <w:rPr>
            <w:rFonts w:eastAsia="Times New Roman" w:cs="Helvetica"/>
            <w:lang w:val="en-CA"/>
          </w:rPr>
          <w:t>2016 MBCA 42</w:t>
        </w:r>
      </w:hyperlink>
      <w:r w:rsidRPr="00261D68">
        <w:rPr>
          <w:rFonts w:eastAsia="Times New Roman" w:cs="Helvetica"/>
          <w:lang w:val="en-CA"/>
        </w:rPr>
        <w:t xml:space="preserve"> (M.C.A.) (Leave to Appeal denied </w:t>
      </w:r>
      <w:hyperlink r:id="rId12" w:tooltip="Supreme Court of Canada Applications for Leave to Appeal" w:history="1">
        <w:r w:rsidRPr="00261D68">
          <w:rPr>
            <w:rFonts w:eastAsia="Times New Roman" w:cs="Helvetica"/>
            <w:lang w:val="en-CA"/>
          </w:rPr>
          <w:t>[2016] S.C.C.A. 306</w:t>
        </w:r>
      </w:hyperlink>
      <w:r w:rsidRPr="00261D68">
        <w:rPr>
          <w:rFonts w:eastAsia="Times New Roman" w:cs="Helvetica"/>
          <w:lang w:val="en-CA"/>
        </w:rPr>
        <w:t xml:space="preserve"> (S.C.C.)), personal autonomy has not been attributed such a highly deferential status as it has been accorded in England and Wales. </w:t>
      </w:r>
      <w:r w:rsidR="008061E7" w:rsidRPr="00261D68">
        <w:rPr>
          <w:rFonts w:eastAsia="Times New Roman" w:cs="Helvetica"/>
          <w:lang w:val="en-CA"/>
        </w:rPr>
        <w:t xml:space="preserve"> </w:t>
      </w:r>
      <w:r w:rsidRPr="00261D68">
        <w:rPr>
          <w:rFonts w:eastAsia="Times New Roman" w:cs="Helvetica"/>
          <w:i/>
          <w:iCs/>
          <w:lang w:val="en-CA"/>
        </w:rPr>
        <w:t>Haas</w:t>
      </w:r>
      <w:r w:rsidRPr="00261D68">
        <w:rPr>
          <w:rFonts w:eastAsia="Times New Roman" w:cs="Helvetica"/>
          <w:lang w:val="en-CA"/>
        </w:rPr>
        <w:t xml:space="preserve"> was a case of unlawful act manslaughter. </w:t>
      </w:r>
      <w:r w:rsidR="00261D68">
        <w:rPr>
          <w:rFonts w:eastAsia="Times New Roman" w:cs="Helvetica"/>
          <w:lang w:val="en-CA"/>
        </w:rPr>
        <w:t xml:space="preserve"> </w:t>
      </w:r>
      <w:r w:rsidRPr="00261D68">
        <w:rPr>
          <w:rFonts w:eastAsia="Times New Roman" w:cs="Helvetica"/>
          <w:lang w:val="en-CA"/>
        </w:rPr>
        <w:t xml:space="preserve">In summarizing the view of the Supreme Court in </w:t>
      </w:r>
      <w:r w:rsidRPr="00261D68">
        <w:rPr>
          <w:rFonts w:eastAsia="Times New Roman" w:cs="Helvetica"/>
          <w:i/>
          <w:iCs/>
          <w:lang w:val="en-CA"/>
        </w:rPr>
        <w:t>Maybin</w:t>
      </w:r>
      <w:r w:rsidRPr="00261D68">
        <w:rPr>
          <w:rFonts w:eastAsia="Times New Roman" w:cs="Helvetica"/>
          <w:lang w:val="en-CA"/>
        </w:rPr>
        <w:t xml:space="preserve"> Justice Hamilton wrote at paragraphs 61-62:</w:t>
      </w:r>
    </w:p>
    <w:p w14:paraId="33FBA93A" w14:textId="1077DFA7" w:rsidR="00091482" w:rsidRPr="00261D68" w:rsidRDefault="00091482" w:rsidP="005244B6">
      <w:pPr>
        <w:spacing w:before="100" w:beforeAutospacing="1" w:after="100" w:afterAutospacing="1" w:line="240" w:lineRule="auto"/>
        <w:ind w:left="1080"/>
        <w:rPr>
          <w:rFonts w:ascii="Calibri" w:eastAsia="Times New Roman" w:hAnsi="Calibri" w:cs="Helvetica"/>
          <w:lang w:val="en-CA"/>
        </w:rPr>
      </w:pPr>
      <w:r w:rsidRPr="00261D68">
        <w:rPr>
          <w:rFonts w:ascii="Calibri" w:eastAsia="Times New Roman" w:hAnsi="Calibri" w:cs="Helvetica"/>
          <w:lang w:val="en-CA"/>
        </w:rPr>
        <w:t xml:space="preserve">To conclude, </w:t>
      </w:r>
      <w:r w:rsidRPr="00261D68">
        <w:rPr>
          <w:rFonts w:ascii="Calibri" w:eastAsia="Times New Roman" w:hAnsi="Calibri" w:cs="Helvetica"/>
          <w:i/>
          <w:iCs/>
          <w:lang w:val="en-CA"/>
        </w:rPr>
        <w:t>Kennedy</w:t>
      </w:r>
      <w:r w:rsidRPr="00261D68">
        <w:rPr>
          <w:rFonts w:ascii="Calibri" w:eastAsia="Times New Roman" w:hAnsi="Calibri" w:cs="Helvetica"/>
          <w:lang w:val="en-CA"/>
        </w:rPr>
        <w:t xml:space="preserve"> is not consistent with the development of Canadian jurisprudence.</w:t>
      </w:r>
      <w:r w:rsidR="008061E7" w:rsidRPr="00261D68">
        <w:rPr>
          <w:rFonts w:ascii="Calibri" w:eastAsia="Times New Roman" w:hAnsi="Calibri" w:cs="Helvetica"/>
          <w:lang w:val="en-CA"/>
        </w:rPr>
        <w:t xml:space="preserve"> </w:t>
      </w:r>
      <w:r w:rsidR="00261D68">
        <w:rPr>
          <w:rFonts w:ascii="Calibri" w:eastAsia="Times New Roman" w:hAnsi="Calibri" w:cs="Helvetica"/>
          <w:lang w:val="en-CA"/>
        </w:rPr>
        <w:t xml:space="preserve"> </w:t>
      </w:r>
      <w:r w:rsidRPr="00261D68">
        <w:rPr>
          <w:rFonts w:ascii="Calibri" w:eastAsia="Times New Roman" w:hAnsi="Calibri" w:cs="Helvetica"/>
          <w:lang w:val="en-CA"/>
        </w:rPr>
        <w:t xml:space="preserve">The key issue in determining whether the unlawful act in question is objectively dangerous is the risk of harm, and not, as concluded in </w:t>
      </w:r>
      <w:r w:rsidRPr="00261D68">
        <w:rPr>
          <w:rFonts w:ascii="Calibri" w:eastAsia="Times New Roman" w:hAnsi="Calibri" w:cs="Helvetica"/>
          <w:i/>
          <w:iCs/>
          <w:lang w:val="en-CA"/>
        </w:rPr>
        <w:t>Kennedy</w:t>
      </w:r>
      <w:r w:rsidRPr="00261D68">
        <w:rPr>
          <w:rFonts w:ascii="Calibri" w:eastAsia="Times New Roman" w:hAnsi="Calibri" w:cs="Helvetica"/>
          <w:lang w:val="en-CA"/>
        </w:rPr>
        <w:t>, whether the actual harm flowed immediately from the unlawful act.</w:t>
      </w:r>
      <w:r w:rsidR="00261D68">
        <w:rPr>
          <w:rFonts w:ascii="Calibri" w:eastAsia="Times New Roman" w:hAnsi="Calibri" w:cs="Helvetica"/>
          <w:lang w:val="en-CA"/>
        </w:rPr>
        <w:t xml:space="preserve">  </w:t>
      </w:r>
      <w:r w:rsidRPr="00261D68">
        <w:rPr>
          <w:rFonts w:ascii="Calibri" w:eastAsia="Times New Roman" w:hAnsi="Calibri" w:cs="Helvetica"/>
          <w:lang w:val="en-CA"/>
        </w:rPr>
        <w:t xml:space="preserve">The Supreme Court of Canada has directed that the determination of causation is to focus on the accused person's moral responsibility, as opposed to the autonomy of the victim and the victim's choices, as in </w:t>
      </w:r>
      <w:r w:rsidRPr="00261D68">
        <w:rPr>
          <w:rFonts w:ascii="Calibri" w:eastAsia="Times New Roman" w:hAnsi="Calibri" w:cs="Helvetica"/>
          <w:i/>
          <w:iCs/>
          <w:lang w:val="en-CA"/>
        </w:rPr>
        <w:t>Kennedy</w:t>
      </w:r>
      <w:r w:rsidR="00261D68">
        <w:rPr>
          <w:rFonts w:ascii="Calibri" w:eastAsia="Times New Roman" w:hAnsi="Calibri" w:cs="Helvetica"/>
          <w:lang w:val="en-CA"/>
        </w:rPr>
        <w:t xml:space="preserve">.  </w:t>
      </w:r>
      <w:r w:rsidRPr="00261D68">
        <w:rPr>
          <w:rFonts w:ascii="Calibri" w:eastAsia="Times New Roman" w:hAnsi="Calibri" w:cs="Helvetica"/>
          <w:lang w:val="en-CA"/>
        </w:rPr>
        <w:t xml:space="preserve">Furthermore, the House of Lord's rejection of the reasonable foreseeability approach is contrary to </w:t>
      </w:r>
      <w:r w:rsidRPr="00261D68">
        <w:rPr>
          <w:rFonts w:ascii="Calibri" w:eastAsia="Times New Roman" w:hAnsi="Calibri" w:cs="Helvetica"/>
          <w:i/>
          <w:iCs/>
          <w:lang w:val="en-CA"/>
        </w:rPr>
        <w:t>Maybin</w:t>
      </w:r>
      <w:r w:rsidRPr="00261D68">
        <w:rPr>
          <w:rFonts w:ascii="Calibri" w:eastAsia="Times New Roman" w:hAnsi="Calibri" w:cs="Helvetica"/>
          <w:lang w:val="en-CA"/>
        </w:rPr>
        <w:t>, which accepted the use of such an approach as an analytical aid when determining whether or not an intervening act has severed the chain of causation.</w:t>
      </w:r>
    </w:p>
    <w:p w14:paraId="5897D755" w14:textId="77777777" w:rsidR="00091482" w:rsidRPr="00261D68" w:rsidRDefault="00091482" w:rsidP="005244B6">
      <w:pPr>
        <w:spacing w:before="100" w:beforeAutospacing="1" w:after="100" w:afterAutospacing="1" w:line="240" w:lineRule="auto"/>
        <w:ind w:left="1080"/>
        <w:rPr>
          <w:rFonts w:eastAsia="Times New Roman" w:cs="Helvetica"/>
          <w:lang w:val="en-CA"/>
        </w:rPr>
      </w:pPr>
      <w:r w:rsidRPr="00261D68">
        <w:rPr>
          <w:rFonts w:eastAsia="Times New Roman" w:cs="Helvetica"/>
          <w:lang w:val="en-CA"/>
        </w:rPr>
        <w:t xml:space="preserve">Whether a deceased's voluntary consumption of drugs constitutes an intervening act will depend upon the facts and circumstances found by the trial judge, and the trial judge's </w:t>
      </w:r>
      <w:r w:rsidRPr="00261D68">
        <w:rPr>
          <w:rFonts w:eastAsia="Times New Roman" w:cs="Helvetica"/>
          <w:lang w:val="en-CA"/>
        </w:rPr>
        <w:lastRenderedPageBreak/>
        <w:t>assessment of those facts and circumstances in light of the legal principles regarding causation.</w:t>
      </w:r>
      <w:r w:rsidR="008061E7" w:rsidRPr="00261D68">
        <w:rPr>
          <w:rFonts w:eastAsia="Times New Roman" w:cs="Helvetica"/>
          <w:lang w:val="en-CA"/>
        </w:rPr>
        <w:t xml:space="preserve"> </w:t>
      </w:r>
      <w:r w:rsidRPr="00261D68">
        <w:rPr>
          <w:rFonts w:eastAsia="Times New Roman" w:cs="Helvetica"/>
          <w:lang w:val="en-CA"/>
        </w:rPr>
        <w:t xml:space="preserve"> In other words, voluntary consumption is simply one of many contextual considerations in the circumstances of any given case to determine whether or not the chain of causation has been broken.</w:t>
      </w:r>
    </w:p>
    <w:p w14:paraId="542CB9BC" w14:textId="7057D97A" w:rsidR="00091482" w:rsidRPr="00261D68" w:rsidRDefault="00091482" w:rsidP="00091482">
      <w:pPr>
        <w:spacing w:before="100" w:beforeAutospacing="1" w:after="100" w:afterAutospacing="1" w:line="240" w:lineRule="auto"/>
        <w:ind w:left="720"/>
        <w:rPr>
          <w:rFonts w:eastAsia="Times New Roman" w:cs="Helvetica"/>
          <w:lang w:val="en-CA"/>
        </w:rPr>
      </w:pPr>
      <w:r w:rsidRPr="00261D68">
        <w:rPr>
          <w:rFonts w:eastAsia="Times New Roman" w:cs="Helvetica"/>
          <w:bCs/>
          <w:lang w:val="en-CA"/>
        </w:rPr>
        <w:t>192</w:t>
      </w:r>
      <w:r w:rsidR="00FA2161">
        <w:rPr>
          <w:rFonts w:eastAsia="Times New Roman" w:cs="Helvetica"/>
          <w:bCs/>
          <w:lang w:val="en-CA"/>
        </w:rPr>
        <w:t xml:space="preserve"> </w:t>
      </w:r>
      <w:r w:rsidR="00FA2161" w:rsidRPr="00261D68">
        <w:rPr>
          <w:rFonts w:eastAsia="Times New Roman" w:cs="Helvetica"/>
          <w:lang w:val="en-CA"/>
        </w:rPr>
        <w:t> The</w:t>
      </w:r>
      <w:r w:rsidRPr="00261D68">
        <w:rPr>
          <w:rFonts w:eastAsia="Times New Roman" w:cs="Helvetica"/>
          <w:lang w:val="en-CA"/>
        </w:rPr>
        <w:t xml:space="preserve"> rationale for the Supreme Court's divergence from </w:t>
      </w:r>
      <w:r w:rsidRPr="00261D68">
        <w:rPr>
          <w:rFonts w:eastAsia="Times New Roman" w:cs="Helvetica"/>
          <w:i/>
          <w:iCs/>
          <w:lang w:val="en-CA"/>
        </w:rPr>
        <w:t>Kennedy</w:t>
      </w:r>
      <w:r w:rsidRPr="00261D68">
        <w:rPr>
          <w:rFonts w:eastAsia="Times New Roman" w:cs="Helvetica"/>
          <w:lang w:val="en-CA"/>
        </w:rPr>
        <w:t xml:space="preserve"> was explained by Karakatsanis J. at paragraphs 28 in part and 29 of </w:t>
      </w:r>
      <w:r w:rsidRPr="00261D68">
        <w:rPr>
          <w:rFonts w:eastAsia="Times New Roman" w:cs="Helvetica"/>
          <w:i/>
          <w:iCs/>
          <w:lang w:val="en-CA"/>
        </w:rPr>
        <w:t>Maybin</w:t>
      </w:r>
      <w:r w:rsidRPr="00261D68">
        <w:rPr>
          <w:rFonts w:eastAsia="Times New Roman" w:cs="Helvetica"/>
          <w:lang w:val="en-CA"/>
        </w:rPr>
        <w:t>:</w:t>
      </w:r>
    </w:p>
    <w:p w14:paraId="52DE43AD" w14:textId="77777777" w:rsidR="00091482" w:rsidRPr="00261D68" w:rsidRDefault="00091482" w:rsidP="005244B6">
      <w:pPr>
        <w:spacing w:before="100" w:beforeAutospacing="1" w:after="100" w:afterAutospacing="1" w:line="240" w:lineRule="auto"/>
        <w:ind w:left="1152"/>
        <w:rPr>
          <w:rFonts w:eastAsia="Times New Roman" w:cs="Helvetica"/>
          <w:lang w:val="en-CA"/>
        </w:rPr>
      </w:pPr>
      <w:r w:rsidRPr="00261D68">
        <w:rPr>
          <w:rFonts w:eastAsia="Times New Roman" w:cs="Helvetica"/>
          <w:lang w:val="en-CA"/>
        </w:rPr>
        <w:t xml:space="preserve">...Neither an unforeseeable intervening act nor an independent intervening act is necessarily a sufficient condition to </w:t>
      </w:r>
      <w:r w:rsidRPr="00261D68">
        <w:rPr>
          <w:rFonts w:eastAsia="Times New Roman" w:cs="Helvetica"/>
          <w:i/>
          <w:iCs/>
          <w:lang w:val="en-CA"/>
        </w:rPr>
        <w:t>break</w:t>
      </w:r>
      <w:r w:rsidRPr="00261D68">
        <w:rPr>
          <w:rFonts w:eastAsia="Times New Roman" w:cs="Helvetica"/>
          <w:lang w:val="en-CA"/>
        </w:rPr>
        <w:t xml:space="preserve"> the chain of legal causation. </w:t>
      </w:r>
      <w:r w:rsidR="008061E7" w:rsidRPr="00261D68">
        <w:rPr>
          <w:rFonts w:eastAsia="Times New Roman" w:cs="Helvetica"/>
          <w:lang w:val="en-CA"/>
        </w:rPr>
        <w:t xml:space="preserve"> </w:t>
      </w:r>
      <w:r w:rsidRPr="00261D68">
        <w:rPr>
          <w:rFonts w:eastAsia="Times New Roman" w:cs="Helvetica"/>
          <w:lang w:val="en-CA"/>
        </w:rPr>
        <w:t xml:space="preserve">Similarly, the fact that the intervening act was reasonably foreseeable, or was not an independent act, is not necessarily a sufficient condition to </w:t>
      </w:r>
      <w:r w:rsidRPr="00261D68">
        <w:rPr>
          <w:rFonts w:eastAsia="Times New Roman" w:cs="Helvetica"/>
          <w:i/>
          <w:iCs/>
          <w:lang w:val="en-CA"/>
        </w:rPr>
        <w:t>establish</w:t>
      </w:r>
      <w:r w:rsidRPr="00261D68">
        <w:rPr>
          <w:rFonts w:eastAsia="Times New Roman" w:cs="Helvetica"/>
          <w:lang w:val="en-CA"/>
        </w:rPr>
        <w:t xml:space="preserve"> legal causation. </w:t>
      </w:r>
      <w:r w:rsidR="008061E7" w:rsidRPr="00261D68">
        <w:rPr>
          <w:rFonts w:eastAsia="Times New Roman" w:cs="Helvetica"/>
          <w:lang w:val="en-CA"/>
        </w:rPr>
        <w:t xml:space="preserve"> </w:t>
      </w:r>
      <w:r w:rsidRPr="00261D68">
        <w:rPr>
          <w:rFonts w:eastAsia="Times New Roman" w:cs="Helvetica"/>
          <w:lang w:val="en-CA"/>
        </w:rPr>
        <w:t xml:space="preserve">Even in cases where it is alleged that an intervening act has interrupted the chain of legal causation, the causation test articulated in </w:t>
      </w:r>
      <w:r w:rsidRPr="00261D68">
        <w:rPr>
          <w:rFonts w:eastAsia="Times New Roman" w:cs="Helvetica"/>
          <w:i/>
          <w:iCs/>
          <w:lang w:val="en-CA"/>
        </w:rPr>
        <w:t>Smithers</w:t>
      </w:r>
      <w:r w:rsidRPr="00261D68">
        <w:rPr>
          <w:rFonts w:eastAsia="Times New Roman" w:cs="Helvetica"/>
          <w:lang w:val="en-CA"/>
        </w:rPr>
        <w:t xml:space="preserve"> and confirmed in </w:t>
      </w:r>
      <w:r w:rsidRPr="00261D68">
        <w:rPr>
          <w:rFonts w:eastAsia="Times New Roman" w:cs="Helvetica"/>
          <w:i/>
          <w:iCs/>
          <w:lang w:val="en-CA"/>
        </w:rPr>
        <w:t>Nette</w:t>
      </w:r>
      <w:r w:rsidRPr="00261D68">
        <w:rPr>
          <w:rFonts w:eastAsia="Times New Roman" w:cs="Helvetica"/>
          <w:lang w:val="en-CA"/>
        </w:rPr>
        <w:t xml:space="preserve"> remains the same: Were the dangerous, unlawful acts of the accused a significant contributing cause of the victim's death?</w:t>
      </w:r>
    </w:p>
    <w:p w14:paraId="33D730A5" w14:textId="77777777" w:rsidR="00F2154B" w:rsidRPr="00261D68" w:rsidRDefault="00091482" w:rsidP="008061E7">
      <w:pPr>
        <w:spacing w:before="100" w:beforeAutospacing="1" w:after="100" w:afterAutospacing="1" w:line="240" w:lineRule="auto"/>
        <w:ind w:left="1080"/>
        <w:rPr>
          <w:rFonts w:eastAsia="Times New Roman" w:cs="Helvetica"/>
          <w:lang w:val="en-CA"/>
        </w:rPr>
      </w:pPr>
      <w:r w:rsidRPr="00261D68">
        <w:rPr>
          <w:rFonts w:eastAsia="Times New Roman" w:cs="Helvetica"/>
          <w:lang w:val="en-CA"/>
        </w:rPr>
        <w:t xml:space="preserve">Depending on the circumstances, assessments of foreseeability or independence may be more or less helpful in determining whether an accused's unlawful acts were still a </w:t>
      </w:r>
      <w:r w:rsidRPr="00261D68">
        <w:rPr>
          <w:rFonts w:eastAsia="Times New Roman" w:cs="Helvetica"/>
          <w:i/>
          <w:iCs/>
          <w:lang w:val="en-CA"/>
        </w:rPr>
        <w:t>significant contributing</w:t>
      </w:r>
      <w:r w:rsidR="00B132D5" w:rsidRPr="00261D68">
        <w:rPr>
          <w:rFonts w:eastAsia="Times New Roman" w:cs="Helvetica"/>
          <w:lang w:val="en-CA"/>
        </w:rPr>
        <w:t xml:space="preserve"> cause at the time of death.  </w:t>
      </w:r>
      <w:r w:rsidRPr="00261D68">
        <w:rPr>
          <w:rFonts w:eastAsia="Times New Roman" w:cs="Helvetica"/>
          <w:lang w:val="en-CA"/>
        </w:rPr>
        <w:t xml:space="preserve">Any assessment of legal causation should maintain focus on whether the accused should be held legally responsible for the consequences of his actions, or whether holding the accused responsible for the death would amount to punishing a moral innocent. </w:t>
      </w:r>
      <w:r w:rsidR="008061E7" w:rsidRPr="00261D68">
        <w:rPr>
          <w:rFonts w:eastAsia="Times New Roman" w:cs="Helvetica"/>
          <w:lang w:val="en-CA"/>
        </w:rPr>
        <w:t>[Emphasis in original]</w:t>
      </w:r>
    </w:p>
    <w:p w14:paraId="6171F9E3" w14:textId="2A4D36F3" w:rsidR="00B132D5" w:rsidRPr="00116AED" w:rsidRDefault="003000D0">
      <w:pPr>
        <w:rPr>
          <w:sz w:val="28"/>
          <w:szCs w:val="28"/>
          <w:lang w:val="en-CA"/>
        </w:rPr>
      </w:pPr>
      <w:r>
        <w:rPr>
          <w:sz w:val="28"/>
          <w:szCs w:val="28"/>
          <w:lang w:val="en-CA"/>
        </w:rPr>
        <w:t>[61]</w:t>
      </w:r>
      <w:r>
        <w:rPr>
          <w:sz w:val="28"/>
          <w:szCs w:val="28"/>
          <w:lang w:val="en-CA"/>
        </w:rPr>
        <w:tab/>
      </w:r>
      <w:r w:rsidR="00091482" w:rsidRPr="00116AED">
        <w:rPr>
          <w:sz w:val="28"/>
          <w:szCs w:val="28"/>
          <w:lang w:val="en-CA"/>
        </w:rPr>
        <w:t xml:space="preserve">In </w:t>
      </w:r>
      <w:r w:rsidR="00091482" w:rsidRPr="00116AED">
        <w:rPr>
          <w:i/>
          <w:sz w:val="28"/>
          <w:szCs w:val="28"/>
          <w:lang w:val="en-CA"/>
        </w:rPr>
        <w:t>Maybin</w:t>
      </w:r>
      <w:r w:rsidR="00724281" w:rsidRPr="00116AED">
        <w:rPr>
          <w:sz w:val="28"/>
          <w:szCs w:val="28"/>
          <w:lang w:val="en-CA"/>
        </w:rPr>
        <w:t>, [2012] 2 S.C.R. 30</w:t>
      </w:r>
      <w:r w:rsidR="00585B9F" w:rsidRPr="00116AED">
        <w:rPr>
          <w:sz w:val="28"/>
          <w:szCs w:val="28"/>
          <w:lang w:val="en-CA"/>
        </w:rPr>
        <w:t>,</w:t>
      </w:r>
      <w:r w:rsidR="00DA1B6D" w:rsidRPr="00116AED">
        <w:rPr>
          <w:sz w:val="28"/>
          <w:szCs w:val="28"/>
          <w:lang w:val="en-CA"/>
        </w:rPr>
        <w:t xml:space="preserve"> the accused </w:t>
      </w:r>
      <w:r w:rsidR="008061E7" w:rsidRPr="00116AED">
        <w:rPr>
          <w:sz w:val="28"/>
          <w:szCs w:val="28"/>
          <w:lang w:val="en-CA"/>
        </w:rPr>
        <w:t xml:space="preserve">Maybin </w:t>
      </w:r>
      <w:r w:rsidR="00DA1B6D" w:rsidRPr="00116AED">
        <w:rPr>
          <w:sz w:val="28"/>
          <w:szCs w:val="28"/>
          <w:lang w:val="en-CA"/>
        </w:rPr>
        <w:t>brothers</w:t>
      </w:r>
      <w:r w:rsidR="009E57AE" w:rsidRPr="00116AED">
        <w:rPr>
          <w:sz w:val="28"/>
          <w:szCs w:val="28"/>
          <w:lang w:val="en-CA"/>
        </w:rPr>
        <w:t xml:space="preserve">, who were charged with unlawful act manslaughter, </w:t>
      </w:r>
      <w:r w:rsidR="0024623D">
        <w:rPr>
          <w:sz w:val="28"/>
          <w:szCs w:val="28"/>
          <w:lang w:val="en-CA"/>
        </w:rPr>
        <w:t xml:space="preserve">had </w:t>
      </w:r>
      <w:r w:rsidR="00903BAB">
        <w:rPr>
          <w:sz w:val="28"/>
          <w:szCs w:val="28"/>
          <w:lang w:val="en-CA"/>
        </w:rPr>
        <w:t>together attacked the deceased during a dispute that occurr</w:t>
      </w:r>
      <w:r w:rsidR="00BA3C20">
        <w:rPr>
          <w:sz w:val="28"/>
          <w:szCs w:val="28"/>
          <w:lang w:val="en-CA"/>
        </w:rPr>
        <w:t xml:space="preserve">ed while playing pool in a bar.  </w:t>
      </w:r>
      <w:r w:rsidR="00903BAB">
        <w:rPr>
          <w:sz w:val="28"/>
          <w:szCs w:val="28"/>
          <w:lang w:val="en-CA"/>
        </w:rPr>
        <w:t>One of the brothers</w:t>
      </w:r>
      <w:r w:rsidR="00A67C6F">
        <w:rPr>
          <w:sz w:val="28"/>
          <w:szCs w:val="28"/>
          <w:lang w:val="en-CA"/>
        </w:rPr>
        <w:t xml:space="preserve"> </w:t>
      </w:r>
      <w:r w:rsidR="00DA1B6D" w:rsidRPr="00116AED">
        <w:rPr>
          <w:sz w:val="28"/>
          <w:szCs w:val="28"/>
          <w:lang w:val="en-CA"/>
        </w:rPr>
        <w:t>repeatedly punched the deceased in the face</w:t>
      </w:r>
      <w:r w:rsidR="00903BAB">
        <w:rPr>
          <w:sz w:val="28"/>
          <w:szCs w:val="28"/>
          <w:lang w:val="en-CA"/>
        </w:rPr>
        <w:t xml:space="preserve"> rendering him unconscious</w:t>
      </w:r>
      <w:r w:rsidR="006C7215" w:rsidRPr="00116AED">
        <w:rPr>
          <w:sz w:val="28"/>
          <w:szCs w:val="28"/>
          <w:lang w:val="en-CA"/>
        </w:rPr>
        <w:t xml:space="preserve">.  </w:t>
      </w:r>
      <w:r w:rsidR="00407B7B" w:rsidRPr="00116AED">
        <w:rPr>
          <w:sz w:val="28"/>
          <w:szCs w:val="28"/>
          <w:lang w:val="en-CA"/>
        </w:rPr>
        <w:t>A</w:t>
      </w:r>
      <w:r w:rsidR="00DA1B6D" w:rsidRPr="00116AED">
        <w:rPr>
          <w:sz w:val="28"/>
          <w:szCs w:val="28"/>
          <w:lang w:val="en-CA"/>
        </w:rPr>
        <w:t xml:space="preserve"> bouncer</w:t>
      </w:r>
      <w:r w:rsidR="005A2489">
        <w:rPr>
          <w:sz w:val="28"/>
          <w:szCs w:val="28"/>
          <w:lang w:val="en-CA"/>
        </w:rPr>
        <w:t xml:space="preserve"> named Gains</w:t>
      </w:r>
      <w:r w:rsidR="00DA1B6D" w:rsidRPr="00116AED">
        <w:rPr>
          <w:sz w:val="28"/>
          <w:szCs w:val="28"/>
          <w:lang w:val="en-CA"/>
        </w:rPr>
        <w:t xml:space="preserve"> arrived seconds later and </w:t>
      </w:r>
      <w:r w:rsidR="007F38F3" w:rsidRPr="00116AED">
        <w:rPr>
          <w:sz w:val="28"/>
          <w:szCs w:val="28"/>
          <w:lang w:val="en-CA"/>
        </w:rPr>
        <w:t xml:space="preserve">again </w:t>
      </w:r>
      <w:r w:rsidR="00DA1B6D" w:rsidRPr="00116AED">
        <w:rPr>
          <w:sz w:val="28"/>
          <w:szCs w:val="28"/>
          <w:lang w:val="en-CA"/>
        </w:rPr>
        <w:t xml:space="preserve">struck the </w:t>
      </w:r>
      <w:r w:rsidR="007F38F3" w:rsidRPr="00116AED">
        <w:rPr>
          <w:sz w:val="28"/>
          <w:szCs w:val="28"/>
          <w:lang w:val="en-CA"/>
        </w:rPr>
        <w:t xml:space="preserve">unconscious </w:t>
      </w:r>
      <w:r w:rsidR="00DA1B6D" w:rsidRPr="00116AED">
        <w:rPr>
          <w:sz w:val="28"/>
          <w:szCs w:val="28"/>
          <w:lang w:val="en-CA"/>
        </w:rPr>
        <w:t>victim in the head</w:t>
      </w:r>
      <w:r w:rsidR="00B132D5" w:rsidRPr="00116AED">
        <w:rPr>
          <w:sz w:val="28"/>
          <w:szCs w:val="28"/>
          <w:lang w:val="en-CA"/>
        </w:rPr>
        <w:t xml:space="preserve">.  </w:t>
      </w:r>
      <w:r w:rsidR="00DA1B6D" w:rsidRPr="00116AED">
        <w:rPr>
          <w:sz w:val="28"/>
          <w:szCs w:val="28"/>
          <w:lang w:val="en-CA"/>
        </w:rPr>
        <w:t>The medical evidence was inconclusive as to which blow or blows caused the death</w:t>
      </w:r>
      <w:r w:rsidR="00B132D5" w:rsidRPr="00116AED">
        <w:rPr>
          <w:sz w:val="28"/>
          <w:szCs w:val="28"/>
          <w:lang w:val="en-CA"/>
        </w:rPr>
        <w:t xml:space="preserve">.  </w:t>
      </w:r>
      <w:r w:rsidR="007F38F3" w:rsidRPr="00116AED">
        <w:rPr>
          <w:sz w:val="28"/>
          <w:szCs w:val="28"/>
          <w:lang w:val="en-CA"/>
        </w:rPr>
        <w:t>Consequently, the trial court</w:t>
      </w:r>
      <w:r w:rsidR="00DA1B6D" w:rsidRPr="00116AED">
        <w:rPr>
          <w:sz w:val="28"/>
          <w:szCs w:val="28"/>
          <w:lang w:val="en-CA"/>
        </w:rPr>
        <w:t xml:space="preserve"> acquitted the bouncer </w:t>
      </w:r>
      <w:r w:rsidR="00D26B47" w:rsidRPr="00116AED">
        <w:rPr>
          <w:sz w:val="28"/>
          <w:szCs w:val="28"/>
          <w:lang w:val="en-CA"/>
        </w:rPr>
        <w:t>and the brothers on the basis of “but for” causation not being made out</w:t>
      </w:r>
      <w:r w:rsidR="00407B7B" w:rsidRPr="00116AED">
        <w:rPr>
          <w:sz w:val="28"/>
          <w:szCs w:val="28"/>
          <w:lang w:val="en-CA"/>
        </w:rPr>
        <w:t xml:space="preserve"> in either case</w:t>
      </w:r>
      <w:r w:rsidR="00D26B47" w:rsidRPr="00116AED">
        <w:rPr>
          <w:sz w:val="28"/>
          <w:szCs w:val="28"/>
          <w:lang w:val="en-CA"/>
        </w:rPr>
        <w:t>.</w:t>
      </w:r>
      <w:r w:rsidR="007F38F3" w:rsidRPr="00116AED">
        <w:rPr>
          <w:sz w:val="28"/>
          <w:szCs w:val="28"/>
          <w:lang w:val="en-CA"/>
        </w:rPr>
        <w:t xml:space="preserve">  </w:t>
      </w:r>
      <w:r w:rsidR="00407B7B" w:rsidRPr="00116AED">
        <w:rPr>
          <w:sz w:val="28"/>
          <w:szCs w:val="28"/>
          <w:lang w:val="en-CA"/>
        </w:rPr>
        <w:t>The trial court held that this was so since it could not determine whether the blows first struck by the Maybin brothers or the subsequent blow struck by the bouncer</w:t>
      </w:r>
      <w:r w:rsidR="00B132D5" w:rsidRPr="00116AED">
        <w:rPr>
          <w:sz w:val="28"/>
          <w:szCs w:val="28"/>
          <w:lang w:val="en-CA"/>
        </w:rPr>
        <w:t xml:space="preserve"> -</w:t>
      </w:r>
      <w:r w:rsidR="00407B7B" w:rsidRPr="00116AED">
        <w:rPr>
          <w:sz w:val="28"/>
          <w:szCs w:val="28"/>
          <w:lang w:val="en-CA"/>
        </w:rPr>
        <w:t xml:space="preserve"> or for that ma</w:t>
      </w:r>
      <w:r w:rsidR="00B132D5" w:rsidRPr="00116AED">
        <w:rPr>
          <w:sz w:val="28"/>
          <w:szCs w:val="28"/>
          <w:lang w:val="en-CA"/>
        </w:rPr>
        <w:t>tter all of them in combination</w:t>
      </w:r>
      <w:r w:rsidR="00CA5F03">
        <w:rPr>
          <w:sz w:val="28"/>
          <w:szCs w:val="28"/>
          <w:lang w:val="en-CA"/>
        </w:rPr>
        <w:t xml:space="preserve"> </w:t>
      </w:r>
      <w:r w:rsidR="00B132D5" w:rsidRPr="00116AED">
        <w:rPr>
          <w:sz w:val="28"/>
          <w:szCs w:val="28"/>
          <w:lang w:val="en-CA"/>
        </w:rPr>
        <w:t xml:space="preserve">- </w:t>
      </w:r>
      <w:r w:rsidR="00407B7B" w:rsidRPr="00116AED">
        <w:rPr>
          <w:sz w:val="28"/>
          <w:szCs w:val="28"/>
          <w:lang w:val="en-CA"/>
        </w:rPr>
        <w:t xml:space="preserve">had created the medical cause of death. </w:t>
      </w:r>
      <w:r w:rsidR="00D26B47" w:rsidRPr="00116AED">
        <w:rPr>
          <w:sz w:val="28"/>
          <w:szCs w:val="28"/>
          <w:lang w:val="en-CA"/>
        </w:rPr>
        <w:t xml:space="preserve"> </w:t>
      </w:r>
    </w:p>
    <w:p w14:paraId="6C8C7266" w14:textId="4DDE4F07" w:rsidR="009E57AE" w:rsidRPr="00116AED" w:rsidRDefault="003000D0">
      <w:pPr>
        <w:rPr>
          <w:sz w:val="28"/>
          <w:szCs w:val="28"/>
          <w:lang w:val="en-CA"/>
        </w:rPr>
      </w:pPr>
      <w:r>
        <w:rPr>
          <w:sz w:val="28"/>
          <w:szCs w:val="28"/>
          <w:lang w:val="en-CA"/>
        </w:rPr>
        <w:t>[62]</w:t>
      </w:r>
      <w:r>
        <w:rPr>
          <w:sz w:val="28"/>
          <w:szCs w:val="28"/>
          <w:lang w:val="en-CA"/>
        </w:rPr>
        <w:tab/>
      </w:r>
      <w:r w:rsidR="00CA5F03">
        <w:rPr>
          <w:sz w:val="28"/>
          <w:szCs w:val="28"/>
          <w:lang w:val="en-CA"/>
        </w:rPr>
        <w:t>The Court of Appeal</w:t>
      </w:r>
      <w:r w:rsidR="00D26B47" w:rsidRPr="00116AED">
        <w:rPr>
          <w:sz w:val="28"/>
          <w:szCs w:val="28"/>
          <w:lang w:val="en-CA"/>
        </w:rPr>
        <w:t xml:space="preserve"> held that the trial judge had been </w:t>
      </w:r>
      <w:r w:rsidR="00091482" w:rsidRPr="00116AED">
        <w:rPr>
          <w:sz w:val="28"/>
          <w:szCs w:val="28"/>
          <w:lang w:val="en-CA"/>
        </w:rPr>
        <w:t>too</w:t>
      </w:r>
      <w:r w:rsidR="00D26B47" w:rsidRPr="00116AED">
        <w:rPr>
          <w:sz w:val="28"/>
          <w:szCs w:val="28"/>
          <w:lang w:val="en-CA"/>
        </w:rPr>
        <w:t xml:space="preserve"> restrictive in his application of “but for” causation to the Maybin </w:t>
      </w:r>
      <w:r w:rsidR="001D5054" w:rsidRPr="00116AED">
        <w:rPr>
          <w:sz w:val="28"/>
          <w:szCs w:val="28"/>
          <w:lang w:val="en-CA"/>
        </w:rPr>
        <w:t>brothers’</w:t>
      </w:r>
      <w:r w:rsidR="00D26B47" w:rsidRPr="00116AED">
        <w:rPr>
          <w:sz w:val="28"/>
          <w:szCs w:val="28"/>
          <w:lang w:val="en-CA"/>
        </w:rPr>
        <w:t xml:space="preserve"> a</w:t>
      </w:r>
      <w:r w:rsidR="00B132D5" w:rsidRPr="00116AED">
        <w:rPr>
          <w:sz w:val="28"/>
          <w:szCs w:val="28"/>
          <w:lang w:val="en-CA"/>
        </w:rPr>
        <w:t>ctions and that their action</w:t>
      </w:r>
      <w:r w:rsidR="009E57AE" w:rsidRPr="00116AED">
        <w:rPr>
          <w:sz w:val="28"/>
          <w:szCs w:val="28"/>
          <w:lang w:val="en-CA"/>
        </w:rPr>
        <w:t>s</w:t>
      </w:r>
      <w:r w:rsidR="00B132D5" w:rsidRPr="00116AED">
        <w:rPr>
          <w:sz w:val="28"/>
          <w:szCs w:val="28"/>
          <w:lang w:val="en-CA"/>
        </w:rPr>
        <w:t xml:space="preserve"> had indeed lead to the bouncer getting involved and striking the</w:t>
      </w:r>
      <w:r w:rsidR="00CA5F03">
        <w:rPr>
          <w:sz w:val="28"/>
          <w:szCs w:val="28"/>
          <w:lang w:val="en-CA"/>
        </w:rPr>
        <w:t xml:space="preserve"> </w:t>
      </w:r>
      <w:r w:rsidR="00CA5F03">
        <w:rPr>
          <w:sz w:val="28"/>
          <w:szCs w:val="28"/>
          <w:lang w:val="en-CA"/>
        </w:rPr>
        <w:lastRenderedPageBreak/>
        <w:t xml:space="preserve">deceased.  </w:t>
      </w:r>
      <w:r w:rsidR="009E57AE" w:rsidRPr="00116AED">
        <w:rPr>
          <w:sz w:val="28"/>
          <w:szCs w:val="28"/>
          <w:lang w:val="en-CA"/>
        </w:rPr>
        <w:t>“But for” their actions, the deceased</w:t>
      </w:r>
      <w:r w:rsidR="00FA40C8">
        <w:rPr>
          <w:sz w:val="28"/>
          <w:szCs w:val="28"/>
          <w:lang w:val="en-CA"/>
        </w:rPr>
        <w:t xml:space="preserve"> would not have died.</w:t>
      </w:r>
      <w:r w:rsidR="00BA06DA" w:rsidRPr="00BA06DA">
        <w:rPr>
          <w:rStyle w:val="FootnoteReference"/>
          <w:sz w:val="28"/>
          <w:szCs w:val="28"/>
          <w:lang w:val="en-CA"/>
        </w:rPr>
        <w:t xml:space="preserve"> </w:t>
      </w:r>
      <w:r w:rsidR="00BA06DA">
        <w:rPr>
          <w:rStyle w:val="FootnoteReference"/>
          <w:sz w:val="28"/>
          <w:szCs w:val="28"/>
          <w:lang w:val="en-CA"/>
        </w:rPr>
        <w:footnoteReference w:id="12"/>
      </w:r>
      <w:r w:rsidR="00FA40C8">
        <w:rPr>
          <w:sz w:val="28"/>
          <w:szCs w:val="28"/>
          <w:lang w:val="en-CA"/>
        </w:rPr>
        <w:t xml:space="preserve">  </w:t>
      </w:r>
      <w:r w:rsidR="00CA5F03">
        <w:rPr>
          <w:sz w:val="28"/>
          <w:szCs w:val="28"/>
          <w:lang w:val="en-CA"/>
        </w:rPr>
        <w:t>However,</w:t>
      </w:r>
      <w:r w:rsidR="009E57AE" w:rsidRPr="00116AED">
        <w:rPr>
          <w:sz w:val="28"/>
          <w:szCs w:val="28"/>
          <w:lang w:val="en-CA"/>
        </w:rPr>
        <w:t xml:space="preserve"> </w:t>
      </w:r>
      <w:r w:rsidR="00FA40C8">
        <w:rPr>
          <w:sz w:val="28"/>
          <w:szCs w:val="28"/>
          <w:lang w:val="en-CA"/>
        </w:rPr>
        <w:t>since the same could not be said for the bouncer,</w:t>
      </w:r>
      <w:r w:rsidR="009E57AE" w:rsidRPr="00116AED">
        <w:rPr>
          <w:sz w:val="28"/>
          <w:szCs w:val="28"/>
          <w:lang w:val="en-CA"/>
        </w:rPr>
        <w:t xml:space="preserve"> his acquittal was upheld on the basis of “but for” causation not being made out. </w:t>
      </w:r>
    </w:p>
    <w:p w14:paraId="3C57B911" w14:textId="2AE8560A" w:rsidR="00A67C6F" w:rsidRDefault="003000D0">
      <w:pPr>
        <w:rPr>
          <w:sz w:val="28"/>
          <w:szCs w:val="28"/>
          <w:lang w:val="en-CA"/>
        </w:rPr>
      </w:pPr>
      <w:r>
        <w:rPr>
          <w:sz w:val="28"/>
          <w:szCs w:val="28"/>
          <w:lang w:val="en-CA"/>
        </w:rPr>
        <w:t>[63]</w:t>
      </w:r>
      <w:r>
        <w:rPr>
          <w:sz w:val="28"/>
          <w:szCs w:val="28"/>
          <w:lang w:val="en-CA"/>
        </w:rPr>
        <w:tab/>
      </w:r>
      <w:r w:rsidR="009E57AE" w:rsidRPr="00116AED">
        <w:rPr>
          <w:sz w:val="28"/>
          <w:szCs w:val="28"/>
          <w:lang w:val="en-CA"/>
        </w:rPr>
        <w:t>The majority of the Court of Appeal also held that because the risk of bodily harm caused by an intervening actor could have been found to be foreseeable by the Maybin brothers at the time of the a</w:t>
      </w:r>
      <w:r w:rsidR="001D5054" w:rsidRPr="00116AED">
        <w:rPr>
          <w:sz w:val="28"/>
          <w:szCs w:val="28"/>
          <w:lang w:val="en-CA"/>
        </w:rPr>
        <w:t>ssault</w:t>
      </w:r>
      <w:r w:rsidR="00E43E55">
        <w:rPr>
          <w:sz w:val="28"/>
          <w:szCs w:val="28"/>
          <w:lang w:val="en-CA"/>
        </w:rPr>
        <w:t>, it was necessary to order a new trial</w:t>
      </w:r>
      <w:r w:rsidR="0024623D">
        <w:rPr>
          <w:sz w:val="28"/>
          <w:szCs w:val="28"/>
          <w:lang w:val="en-CA"/>
        </w:rPr>
        <w:t>.</w:t>
      </w:r>
      <w:r w:rsidR="001D5054" w:rsidRPr="00116AED">
        <w:rPr>
          <w:sz w:val="28"/>
          <w:szCs w:val="28"/>
          <w:lang w:val="en-CA"/>
        </w:rPr>
        <w:t xml:space="preserve">  </w:t>
      </w:r>
    </w:p>
    <w:p w14:paraId="630D9356" w14:textId="352DCAA3" w:rsidR="009E57AE" w:rsidRPr="00116AED" w:rsidRDefault="003000D0">
      <w:pPr>
        <w:rPr>
          <w:sz w:val="28"/>
          <w:szCs w:val="28"/>
          <w:lang w:val="en-CA"/>
        </w:rPr>
      </w:pPr>
      <w:r>
        <w:rPr>
          <w:sz w:val="28"/>
          <w:szCs w:val="28"/>
          <w:lang w:val="en-CA"/>
        </w:rPr>
        <w:t>[64]</w:t>
      </w:r>
      <w:r>
        <w:rPr>
          <w:sz w:val="28"/>
          <w:szCs w:val="28"/>
          <w:lang w:val="en-CA"/>
        </w:rPr>
        <w:tab/>
      </w:r>
      <w:r w:rsidR="009E57AE" w:rsidRPr="00116AED">
        <w:rPr>
          <w:sz w:val="28"/>
          <w:szCs w:val="28"/>
          <w:lang w:val="en-CA"/>
        </w:rPr>
        <w:t xml:space="preserve">However, the dissenting judge did not agree that the accused could have reasonably foreseen the bouncer’s conduct and concluded that the </w:t>
      </w:r>
      <w:r w:rsidR="005A2489" w:rsidRPr="00116AED">
        <w:rPr>
          <w:sz w:val="28"/>
          <w:szCs w:val="28"/>
          <w:lang w:val="en-CA"/>
        </w:rPr>
        <w:t>bouncer’s</w:t>
      </w:r>
      <w:r w:rsidR="009E57AE" w:rsidRPr="00116AED">
        <w:rPr>
          <w:sz w:val="28"/>
          <w:szCs w:val="28"/>
          <w:lang w:val="en-CA"/>
        </w:rPr>
        <w:t xml:space="preserve"> actions severed </w:t>
      </w:r>
      <w:r w:rsidR="009E57AE" w:rsidRPr="00FA40C8">
        <w:rPr>
          <w:i/>
          <w:sz w:val="28"/>
          <w:szCs w:val="28"/>
          <w:lang w:val="en-CA"/>
        </w:rPr>
        <w:t xml:space="preserve">legal </w:t>
      </w:r>
      <w:r w:rsidR="009E57AE" w:rsidRPr="00116AED">
        <w:rPr>
          <w:sz w:val="28"/>
          <w:szCs w:val="28"/>
          <w:lang w:val="en-CA"/>
        </w:rPr>
        <w:t xml:space="preserve">causation. </w:t>
      </w:r>
    </w:p>
    <w:p w14:paraId="1ADA33D2" w14:textId="38C38EFB" w:rsidR="00D26B47" w:rsidRPr="00116AED" w:rsidRDefault="003000D0">
      <w:pPr>
        <w:rPr>
          <w:sz w:val="28"/>
          <w:szCs w:val="28"/>
          <w:lang w:val="en-CA"/>
        </w:rPr>
      </w:pPr>
      <w:r>
        <w:rPr>
          <w:sz w:val="28"/>
          <w:szCs w:val="28"/>
          <w:lang w:val="en-CA"/>
        </w:rPr>
        <w:t>[65]</w:t>
      </w:r>
      <w:r>
        <w:rPr>
          <w:sz w:val="28"/>
          <w:szCs w:val="28"/>
          <w:lang w:val="en-CA"/>
        </w:rPr>
        <w:tab/>
      </w:r>
      <w:r w:rsidR="009E57AE" w:rsidRPr="00116AED">
        <w:rPr>
          <w:sz w:val="28"/>
          <w:szCs w:val="28"/>
          <w:lang w:val="en-CA"/>
        </w:rPr>
        <w:t>On appeal, the</w:t>
      </w:r>
      <w:r w:rsidR="00D26B47" w:rsidRPr="00116AED">
        <w:rPr>
          <w:sz w:val="28"/>
          <w:szCs w:val="28"/>
          <w:lang w:val="en-CA"/>
        </w:rPr>
        <w:t xml:space="preserve"> Supreme Court </w:t>
      </w:r>
      <w:r w:rsidR="00407B7B" w:rsidRPr="00116AED">
        <w:rPr>
          <w:sz w:val="28"/>
          <w:szCs w:val="28"/>
          <w:lang w:val="en-CA"/>
        </w:rPr>
        <w:t xml:space="preserve">of Canada </w:t>
      </w:r>
      <w:r w:rsidR="00D26B47" w:rsidRPr="00116AED">
        <w:rPr>
          <w:sz w:val="28"/>
          <w:szCs w:val="28"/>
          <w:lang w:val="en-CA"/>
        </w:rPr>
        <w:t xml:space="preserve">upheld the </w:t>
      </w:r>
      <w:r w:rsidR="001D5054" w:rsidRPr="00116AED">
        <w:rPr>
          <w:sz w:val="28"/>
          <w:szCs w:val="28"/>
          <w:lang w:val="en-CA"/>
        </w:rPr>
        <w:t xml:space="preserve">majority </w:t>
      </w:r>
      <w:r w:rsidR="00091482" w:rsidRPr="00116AED">
        <w:rPr>
          <w:sz w:val="28"/>
          <w:szCs w:val="28"/>
          <w:lang w:val="en-CA"/>
        </w:rPr>
        <w:t>d</w:t>
      </w:r>
      <w:r w:rsidR="009E57AE" w:rsidRPr="00116AED">
        <w:rPr>
          <w:sz w:val="28"/>
          <w:szCs w:val="28"/>
          <w:lang w:val="en-CA"/>
        </w:rPr>
        <w:t>e</w:t>
      </w:r>
      <w:r w:rsidR="000A09D3">
        <w:rPr>
          <w:sz w:val="28"/>
          <w:szCs w:val="28"/>
          <w:lang w:val="en-CA"/>
        </w:rPr>
        <w:t xml:space="preserve">cision of the Court of Appeal.  </w:t>
      </w:r>
      <w:r w:rsidR="00091482" w:rsidRPr="00116AED">
        <w:rPr>
          <w:sz w:val="28"/>
          <w:szCs w:val="28"/>
          <w:lang w:val="en-CA"/>
        </w:rPr>
        <w:t xml:space="preserve">After </w:t>
      </w:r>
      <w:r w:rsidR="00D26B47" w:rsidRPr="00116AED">
        <w:rPr>
          <w:sz w:val="28"/>
          <w:szCs w:val="28"/>
          <w:lang w:val="en-CA"/>
        </w:rPr>
        <w:t xml:space="preserve">reviewing and </w:t>
      </w:r>
      <w:r w:rsidR="00091482" w:rsidRPr="00116AED">
        <w:rPr>
          <w:sz w:val="28"/>
          <w:szCs w:val="28"/>
          <w:lang w:val="en-CA"/>
        </w:rPr>
        <w:t>analyzing</w:t>
      </w:r>
      <w:r w:rsidR="00903BAB">
        <w:rPr>
          <w:sz w:val="28"/>
          <w:szCs w:val="28"/>
          <w:lang w:val="en-CA"/>
        </w:rPr>
        <w:t xml:space="preserve"> the law on</w:t>
      </w:r>
      <w:r w:rsidR="00D26B47" w:rsidRPr="00116AED">
        <w:rPr>
          <w:sz w:val="28"/>
          <w:szCs w:val="28"/>
          <w:lang w:val="en-CA"/>
        </w:rPr>
        <w:t xml:space="preserve"> </w:t>
      </w:r>
      <w:r w:rsidR="00D26B47" w:rsidRPr="00116AED">
        <w:rPr>
          <w:i/>
          <w:sz w:val="28"/>
          <w:szCs w:val="28"/>
          <w:lang w:val="en-CA"/>
        </w:rPr>
        <w:t>novus actus</w:t>
      </w:r>
      <w:r w:rsidR="00D26B47" w:rsidRPr="00116AED">
        <w:rPr>
          <w:sz w:val="28"/>
          <w:szCs w:val="28"/>
          <w:lang w:val="en-CA"/>
        </w:rPr>
        <w:t xml:space="preserve"> in Canada</w:t>
      </w:r>
      <w:r w:rsidR="00091482" w:rsidRPr="00116AED">
        <w:rPr>
          <w:sz w:val="28"/>
          <w:szCs w:val="28"/>
          <w:lang w:val="en-CA"/>
        </w:rPr>
        <w:t>, Karakatsanis J. concluded</w:t>
      </w:r>
      <w:r w:rsidR="00D26B47" w:rsidRPr="00116AED">
        <w:rPr>
          <w:sz w:val="28"/>
          <w:szCs w:val="28"/>
          <w:lang w:val="en-CA"/>
        </w:rPr>
        <w:t>:</w:t>
      </w:r>
    </w:p>
    <w:p w14:paraId="4002B025" w14:textId="34EA6B00" w:rsidR="00D26B47" w:rsidRPr="00116AED" w:rsidRDefault="00D26B47" w:rsidP="005244B6">
      <w:pPr>
        <w:spacing w:before="100" w:beforeAutospacing="1" w:after="100" w:afterAutospacing="1" w:line="240" w:lineRule="auto"/>
        <w:ind w:left="720"/>
        <w:rPr>
          <w:rFonts w:eastAsia="Times New Roman" w:cs="Helvetica"/>
          <w:sz w:val="24"/>
          <w:szCs w:val="24"/>
          <w:lang w:val="en-CA"/>
        </w:rPr>
      </w:pPr>
      <w:r w:rsidRPr="00116AED">
        <w:rPr>
          <w:rFonts w:eastAsia="Times New Roman" w:cs="Helvetica"/>
          <w:bCs/>
          <w:sz w:val="24"/>
          <w:szCs w:val="24"/>
          <w:lang w:val="en-CA"/>
        </w:rPr>
        <w:t>60</w:t>
      </w:r>
      <w:r w:rsidRPr="00116AED">
        <w:rPr>
          <w:rFonts w:eastAsia="Times New Roman" w:cs="Helvetica"/>
          <w:sz w:val="24"/>
          <w:szCs w:val="24"/>
          <w:lang w:val="en-CA"/>
        </w:rPr>
        <w:t>  </w:t>
      </w:r>
      <w:r w:rsidR="005A2489">
        <w:rPr>
          <w:rFonts w:eastAsia="Times New Roman" w:cs="Helvetica"/>
          <w:sz w:val="24"/>
          <w:szCs w:val="24"/>
          <w:lang w:val="en-CA"/>
        </w:rPr>
        <w:t xml:space="preserve"> </w:t>
      </w:r>
      <w:r w:rsidRPr="00116AED">
        <w:rPr>
          <w:rFonts w:eastAsia="Times New Roman" w:cs="Helvetica"/>
          <w:sz w:val="24"/>
          <w:szCs w:val="24"/>
          <w:lang w:val="en-CA"/>
        </w:rPr>
        <w:t>Courts have used a number of analytical approaches to determine when an intervening act absolves the accused of legal r</w:t>
      </w:r>
      <w:r w:rsidR="00B132D5" w:rsidRPr="00116AED">
        <w:rPr>
          <w:rFonts w:eastAsia="Times New Roman" w:cs="Helvetica"/>
          <w:sz w:val="24"/>
          <w:szCs w:val="24"/>
          <w:lang w:val="en-CA"/>
        </w:rPr>
        <w:t xml:space="preserve">esponsibility for manslaughter.  </w:t>
      </w:r>
      <w:r w:rsidRPr="00116AED">
        <w:rPr>
          <w:rFonts w:eastAsia="Times New Roman" w:cs="Helvetica"/>
          <w:sz w:val="24"/>
          <w:szCs w:val="24"/>
          <w:lang w:val="en-CA"/>
        </w:rPr>
        <w:t>These approaches grapple with the issue of the moral connection between the accused's acts and the death; they acknowledge that an intervening act that is reasonably foreseeable to the accused may well not break the chain of causation, and that an independent and intentional act by a third party may in some cases make it unfair to hold the accused responsible.</w:t>
      </w:r>
      <w:r w:rsidR="00B132D5" w:rsidRPr="00116AED">
        <w:rPr>
          <w:rFonts w:eastAsia="Times New Roman" w:cs="Helvetica"/>
          <w:sz w:val="24"/>
          <w:szCs w:val="24"/>
          <w:lang w:val="en-CA"/>
        </w:rPr>
        <w:t xml:space="preserve">  </w:t>
      </w:r>
      <w:r w:rsidRPr="00116AED">
        <w:rPr>
          <w:rFonts w:eastAsia="Times New Roman" w:cs="Helvetica"/>
          <w:sz w:val="24"/>
          <w:szCs w:val="24"/>
          <w:lang w:val="en-CA"/>
        </w:rPr>
        <w:t>In my view, these approaches may be useful tools depending upon the factual context.</w:t>
      </w:r>
      <w:r w:rsidR="00B132D5" w:rsidRPr="00116AED">
        <w:rPr>
          <w:rFonts w:eastAsia="Times New Roman" w:cs="Helvetica"/>
          <w:sz w:val="24"/>
          <w:szCs w:val="24"/>
          <w:lang w:val="en-CA"/>
        </w:rPr>
        <w:t xml:space="preserve">  </w:t>
      </w:r>
      <w:r w:rsidRPr="00116AED">
        <w:rPr>
          <w:rFonts w:eastAsia="Times New Roman" w:cs="Helvetica"/>
          <w:sz w:val="24"/>
          <w:szCs w:val="24"/>
          <w:lang w:val="en-CA"/>
        </w:rPr>
        <w:t>However, the analysis must focus on first principles and recognize that these tools do not alter the standard of causation or substitute new tests.</w:t>
      </w:r>
      <w:r w:rsidR="00B132D5" w:rsidRPr="00116AED">
        <w:rPr>
          <w:rFonts w:eastAsia="Times New Roman" w:cs="Helvetica"/>
          <w:sz w:val="24"/>
          <w:szCs w:val="24"/>
          <w:lang w:val="en-CA"/>
        </w:rPr>
        <w:t xml:space="preserve"> </w:t>
      </w:r>
      <w:r w:rsidRPr="00116AED">
        <w:rPr>
          <w:rFonts w:eastAsia="Times New Roman" w:cs="Helvetica"/>
          <w:sz w:val="24"/>
          <w:szCs w:val="24"/>
          <w:lang w:val="en-CA"/>
        </w:rPr>
        <w:t xml:space="preserve"> The dangerous and unlawful acts of the accused must be a significant contributing cause of the victim's death.</w:t>
      </w:r>
    </w:p>
    <w:p w14:paraId="422C3F67" w14:textId="58F1A5DA" w:rsidR="00D26B47" w:rsidRPr="00116AED" w:rsidRDefault="00D26B47" w:rsidP="005244B6">
      <w:pPr>
        <w:spacing w:before="100" w:beforeAutospacing="1" w:after="100" w:afterAutospacing="1" w:line="240" w:lineRule="auto"/>
        <w:ind w:left="720"/>
        <w:rPr>
          <w:rFonts w:eastAsia="Times New Roman" w:cs="Helvetica"/>
          <w:sz w:val="24"/>
          <w:szCs w:val="24"/>
          <w:lang w:val="en-CA"/>
        </w:rPr>
      </w:pPr>
      <w:r w:rsidRPr="00116AED">
        <w:rPr>
          <w:rFonts w:eastAsia="Times New Roman" w:cs="Helvetica"/>
          <w:bCs/>
          <w:sz w:val="24"/>
          <w:szCs w:val="24"/>
          <w:lang w:val="en-CA"/>
        </w:rPr>
        <w:t>61</w:t>
      </w:r>
      <w:r w:rsidRPr="00116AED">
        <w:rPr>
          <w:rFonts w:eastAsia="Times New Roman" w:cs="Helvetica"/>
          <w:sz w:val="24"/>
          <w:szCs w:val="24"/>
          <w:lang w:val="en-CA"/>
        </w:rPr>
        <w:t>  </w:t>
      </w:r>
      <w:r w:rsidR="00903BAB">
        <w:rPr>
          <w:rFonts w:eastAsia="Times New Roman" w:cs="Helvetica"/>
          <w:sz w:val="24"/>
          <w:szCs w:val="24"/>
          <w:lang w:val="en-CA"/>
        </w:rPr>
        <w:t xml:space="preserve"> </w:t>
      </w:r>
      <w:r w:rsidRPr="00116AED">
        <w:rPr>
          <w:rFonts w:eastAsia="Times New Roman" w:cs="Helvetica"/>
          <w:sz w:val="24"/>
          <w:szCs w:val="24"/>
          <w:lang w:val="en-CA"/>
        </w:rPr>
        <w:t>I agree with the majority of the Court of Appeal that based upon the trial judge's findings of fact, it was open to him to conclude that the general nature of the intervening act and the accompanying risk of harm were</w:t>
      </w:r>
      <w:r w:rsidR="0057116C" w:rsidRPr="00116AED">
        <w:rPr>
          <w:rFonts w:eastAsia="Times New Roman" w:cs="Helvetica"/>
          <w:sz w:val="24"/>
          <w:szCs w:val="24"/>
          <w:lang w:val="en-CA"/>
        </w:rPr>
        <w:t xml:space="preserve"> reasonably foreseeable</w:t>
      </w:r>
      <w:r w:rsidR="00903BAB" w:rsidRPr="00116AED">
        <w:rPr>
          <w:rFonts w:eastAsia="Times New Roman" w:cs="Helvetica"/>
          <w:sz w:val="24"/>
          <w:szCs w:val="24"/>
          <w:lang w:val="en-CA"/>
        </w:rPr>
        <w:t>; and</w:t>
      </w:r>
      <w:r w:rsidRPr="00116AED">
        <w:rPr>
          <w:rFonts w:eastAsia="Times New Roman" w:cs="Helvetica"/>
          <w:sz w:val="24"/>
          <w:szCs w:val="24"/>
          <w:lang w:val="en-CA"/>
        </w:rPr>
        <w:t xml:space="preserve"> that the act was in direct response to the appellants' unlawful actions. </w:t>
      </w:r>
      <w:r w:rsidR="00B132D5" w:rsidRPr="00116AED">
        <w:rPr>
          <w:rFonts w:eastAsia="Times New Roman" w:cs="Helvetica"/>
          <w:sz w:val="24"/>
          <w:szCs w:val="24"/>
          <w:lang w:val="en-CA"/>
        </w:rPr>
        <w:t xml:space="preserve"> </w:t>
      </w:r>
      <w:r w:rsidRPr="00116AED">
        <w:rPr>
          <w:rFonts w:eastAsia="Times New Roman" w:cs="Helvetica"/>
          <w:sz w:val="24"/>
          <w:szCs w:val="24"/>
          <w:lang w:val="en-CA"/>
        </w:rPr>
        <w:t xml:space="preserve">The judge could have concluded that the bouncer's assault did not necessarily constitute an intervening act that severed the link between Timothy and Matthew Maybin's conduct and the victim's death, such that it would absolve them of </w:t>
      </w:r>
      <w:r w:rsidR="00903BAB">
        <w:rPr>
          <w:rFonts w:eastAsia="Times New Roman" w:cs="Helvetica"/>
          <w:sz w:val="24"/>
          <w:szCs w:val="24"/>
          <w:lang w:val="en-CA"/>
        </w:rPr>
        <w:t xml:space="preserve">moral and legal responsibility.  </w:t>
      </w:r>
      <w:r w:rsidRPr="00116AED">
        <w:rPr>
          <w:rFonts w:eastAsia="Times New Roman" w:cs="Helvetica"/>
          <w:sz w:val="24"/>
          <w:szCs w:val="24"/>
          <w:lang w:val="en-CA"/>
        </w:rPr>
        <w:t>The trial judge could have found that the appellants' actions remained a significant contributing cause of the death.</w:t>
      </w:r>
    </w:p>
    <w:p w14:paraId="36892298" w14:textId="36BBE0AA" w:rsidR="00FF3271" w:rsidRPr="00116AED" w:rsidRDefault="003000D0">
      <w:pPr>
        <w:rPr>
          <w:sz w:val="28"/>
          <w:szCs w:val="28"/>
          <w:lang w:val="en-CA"/>
        </w:rPr>
      </w:pPr>
      <w:r>
        <w:rPr>
          <w:sz w:val="28"/>
          <w:szCs w:val="28"/>
          <w:lang w:val="en-CA"/>
        </w:rPr>
        <w:lastRenderedPageBreak/>
        <w:t>[66]</w:t>
      </w:r>
      <w:r>
        <w:rPr>
          <w:sz w:val="28"/>
          <w:szCs w:val="28"/>
          <w:lang w:val="en-CA"/>
        </w:rPr>
        <w:tab/>
      </w:r>
      <w:r w:rsidR="00987716" w:rsidRPr="00116AED">
        <w:rPr>
          <w:sz w:val="28"/>
          <w:szCs w:val="28"/>
          <w:lang w:val="en-CA"/>
        </w:rPr>
        <w:t xml:space="preserve">Based on the foregoing passage, I think it is quite apparent that the question of whether the intervening act referred to by </w:t>
      </w:r>
      <w:r w:rsidR="001D5054" w:rsidRPr="00116AED">
        <w:rPr>
          <w:sz w:val="28"/>
          <w:szCs w:val="28"/>
          <w:lang w:val="en-CA"/>
        </w:rPr>
        <w:t>L</w:t>
      </w:r>
      <w:r w:rsidR="00E65D4B">
        <w:rPr>
          <w:sz w:val="28"/>
          <w:szCs w:val="28"/>
          <w:lang w:val="en-CA"/>
        </w:rPr>
        <w:t>.</w:t>
      </w:r>
      <w:r w:rsidR="001D5054" w:rsidRPr="00116AED">
        <w:rPr>
          <w:sz w:val="28"/>
          <w:szCs w:val="28"/>
          <w:lang w:val="en-CA"/>
        </w:rPr>
        <w:t>’s counsel</w:t>
      </w:r>
      <w:r w:rsidR="00987716" w:rsidRPr="00116AED">
        <w:rPr>
          <w:sz w:val="28"/>
          <w:szCs w:val="28"/>
          <w:lang w:val="en-CA"/>
        </w:rPr>
        <w:t xml:space="preserve"> absolves </w:t>
      </w:r>
      <w:r w:rsidR="00D978B2">
        <w:rPr>
          <w:sz w:val="28"/>
          <w:szCs w:val="28"/>
          <w:lang w:val="en-CA"/>
        </w:rPr>
        <w:t xml:space="preserve">L. </w:t>
      </w:r>
      <w:r w:rsidR="00987716" w:rsidRPr="00116AED">
        <w:rPr>
          <w:sz w:val="28"/>
          <w:szCs w:val="28"/>
          <w:lang w:val="en-CA"/>
        </w:rPr>
        <w:t>of legal responsibility is for the trier of fact after having weighe</w:t>
      </w:r>
      <w:r w:rsidR="000A09D3">
        <w:rPr>
          <w:sz w:val="28"/>
          <w:szCs w:val="28"/>
          <w:lang w:val="en-CA"/>
        </w:rPr>
        <w:t xml:space="preserve">d the evidence in front of him.  </w:t>
      </w:r>
      <w:r w:rsidR="00987716" w:rsidRPr="00116AED">
        <w:rPr>
          <w:sz w:val="28"/>
          <w:szCs w:val="28"/>
          <w:lang w:val="en-CA"/>
        </w:rPr>
        <w:t xml:space="preserve">This is particularly so given the nature of the intervening act argued by the defence as well as </w:t>
      </w:r>
      <w:r w:rsidR="006A2218">
        <w:rPr>
          <w:sz w:val="28"/>
          <w:szCs w:val="28"/>
          <w:lang w:val="en-CA"/>
        </w:rPr>
        <w:t xml:space="preserve">E.’s </w:t>
      </w:r>
      <w:r w:rsidR="00987716" w:rsidRPr="00116AED">
        <w:rPr>
          <w:sz w:val="28"/>
          <w:szCs w:val="28"/>
          <w:lang w:val="en-CA"/>
        </w:rPr>
        <w:t xml:space="preserve">age at the time. </w:t>
      </w:r>
    </w:p>
    <w:p w14:paraId="4600E255" w14:textId="5AFDACEA" w:rsidR="00FF3271" w:rsidRPr="00116AED" w:rsidRDefault="003000D0" w:rsidP="00987716">
      <w:pPr>
        <w:rPr>
          <w:rFonts w:ascii="Calibri" w:hAnsi="Calibri"/>
          <w:sz w:val="28"/>
          <w:szCs w:val="28"/>
          <w:lang w:val="en-CA"/>
        </w:rPr>
      </w:pPr>
      <w:r>
        <w:rPr>
          <w:sz w:val="28"/>
          <w:szCs w:val="28"/>
          <w:lang w:val="en-CA"/>
        </w:rPr>
        <w:t>[67]</w:t>
      </w:r>
      <w:r>
        <w:rPr>
          <w:sz w:val="28"/>
          <w:szCs w:val="28"/>
          <w:lang w:val="en-CA"/>
        </w:rPr>
        <w:tab/>
      </w:r>
      <w:r w:rsidR="00FF3271" w:rsidRPr="00116AED">
        <w:rPr>
          <w:sz w:val="28"/>
          <w:szCs w:val="28"/>
          <w:lang w:val="en-CA"/>
        </w:rPr>
        <w:t xml:space="preserve">An earlier case decided by the British Columbia Court of Appeal, </w:t>
      </w:r>
      <w:r w:rsidR="00FF3271" w:rsidRPr="00116AED">
        <w:rPr>
          <w:i/>
          <w:sz w:val="28"/>
          <w:szCs w:val="28"/>
          <w:lang w:val="en-CA"/>
        </w:rPr>
        <w:t xml:space="preserve">R. v. Jordan </w:t>
      </w:r>
      <w:r w:rsidR="00FF3271" w:rsidRPr="00116AED">
        <w:rPr>
          <w:sz w:val="28"/>
          <w:szCs w:val="28"/>
          <w:lang w:val="en-CA"/>
        </w:rPr>
        <w:t xml:space="preserve">(1991) 4 BCAC 121, involved facts which bear some similarity to the alleged facts </w:t>
      </w:r>
      <w:r w:rsidR="007F38F3" w:rsidRPr="00116AED">
        <w:rPr>
          <w:sz w:val="28"/>
          <w:szCs w:val="28"/>
          <w:lang w:val="en-CA"/>
        </w:rPr>
        <w:t>before me</w:t>
      </w:r>
      <w:r w:rsidR="001D5054" w:rsidRPr="00116AED">
        <w:rPr>
          <w:sz w:val="28"/>
          <w:szCs w:val="28"/>
          <w:lang w:val="en-CA"/>
        </w:rPr>
        <w:t xml:space="preserve">. </w:t>
      </w:r>
      <w:r w:rsidR="00FF3271" w:rsidRPr="00116AED">
        <w:rPr>
          <w:sz w:val="28"/>
          <w:szCs w:val="28"/>
          <w:lang w:val="en-CA"/>
        </w:rPr>
        <w:t xml:space="preserve"> In </w:t>
      </w:r>
      <w:r w:rsidR="00FF3271" w:rsidRPr="00116AED">
        <w:rPr>
          <w:i/>
          <w:sz w:val="28"/>
          <w:szCs w:val="28"/>
          <w:lang w:val="en-CA"/>
        </w:rPr>
        <w:t>Jordan</w:t>
      </w:r>
      <w:r w:rsidR="00FF3271" w:rsidRPr="00116AED">
        <w:rPr>
          <w:sz w:val="28"/>
          <w:szCs w:val="28"/>
          <w:lang w:val="en-CA"/>
        </w:rPr>
        <w:t>, the accused had provided the deceased with a large amount of alcohol</w:t>
      </w:r>
      <w:r w:rsidR="001D5054" w:rsidRPr="00116AED">
        <w:rPr>
          <w:sz w:val="28"/>
          <w:szCs w:val="28"/>
          <w:lang w:val="en-CA"/>
        </w:rPr>
        <w:t>,</w:t>
      </w:r>
      <w:r w:rsidR="00FF3271" w:rsidRPr="00116AED">
        <w:rPr>
          <w:sz w:val="28"/>
          <w:szCs w:val="28"/>
          <w:lang w:val="en-CA"/>
        </w:rPr>
        <w:t xml:space="preserve"> </w:t>
      </w:r>
      <w:r w:rsidR="001D5054" w:rsidRPr="00116AED">
        <w:rPr>
          <w:sz w:val="28"/>
          <w:szCs w:val="28"/>
          <w:lang w:val="en-CA"/>
        </w:rPr>
        <w:t>following</w:t>
      </w:r>
      <w:r w:rsidR="00FF3271" w:rsidRPr="00116AED">
        <w:rPr>
          <w:sz w:val="28"/>
          <w:szCs w:val="28"/>
          <w:lang w:val="en-CA"/>
        </w:rPr>
        <w:t xml:space="preserve"> which she died as a result of alcohol </w:t>
      </w:r>
      <w:r w:rsidR="007F38F3" w:rsidRPr="00116AED">
        <w:rPr>
          <w:sz w:val="28"/>
          <w:szCs w:val="28"/>
          <w:lang w:val="en-CA"/>
        </w:rPr>
        <w:t>poisoning</w:t>
      </w:r>
      <w:r w:rsidR="001D5054" w:rsidRPr="00116AED">
        <w:rPr>
          <w:sz w:val="28"/>
          <w:szCs w:val="28"/>
          <w:lang w:val="en-CA"/>
        </w:rPr>
        <w:t xml:space="preserve">.  </w:t>
      </w:r>
      <w:r w:rsidR="00FF3271" w:rsidRPr="00116AED">
        <w:rPr>
          <w:sz w:val="28"/>
          <w:szCs w:val="28"/>
          <w:lang w:val="en-CA"/>
        </w:rPr>
        <w:t xml:space="preserve">The accused was convicted of manslaughter by criminal negligence.  The accused appealed arguing that the trial judge had failed to consider whether the </w:t>
      </w:r>
      <w:r w:rsidR="007F38F3" w:rsidRPr="00116AED">
        <w:rPr>
          <w:sz w:val="28"/>
          <w:szCs w:val="28"/>
          <w:lang w:val="en-CA"/>
        </w:rPr>
        <w:t>deceased’s</w:t>
      </w:r>
      <w:r w:rsidR="00FF3271" w:rsidRPr="00116AED">
        <w:rPr>
          <w:sz w:val="28"/>
          <w:szCs w:val="28"/>
          <w:lang w:val="en-CA"/>
        </w:rPr>
        <w:t xml:space="preserve"> voluntary consumption was an intervening </w:t>
      </w:r>
      <w:r w:rsidR="00903BAB" w:rsidRPr="00116AED">
        <w:rPr>
          <w:sz w:val="28"/>
          <w:szCs w:val="28"/>
          <w:lang w:val="en-CA"/>
        </w:rPr>
        <w:t>cause, which</w:t>
      </w:r>
      <w:r w:rsidR="00FF3271" w:rsidRPr="00116AED">
        <w:rPr>
          <w:sz w:val="28"/>
          <w:szCs w:val="28"/>
          <w:lang w:val="en-CA"/>
        </w:rPr>
        <w:t xml:space="preserve"> relieved the accused of legal responsibility for her death.  The </w:t>
      </w:r>
      <w:r w:rsidR="00903BAB">
        <w:rPr>
          <w:sz w:val="28"/>
          <w:szCs w:val="28"/>
          <w:lang w:val="en-CA"/>
        </w:rPr>
        <w:t>Court of Appeal</w:t>
      </w:r>
      <w:r w:rsidR="001D5054" w:rsidRPr="00116AED">
        <w:rPr>
          <w:sz w:val="28"/>
          <w:szCs w:val="28"/>
          <w:lang w:val="en-CA"/>
        </w:rPr>
        <w:t xml:space="preserve"> </w:t>
      </w:r>
      <w:r w:rsidR="00FF3271" w:rsidRPr="00116AED">
        <w:rPr>
          <w:sz w:val="28"/>
          <w:szCs w:val="28"/>
          <w:lang w:val="en-CA"/>
        </w:rPr>
        <w:t>held:</w:t>
      </w:r>
    </w:p>
    <w:p w14:paraId="2AF7AACD" w14:textId="77777777" w:rsidR="001D5054" w:rsidRPr="00116AED" w:rsidRDefault="00987716" w:rsidP="005C12EA">
      <w:pPr>
        <w:ind w:left="720"/>
        <w:contextualSpacing/>
        <w:rPr>
          <w:rFonts w:ascii="Calibri" w:hAnsi="Calibri" w:cs="Helvetica"/>
          <w:i/>
          <w:sz w:val="24"/>
          <w:szCs w:val="24"/>
          <w:lang w:val="en-CA"/>
        </w:rPr>
      </w:pPr>
      <w:r w:rsidRPr="00116AED">
        <w:rPr>
          <w:rFonts w:ascii="Calibri" w:hAnsi="Calibri" w:cs="Helvetica"/>
          <w:sz w:val="24"/>
          <w:szCs w:val="24"/>
          <w:lang w:val="en-CA"/>
        </w:rPr>
        <w:t xml:space="preserve">19.   </w:t>
      </w:r>
      <w:r w:rsidR="00FF3271" w:rsidRPr="00116AED">
        <w:rPr>
          <w:rFonts w:ascii="Calibri" w:hAnsi="Calibri" w:cs="Helvetica"/>
          <w:sz w:val="24"/>
          <w:szCs w:val="24"/>
          <w:lang w:val="en-CA"/>
        </w:rPr>
        <w:t>In my opinion even if all the alcohol consumed by [the deceased] was consumed without direct glass by glass persuasion and was in that sense voluntary, that would not prevent the creation by the appellant of an environment in which [the deceased] was sure to drink excessively from being a continuing c</w:t>
      </w:r>
      <w:r w:rsidR="001D5054" w:rsidRPr="00116AED">
        <w:rPr>
          <w:rFonts w:ascii="Calibri" w:hAnsi="Calibri" w:cs="Helvetica"/>
          <w:sz w:val="24"/>
          <w:szCs w:val="24"/>
          <w:lang w:val="en-CA"/>
        </w:rPr>
        <w:t xml:space="preserve">ontributing cause of her death.  </w:t>
      </w:r>
      <w:r w:rsidR="00FF3271" w:rsidRPr="00116AED">
        <w:rPr>
          <w:rFonts w:ascii="Calibri" w:hAnsi="Calibri" w:cs="Helvetica"/>
          <w:i/>
          <w:sz w:val="24"/>
          <w:szCs w:val="24"/>
          <w:lang w:val="en-CA"/>
        </w:rPr>
        <w:t>Particularly, the provision of alcohol in that closed environment, as well as the provision of the alcohol in itself, remained acts which were done in wanton or reckless disregard for the safety of [the deceased] and were continuing causes of death outside the de minimis range</w:t>
      </w:r>
      <w:r w:rsidR="001D5054" w:rsidRPr="00116AED">
        <w:rPr>
          <w:rFonts w:ascii="Calibri" w:hAnsi="Calibri" w:cs="Helvetica"/>
          <w:i/>
          <w:sz w:val="24"/>
          <w:szCs w:val="24"/>
          <w:lang w:val="en-CA"/>
        </w:rPr>
        <w:t>.</w:t>
      </w:r>
    </w:p>
    <w:p w14:paraId="7A603EBB" w14:textId="77777777" w:rsidR="001D5054" w:rsidRPr="00116AED" w:rsidRDefault="001D5054" w:rsidP="001D5054">
      <w:pPr>
        <w:ind w:left="720"/>
        <w:contextualSpacing/>
        <w:rPr>
          <w:rFonts w:ascii="Calibri" w:hAnsi="Calibri"/>
          <w:sz w:val="24"/>
          <w:szCs w:val="24"/>
          <w:lang w:val="en-CA"/>
        </w:rPr>
      </w:pPr>
      <w:r w:rsidRPr="00116AED">
        <w:rPr>
          <w:rFonts w:ascii="Calibri" w:hAnsi="Calibri"/>
          <w:sz w:val="24"/>
          <w:szCs w:val="24"/>
          <w:lang w:val="en-CA"/>
        </w:rPr>
        <w:t>[Emphasis mine]</w:t>
      </w:r>
    </w:p>
    <w:p w14:paraId="595377FB" w14:textId="77777777" w:rsidR="001D5054" w:rsidRPr="00116AED" w:rsidRDefault="001D5054" w:rsidP="001D5054">
      <w:pPr>
        <w:ind w:left="720"/>
        <w:contextualSpacing/>
        <w:rPr>
          <w:rFonts w:ascii="Calibri" w:hAnsi="Calibri"/>
          <w:i/>
          <w:sz w:val="28"/>
          <w:szCs w:val="28"/>
          <w:lang w:val="en-CA"/>
        </w:rPr>
      </w:pPr>
    </w:p>
    <w:p w14:paraId="722EAF53" w14:textId="50DF724F" w:rsidR="00FF3271" w:rsidRPr="00116AED" w:rsidRDefault="003000D0" w:rsidP="001D5054">
      <w:pPr>
        <w:rPr>
          <w:rFonts w:ascii="Calibri" w:hAnsi="Calibri"/>
          <w:i/>
          <w:sz w:val="28"/>
          <w:szCs w:val="28"/>
          <w:lang w:val="en-CA"/>
        </w:rPr>
      </w:pPr>
      <w:r>
        <w:rPr>
          <w:sz w:val="28"/>
          <w:szCs w:val="28"/>
          <w:lang w:val="en-CA"/>
        </w:rPr>
        <w:t>[68]</w:t>
      </w:r>
      <w:r>
        <w:rPr>
          <w:sz w:val="28"/>
          <w:szCs w:val="28"/>
          <w:lang w:val="en-CA"/>
        </w:rPr>
        <w:tab/>
      </w:r>
      <w:r w:rsidR="007F38F3" w:rsidRPr="00116AED">
        <w:rPr>
          <w:sz w:val="28"/>
          <w:szCs w:val="28"/>
          <w:lang w:val="en-CA"/>
        </w:rPr>
        <w:t xml:space="preserve">A reasonable jury might well come to the same conclusion based on the evidence I have heard in </w:t>
      </w:r>
      <w:r w:rsidR="007A79A3" w:rsidRPr="00116AED">
        <w:rPr>
          <w:sz w:val="28"/>
          <w:szCs w:val="28"/>
          <w:lang w:val="en-CA"/>
        </w:rPr>
        <w:t>the present</w:t>
      </w:r>
      <w:r w:rsidR="00987716" w:rsidRPr="00116AED">
        <w:rPr>
          <w:sz w:val="28"/>
          <w:szCs w:val="28"/>
          <w:lang w:val="en-CA"/>
        </w:rPr>
        <w:t xml:space="preserve"> case. </w:t>
      </w:r>
    </w:p>
    <w:p w14:paraId="0408E683" w14:textId="77777777" w:rsidR="00BA0300" w:rsidRPr="00116AED" w:rsidRDefault="00BA0300">
      <w:pPr>
        <w:rPr>
          <w:sz w:val="28"/>
          <w:szCs w:val="28"/>
          <w:lang w:val="en-CA"/>
        </w:rPr>
      </w:pPr>
    </w:p>
    <w:p w14:paraId="647FDDAB" w14:textId="77777777" w:rsidR="000F3EC4" w:rsidRPr="00116AED" w:rsidRDefault="00F2154B" w:rsidP="003000D0">
      <w:pPr>
        <w:pStyle w:val="ListParagraph"/>
        <w:numPr>
          <w:ilvl w:val="0"/>
          <w:numId w:val="32"/>
        </w:numPr>
        <w:rPr>
          <w:b/>
          <w:sz w:val="28"/>
          <w:szCs w:val="28"/>
          <w:lang w:val="en-CA"/>
        </w:rPr>
      </w:pPr>
      <w:r w:rsidRPr="00116AED">
        <w:rPr>
          <w:b/>
          <w:sz w:val="28"/>
          <w:szCs w:val="28"/>
          <w:lang w:val="en-CA"/>
        </w:rPr>
        <w:t>Conclusion</w:t>
      </w:r>
    </w:p>
    <w:p w14:paraId="1867DE29" w14:textId="519E96AD" w:rsidR="001D5054" w:rsidRPr="00116AED" w:rsidRDefault="003000D0">
      <w:pPr>
        <w:rPr>
          <w:sz w:val="28"/>
          <w:szCs w:val="28"/>
          <w:lang w:val="en-CA"/>
        </w:rPr>
      </w:pPr>
      <w:r>
        <w:rPr>
          <w:sz w:val="28"/>
          <w:szCs w:val="28"/>
          <w:lang w:val="en-CA"/>
        </w:rPr>
        <w:t>[69]</w:t>
      </w:r>
      <w:r>
        <w:rPr>
          <w:sz w:val="28"/>
          <w:szCs w:val="28"/>
          <w:lang w:val="en-CA"/>
        </w:rPr>
        <w:tab/>
      </w:r>
      <w:r w:rsidR="001D5054" w:rsidRPr="00116AED">
        <w:rPr>
          <w:sz w:val="28"/>
          <w:szCs w:val="28"/>
          <w:lang w:val="en-CA"/>
        </w:rPr>
        <w:t>There exists evidence upon which a reasonable trier of fact could find that all of the essential elements of unlawful act manslaughter</w:t>
      </w:r>
      <w:r w:rsidR="00DB5533">
        <w:rPr>
          <w:sz w:val="28"/>
          <w:szCs w:val="28"/>
          <w:lang w:val="en-CA"/>
        </w:rPr>
        <w:t xml:space="preserve"> - identity,</w:t>
      </w:r>
      <w:r w:rsidR="00956B59">
        <w:rPr>
          <w:sz w:val="28"/>
          <w:szCs w:val="28"/>
          <w:lang w:val="en-CA"/>
        </w:rPr>
        <w:t xml:space="preserve"> place,</w:t>
      </w:r>
      <w:r w:rsidR="00DB5533">
        <w:rPr>
          <w:sz w:val="28"/>
          <w:szCs w:val="28"/>
          <w:lang w:val="en-CA"/>
        </w:rPr>
        <w:t xml:space="preserve"> jurisdiction, </w:t>
      </w:r>
      <w:r w:rsidR="00DB5533" w:rsidRPr="00DB5533">
        <w:rPr>
          <w:i/>
          <w:sz w:val="28"/>
          <w:szCs w:val="28"/>
          <w:lang w:val="en-CA"/>
        </w:rPr>
        <w:t>actus rea</w:t>
      </w:r>
      <w:r w:rsidR="00DB5533">
        <w:rPr>
          <w:sz w:val="28"/>
          <w:szCs w:val="28"/>
          <w:lang w:val="en-CA"/>
        </w:rPr>
        <w:t xml:space="preserve"> and </w:t>
      </w:r>
      <w:r w:rsidR="00DB5533" w:rsidRPr="00DB5533">
        <w:rPr>
          <w:i/>
          <w:sz w:val="28"/>
          <w:szCs w:val="28"/>
          <w:lang w:val="en-CA"/>
        </w:rPr>
        <w:t>mens rea</w:t>
      </w:r>
      <w:r w:rsidR="00DB5533">
        <w:rPr>
          <w:sz w:val="28"/>
          <w:szCs w:val="28"/>
          <w:lang w:val="en-CA"/>
        </w:rPr>
        <w:t xml:space="preserve"> - </w:t>
      </w:r>
      <w:r w:rsidR="001D5054" w:rsidRPr="00116AED">
        <w:rPr>
          <w:sz w:val="28"/>
          <w:szCs w:val="28"/>
          <w:lang w:val="en-CA"/>
        </w:rPr>
        <w:t xml:space="preserve">have been proven </w:t>
      </w:r>
      <w:r w:rsidR="0009172C" w:rsidRPr="00116AED">
        <w:rPr>
          <w:sz w:val="28"/>
          <w:szCs w:val="28"/>
          <w:lang w:val="en-CA"/>
        </w:rPr>
        <w:t xml:space="preserve">beyond a reasonable doubt. </w:t>
      </w:r>
      <w:r w:rsidR="00DB5533">
        <w:rPr>
          <w:sz w:val="28"/>
          <w:szCs w:val="28"/>
          <w:lang w:val="en-CA"/>
        </w:rPr>
        <w:t xml:space="preserve"> </w:t>
      </w:r>
      <w:r w:rsidR="0009172C" w:rsidRPr="00116AED">
        <w:rPr>
          <w:sz w:val="28"/>
          <w:szCs w:val="28"/>
          <w:lang w:val="en-CA"/>
        </w:rPr>
        <w:t xml:space="preserve"> </w:t>
      </w:r>
      <w:r w:rsidR="00116AED">
        <w:rPr>
          <w:sz w:val="28"/>
          <w:szCs w:val="28"/>
          <w:lang w:val="en-CA"/>
        </w:rPr>
        <w:t>I therefore deny L</w:t>
      </w:r>
      <w:r w:rsidR="00E65D4B">
        <w:rPr>
          <w:sz w:val="28"/>
          <w:szCs w:val="28"/>
          <w:lang w:val="en-CA"/>
        </w:rPr>
        <w:t>.</w:t>
      </w:r>
      <w:r w:rsidR="00116AED">
        <w:rPr>
          <w:sz w:val="28"/>
          <w:szCs w:val="28"/>
          <w:lang w:val="en-CA"/>
        </w:rPr>
        <w:t>’s application for a directed verdict of not guilty</w:t>
      </w:r>
      <w:r w:rsidR="00F2154B" w:rsidRPr="00116AED">
        <w:rPr>
          <w:sz w:val="28"/>
          <w:szCs w:val="28"/>
          <w:lang w:val="en-CA"/>
        </w:rPr>
        <w:t xml:space="preserve">.  </w:t>
      </w:r>
    </w:p>
    <w:p w14:paraId="1645627B" w14:textId="2526CB87" w:rsidR="004341B6" w:rsidRDefault="003000D0">
      <w:pPr>
        <w:rPr>
          <w:sz w:val="28"/>
          <w:szCs w:val="28"/>
          <w:lang w:val="en-CA"/>
        </w:rPr>
      </w:pPr>
      <w:r>
        <w:rPr>
          <w:sz w:val="28"/>
          <w:szCs w:val="28"/>
          <w:lang w:val="en-CA"/>
        </w:rPr>
        <w:lastRenderedPageBreak/>
        <w:t>[70]</w:t>
      </w:r>
      <w:r>
        <w:rPr>
          <w:sz w:val="28"/>
          <w:szCs w:val="28"/>
          <w:lang w:val="en-CA"/>
        </w:rPr>
        <w:tab/>
      </w:r>
      <w:r w:rsidR="001D5054" w:rsidRPr="00116AED">
        <w:rPr>
          <w:sz w:val="28"/>
          <w:szCs w:val="28"/>
          <w:lang w:val="en-CA"/>
        </w:rPr>
        <w:t xml:space="preserve">Having denied the no-evidence motion on that basis, </w:t>
      </w:r>
      <w:r w:rsidR="00F249DC">
        <w:rPr>
          <w:sz w:val="28"/>
          <w:szCs w:val="28"/>
          <w:lang w:val="en-CA"/>
        </w:rPr>
        <w:t xml:space="preserve">it is, strictly speaking, </w:t>
      </w:r>
      <w:r w:rsidR="002C3DC6">
        <w:rPr>
          <w:sz w:val="28"/>
          <w:szCs w:val="28"/>
          <w:lang w:val="en-CA"/>
        </w:rPr>
        <w:t xml:space="preserve">not necessary to determine whether the Sheppard test </w:t>
      </w:r>
      <w:r w:rsidR="00F249DC">
        <w:rPr>
          <w:sz w:val="28"/>
          <w:szCs w:val="28"/>
          <w:lang w:val="en-CA"/>
        </w:rPr>
        <w:t>has been</w:t>
      </w:r>
      <w:r w:rsidR="002C3DC6">
        <w:rPr>
          <w:sz w:val="28"/>
          <w:szCs w:val="28"/>
          <w:lang w:val="en-CA"/>
        </w:rPr>
        <w:t xml:space="preserve"> satisfied on</w:t>
      </w:r>
      <w:r w:rsidR="00F2154B" w:rsidRPr="00116AED">
        <w:rPr>
          <w:sz w:val="28"/>
          <w:szCs w:val="28"/>
          <w:lang w:val="en-CA"/>
        </w:rPr>
        <w:t xml:space="preserve"> the other pathways to co</w:t>
      </w:r>
      <w:r w:rsidR="002C3DC6">
        <w:rPr>
          <w:sz w:val="28"/>
          <w:szCs w:val="28"/>
          <w:lang w:val="en-CA"/>
        </w:rPr>
        <w:t xml:space="preserve">nviction </w:t>
      </w:r>
      <w:r w:rsidR="00F249DC">
        <w:rPr>
          <w:sz w:val="28"/>
          <w:szCs w:val="28"/>
          <w:lang w:val="en-CA"/>
        </w:rPr>
        <w:t>identified</w:t>
      </w:r>
      <w:r w:rsidR="002C3DC6">
        <w:rPr>
          <w:sz w:val="28"/>
          <w:szCs w:val="28"/>
          <w:lang w:val="en-CA"/>
        </w:rPr>
        <w:t xml:space="preserve"> by the Crown.  </w:t>
      </w:r>
    </w:p>
    <w:p w14:paraId="069D68F6" w14:textId="3157A0D8" w:rsidR="00F249DC" w:rsidRDefault="003000D0">
      <w:pPr>
        <w:rPr>
          <w:sz w:val="28"/>
          <w:szCs w:val="28"/>
          <w:lang w:val="en-CA"/>
        </w:rPr>
      </w:pPr>
      <w:r>
        <w:rPr>
          <w:sz w:val="28"/>
          <w:szCs w:val="28"/>
          <w:lang w:val="en-CA"/>
        </w:rPr>
        <w:t>[71]</w:t>
      </w:r>
      <w:r>
        <w:rPr>
          <w:sz w:val="28"/>
          <w:szCs w:val="28"/>
          <w:lang w:val="en-CA"/>
        </w:rPr>
        <w:tab/>
      </w:r>
      <w:r w:rsidR="002C3DC6">
        <w:rPr>
          <w:sz w:val="28"/>
          <w:szCs w:val="28"/>
          <w:lang w:val="en-CA"/>
        </w:rPr>
        <w:t xml:space="preserve">However, I will say that it would seem logical that much of what I have said would also apply to whether there is some evidence on the requisite elements of criminally negligent manslaughter, since </w:t>
      </w:r>
      <w:r w:rsidR="004341B6">
        <w:rPr>
          <w:sz w:val="28"/>
          <w:szCs w:val="28"/>
          <w:lang w:val="en-CA"/>
        </w:rPr>
        <w:t xml:space="preserve">some of its elements are precisely the same </w:t>
      </w:r>
      <w:r w:rsidR="00F249DC">
        <w:rPr>
          <w:sz w:val="28"/>
          <w:szCs w:val="28"/>
          <w:lang w:val="en-CA"/>
        </w:rPr>
        <w:t xml:space="preserve">or related to those of unlawful act manslaughter.  </w:t>
      </w:r>
      <w:r w:rsidR="00EF76E2">
        <w:rPr>
          <w:sz w:val="28"/>
          <w:szCs w:val="28"/>
          <w:lang w:val="en-CA"/>
        </w:rPr>
        <w:t>The evidence</w:t>
      </w:r>
      <w:r w:rsidR="004341B6">
        <w:rPr>
          <w:sz w:val="28"/>
          <w:szCs w:val="28"/>
          <w:lang w:val="en-CA"/>
        </w:rPr>
        <w:t xml:space="preserve"> of </w:t>
      </w:r>
      <w:r w:rsidR="006A2218">
        <w:rPr>
          <w:sz w:val="28"/>
          <w:szCs w:val="28"/>
          <w:lang w:val="en-CA"/>
        </w:rPr>
        <w:t>D</w:t>
      </w:r>
      <w:r w:rsidR="00E65D4B">
        <w:rPr>
          <w:sz w:val="28"/>
          <w:szCs w:val="28"/>
          <w:lang w:val="en-CA"/>
        </w:rPr>
        <w:t>.</w:t>
      </w:r>
      <w:r w:rsidR="006A2218">
        <w:rPr>
          <w:sz w:val="28"/>
          <w:szCs w:val="28"/>
          <w:lang w:val="en-CA"/>
        </w:rPr>
        <w:t>S</w:t>
      </w:r>
      <w:r w:rsidR="00E65D4B">
        <w:rPr>
          <w:sz w:val="28"/>
          <w:szCs w:val="28"/>
          <w:lang w:val="en-CA"/>
        </w:rPr>
        <w:t>.</w:t>
      </w:r>
      <w:r w:rsidR="004341B6">
        <w:rPr>
          <w:sz w:val="28"/>
          <w:szCs w:val="28"/>
          <w:lang w:val="en-CA"/>
        </w:rPr>
        <w:t xml:space="preserve">, concerning the manner in which </w:t>
      </w:r>
      <w:r w:rsidR="00D978B2">
        <w:rPr>
          <w:sz w:val="28"/>
          <w:szCs w:val="28"/>
          <w:lang w:val="en-CA"/>
        </w:rPr>
        <w:t xml:space="preserve">L. </w:t>
      </w:r>
      <w:r w:rsidR="004341B6">
        <w:rPr>
          <w:sz w:val="28"/>
          <w:szCs w:val="28"/>
          <w:lang w:val="en-CA"/>
        </w:rPr>
        <w:t>provided the alcohol to E</w:t>
      </w:r>
      <w:r w:rsidR="00E65D4B">
        <w:rPr>
          <w:sz w:val="28"/>
          <w:szCs w:val="28"/>
          <w:lang w:val="en-CA"/>
        </w:rPr>
        <w:t>.</w:t>
      </w:r>
      <w:r w:rsidR="00F249DC">
        <w:rPr>
          <w:sz w:val="28"/>
          <w:szCs w:val="28"/>
          <w:lang w:val="en-CA"/>
        </w:rPr>
        <w:t>,</w:t>
      </w:r>
      <w:r w:rsidR="004341B6">
        <w:rPr>
          <w:sz w:val="28"/>
          <w:szCs w:val="28"/>
          <w:lang w:val="en-CA"/>
        </w:rPr>
        <w:t xml:space="preserve"> </w:t>
      </w:r>
      <w:r w:rsidR="00EF76E2">
        <w:rPr>
          <w:sz w:val="28"/>
          <w:szCs w:val="28"/>
          <w:lang w:val="en-CA"/>
        </w:rPr>
        <w:t xml:space="preserve">clearly </w:t>
      </w:r>
      <w:r w:rsidR="004341B6">
        <w:rPr>
          <w:sz w:val="28"/>
          <w:szCs w:val="28"/>
          <w:lang w:val="en-CA"/>
        </w:rPr>
        <w:t xml:space="preserve">constitutes some evidence of factual </w:t>
      </w:r>
      <w:r w:rsidR="00EF76E2">
        <w:rPr>
          <w:sz w:val="28"/>
          <w:szCs w:val="28"/>
          <w:lang w:val="en-CA"/>
        </w:rPr>
        <w:t xml:space="preserve">“but for” </w:t>
      </w:r>
      <w:r w:rsidR="004341B6">
        <w:rPr>
          <w:sz w:val="28"/>
          <w:szCs w:val="28"/>
          <w:lang w:val="en-CA"/>
        </w:rPr>
        <w:t>causation of death</w:t>
      </w:r>
      <w:r w:rsidR="00EF76E2">
        <w:rPr>
          <w:sz w:val="28"/>
          <w:szCs w:val="28"/>
          <w:lang w:val="en-CA"/>
        </w:rPr>
        <w:t xml:space="preserve">. </w:t>
      </w:r>
      <w:r w:rsidR="00F15079">
        <w:rPr>
          <w:sz w:val="28"/>
          <w:szCs w:val="28"/>
          <w:lang w:val="en-CA"/>
        </w:rPr>
        <w:t xml:space="preserve"> As I have said, it</w:t>
      </w:r>
      <w:r w:rsidR="00EF76E2">
        <w:rPr>
          <w:sz w:val="28"/>
          <w:szCs w:val="28"/>
          <w:lang w:val="en-CA"/>
        </w:rPr>
        <w:t xml:space="preserve"> also</w:t>
      </w:r>
      <w:r w:rsidR="00F15079">
        <w:rPr>
          <w:sz w:val="28"/>
          <w:szCs w:val="28"/>
          <w:lang w:val="en-CA"/>
        </w:rPr>
        <w:t xml:space="preserve"> constitutes some evidence </w:t>
      </w:r>
      <w:r w:rsidR="004736F1">
        <w:rPr>
          <w:sz w:val="28"/>
          <w:szCs w:val="28"/>
          <w:lang w:val="en-CA"/>
        </w:rPr>
        <w:t xml:space="preserve">that nontrivial bodily </w:t>
      </w:r>
      <w:r w:rsidR="0095622A">
        <w:rPr>
          <w:sz w:val="28"/>
          <w:szCs w:val="28"/>
          <w:lang w:val="en-CA"/>
        </w:rPr>
        <w:t>harm was</w:t>
      </w:r>
      <w:r w:rsidR="004736F1">
        <w:rPr>
          <w:sz w:val="28"/>
          <w:szCs w:val="28"/>
          <w:lang w:val="en-CA"/>
        </w:rPr>
        <w:t xml:space="preserve"> reasonably </w:t>
      </w:r>
      <w:r w:rsidR="0095622A">
        <w:rPr>
          <w:sz w:val="28"/>
          <w:szCs w:val="28"/>
          <w:lang w:val="en-CA"/>
        </w:rPr>
        <w:t>foreseeable.</w:t>
      </w:r>
      <w:r w:rsidR="004341B6">
        <w:rPr>
          <w:sz w:val="28"/>
          <w:szCs w:val="28"/>
          <w:lang w:val="en-CA"/>
        </w:rPr>
        <w:t xml:space="preserve">  </w:t>
      </w:r>
    </w:p>
    <w:p w14:paraId="39D428C9" w14:textId="3891FE34" w:rsidR="00F249DC" w:rsidRDefault="003000D0">
      <w:pPr>
        <w:rPr>
          <w:sz w:val="28"/>
          <w:szCs w:val="28"/>
          <w:lang w:val="en-CA"/>
        </w:rPr>
      </w:pPr>
      <w:r>
        <w:rPr>
          <w:sz w:val="28"/>
          <w:szCs w:val="28"/>
          <w:lang w:val="en-CA"/>
        </w:rPr>
        <w:t>[72]</w:t>
      </w:r>
      <w:r>
        <w:rPr>
          <w:sz w:val="28"/>
          <w:szCs w:val="28"/>
          <w:lang w:val="en-CA"/>
        </w:rPr>
        <w:tab/>
      </w:r>
      <w:r w:rsidR="004341B6">
        <w:rPr>
          <w:sz w:val="28"/>
          <w:szCs w:val="28"/>
          <w:lang w:val="en-CA"/>
        </w:rPr>
        <w:t xml:space="preserve">The only additional element required to make out criminally negligent manslaughter is a </w:t>
      </w:r>
      <w:r w:rsidR="00823CDB">
        <w:rPr>
          <w:sz w:val="28"/>
          <w:szCs w:val="28"/>
          <w:lang w:val="en-CA"/>
        </w:rPr>
        <w:t>“</w:t>
      </w:r>
      <w:r w:rsidR="004341B6">
        <w:rPr>
          <w:sz w:val="28"/>
          <w:szCs w:val="28"/>
          <w:lang w:val="en-CA"/>
        </w:rPr>
        <w:t>marked and substantial departure</w:t>
      </w:r>
      <w:r w:rsidR="00823CDB">
        <w:rPr>
          <w:sz w:val="28"/>
          <w:szCs w:val="28"/>
          <w:lang w:val="en-CA"/>
        </w:rPr>
        <w:t>”</w:t>
      </w:r>
      <w:r w:rsidR="004341B6">
        <w:rPr>
          <w:sz w:val="28"/>
          <w:szCs w:val="28"/>
          <w:lang w:val="en-CA"/>
        </w:rPr>
        <w:t xml:space="preserve"> from the standard of a reasonable person as opposed to the mere </w:t>
      </w:r>
      <w:r w:rsidR="00823CDB">
        <w:rPr>
          <w:sz w:val="28"/>
          <w:szCs w:val="28"/>
          <w:lang w:val="en-CA"/>
        </w:rPr>
        <w:t>“</w:t>
      </w:r>
      <w:r w:rsidR="004341B6">
        <w:rPr>
          <w:sz w:val="28"/>
          <w:szCs w:val="28"/>
          <w:lang w:val="en-CA"/>
        </w:rPr>
        <w:t>marked departure test</w:t>
      </w:r>
      <w:r w:rsidR="00823CDB">
        <w:rPr>
          <w:sz w:val="28"/>
          <w:szCs w:val="28"/>
          <w:lang w:val="en-CA"/>
        </w:rPr>
        <w:t>” required by unlawful act manslaughter where the predicate offence is o</w:t>
      </w:r>
      <w:r w:rsidR="00F249DC">
        <w:rPr>
          <w:sz w:val="28"/>
          <w:szCs w:val="28"/>
          <w:lang w:val="en-CA"/>
        </w:rPr>
        <w:t>ne of carelessness</w:t>
      </w:r>
      <w:r w:rsidR="00823CDB">
        <w:rPr>
          <w:sz w:val="28"/>
          <w:szCs w:val="28"/>
          <w:lang w:val="en-CA"/>
        </w:rPr>
        <w:t>.</w:t>
      </w:r>
      <w:r w:rsidR="00F249DC">
        <w:rPr>
          <w:sz w:val="28"/>
          <w:szCs w:val="28"/>
          <w:lang w:val="en-CA"/>
        </w:rPr>
        <w:t xml:space="preserve"> </w:t>
      </w:r>
      <w:r w:rsidR="00823CDB">
        <w:rPr>
          <w:sz w:val="28"/>
          <w:szCs w:val="28"/>
          <w:lang w:val="en-CA"/>
        </w:rPr>
        <w:t xml:space="preserve"> I find that </w:t>
      </w:r>
      <w:r w:rsidR="0074150D">
        <w:rPr>
          <w:sz w:val="28"/>
          <w:szCs w:val="28"/>
          <w:lang w:val="en-CA"/>
        </w:rPr>
        <w:t>just as a reasonable and properly</w:t>
      </w:r>
      <w:r w:rsidR="00823CDB">
        <w:rPr>
          <w:sz w:val="28"/>
          <w:szCs w:val="28"/>
          <w:lang w:val="en-CA"/>
        </w:rPr>
        <w:t xml:space="preserve"> instructed jury could conclude that L</w:t>
      </w:r>
      <w:r w:rsidR="00E65D4B">
        <w:rPr>
          <w:sz w:val="28"/>
          <w:szCs w:val="28"/>
          <w:lang w:val="en-CA"/>
        </w:rPr>
        <w:t>.</w:t>
      </w:r>
      <w:r w:rsidR="00823CDB">
        <w:rPr>
          <w:sz w:val="28"/>
          <w:szCs w:val="28"/>
          <w:lang w:val="en-CA"/>
        </w:rPr>
        <w:t xml:space="preserve">’s conduct in supplying </w:t>
      </w:r>
      <w:r w:rsidR="0074150D">
        <w:rPr>
          <w:sz w:val="28"/>
          <w:szCs w:val="28"/>
          <w:lang w:val="en-CA"/>
        </w:rPr>
        <w:t>E</w:t>
      </w:r>
      <w:r w:rsidR="00E65D4B">
        <w:rPr>
          <w:sz w:val="28"/>
          <w:szCs w:val="28"/>
          <w:lang w:val="en-CA"/>
        </w:rPr>
        <w:t>.</w:t>
      </w:r>
      <w:r w:rsidR="0074150D">
        <w:rPr>
          <w:sz w:val="28"/>
          <w:szCs w:val="28"/>
          <w:lang w:val="en-CA"/>
        </w:rPr>
        <w:t xml:space="preserve"> with the alcohol that killed her constituted a marked departure from the standard of a reasonable person, whether he or she be a reasonable adult or reasonable 13 year old, it could </w:t>
      </w:r>
      <w:r w:rsidR="00F249DC">
        <w:rPr>
          <w:sz w:val="28"/>
          <w:szCs w:val="28"/>
          <w:lang w:val="en-CA"/>
        </w:rPr>
        <w:t xml:space="preserve">also </w:t>
      </w:r>
      <w:r w:rsidR="0074150D">
        <w:rPr>
          <w:sz w:val="28"/>
          <w:szCs w:val="28"/>
          <w:lang w:val="en-CA"/>
        </w:rPr>
        <w:t xml:space="preserve">conclude that </w:t>
      </w:r>
      <w:r w:rsidR="00942ABF">
        <w:rPr>
          <w:sz w:val="28"/>
          <w:szCs w:val="28"/>
          <w:lang w:val="en-CA"/>
        </w:rPr>
        <w:t>that same conduct</w:t>
      </w:r>
      <w:r w:rsidR="0074150D">
        <w:rPr>
          <w:sz w:val="28"/>
          <w:szCs w:val="28"/>
          <w:lang w:val="en-CA"/>
        </w:rPr>
        <w:t xml:space="preserve"> constituted a “marked and substantial departure” from that</w:t>
      </w:r>
      <w:r w:rsidR="00942ABF">
        <w:rPr>
          <w:sz w:val="28"/>
          <w:szCs w:val="28"/>
          <w:lang w:val="en-CA"/>
        </w:rPr>
        <w:t xml:space="preserve"> same</w:t>
      </w:r>
      <w:r w:rsidR="0074150D">
        <w:rPr>
          <w:sz w:val="28"/>
          <w:szCs w:val="28"/>
          <w:lang w:val="en-CA"/>
        </w:rPr>
        <w:t xml:space="preserve"> standard. </w:t>
      </w:r>
      <w:r w:rsidR="00F249DC">
        <w:rPr>
          <w:sz w:val="28"/>
          <w:szCs w:val="28"/>
          <w:lang w:val="en-CA"/>
        </w:rPr>
        <w:t xml:space="preserve"> </w:t>
      </w:r>
    </w:p>
    <w:p w14:paraId="467BF402" w14:textId="11518496" w:rsidR="0095635F" w:rsidRDefault="003000D0">
      <w:pPr>
        <w:rPr>
          <w:sz w:val="28"/>
          <w:szCs w:val="28"/>
          <w:lang w:val="en-CA"/>
        </w:rPr>
      </w:pPr>
      <w:r>
        <w:rPr>
          <w:sz w:val="28"/>
          <w:szCs w:val="28"/>
          <w:lang w:val="en-CA"/>
        </w:rPr>
        <w:t>[73]</w:t>
      </w:r>
      <w:r>
        <w:rPr>
          <w:sz w:val="28"/>
          <w:szCs w:val="28"/>
          <w:lang w:val="en-CA"/>
        </w:rPr>
        <w:tab/>
      </w:r>
      <w:r w:rsidR="0074150D">
        <w:rPr>
          <w:sz w:val="28"/>
          <w:szCs w:val="28"/>
          <w:lang w:val="en-CA"/>
        </w:rPr>
        <w:t>The adequate</w:t>
      </w:r>
      <w:r w:rsidR="00667054">
        <w:rPr>
          <w:sz w:val="28"/>
          <w:szCs w:val="28"/>
          <w:lang w:val="en-CA"/>
        </w:rPr>
        <w:t xml:space="preserve"> evidentiary</w:t>
      </w:r>
      <w:r w:rsidR="0074150D">
        <w:rPr>
          <w:sz w:val="28"/>
          <w:szCs w:val="28"/>
          <w:lang w:val="en-CA"/>
        </w:rPr>
        <w:t xml:space="preserve"> basis exists and it would be fo</w:t>
      </w:r>
      <w:r w:rsidR="00036DD7">
        <w:rPr>
          <w:sz w:val="28"/>
          <w:szCs w:val="28"/>
          <w:lang w:val="en-CA"/>
        </w:rPr>
        <w:t>r the trier of fact to make the</w:t>
      </w:r>
      <w:r w:rsidR="00C206C8">
        <w:rPr>
          <w:sz w:val="28"/>
          <w:szCs w:val="28"/>
          <w:lang w:val="en-CA"/>
        </w:rPr>
        <w:t xml:space="preserve"> ultimate determination.  In saying this, I do not foreclose the possibility of there being yet further routes to conviction available on the evidence presented thus far. </w:t>
      </w:r>
    </w:p>
    <w:p w14:paraId="2A122336" w14:textId="77777777" w:rsidR="00AD6D19" w:rsidRDefault="00AD6D19">
      <w:pPr>
        <w:rPr>
          <w:sz w:val="28"/>
          <w:szCs w:val="28"/>
          <w:lang w:val="en-CA"/>
        </w:rPr>
      </w:pPr>
    </w:p>
    <w:p w14:paraId="14DD91E8" w14:textId="77777777" w:rsidR="00AD6D19" w:rsidRDefault="00AD6D19">
      <w:pPr>
        <w:rPr>
          <w:sz w:val="28"/>
          <w:szCs w:val="28"/>
          <w:lang w:val="en-CA"/>
        </w:rPr>
      </w:pPr>
    </w:p>
    <w:p w14:paraId="1333291B" w14:textId="77777777" w:rsidR="00AD6D19" w:rsidRDefault="00AD6D19">
      <w:pPr>
        <w:rPr>
          <w:sz w:val="28"/>
          <w:szCs w:val="28"/>
          <w:lang w:val="en-CA"/>
        </w:rPr>
      </w:pPr>
    </w:p>
    <w:p w14:paraId="2CBCB0A6" w14:textId="77777777" w:rsidR="00AD6D19" w:rsidRDefault="00AD6D19">
      <w:pPr>
        <w:rPr>
          <w:sz w:val="28"/>
          <w:szCs w:val="28"/>
          <w:lang w:val="en-CA"/>
        </w:rPr>
      </w:pPr>
    </w:p>
    <w:p w14:paraId="0A902A7C" w14:textId="77777777" w:rsidR="00AD6D19" w:rsidRDefault="00AD6D19">
      <w:pPr>
        <w:rPr>
          <w:sz w:val="28"/>
          <w:szCs w:val="28"/>
          <w:lang w:val="en-CA"/>
        </w:rPr>
      </w:pPr>
    </w:p>
    <w:p w14:paraId="4A80E5D3" w14:textId="7F583B11" w:rsidR="00F83725" w:rsidRPr="00F249DC" w:rsidRDefault="003000D0">
      <w:pPr>
        <w:rPr>
          <w:sz w:val="28"/>
          <w:szCs w:val="28"/>
          <w:lang w:val="en-CA"/>
        </w:rPr>
      </w:pPr>
      <w:r>
        <w:rPr>
          <w:sz w:val="28"/>
          <w:szCs w:val="28"/>
          <w:lang w:val="en-CA"/>
        </w:rPr>
        <w:t>[74]</w:t>
      </w:r>
      <w:r>
        <w:rPr>
          <w:sz w:val="28"/>
          <w:szCs w:val="28"/>
          <w:lang w:val="en-CA"/>
        </w:rPr>
        <w:tab/>
      </w:r>
      <w:r w:rsidR="00F83725">
        <w:rPr>
          <w:sz w:val="28"/>
          <w:szCs w:val="28"/>
          <w:lang w:val="en-CA"/>
        </w:rPr>
        <w:t>A</w:t>
      </w:r>
      <w:r w:rsidR="00F97344">
        <w:rPr>
          <w:sz w:val="28"/>
          <w:szCs w:val="28"/>
          <w:lang w:val="en-CA"/>
        </w:rPr>
        <w:t xml:space="preserve">s </w:t>
      </w:r>
      <w:r w:rsidR="00C206C8">
        <w:rPr>
          <w:sz w:val="28"/>
          <w:szCs w:val="28"/>
          <w:lang w:val="en-CA"/>
        </w:rPr>
        <w:t>stated</w:t>
      </w:r>
      <w:r w:rsidR="00F97344">
        <w:rPr>
          <w:sz w:val="28"/>
          <w:szCs w:val="28"/>
          <w:lang w:val="en-CA"/>
        </w:rPr>
        <w:t xml:space="preserve">, the application is denied. </w:t>
      </w:r>
    </w:p>
    <w:p w14:paraId="11D64AB6" w14:textId="77777777" w:rsidR="00B26C90" w:rsidRDefault="00630876" w:rsidP="00630876">
      <w:pPr>
        <w:spacing w:after="0" w:line="240" w:lineRule="auto"/>
        <w:rPr>
          <w:sz w:val="28"/>
          <w:szCs w:val="28"/>
        </w:rPr>
      </w:pPr>
      <w:r>
        <w:rPr>
          <w:sz w:val="28"/>
          <w:szCs w:val="28"/>
        </w:rPr>
        <w:tab/>
      </w:r>
    </w:p>
    <w:p w14:paraId="0F4CBF25" w14:textId="77777777" w:rsidR="005F2CFE" w:rsidRDefault="005F2CFE" w:rsidP="00630876">
      <w:pPr>
        <w:spacing w:after="0" w:line="240" w:lineRule="auto"/>
        <w:rPr>
          <w:sz w:val="28"/>
          <w:szCs w:val="28"/>
        </w:rPr>
      </w:pPr>
    </w:p>
    <w:p w14:paraId="5DD1A0DA" w14:textId="77777777" w:rsidR="00AD6D19" w:rsidRDefault="00AD6D19" w:rsidP="00630876">
      <w:pPr>
        <w:spacing w:after="0" w:line="240" w:lineRule="auto"/>
        <w:rPr>
          <w:sz w:val="28"/>
          <w:szCs w:val="28"/>
        </w:rPr>
      </w:pPr>
    </w:p>
    <w:p w14:paraId="5E826DF3" w14:textId="1AC22313" w:rsidR="00630876" w:rsidRPr="00630876" w:rsidRDefault="005F2CFE" w:rsidP="00630876">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w:t>
      </w:r>
      <w:r w:rsidR="00630876">
        <w:rPr>
          <w:sz w:val="28"/>
          <w:szCs w:val="28"/>
        </w:rPr>
        <w:tab/>
      </w:r>
    </w:p>
    <w:tbl>
      <w:tblPr>
        <w:tblW w:w="0" w:type="auto"/>
        <w:tblLook w:val="00A0" w:firstRow="1" w:lastRow="0" w:firstColumn="1" w:lastColumn="0" w:noHBand="0" w:noVBand="0"/>
      </w:tblPr>
      <w:tblGrid>
        <w:gridCol w:w="3999"/>
        <w:gridCol w:w="1671"/>
        <w:gridCol w:w="3118"/>
      </w:tblGrid>
      <w:tr w:rsidR="00B26C90" w:rsidRPr="00630876" w14:paraId="23CC3CEC" w14:textId="77777777" w:rsidTr="00B46122">
        <w:tc>
          <w:tcPr>
            <w:tcW w:w="3999" w:type="dxa"/>
          </w:tcPr>
          <w:p w14:paraId="4CC0F7DE" w14:textId="77777777" w:rsidR="00630876" w:rsidRPr="00630876" w:rsidRDefault="00630876" w:rsidP="00630876">
            <w:pPr>
              <w:spacing w:after="0" w:line="240" w:lineRule="auto"/>
              <w:rPr>
                <w:sz w:val="28"/>
                <w:szCs w:val="28"/>
                <w:lang w:val="en-CA"/>
              </w:rPr>
            </w:pPr>
          </w:p>
        </w:tc>
        <w:tc>
          <w:tcPr>
            <w:tcW w:w="1671" w:type="dxa"/>
          </w:tcPr>
          <w:p w14:paraId="21F1CB67" w14:textId="77777777" w:rsidR="00630876" w:rsidRPr="00630876" w:rsidRDefault="00630876" w:rsidP="00B46122">
            <w:pPr>
              <w:spacing w:after="0" w:line="240" w:lineRule="auto"/>
              <w:ind w:right="383"/>
              <w:rPr>
                <w:sz w:val="28"/>
                <w:szCs w:val="28"/>
                <w:lang w:val="en-CA"/>
              </w:rPr>
            </w:pPr>
          </w:p>
        </w:tc>
        <w:tc>
          <w:tcPr>
            <w:tcW w:w="3118" w:type="dxa"/>
          </w:tcPr>
          <w:p w14:paraId="5414FA65" w14:textId="77777777" w:rsidR="00630876" w:rsidRPr="00630876" w:rsidRDefault="00630876" w:rsidP="00B46122">
            <w:pPr>
              <w:spacing w:after="0" w:line="240" w:lineRule="auto"/>
              <w:ind w:right="383"/>
              <w:rPr>
                <w:sz w:val="28"/>
                <w:szCs w:val="28"/>
                <w:lang w:val="en-CA"/>
              </w:rPr>
            </w:pPr>
            <w:r w:rsidRPr="00630876">
              <w:rPr>
                <w:sz w:val="28"/>
                <w:szCs w:val="28"/>
                <w:lang w:val="en-CA"/>
              </w:rPr>
              <w:t>Robert D. Gorin</w:t>
            </w:r>
          </w:p>
          <w:p w14:paraId="43D6D593" w14:textId="6D59D841" w:rsidR="00630876" w:rsidRPr="00630876" w:rsidRDefault="00630876" w:rsidP="00B46122">
            <w:pPr>
              <w:spacing w:after="0" w:line="240" w:lineRule="auto"/>
              <w:ind w:right="383"/>
              <w:rPr>
                <w:sz w:val="28"/>
                <w:szCs w:val="28"/>
                <w:lang w:val="en-CA"/>
              </w:rPr>
            </w:pPr>
            <w:r w:rsidRPr="00630876">
              <w:rPr>
                <w:sz w:val="28"/>
                <w:szCs w:val="28"/>
                <w:lang w:val="en-CA"/>
              </w:rPr>
              <w:t>T.C.J.</w:t>
            </w:r>
          </w:p>
        </w:tc>
      </w:tr>
      <w:tr w:rsidR="00B26C90" w:rsidRPr="00630876" w14:paraId="68E759DB" w14:textId="77777777" w:rsidTr="00B46122">
        <w:tc>
          <w:tcPr>
            <w:tcW w:w="3999" w:type="dxa"/>
          </w:tcPr>
          <w:p w14:paraId="0E4D9CC0" w14:textId="77777777" w:rsidR="005F2CFE" w:rsidRDefault="005F2CFE" w:rsidP="00630876">
            <w:pPr>
              <w:spacing w:after="0" w:line="240" w:lineRule="auto"/>
              <w:rPr>
                <w:sz w:val="28"/>
                <w:szCs w:val="28"/>
                <w:lang w:val="en-CA"/>
              </w:rPr>
            </w:pPr>
          </w:p>
          <w:p w14:paraId="6D49FF60" w14:textId="36776CE3" w:rsidR="00630876" w:rsidRPr="00630876" w:rsidRDefault="00630876" w:rsidP="004A3FDE">
            <w:pPr>
              <w:spacing w:after="0" w:line="240" w:lineRule="auto"/>
              <w:rPr>
                <w:sz w:val="28"/>
                <w:szCs w:val="28"/>
                <w:lang w:val="en-CA"/>
              </w:rPr>
            </w:pPr>
            <w:r w:rsidRPr="00630876">
              <w:rPr>
                <w:sz w:val="28"/>
                <w:szCs w:val="28"/>
                <w:lang w:val="en-CA"/>
              </w:rPr>
              <w:t xml:space="preserve">Dated at Yellowknife, Northwest Territories, this </w:t>
            </w:r>
            <w:r>
              <w:rPr>
                <w:sz w:val="28"/>
                <w:szCs w:val="28"/>
                <w:lang w:val="en-CA"/>
              </w:rPr>
              <w:t>2</w:t>
            </w:r>
            <w:r w:rsidR="004A3FDE">
              <w:rPr>
                <w:sz w:val="28"/>
                <w:szCs w:val="28"/>
                <w:lang w:val="en-CA"/>
              </w:rPr>
              <w:t>9</w:t>
            </w:r>
            <w:r w:rsidRPr="00630876">
              <w:rPr>
                <w:sz w:val="28"/>
                <w:szCs w:val="28"/>
                <w:vertAlign w:val="superscript"/>
                <w:lang w:val="en-CA"/>
              </w:rPr>
              <w:t>th</w:t>
            </w:r>
            <w:r>
              <w:rPr>
                <w:sz w:val="28"/>
                <w:szCs w:val="28"/>
                <w:lang w:val="en-CA"/>
              </w:rPr>
              <w:t xml:space="preserve"> </w:t>
            </w:r>
            <w:r w:rsidRPr="00630876">
              <w:rPr>
                <w:sz w:val="28"/>
                <w:szCs w:val="28"/>
                <w:lang w:val="en-CA"/>
              </w:rPr>
              <w:t xml:space="preserve">day of </w:t>
            </w:r>
            <w:r>
              <w:rPr>
                <w:sz w:val="28"/>
                <w:szCs w:val="28"/>
                <w:lang w:val="en-CA"/>
              </w:rPr>
              <w:t>March, 2018</w:t>
            </w:r>
            <w:r w:rsidRPr="00630876">
              <w:rPr>
                <w:sz w:val="28"/>
                <w:szCs w:val="28"/>
                <w:lang w:val="en-CA"/>
              </w:rPr>
              <w:t>.</w:t>
            </w:r>
          </w:p>
        </w:tc>
        <w:tc>
          <w:tcPr>
            <w:tcW w:w="1671" w:type="dxa"/>
          </w:tcPr>
          <w:p w14:paraId="4AD6F751" w14:textId="77777777" w:rsidR="00630876" w:rsidRPr="00630876" w:rsidRDefault="00630876" w:rsidP="00630876">
            <w:pPr>
              <w:spacing w:after="0" w:line="240" w:lineRule="auto"/>
              <w:rPr>
                <w:sz w:val="28"/>
                <w:szCs w:val="28"/>
                <w:lang w:val="en-CA"/>
              </w:rPr>
            </w:pPr>
            <w:bookmarkStart w:id="0" w:name="_GoBack"/>
            <w:bookmarkEnd w:id="0"/>
          </w:p>
        </w:tc>
        <w:tc>
          <w:tcPr>
            <w:tcW w:w="3118" w:type="dxa"/>
          </w:tcPr>
          <w:p w14:paraId="33DAB891" w14:textId="77777777" w:rsidR="00630876" w:rsidRPr="00630876" w:rsidRDefault="00630876" w:rsidP="00630876">
            <w:pPr>
              <w:spacing w:after="0" w:line="240" w:lineRule="auto"/>
              <w:rPr>
                <w:sz w:val="28"/>
                <w:szCs w:val="28"/>
                <w:lang w:val="en-CA"/>
              </w:rPr>
            </w:pPr>
          </w:p>
        </w:tc>
      </w:tr>
    </w:tbl>
    <w:p w14:paraId="0B8470EB" w14:textId="77777777" w:rsidR="00B26C90" w:rsidRDefault="00B26C90">
      <w:pPr>
        <w:rPr>
          <w:sz w:val="28"/>
          <w:szCs w:val="28"/>
        </w:rPr>
        <w:sectPr w:rsidR="00B26C90" w:rsidSect="000958E9">
          <w:headerReference w:type="default" r:id="rId13"/>
          <w:footerReference w:type="default" r:id="rId14"/>
          <w:pgSz w:w="12240" w:h="15840"/>
          <w:pgMar w:top="1152" w:right="1440" w:bottom="1152" w:left="1440" w:header="720" w:footer="720" w:gutter="0"/>
          <w:pgNumType w:start="1"/>
          <w:cols w:space="720"/>
          <w:titlePg/>
          <w:docGrid w:linePitch="360"/>
        </w:sectPr>
      </w:pPr>
    </w:p>
    <w:p w14:paraId="6E5B4C6E" w14:textId="77777777" w:rsidR="007C3614" w:rsidRPr="00B46122" w:rsidRDefault="007C3614" w:rsidP="005F2CFE">
      <w:pPr>
        <w:pStyle w:val="Heading1"/>
        <w:ind w:left="3690"/>
        <w:rPr>
          <w:rFonts w:ascii="Times New Roman" w:hAnsi="Times New Roman"/>
          <w:i w:val="0"/>
          <w:sz w:val="28"/>
          <w:szCs w:val="28"/>
          <w:lang w:val="en-CA"/>
        </w:rPr>
      </w:pPr>
      <w:r w:rsidRPr="00B46122">
        <w:rPr>
          <w:rFonts w:ascii="Times New Roman" w:hAnsi="Times New Roman"/>
          <w:sz w:val="28"/>
          <w:szCs w:val="28"/>
          <w:lang w:val="en-CA"/>
        </w:rPr>
        <w:lastRenderedPageBreak/>
        <w:t>R. v. L.M.</w:t>
      </w:r>
      <w:r w:rsidRPr="00B46122">
        <w:rPr>
          <w:rFonts w:ascii="Times New Roman" w:hAnsi="Times New Roman"/>
          <w:i w:val="0"/>
          <w:sz w:val="28"/>
          <w:szCs w:val="28"/>
          <w:lang w:val="en-CA"/>
        </w:rPr>
        <w:t>, 2018 NWTTC 06</w:t>
      </w:r>
    </w:p>
    <w:p w14:paraId="3596BEEB" w14:textId="77777777" w:rsidR="00B26C90" w:rsidRPr="008A2FB2" w:rsidRDefault="007C3614" w:rsidP="005F2CFE">
      <w:pPr>
        <w:pStyle w:val="Heading1"/>
        <w:tabs>
          <w:tab w:val="center" w:pos="4680"/>
          <w:tab w:val="right" w:pos="9360"/>
        </w:tabs>
        <w:ind w:left="3690"/>
        <w:jc w:val="right"/>
        <w:rPr>
          <w:rFonts w:ascii="Times New Roman" w:hAnsi="Times New Roman"/>
          <w:sz w:val="28"/>
          <w:szCs w:val="28"/>
          <w:lang w:val="en-CA"/>
        </w:rPr>
      </w:pPr>
      <w:r w:rsidRPr="008A2FB2">
        <w:rPr>
          <w:rFonts w:ascii="Times New Roman" w:hAnsi="Times New Roman"/>
          <w:sz w:val="28"/>
          <w:szCs w:val="28"/>
          <w:lang w:val="en-CA"/>
        </w:rPr>
        <w:tab/>
      </w:r>
      <w:r w:rsidRPr="008A2FB2">
        <w:rPr>
          <w:rFonts w:ascii="Times New Roman" w:hAnsi="Times New Roman"/>
          <w:sz w:val="28"/>
          <w:szCs w:val="28"/>
          <w:lang w:val="en-CA"/>
        </w:rPr>
        <w:tab/>
      </w:r>
    </w:p>
    <w:p w14:paraId="3F900B93" w14:textId="5D117A51" w:rsidR="007C3614" w:rsidRPr="005F2CFE" w:rsidRDefault="007C3614" w:rsidP="005F2CFE">
      <w:pPr>
        <w:pStyle w:val="Heading1"/>
        <w:tabs>
          <w:tab w:val="center" w:pos="4680"/>
          <w:tab w:val="right" w:pos="9360"/>
        </w:tabs>
        <w:ind w:left="3690"/>
        <w:jc w:val="right"/>
        <w:rPr>
          <w:rFonts w:ascii="Times New Roman" w:hAnsi="Times New Roman"/>
          <w:sz w:val="28"/>
          <w:szCs w:val="28"/>
          <w:lang w:val="en-CA"/>
        </w:rPr>
      </w:pPr>
      <w:r w:rsidRPr="005F2CFE">
        <w:rPr>
          <w:rFonts w:ascii="Times New Roman" w:hAnsi="Times New Roman"/>
          <w:sz w:val="28"/>
          <w:szCs w:val="28"/>
          <w:lang w:val="en-CA"/>
        </w:rPr>
        <w:t>Date:  2018 03 2</w:t>
      </w:r>
      <w:r w:rsidR="000325AA">
        <w:rPr>
          <w:rFonts w:ascii="Times New Roman" w:hAnsi="Times New Roman"/>
          <w:sz w:val="28"/>
          <w:szCs w:val="28"/>
          <w:lang w:val="en-CA"/>
        </w:rPr>
        <w:t>9</w:t>
      </w:r>
    </w:p>
    <w:p w14:paraId="4FB507C7" w14:textId="579AE35D" w:rsidR="007C3614" w:rsidRPr="00B46122" w:rsidRDefault="007C3614" w:rsidP="005F2CFE">
      <w:pPr>
        <w:spacing w:after="0" w:line="240" w:lineRule="auto"/>
        <w:ind w:left="3690"/>
        <w:jc w:val="right"/>
        <w:rPr>
          <w:rFonts w:ascii="Times New Roman" w:hAnsi="Times New Roman" w:cs="Times New Roman"/>
          <w:sz w:val="28"/>
          <w:szCs w:val="28"/>
          <w:lang w:val="fr-CA"/>
        </w:rPr>
      </w:pPr>
      <w:r w:rsidRPr="000958E9">
        <w:rPr>
          <w:rFonts w:ascii="Times New Roman" w:hAnsi="Times New Roman" w:cs="Times New Roman"/>
          <w:sz w:val="28"/>
          <w:szCs w:val="28"/>
          <w:lang w:val="fr-CA"/>
        </w:rPr>
        <w:t>File: Y-1-YO-2017-000020</w:t>
      </w:r>
    </w:p>
    <w:p w14:paraId="00D95926" w14:textId="3E813AFA" w:rsidR="007C3614" w:rsidRPr="00B46122" w:rsidRDefault="007C3614" w:rsidP="005F2CFE">
      <w:pPr>
        <w:spacing w:after="0" w:line="240" w:lineRule="auto"/>
        <w:ind w:left="3690"/>
        <w:rPr>
          <w:rFonts w:ascii="Times New Roman" w:hAnsi="Times New Roman" w:cs="Times New Roman"/>
          <w:sz w:val="28"/>
          <w:szCs w:val="28"/>
          <w:lang w:val="fr-CA"/>
        </w:rPr>
      </w:pPr>
      <w:r w:rsidRPr="00B46122">
        <w:rPr>
          <w:rFonts w:ascii="Times New Roman" w:hAnsi="Times New Roman" w:cs="Times New Roman"/>
          <w:sz w:val="28"/>
          <w:szCs w:val="28"/>
          <w:lang w:val="fr-CA"/>
        </w:rPr>
        <w:t xml:space="preserve">       </w:t>
      </w:r>
    </w:p>
    <w:p w14:paraId="2D3DAD78" w14:textId="43B4D8DC" w:rsidR="007C3614" w:rsidRPr="00B46122" w:rsidRDefault="007C3614" w:rsidP="005F2CFE">
      <w:pPr>
        <w:spacing w:after="0" w:line="240" w:lineRule="auto"/>
        <w:ind w:left="3690"/>
        <w:rPr>
          <w:rFonts w:ascii="Times New Roman" w:hAnsi="Times New Roman" w:cs="Times New Roman"/>
          <w:sz w:val="28"/>
          <w:szCs w:val="28"/>
          <w:lang w:val="fr-CA"/>
        </w:rPr>
      </w:pPr>
      <w:r w:rsidRPr="00B46122">
        <w:rPr>
          <w:rFonts w:ascii="Times New Roman" w:hAnsi="Times New Roman" w:cs="Times New Roman"/>
          <w:sz w:val="28"/>
          <w:szCs w:val="28"/>
          <w:lang w:val="fr-CA"/>
        </w:rPr>
        <w:t>_________________</w:t>
      </w:r>
      <w:r w:rsidR="005F2CFE">
        <w:rPr>
          <w:rFonts w:ascii="Times New Roman" w:hAnsi="Times New Roman" w:cs="Times New Roman"/>
          <w:sz w:val="28"/>
          <w:szCs w:val="28"/>
          <w:lang w:val="fr-CA"/>
        </w:rPr>
        <w:t>____</w:t>
      </w:r>
      <w:r w:rsidRPr="00B46122">
        <w:rPr>
          <w:rFonts w:ascii="Times New Roman" w:hAnsi="Times New Roman" w:cs="Times New Roman"/>
          <w:sz w:val="28"/>
          <w:szCs w:val="28"/>
          <w:lang w:val="fr-CA"/>
        </w:rPr>
        <w:t>____</w:t>
      </w:r>
      <w:r w:rsidR="005F2CFE">
        <w:rPr>
          <w:rFonts w:ascii="Times New Roman" w:hAnsi="Times New Roman" w:cs="Times New Roman"/>
          <w:sz w:val="28"/>
          <w:szCs w:val="28"/>
          <w:lang w:val="fr-CA"/>
        </w:rPr>
        <w:t>_</w:t>
      </w:r>
      <w:r w:rsidRPr="00B46122">
        <w:rPr>
          <w:rFonts w:ascii="Times New Roman" w:hAnsi="Times New Roman" w:cs="Times New Roman"/>
          <w:sz w:val="28"/>
          <w:szCs w:val="28"/>
          <w:lang w:val="fr-CA"/>
        </w:rPr>
        <w:t>______________</w:t>
      </w:r>
    </w:p>
    <w:p w14:paraId="6C113ADA" w14:textId="77777777" w:rsidR="007C3614" w:rsidRPr="00B46122" w:rsidRDefault="007C3614" w:rsidP="005F2CFE">
      <w:pPr>
        <w:spacing w:after="0" w:line="240" w:lineRule="auto"/>
        <w:ind w:left="3690"/>
        <w:rPr>
          <w:rFonts w:ascii="Times New Roman" w:hAnsi="Times New Roman" w:cs="Times New Roman"/>
          <w:sz w:val="28"/>
          <w:szCs w:val="28"/>
          <w:lang w:val="fr-CA"/>
        </w:rPr>
      </w:pPr>
    </w:p>
    <w:p w14:paraId="7C9EC557" w14:textId="77777777" w:rsidR="007C3614" w:rsidRPr="00B46122" w:rsidRDefault="007C3614" w:rsidP="005F2CFE">
      <w:pPr>
        <w:spacing w:after="0" w:line="240" w:lineRule="auto"/>
        <w:ind w:left="3690"/>
        <w:jc w:val="center"/>
        <w:rPr>
          <w:rFonts w:ascii="Times New Roman" w:hAnsi="Times New Roman" w:cs="Times New Roman"/>
          <w:b/>
          <w:sz w:val="28"/>
          <w:szCs w:val="28"/>
          <w:lang w:val="en-CA"/>
        </w:rPr>
      </w:pPr>
      <w:r w:rsidRPr="00B46122">
        <w:rPr>
          <w:rFonts w:ascii="Times New Roman" w:hAnsi="Times New Roman" w:cs="Times New Roman"/>
          <w:b/>
          <w:sz w:val="28"/>
          <w:szCs w:val="28"/>
          <w:lang w:val="en-CA"/>
        </w:rPr>
        <w:t>IN THE YOUTH COURT OF THE</w:t>
      </w:r>
    </w:p>
    <w:p w14:paraId="3234A3F2" w14:textId="5C054976" w:rsidR="007C3614" w:rsidRPr="00B46122" w:rsidRDefault="007C3614" w:rsidP="005F2CFE">
      <w:pPr>
        <w:spacing w:after="0" w:line="240" w:lineRule="auto"/>
        <w:ind w:left="3690"/>
        <w:jc w:val="center"/>
        <w:rPr>
          <w:rFonts w:ascii="Times New Roman" w:hAnsi="Times New Roman" w:cs="Times New Roman"/>
          <w:b/>
          <w:sz w:val="28"/>
          <w:szCs w:val="28"/>
          <w:lang w:val="en-CA"/>
        </w:rPr>
      </w:pPr>
      <w:r w:rsidRPr="00B46122">
        <w:rPr>
          <w:rFonts w:ascii="Times New Roman" w:hAnsi="Times New Roman" w:cs="Times New Roman"/>
          <w:b/>
          <w:sz w:val="28"/>
          <w:szCs w:val="28"/>
          <w:lang w:val="en-CA"/>
        </w:rPr>
        <w:t>NORTHWEST TERRITORIES</w:t>
      </w:r>
    </w:p>
    <w:p w14:paraId="1F52F3AC" w14:textId="0BF040D9" w:rsidR="007C3614" w:rsidRPr="00B46122" w:rsidRDefault="007C3614" w:rsidP="005F2CFE">
      <w:pPr>
        <w:spacing w:after="0" w:line="240" w:lineRule="auto"/>
        <w:ind w:left="3690"/>
        <w:rPr>
          <w:rFonts w:ascii="Times New Roman" w:hAnsi="Times New Roman" w:cs="Times New Roman"/>
          <w:b/>
          <w:sz w:val="28"/>
          <w:szCs w:val="28"/>
          <w:lang w:val="en-CA"/>
        </w:rPr>
      </w:pPr>
      <w:r w:rsidRPr="00B46122">
        <w:rPr>
          <w:rFonts w:ascii="Times New Roman" w:hAnsi="Times New Roman" w:cs="Times New Roman"/>
          <w:b/>
          <w:sz w:val="28"/>
          <w:szCs w:val="28"/>
          <w:lang w:val="en-CA"/>
        </w:rPr>
        <w:t>___________________</w:t>
      </w:r>
      <w:r w:rsidR="005F2CFE">
        <w:rPr>
          <w:rFonts w:ascii="Times New Roman" w:hAnsi="Times New Roman" w:cs="Times New Roman"/>
          <w:b/>
          <w:sz w:val="28"/>
          <w:szCs w:val="28"/>
          <w:lang w:val="en-CA"/>
        </w:rPr>
        <w:t>____</w:t>
      </w:r>
      <w:r w:rsidRPr="00B46122">
        <w:rPr>
          <w:rFonts w:ascii="Times New Roman" w:hAnsi="Times New Roman" w:cs="Times New Roman"/>
          <w:b/>
          <w:sz w:val="28"/>
          <w:szCs w:val="28"/>
          <w:lang w:val="en-CA"/>
        </w:rPr>
        <w:t>_</w:t>
      </w:r>
      <w:r w:rsidR="005F2CFE">
        <w:rPr>
          <w:rFonts w:ascii="Times New Roman" w:hAnsi="Times New Roman" w:cs="Times New Roman"/>
          <w:b/>
          <w:sz w:val="28"/>
          <w:szCs w:val="28"/>
          <w:lang w:val="en-CA"/>
        </w:rPr>
        <w:t>_</w:t>
      </w:r>
      <w:r w:rsidRPr="00B46122">
        <w:rPr>
          <w:rFonts w:ascii="Times New Roman" w:hAnsi="Times New Roman" w:cs="Times New Roman"/>
          <w:b/>
          <w:sz w:val="28"/>
          <w:szCs w:val="28"/>
          <w:lang w:val="en-CA"/>
        </w:rPr>
        <w:t>_______________</w:t>
      </w:r>
    </w:p>
    <w:p w14:paraId="2882479B" w14:textId="77777777" w:rsidR="007C3614" w:rsidRPr="00B46122" w:rsidRDefault="007C3614" w:rsidP="005F2CFE">
      <w:pPr>
        <w:spacing w:after="0" w:line="240" w:lineRule="auto"/>
        <w:ind w:left="3690"/>
        <w:rPr>
          <w:rFonts w:ascii="Times New Roman" w:hAnsi="Times New Roman" w:cs="Times New Roman"/>
          <w:sz w:val="28"/>
          <w:szCs w:val="28"/>
          <w:lang w:val="en-CA"/>
        </w:rPr>
      </w:pPr>
    </w:p>
    <w:p w14:paraId="4474FD99" w14:textId="77777777" w:rsidR="007C3614" w:rsidRPr="00B46122" w:rsidRDefault="007C3614" w:rsidP="005F2CFE">
      <w:pPr>
        <w:spacing w:after="0" w:line="240" w:lineRule="auto"/>
        <w:ind w:left="3690"/>
        <w:rPr>
          <w:rFonts w:ascii="Times New Roman" w:hAnsi="Times New Roman" w:cs="Times New Roman"/>
          <w:sz w:val="28"/>
          <w:szCs w:val="28"/>
          <w:lang w:val="en-CA"/>
        </w:rPr>
      </w:pPr>
    </w:p>
    <w:p w14:paraId="5731AFC8" w14:textId="77777777" w:rsidR="007C3614" w:rsidRPr="00B46122" w:rsidRDefault="007C3614" w:rsidP="005F2CFE">
      <w:pPr>
        <w:spacing w:after="0" w:line="240" w:lineRule="auto"/>
        <w:ind w:left="3690"/>
        <w:rPr>
          <w:rFonts w:ascii="Times New Roman" w:hAnsi="Times New Roman" w:cs="Times New Roman"/>
          <w:b/>
          <w:sz w:val="28"/>
          <w:szCs w:val="28"/>
          <w:lang w:val="en-CA"/>
        </w:rPr>
      </w:pPr>
      <w:r w:rsidRPr="00B46122">
        <w:rPr>
          <w:rFonts w:ascii="Times New Roman" w:hAnsi="Times New Roman" w:cs="Times New Roman"/>
          <w:b/>
          <w:sz w:val="28"/>
          <w:szCs w:val="28"/>
          <w:lang w:val="en-CA"/>
        </w:rPr>
        <w:t>BETWEEN:</w:t>
      </w:r>
    </w:p>
    <w:p w14:paraId="2831820B" w14:textId="77777777" w:rsidR="007C3614" w:rsidRPr="00B46122" w:rsidRDefault="007C3614" w:rsidP="005F2CFE">
      <w:pPr>
        <w:spacing w:after="0" w:line="240" w:lineRule="auto"/>
        <w:ind w:left="3690"/>
        <w:rPr>
          <w:rFonts w:ascii="Times New Roman" w:hAnsi="Times New Roman" w:cs="Times New Roman"/>
          <w:b/>
          <w:sz w:val="28"/>
          <w:szCs w:val="28"/>
          <w:lang w:val="en-CA"/>
        </w:rPr>
      </w:pPr>
    </w:p>
    <w:p w14:paraId="0E56B98A" w14:textId="77777777" w:rsidR="007C3614" w:rsidRPr="00B46122" w:rsidRDefault="007C3614" w:rsidP="005F2CFE">
      <w:pPr>
        <w:spacing w:after="0" w:line="240" w:lineRule="auto"/>
        <w:ind w:left="3690"/>
        <w:jc w:val="center"/>
        <w:rPr>
          <w:rFonts w:ascii="Times New Roman" w:hAnsi="Times New Roman" w:cs="Times New Roman"/>
          <w:b/>
          <w:sz w:val="28"/>
          <w:szCs w:val="28"/>
          <w:lang w:val="en-CA"/>
        </w:rPr>
      </w:pPr>
      <w:r w:rsidRPr="00B46122">
        <w:rPr>
          <w:rFonts w:ascii="Times New Roman" w:hAnsi="Times New Roman" w:cs="Times New Roman"/>
          <w:b/>
          <w:sz w:val="28"/>
          <w:szCs w:val="28"/>
          <w:lang w:val="en-CA"/>
        </w:rPr>
        <w:t>HER MAJESTY THE QUEEN</w:t>
      </w:r>
    </w:p>
    <w:p w14:paraId="301898EF" w14:textId="77777777" w:rsidR="007C3614" w:rsidRPr="00B46122" w:rsidRDefault="007C3614" w:rsidP="005F2CFE">
      <w:pPr>
        <w:spacing w:after="0" w:line="240" w:lineRule="auto"/>
        <w:ind w:left="3690"/>
        <w:jc w:val="center"/>
        <w:rPr>
          <w:rFonts w:ascii="Times New Roman" w:hAnsi="Times New Roman" w:cs="Times New Roman"/>
          <w:b/>
          <w:sz w:val="28"/>
          <w:szCs w:val="28"/>
          <w:lang w:val="en-CA"/>
        </w:rPr>
      </w:pPr>
    </w:p>
    <w:p w14:paraId="3AAFCC56" w14:textId="77777777" w:rsidR="007C3614" w:rsidRPr="00B46122" w:rsidRDefault="007C3614" w:rsidP="005F2CFE">
      <w:pPr>
        <w:spacing w:after="0" w:line="240" w:lineRule="auto"/>
        <w:ind w:left="3690"/>
        <w:jc w:val="center"/>
        <w:rPr>
          <w:rFonts w:ascii="Times New Roman" w:hAnsi="Times New Roman" w:cs="Times New Roman"/>
          <w:b/>
          <w:sz w:val="28"/>
          <w:szCs w:val="28"/>
          <w:lang w:val="en-CA"/>
        </w:rPr>
      </w:pPr>
      <w:r w:rsidRPr="00B46122">
        <w:rPr>
          <w:rFonts w:ascii="Times New Roman" w:hAnsi="Times New Roman" w:cs="Times New Roman"/>
          <w:b/>
          <w:sz w:val="28"/>
          <w:szCs w:val="28"/>
          <w:lang w:val="en-CA"/>
        </w:rPr>
        <w:t>- and -</w:t>
      </w:r>
    </w:p>
    <w:p w14:paraId="053ECBF9" w14:textId="77777777" w:rsidR="007C3614" w:rsidRPr="00B46122" w:rsidRDefault="007C3614" w:rsidP="005F2CFE">
      <w:pPr>
        <w:spacing w:after="0" w:line="240" w:lineRule="auto"/>
        <w:ind w:left="3690"/>
        <w:jc w:val="center"/>
        <w:rPr>
          <w:rFonts w:ascii="Times New Roman" w:hAnsi="Times New Roman" w:cs="Times New Roman"/>
          <w:b/>
          <w:sz w:val="28"/>
          <w:szCs w:val="28"/>
          <w:lang w:val="en-CA"/>
        </w:rPr>
      </w:pPr>
    </w:p>
    <w:p w14:paraId="5523C2EF" w14:textId="291D8A52" w:rsidR="007C3614" w:rsidRPr="00B46122" w:rsidRDefault="007C3614" w:rsidP="005F2CFE">
      <w:pPr>
        <w:spacing w:after="0" w:line="240" w:lineRule="auto"/>
        <w:ind w:left="3690"/>
        <w:jc w:val="center"/>
        <w:rPr>
          <w:rFonts w:ascii="Times New Roman" w:hAnsi="Times New Roman" w:cs="Times New Roman"/>
          <w:sz w:val="28"/>
          <w:szCs w:val="28"/>
          <w:lang w:val="en-CA"/>
        </w:rPr>
      </w:pPr>
      <w:r w:rsidRPr="00B46122">
        <w:rPr>
          <w:rFonts w:ascii="Times New Roman" w:hAnsi="Times New Roman" w:cs="Times New Roman"/>
          <w:b/>
          <w:sz w:val="28"/>
          <w:szCs w:val="28"/>
          <w:lang w:val="en-CA"/>
        </w:rPr>
        <w:t>L.M.</w:t>
      </w:r>
    </w:p>
    <w:p w14:paraId="57FA1C7F" w14:textId="77777777" w:rsidR="007C3614" w:rsidRPr="00B46122" w:rsidRDefault="007C3614" w:rsidP="005F2CFE">
      <w:pPr>
        <w:spacing w:after="0" w:line="240" w:lineRule="auto"/>
        <w:ind w:left="3690"/>
        <w:rPr>
          <w:rFonts w:ascii="Times New Roman" w:hAnsi="Times New Roman" w:cs="Times New Roman"/>
          <w:sz w:val="28"/>
          <w:szCs w:val="28"/>
          <w:lang w:val="en-CA"/>
        </w:rPr>
      </w:pPr>
    </w:p>
    <w:p w14:paraId="4F27C244" w14:textId="77777777" w:rsidR="007C3614" w:rsidRPr="00B46122" w:rsidRDefault="007C3614" w:rsidP="005F2CFE">
      <w:pPr>
        <w:spacing w:after="0" w:line="240" w:lineRule="auto"/>
        <w:ind w:left="3690"/>
        <w:rPr>
          <w:rFonts w:ascii="Times New Roman" w:hAnsi="Times New Roman" w:cs="Times New Roman"/>
          <w:sz w:val="28"/>
          <w:szCs w:val="28"/>
          <w:lang w:val="en-CA"/>
        </w:rPr>
      </w:pPr>
    </w:p>
    <w:p w14:paraId="43549CD2" w14:textId="1AF47EE7" w:rsidR="007C3614" w:rsidRPr="00B46122" w:rsidRDefault="007C3614" w:rsidP="005F2CFE">
      <w:pPr>
        <w:spacing w:after="0" w:line="240" w:lineRule="auto"/>
        <w:ind w:left="3690"/>
        <w:rPr>
          <w:rFonts w:ascii="Times New Roman" w:hAnsi="Times New Roman" w:cs="Times New Roman"/>
          <w:sz w:val="28"/>
          <w:szCs w:val="28"/>
          <w:lang w:val="en-CA"/>
        </w:rPr>
      </w:pPr>
      <w:r w:rsidRPr="00B46122">
        <w:rPr>
          <w:rFonts w:ascii="Times New Roman" w:hAnsi="Times New Roman" w:cs="Times New Roman"/>
          <w:sz w:val="28"/>
          <w:szCs w:val="28"/>
          <w:lang w:val="en-CA"/>
        </w:rPr>
        <w:t>____________________</w:t>
      </w:r>
      <w:r w:rsidR="005F2CFE">
        <w:rPr>
          <w:rFonts w:ascii="Times New Roman" w:hAnsi="Times New Roman" w:cs="Times New Roman"/>
          <w:sz w:val="28"/>
          <w:szCs w:val="28"/>
          <w:lang w:val="en-CA"/>
        </w:rPr>
        <w:t>_</w:t>
      </w:r>
      <w:r w:rsidRPr="00B46122">
        <w:rPr>
          <w:rFonts w:ascii="Times New Roman" w:hAnsi="Times New Roman" w:cs="Times New Roman"/>
          <w:sz w:val="28"/>
          <w:szCs w:val="28"/>
          <w:lang w:val="en-CA"/>
        </w:rPr>
        <w:t>__</w:t>
      </w:r>
      <w:r w:rsidR="005F2CFE">
        <w:rPr>
          <w:rFonts w:ascii="Times New Roman" w:hAnsi="Times New Roman" w:cs="Times New Roman"/>
          <w:sz w:val="28"/>
          <w:szCs w:val="28"/>
          <w:lang w:val="en-CA"/>
        </w:rPr>
        <w:t>____</w:t>
      </w:r>
      <w:r w:rsidRPr="00B46122">
        <w:rPr>
          <w:rFonts w:ascii="Times New Roman" w:hAnsi="Times New Roman" w:cs="Times New Roman"/>
          <w:sz w:val="28"/>
          <w:szCs w:val="28"/>
          <w:lang w:val="en-CA"/>
        </w:rPr>
        <w:t>_____________</w:t>
      </w:r>
    </w:p>
    <w:p w14:paraId="51E024C9" w14:textId="77777777" w:rsidR="007C3614" w:rsidRPr="00B46122" w:rsidRDefault="007C3614" w:rsidP="005F2CFE">
      <w:pPr>
        <w:spacing w:after="0" w:line="240" w:lineRule="auto"/>
        <w:ind w:left="3690"/>
        <w:jc w:val="center"/>
        <w:rPr>
          <w:rFonts w:ascii="Times New Roman" w:hAnsi="Times New Roman" w:cs="Times New Roman"/>
          <w:b/>
          <w:sz w:val="28"/>
          <w:szCs w:val="28"/>
          <w:lang w:val="en-CA"/>
        </w:rPr>
      </w:pPr>
    </w:p>
    <w:p w14:paraId="2010F045" w14:textId="77777777" w:rsidR="007C3614" w:rsidRPr="00B46122" w:rsidRDefault="007C3614" w:rsidP="005F2CFE">
      <w:pPr>
        <w:spacing w:after="0" w:line="240" w:lineRule="auto"/>
        <w:ind w:left="3690"/>
        <w:jc w:val="center"/>
        <w:rPr>
          <w:rFonts w:ascii="Times New Roman" w:hAnsi="Times New Roman" w:cs="Times New Roman"/>
          <w:b/>
          <w:sz w:val="28"/>
          <w:szCs w:val="28"/>
          <w:lang w:val="en-CA"/>
        </w:rPr>
      </w:pPr>
      <w:r w:rsidRPr="00B46122">
        <w:rPr>
          <w:rFonts w:ascii="Times New Roman" w:hAnsi="Times New Roman" w:cs="Times New Roman"/>
          <w:b/>
          <w:sz w:val="28"/>
          <w:szCs w:val="28"/>
          <w:lang w:val="en-CA"/>
        </w:rPr>
        <w:t>REASONS FOR DECISION</w:t>
      </w:r>
    </w:p>
    <w:p w14:paraId="44DE4196" w14:textId="77777777" w:rsidR="007C3614" w:rsidRPr="00B46122" w:rsidRDefault="007C3614" w:rsidP="005F2CFE">
      <w:pPr>
        <w:spacing w:after="0" w:line="240" w:lineRule="auto"/>
        <w:ind w:left="3690"/>
        <w:jc w:val="center"/>
        <w:rPr>
          <w:rFonts w:ascii="Times New Roman" w:hAnsi="Times New Roman" w:cs="Times New Roman"/>
          <w:b/>
          <w:sz w:val="28"/>
          <w:szCs w:val="28"/>
          <w:lang w:val="en-CA"/>
        </w:rPr>
      </w:pPr>
      <w:r w:rsidRPr="00B46122">
        <w:rPr>
          <w:rFonts w:ascii="Times New Roman" w:hAnsi="Times New Roman" w:cs="Times New Roman"/>
          <w:b/>
          <w:sz w:val="28"/>
          <w:szCs w:val="28"/>
          <w:lang w:val="en-CA"/>
        </w:rPr>
        <w:t>of the</w:t>
      </w:r>
    </w:p>
    <w:p w14:paraId="1D86EC04" w14:textId="77777777" w:rsidR="007C3614" w:rsidRPr="00B46122" w:rsidRDefault="007C3614" w:rsidP="005F2CFE">
      <w:pPr>
        <w:spacing w:after="0" w:line="240" w:lineRule="auto"/>
        <w:ind w:left="3690"/>
        <w:jc w:val="center"/>
        <w:rPr>
          <w:rFonts w:ascii="Times New Roman" w:hAnsi="Times New Roman" w:cs="Times New Roman"/>
          <w:b/>
          <w:sz w:val="28"/>
          <w:szCs w:val="28"/>
          <w:lang w:val="en-CA"/>
        </w:rPr>
      </w:pPr>
      <w:r w:rsidRPr="00B46122">
        <w:rPr>
          <w:rFonts w:ascii="Times New Roman" w:hAnsi="Times New Roman" w:cs="Times New Roman"/>
          <w:b/>
          <w:sz w:val="28"/>
          <w:szCs w:val="28"/>
          <w:lang w:val="en-CA"/>
        </w:rPr>
        <w:t>HONOURABLE JUDGE ROBERT GORIN</w:t>
      </w:r>
    </w:p>
    <w:p w14:paraId="5C1904BB" w14:textId="7835F87C" w:rsidR="007C3614" w:rsidRPr="00B46122" w:rsidRDefault="007C3614" w:rsidP="005F2CFE">
      <w:pPr>
        <w:spacing w:after="0" w:line="240" w:lineRule="auto"/>
        <w:ind w:left="3690"/>
        <w:rPr>
          <w:rFonts w:ascii="Times New Roman" w:hAnsi="Times New Roman" w:cs="Times New Roman"/>
          <w:sz w:val="28"/>
          <w:szCs w:val="28"/>
          <w:lang w:val="en-CA"/>
        </w:rPr>
      </w:pPr>
      <w:r w:rsidRPr="00B46122">
        <w:rPr>
          <w:rFonts w:ascii="Times New Roman" w:hAnsi="Times New Roman" w:cs="Times New Roman"/>
          <w:sz w:val="28"/>
          <w:szCs w:val="28"/>
          <w:lang w:val="en-CA"/>
        </w:rPr>
        <w:t>_____________________</w:t>
      </w:r>
      <w:r w:rsidR="005F2CFE">
        <w:rPr>
          <w:rFonts w:ascii="Times New Roman" w:hAnsi="Times New Roman" w:cs="Times New Roman"/>
          <w:sz w:val="28"/>
          <w:szCs w:val="28"/>
          <w:lang w:val="en-CA"/>
        </w:rPr>
        <w:t>__</w:t>
      </w:r>
      <w:r w:rsidRPr="00B46122">
        <w:rPr>
          <w:rFonts w:ascii="Times New Roman" w:hAnsi="Times New Roman" w:cs="Times New Roman"/>
          <w:sz w:val="28"/>
          <w:szCs w:val="28"/>
          <w:lang w:val="en-CA"/>
        </w:rPr>
        <w:t>____</w:t>
      </w:r>
      <w:r w:rsidR="005F2CFE">
        <w:rPr>
          <w:rFonts w:ascii="Times New Roman" w:hAnsi="Times New Roman" w:cs="Times New Roman"/>
          <w:sz w:val="28"/>
          <w:szCs w:val="28"/>
          <w:lang w:val="en-CA"/>
        </w:rPr>
        <w:t>__</w:t>
      </w:r>
      <w:r w:rsidRPr="00B46122">
        <w:rPr>
          <w:rFonts w:ascii="Times New Roman" w:hAnsi="Times New Roman" w:cs="Times New Roman"/>
          <w:sz w:val="28"/>
          <w:szCs w:val="28"/>
          <w:lang w:val="en-CA"/>
        </w:rPr>
        <w:t>___________</w:t>
      </w:r>
    </w:p>
    <w:p w14:paraId="46D76B60" w14:textId="77777777" w:rsidR="007C3614" w:rsidRPr="00B46122" w:rsidRDefault="007C3614" w:rsidP="005F2CFE">
      <w:pPr>
        <w:spacing w:after="0" w:line="240" w:lineRule="auto"/>
        <w:ind w:left="3690"/>
        <w:rPr>
          <w:rFonts w:ascii="Times New Roman" w:hAnsi="Times New Roman" w:cs="Times New Roman"/>
          <w:sz w:val="28"/>
          <w:szCs w:val="28"/>
          <w:lang w:val="en-CA"/>
        </w:rPr>
      </w:pPr>
    </w:p>
    <w:p w14:paraId="513F1BDD" w14:textId="77777777" w:rsidR="007C3614" w:rsidRDefault="007C3614" w:rsidP="005F2CFE">
      <w:pPr>
        <w:spacing w:after="0" w:line="240" w:lineRule="auto"/>
        <w:ind w:left="3690"/>
        <w:rPr>
          <w:rFonts w:ascii="Times New Roman" w:hAnsi="Times New Roman" w:cs="Times New Roman"/>
          <w:sz w:val="28"/>
          <w:szCs w:val="28"/>
          <w:lang w:val="en-CA"/>
        </w:rPr>
      </w:pPr>
    </w:p>
    <w:p w14:paraId="5DAC04C3" w14:textId="77777777" w:rsidR="005F2CFE" w:rsidRPr="00B46122" w:rsidRDefault="005F2CFE" w:rsidP="005F2CFE">
      <w:pPr>
        <w:spacing w:after="0" w:line="240" w:lineRule="auto"/>
        <w:ind w:left="3690"/>
        <w:rPr>
          <w:rFonts w:ascii="Times New Roman" w:hAnsi="Times New Roman" w:cs="Times New Roman"/>
          <w:sz w:val="28"/>
          <w:szCs w:val="28"/>
          <w:lang w:val="en-CA"/>
        </w:rPr>
      </w:pPr>
    </w:p>
    <w:p w14:paraId="7D1CCCE4" w14:textId="77777777" w:rsidR="007C3614" w:rsidRPr="00B46122" w:rsidRDefault="007C3614" w:rsidP="005F2CFE">
      <w:pPr>
        <w:spacing w:after="0" w:line="240" w:lineRule="auto"/>
        <w:ind w:left="3690"/>
        <w:rPr>
          <w:rFonts w:ascii="Times New Roman" w:hAnsi="Times New Roman" w:cs="Times New Roman"/>
          <w:sz w:val="28"/>
          <w:szCs w:val="28"/>
          <w:lang w:val="en-CA"/>
        </w:rPr>
      </w:pPr>
    </w:p>
    <w:p w14:paraId="54ED3E56" w14:textId="583C1640" w:rsidR="007C3614" w:rsidRPr="00AD6D19" w:rsidRDefault="007C3614" w:rsidP="00AD6D19">
      <w:pPr>
        <w:spacing w:after="0" w:line="240" w:lineRule="auto"/>
        <w:ind w:left="3690"/>
        <w:jc w:val="center"/>
        <w:rPr>
          <w:rFonts w:ascii="Times New Roman" w:hAnsi="Times New Roman" w:cs="Times New Roman"/>
          <w:sz w:val="24"/>
          <w:szCs w:val="24"/>
          <w:lang w:val="en-CA"/>
        </w:rPr>
      </w:pPr>
      <w:r w:rsidRPr="00AD6D19">
        <w:rPr>
          <w:rFonts w:ascii="Times New Roman" w:hAnsi="Times New Roman" w:cs="Times New Roman"/>
          <w:sz w:val="24"/>
          <w:szCs w:val="24"/>
          <w:lang w:val="en-CA"/>
        </w:rPr>
        <w:t xml:space="preserve">[Sections </w:t>
      </w:r>
      <w:r w:rsidR="00EC374D" w:rsidRPr="00AD6D19">
        <w:rPr>
          <w:rFonts w:ascii="Times New Roman" w:hAnsi="Times New Roman" w:cs="Times New Roman"/>
          <w:sz w:val="24"/>
          <w:szCs w:val="24"/>
          <w:lang w:val="en-CA"/>
        </w:rPr>
        <w:t>236(b) and 272(1)(c) of the Criminal Code]</w:t>
      </w:r>
    </w:p>
    <w:p w14:paraId="2C7D5EA8" w14:textId="77777777" w:rsidR="007C3614" w:rsidRPr="007C3614" w:rsidRDefault="007C3614" w:rsidP="005F2CFE">
      <w:pPr>
        <w:spacing w:after="0" w:line="240" w:lineRule="auto"/>
        <w:ind w:left="3690"/>
        <w:rPr>
          <w:sz w:val="28"/>
          <w:szCs w:val="28"/>
          <w:lang w:val="en-CA"/>
        </w:rPr>
      </w:pPr>
    </w:p>
    <w:p w14:paraId="60A51EB5" w14:textId="77777777" w:rsidR="007C3614" w:rsidRPr="007C3614" w:rsidRDefault="007C3614" w:rsidP="005F2CFE">
      <w:pPr>
        <w:spacing w:after="0" w:line="240" w:lineRule="auto"/>
        <w:ind w:left="3690"/>
        <w:rPr>
          <w:sz w:val="28"/>
          <w:szCs w:val="28"/>
          <w:lang w:val="en-CA"/>
        </w:rPr>
      </w:pPr>
    </w:p>
    <w:p w14:paraId="03FBACDB" w14:textId="77777777" w:rsidR="0009488C" w:rsidRPr="00116AED" w:rsidRDefault="0009488C" w:rsidP="005F2CFE">
      <w:pPr>
        <w:spacing w:after="0" w:line="240" w:lineRule="auto"/>
        <w:ind w:left="4050"/>
        <w:rPr>
          <w:sz w:val="28"/>
          <w:szCs w:val="28"/>
        </w:rPr>
      </w:pPr>
    </w:p>
    <w:sectPr w:rsidR="0009488C" w:rsidRPr="00116AED" w:rsidSect="00B46122">
      <w:pgSz w:w="12240" w:h="15840"/>
      <w:pgMar w:top="1152"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CCF08" w14:textId="77777777" w:rsidR="002338C0" w:rsidRDefault="002338C0" w:rsidP="00EB5AEF">
      <w:pPr>
        <w:spacing w:after="0" w:line="240" w:lineRule="auto"/>
      </w:pPr>
      <w:r>
        <w:separator/>
      </w:r>
    </w:p>
  </w:endnote>
  <w:endnote w:type="continuationSeparator" w:id="0">
    <w:p w14:paraId="74A64EF0" w14:textId="77777777" w:rsidR="002338C0" w:rsidRDefault="002338C0" w:rsidP="00EB5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60751" w14:textId="203E7B71" w:rsidR="00903BAB" w:rsidRDefault="00903BAB">
    <w:pPr>
      <w:pStyle w:val="Footer"/>
      <w:jc w:val="right"/>
    </w:pPr>
  </w:p>
  <w:p w14:paraId="7C236BB7" w14:textId="77777777" w:rsidR="00903BAB" w:rsidRDefault="00903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7D5C5" w14:textId="77777777" w:rsidR="002338C0" w:rsidRDefault="002338C0" w:rsidP="00EB5AEF">
      <w:pPr>
        <w:spacing w:after="0" w:line="240" w:lineRule="auto"/>
      </w:pPr>
      <w:r>
        <w:separator/>
      </w:r>
    </w:p>
  </w:footnote>
  <w:footnote w:type="continuationSeparator" w:id="0">
    <w:p w14:paraId="6EDC721D" w14:textId="77777777" w:rsidR="002338C0" w:rsidRDefault="002338C0" w:rsidP="00EB5AEF">
      <w:pPr>
        <w:spacing w:after="0" w:line="240" w:lineRule="auto"/>
      </w:pPr>
      <w:r>
        <w:continuationSeparator/>
      </w:r>
    </w:p>
  </w:footnote>
  <w:footnote w:id="1">
    <w:p w14:paraId="1CCF879F" w14:textId="77777777" w:rsidR="00903BAB" w:rsidRDefault="00903BAB">
      <w:pPr>
        <w:pStyle w:val="FootnoteText"/>
      </w:pPr>
      <w:r>
        <w:rPr>
          <w:rStyle w:val="FootnoteReference"/>
        </w:rPr>
        <w:footnoteRef/>
      </w:r>
      <w:r>
        <w:t xml:space="preserve"> </w:t>
      </w:r>
      <w:r>
        <w:rPr>
          <w:i/>
        </w:rPr>
        <w:t>R. v. Rowbotham</w:t>
      </w:r>
      <w:r w:rsidRPr="00626CB9">
        <w:rPr>
          <w:i/>
        </w:rPr>
        <w:t>; R. v. Roblin</w:t>
      </w:r>
      <w:r>
        <w:t>,  [1994] 2 SCR 463.</w:t>
      </w:r>
    </w:p>
  </w:footnote>
  <w:footnote w:id="2">
    <w:p w14:paraId="6092AC63" w14:textId="77777777" w:rsidR="00903BAB" w:rsidRDefault="00903BAB" w:rsidP="00470830">
      <w:pPr>
        <w:pStyle w:val="FootnoteText"/>
      </w:pPr>
      <w:r>
        <w:rPr>
          <w:rStyle w:val="FootnoteReference"/>
        </w:rPr>
        <w:footnoteRef/>
      </w:r>
      <w:r>
        <w:t xml:space="preserve"> </w:t>
      </w:r>
      <w:r w:rsidRPr="003D31CB">
        <w:rPr>
          <w:i/>
        </w:rPr>
        <w:t>DeSousa</w:t>
      </w:r>
      <w:r>
        <w:t>, (supra) at paras. 19,39,</w:t>
      </w:r>
      <w:r w:rsidRPr="0022295E">
        <w:t xml:space="preserve"> </w:t>
      </w:r>
      <w:r>
        <w:t xml:space="preserve">22 &amp; 39;  </w:t>
      </w:r>
      <w:r>
        <w:rPr>
          <w:i/>
        </w:rPr>
        <w:t>R. v. Gosset</w:t>
      </w:r>
      <w:r w:rsidRPr="00761578">
        <w:t>, [1993</w:t>
      </w:r>
      <w:r>
        <w:t>] 3 SCR 76 at para. 45</w:t>
      </w:r>
    </w:p>
  </w:footnote>
  <w:footnote w:id="3">
    <w:p w14:paraId="75EC32B2" w14:textId="77777777" w:rsidR="00903BAB" w:rsidRDefault="00903BAB">
      <w:pPr>
        <w:pStyle w:val="FootnoteText"/>
      </w:pPr>
      <w:r>
        <w:rPr>
          <w:rStyle w:val="FootnoteReference"/>
        </w:rPr>
        <w:footnoteRef/>
      </w:r>
      <w:r>
        <w:t xml:space="preserve"> </w:t>
      </w:r>
      <w:r w:rsidRPr="0062604C">
        <w:rPr>
          <w:i/>
        </w:rPr>
        <w:t>R. v. Haas</w:t>
      </w:r>
      <w:r>
        <w:t>, 2016 MBCA 42, at para. 32.</w:t>
      </w:r>
    </w:p>
  </w:footnote>
  <w:footnote w:id="4">
    <w:p w14:paraId="0161C39D" w14:textId="77777777" w:rsidR="00903BAB" w:rsidRDefault="00903BAB">
      <w:pPr>
        <w:pStyle w:val="FootnoteText"/>
      </w:pPr>
      <w:r>
        <w:rPr>
          <w:rStyle w:val="FootnoteReference"/>
        </w:rPr>
        <w:footnoteRef/>
      </w:r>
      <w:r>
        <w:t xml:space="preserve"> </w:t>
      </w:r>
      <w:r w:rsidRPr="004B580B">
        <w:rPr>
          <w:i/>
        </w:rPr>
        <w:t>R. v. Sault Ste. Marie,</w:t>
      </w:r>
      <w:r>
        <w:t xml:space="preserve"> [1978] 2 SCR 1299</w:t>
      </w:r>
    </w:p>
  </w:footnote>
  <w:footnote w:id="5">
    <w:p w14:paraId="1E9A15B6" w14:textId="77777777" w:rsidR="00903BAB" w:rsidRDefault="00903BAB" w:rsidP="004B580B">
      <w:pPr>
        <w:pStyle w:val="FootnoteText"/>
      </w:pPr>
      <w:r>
        <w:rPr>
          <w:rStyle w:val="FootnoteReference"/>
        </w:rPr>
        <w:footnoteRef/>
      </w:r>
      <w:r>
        <w:t xml:space="preserve"> </w:t>
      </w:r>
      <w:r w:rsidRPr="004B580B">
        <w:rPr>
          <w:i/>
        </w:rPr>
        <w:t>R. v. Sharpe</w:t>
      </w:r>
      <w:r>
        <w:t>, [2001] 1 SCR 45, para. 33</w:t>
      </w:r>
    </w:p>
  </w:footnote>
  <w:footnote w:id="6">
    <w:p w14:paraId="183F9906" w14:textId="77777777" w:rsidR="00903BAB" w:rsidRDefault="00903BAB">
      <w:pPr>
        <w:pStyle w:val="FootnoteText"/>
      </w:pPr>
      <w:r>
        <w:rPr>
          <w:rStyle w:val="FootnoteReference"/>
        </w:rPr>
        <w:footnoteRef/>
      </w:r>
      <w:r>
        <w:t xml:space="preserve"> </w:t>
      </w:r>
      <w:r w:rsidRPr="000B28B9">
        <w:rPr>
          <w:i/>
        </w:rPr>
        <w:t>RE B.C. Motor Vehicle Act</w:t>
      </w:r>
      <w:r>
        <w:t>, [1985] 2 SCR 486</w:t>
      </w:r>
    </w:p>
  </w:footnote>
  <w:footnote w:id="7">
    <w:p w14:paraId="5ADE391B" w14:textId="77777777" w:rsidR="00903BAB" w:rsidRDefault="00903BAB">
      <w:pPr>
        <w:pStyle w:val="FootnoteText"/>
      </w:pPr>
      <w:r>
        <w:rPr>
          <w:rStyle w:val="FootnoteReference"/>
        </w:rPr>
        <w:footnoteRef/>
      </w:r>
      <w:r w:rsidRPr="00CF0C8C">
        <w:rPr>
          <w:i/>
        </w:rPr>
        <w:t xml:space="preserve"> Creighton</w:t>
      </w:r>
      <w:r>
        <w:t xml:space="preserve">, </w:t>
      </w:r>
      <w:r>
        <w:rPr>
          <w:i/>
        </w:rPr>
        <w:t>supra</w:t>
      </w:r>
      <w:r>
        <w:t xml:space="preserve"> at p. 373.</w:t>
      </w:r>
    </w:p>
  </w:footnote>
  <w:footnote w:id="8">
    <w:p w14:paraId="1A41B2AA" w14:textId="77777777" w:rsidR="00903BAB" w:rsidRDefault="00903BAB" w:rsidP="009E68E1">
      <w:pPr>
        <w:pStyle w:val="FootnoteText"/>
      </w:pPr>
      <w:r>
        <w:rPr>
          <w:rStyle w:val="FootnoteReference"/>
        </w:rPr>
        <w:footnoteRef/>
      </w:r>
      <w:r>
        <w:t xml:space="preserve"> See also </w:t>
      </w:r>
      <w:r w:rsidRPr="00E35727">
        <w:rPr>
          <w:i/>
        </w:rPr>
        <w:t>A.N. v. R</w:t>
      </w:r>
      <w:r>
        <w:t xml:space="preserve">., 2015 QCCA 1109; and </w:t>
      </w:r>
      <w:r w:rsidRPr="00E35727">
        <w:rPr>
          <w:i/>
        </w:rPr>
        <w:t>R. v. McKenna</w:t>
      </w:r>
      <w:r>
        <w:t xml:space="preserve">, 2017 ABPC 167.   </w:t>
      </w:r>
    </w:p>
  </w:footnote>
  <w:footnote w:id="9">
    <w:p w14:paraId="656FEA7D" w14:textId="77777777" w:rsidR="00903BAB" w:rsidRDefault="00903BAB">
      <w:pPr>
        <w:pStyle w:val="FootnoteText"/>
      </w:pPr>
      <w:r>
        <w:rPr>
          <w:rStyle w:val="FootnoteReference"/>
        </w:rPr>
        <w:footnoteRef/>
      </w:r>
      <w:r>
        <w:t xml:space="preserve"> </w:t>
      </w:r>
      <w:r w:rsidRPr="00B3756C">
        <w:rPr>
          <w:i/>
        </w:rPr>
        <w:t>R. v. Hundal</w:t>
      </w:r>
      <w:r>
        <w:t>, [1993] 1 SCR 867.</w:t>
      </w:r>
    </w:p>
  </w:footnote>
  <w:footnote w:id="10">
    <w:p w14:paraId="1183A93C" w14:textId="77777777" w:rsidR="00903BAB" w:rsidRDefault="00903BAB">
      <w:pPr>
        <w:pStyle w:val="FootnoteText"/>
      </w:pPr>
      <w:r>
        <w:rPr>
          <w:rStyle w:val="FootnoteReference"/>
        </w:rPr>
        <w:footnoteRef/>
      </w:r>
      <w:r>
        <w:t xml:space="preserve"> </w:t>
      </w:r>
      <w:r w:rsidRPr="00513A26">
        <w:rPr>
          <w:i/>
        </w:rPr>
        <w:t>Creighton</w:t>
      </w:r>
      <w:r>
        <w:t xml:space="preserve">, </w:t>
      </w:r>
      <w:r w:rsidRPr="00250AAC">
        <w:rPr>
          <w:i/>
        </w:rPr>
        <w:t>supra.</w:t>
      </w:r>
      <w:r>
        <w:t xml:space="preserve"> </w:t>
      </w:r>
    </w:p>
  </w:footnote>
  <w:footnote w:id="11">
    <w:p w14:paraId="030024E3" w14:textId="77777777" w:rsidR="00903BAB" w:rsidRDefault="00903BAB">
      <w:pPr>
        <w:pStyle w:val="FootnoteText"/>
      </w:pPr>
      <w:r>
        <w:rPr>
          <w:rStyle w:val="FootnoteReference"/>
        </w:rPr>
        <w:footnoteRef/>
      </w:r>
      <w:r>
        <w:t xml:space="preserve"> See also: </w:t>
      </w:r>
      <w:r w:rsidRPr="00513A26">
        <w:rPr>
          <w:i/>
        </w:rPr>
        <w:t>Fournier c. R.,</w:t>
      </w:r>
      <w:r>
        <w:t xml:space="preserve"> [2016] JQ no 15652</w:t>
      </w:r>
    </w:p>
  </w:footnote>
  <w:footnote w:id="12">
    <w:p w14:paraId="5B95CDA8" w14:textId="77777777" w:rsidR="00903BAB" w:rsidRDefault="00903BAB" w:rsidP="00BA06DA">
      <w:pPr>
        <w:pStyle w:val="FootnoteText"/>
      </w:pPr>
      <w:r>
        <w:rPr>
          <w:rStyle w:val="FootnoteReference"/>
        </w:rPr>
        <w:footnoteRef/>
      </w:r>
      <w:r>
        <w:t xml:space="preserve"> </w:t>
      </w:r>
      <w:r w:rsidRPr="000A0D40">
        <w:rPr>
          <w:i/>
        </w:rPr>
        <w:t>R. v. Maybin</w:t>
      </w:r>
      <w:r>
        <w:t xml:space="preserve">, [2010] BCJ No. 2311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87794" w14:textId="77777777" w:rsidR="00F028CF" w:rsidRDefault="00F028CF" w:rsidP="002330E1">
    <w:pPr>
      <w:pStyle w:val="Header"/>
      <w:jc w:val="right"/>
      <w:rPr>
        <w:noProof/>
      </w:rPr>
    </w:pPr>
  </w:p>
  <w:p w14:paraId="1F341A6C" w14:textId="77777777" w:rsidR="00F436B3" w:rsidRDefault="00F436B3" w:rsidP="002330E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BF1BF" w14:textId="0D848417" w:rsidR="00F028CF" w:rsidRDefault="00F028CF" w:rsidP="002330E1">
    <w:pPr>
      <w:pStyle w:val="Header"/>
      <w:jc w:val="right"/>
      <w:rPr>
        <w:noProof/>
      </w:rPr>
    </w:pPr>
    <w:r>
      <w:rPr>
        <w:noProof/>
      </w:rPr>
      <w:t>R. v. L.M.</w:t>
    </w:r>
  </w:p>
  <w:p w14:paraId="514687A1" w14:textId="33A0058E" w:rsidR="00F028CF" w:rsidRDefault="00F028CF" w:rsidP="002330E1">
    <w:pPr>
      <w:pStyle w:val="Header"/>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sidR="004A3FDE">
      <w:rPr>
        <w:noProof/>
      </w:rPr>
      <w:t>22</w:t>
    </w:r>
    <w:r>
      <w:rPr>
        <w:noProof/>
      </w:rPr>
      <w:fldChar w:fldCharType="end"/>
    </w:r>
  </w:p>
  <w:p w14:paraId="19CE1C2F" w14:textId="77777777" w:rsidR="00F028CF" w:rsidRDefault="00F028CF" w:rsidP="002330E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680B"/>
    <w:multiLevelType w:val="hybridMultilevel"/>
    <w:tmpl w:val="591011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B4ABF"/>
    <w:multiLevelType w:val="multilevel"/>
    <w:tmpl w:val="A0FA4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91043"/>
    <w:multiLevelType w:val="hybridMultilevel"/>
    <w:tmpl w:val="7EF870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9159B"/>
    <w:multiLevelType w:val="hybridMultilevel"/>
    <w:tmpl w:val="1250F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81125"/>
    <w:multiLevelType w:val="hybridMultilevel"/>
    <w:tmpl w:val="B4FEF622"/>
    <w:lvl w:ilvl="0" w:tplc="D81896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4F1CEA"/>
    <w:multiLevelType w:val="multilevel"/>
    <w:tmpl w:val="D8002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4B549E"/>
    <w:multiLevelType w:val="hybridMultilevel"/>
    <w:tmpl w:val="31EE023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B0398F"/>
    <w:multiLevelType w:val="multilevel"/>
    <w:tmpl w:val="A94C7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C81088"/>
    <w:multiLevelType w:val="hybridMultilevel"/>
    <w:tmpl w:val="A1F23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934E6"/>
    <w:multiLevelType w:val="hybridMultilevel"/>
    <w:tmpl w:val="A84271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D610D"/>
    <w:multiLevelType w:val="hybridMultilevel"/>
    <w:tmpl w:val="582CFB36"/>
    <w:lvl w:ilvl="0" w:tplc="BE2ADD8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A657DC"/>
    <w:multiLevelType w:val="hybridMultilevel"/>
    <w:tmpl w:val="D4508B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B25D2"/>
    <w:multiLevelType w:val="hybridMultilevel"/>
    <w:tmpl w:val="B5BEDA20"/>
    <w:lvl w:ilvl="0" w:tplc="9D7C455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B73EF7"/>
    <w:multiLevelType w:val="multilevel"/>
    <w:tmpl w:val="7B560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DA2EF6"/>
    <w:multiLevelType w:val="hybridMultilevel"/>
    <w:tmpl w:val="46966A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4461F6"/>
    <w:multiLevelType w:val="multilevel"/>
    <w:tmpl w:val="DF10F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017E5A"/>
    <w:multiLevelType w:val="hybridMultilevel"/>
    <w:tmpl w:val="3C166322"/>
    <w:lvl w:ilvl="0" w:tplc="8F38EC98">
      <w:start w:val="1"/>
      <w:numFmt w:val="decimal"/>
      <w:lvlText w:val="[%1]"/>
      <w:lvlJc w:val="left"/>
      <w:pPr>
        <w:ind w:left="1080" w:hanging="360"/>
      </w:pPr>
      <w:rPr>
        <w:rFonts w:ascii="Calibri" w:hAnsi="Calibri" w:hint="default"/>
        <w:b w:val="0"/>
        <w:i w:val="0"/>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6034C7"/>
    <w:multiLevelType w:val="hybridMultilevel"/>
    <w:tmpl w:val="FE00DB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3F712E"/>
    <w:multiLevelType w:val="hybridMultilevel"/>
    <w:tmpl w:val="0C86A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BC674D"/>
    <w:multiLevelType w:val="hybridMultilevel"/>
    <w:tmpl w:val="34BA3D52"/>
    <w:lvl w:ilvl="0" w:tplc="CC6E5408">
      <w:start w:val="1"/>
      <w:numFmt w:val="decimal"/>
      <w:lvlText w:val="%1"/>
      <w:lvlJc w:val="left"/>
      <w:pPr>
        <w:ind w:left="1656" w:hanging="93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514DDC"/>
    <w:multiLevelType w:val="hybridMultilevel"/>
    <w:tmpl w:val="5DC00062"/>
    <w:lvl w:ilvl="0" w:tplc="41F818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C814AC"/>
    <w:multiLevelType w:val="hybridMultilevel"/>
    <w:tmpl w:val="37FC3D62"/>
    <w:lvl w:ilvl="0" w:tplc="AA68D1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70460F"/>
    <w:multiLevelType w:val="hybridMultilevel"/>
    <w:tmpl w:val="1250F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3E3819"/>
    <w:multiLevelType w:val="hybridMultilevel"/>
    <w:tmpl w:val="F1F29BD6"/>
    <w:lvl w:ilvl="0" w:tplc="7DCEA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BD5984"/>
    <w:multiLevelType w:val="hybridMultilevel"/>
    <w:tmpl w:val="1250F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155C95"/>
    <w:multiLevelType w:val="hybridMultilevel"/>
    <w:tmpl w:val="95E6327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453F92"/>
    <w:multiLevelType w:val="hybridMultilevel"/>
    <w:tmpl w:val="5F6081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F6F9E"/>
    <w:multiLevelType w:val="hybridMultilevel"/>
    <w:tmpl w:val="35542708"/>
    <w:lvl w:ilvl="0" w:tplc="41E0A486">
      <w:start w:val="1"/>
      <w:numFmt w:val="decimal"/>
      <w:lvlText w:val="[%1]"/>
      <w:lvlJc w:val="left"/>
      <w:pPr>
        <w:ind w:left="720" w:hanging="360"/>
      </w:pPr>
      <w:rPr>
        <w:rFonts w:ascii="Calibri" w:hAnsi="Calibri"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915254"/>
    <w:multiLevelType w:val="multilevel"/>
    <w:tmpl w:val="617C4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5C7CF6"/>
    <w:multiLevelType w:val="multilevel"/>
    <w:tmpl w:val="6570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7B2D7F"/>
    <w:multiLevelType w:val="multilevel"/>
    <w:tmpl w:val="54CCA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123907"/>
    <w:multiLevelType w:val="multilevel"/>
    <w:tmpl w:val="26C01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
  </w:num>
  <w:num w:numId="4">
    <w:abstractNumId w:val="31"/>
  </w:num>
  <w:num w:numId="5">
    <w:abstractNumId w:val="15"/>
  </w:num>
  <w:num w:numId="6">
    <w:abstractNumId w:val="5"/>
  </w:num>
  <w:num w:numId="7">
    <w:abstractNumId w:val="8"/>
  </w:num>
  <w:num w:numId="8">
    <w:abstractNumId w:val="21"/>
  </w:num>
  <w:num w:numId="9">
    <w:abstractNumId w:val="11"/>
  </w:num>
  <w:num w:numId="10">
    <w:abstractNumId w:val="23"/>
  </w:num>
  <w:num w:numId="11">
    <w:abstractNumId w:val="17"/>
  </w:num>
  <w:num w:numId="12">
    <w:abstractNumId w:val="14"/>
  </w:num>
  <w:num w:numId="13">
    <w:abstractNumId w:val="18"/>
  </w:num>
  <w:num w:numId="14">
    <w:abstractNumId w:val="29"/>
  </w:num>
  <w:num w:numId="15">
    <w:abstractNumId w:val="22"/>
  </w:num>
  <w:num w:numId="16">
    <w:abstractNumId w:val="24"/>
  </w:num>
  <w:num w:numId="17">
    <w:abstractNumId w:val="20"/>
  </w:num>
  <w:num w:numId="18">
    <w:abstractNumId w:val="10"/>
  </w:num>
  <w:num w:numId="19">
    <w:abstractNumId w:val="12"/>
  </w:num>
  <w:num w:numId="20">
    <w:abstractNumId w:val="4"/>
  </w:num>
  <w:num w:numId="21">
    <w:abstractNumId w:val="28"/>
  </w:num>
  <w:num w:numId="22">
    <w:abstractNumId w:val="30"/>
  </w:num>
  <w:num w:numId="23">
    <w:abstractNumId w:val="7"/>
  </w:num>
  <w:num w:numId="24">
    <w:abstractNumId w:val="25"/>
  </w:num>
  <w:num w:numId="25">
    <w:abstractNumId w:val="6"/>
  </w:num>
  <w:num w:numId="26">
    <w:abstractNumId w:val="0"/>
  </w:num>
  <w:num w:numId="27">
    <w:abstractNumId w:val="26"/>
  </w:num>
  <w:num w:numId="28">
    <w:abstractNumId w:val="19"/>
  </w:num>
  <w:num w:numId="29">
    <w:abstractNumId w:val="13"/>
  </w:num>
  <w:num w:numId="30">
    <w:abstractNumId w:val="27"/>
  </w:num>
  <w:num w:numId="31">
    <w:abstractNumId w:val="1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E85"/>
    <w:rsid w:val="00025FA2"/>
    <w:rsid w:val="00031D4B"/>
    <w:rsid w:val="000325AA"/>
    <w:rsid w:val="00036DD7"/>
    <w:rsid w:val="00044BA6"/>
    <w:rsid w:val="00047BD3"/>
    <w:rsid w:val="00060051"/>
    <w:rsid w:val="00062DAB"/>
    <w:rsid w:val="00064153"/>
    <w:rsid w:val="00091482"/>
    <w:rsid w:val="0009172C"/>
    <w:rsid w:val="0009488C"/>
    <w:rsid w:val="000958E9"/>
    <w:rsid w:val="000A09D3"/>
    <w:rsid w:val="000A0D40"/>
    <w:rsid w:val="000B28B9"/>
    <w:rsid w:val="000B3A1B"/>
    <w:rsid w:val="000B5325"/>
    <w:rsid w:val="000B62F1"/>
    <w:rsid w:val="000B68A5"/>
    <w:rsid w:val="000C1D84"/>
    <w:rsid w:val="000C243D"/>
    <w:rsid w:val="000D4BBB"/>
    <w:rsid w:val="000E2C2D"/>
    <w:rsid w:val="000F3EC4"/>
    <w:rsid w:val="00100848"/>
    <w:rsid w:val="00102CFB"/>
    <w:rsid w:val="0011133A"/>
    <w:rsid w:val="00114EF0"/>
    <w:rsid w:val="0011564A"/>
    <w:rsid w:val="00116AED"/>
    <w:rsid w:val="001250A2"/>
    <w:rsid w:val="00132F6C"/>
    <w:rsid w:val="00146793"/>
    <w:rsid w:val="00151003"/>
    <w:rsid w:val="001835C4"/>
    <w:rsid w:val="001A1656"/>
    <w:rsid w:val="001A5C49"/>
    <w:rsid w:val="001C56F7"/>
    <w:rsid w:val="001D5054"/>
    <w:rsid w:val="001E0C98"/>
    <w:rsid w:val="00211A3F"/>
    <w:rsid w:val="0022295E"/>
    <w:rsid w:val="002338C0"/>
    <w:rsid w:val="0023424E"/>
    <w:rsid w:val="0024623D"/>
    <w:rsid w:val="00250422"/>
    <w:rsid w:val="00250AAC"/>
    <w:rsid w:val="00261D68"/>
    <w:rsid w:val="002807B7"/>
    <w:rsid w:val="0029571F"/>
    <w:rsid w:val="002A753C"/>
    <w:rsid w:val="002B3ADC"/>
    <w:rsid w:val="002C07A8"/>
    <w:rsid w:val="002C3DC6"/>
    <w:rsid w:val="002D29DD"/>
    <w:rsid w:val="002E1021"/>
    <w:rsid w:val="002E458B"/>
    <w:rsid w:val="002F3835"/>
    <w:rsid w:val="002F4AC7"/>
    <w:rsid w:val="003000D0"/>
    <w:rsid w:val="003162C6"/>
    <w:rsid w:val="00344E0D"/>
    <w:rsid w:val="00364399"/>
    <w:rsid w:val="0036499C"/>
    <w:rsid w:val="00370EAE"/>
    <w:rsid w:val="00382057"/>
    <w:rsid w:val="00393622"/>
    <w:rsid w:val="003B24C5"/>
    <w:rsid w:val="003B6A59"/>
    <w:rsid w:val="003D18B3"/>
    <w:rsid w:val="003D31CB"/>
    <w:rsid w:val="003F5B5F"/>
    <w:rsid w:val="00407B7B"/>
    <w:rsid w:val="00433A68"/>
    <w:rsid w:val="004341B6"/>
    <w:rsid w:val="004348B3"/>
    <w:rsid w:val="00437974"/>
    <w:rsid w:val="004431B7"/>
    <w:rsid w:val="0044681B"/>
    <w:rsid w:val="00467B1C"/>
    <w:rsid w:val="00470830"/>
    <w:rsid w:val="00472007"/>
    <w:rsid w:val="004736F1"/>
    <w:rsid w:val="00484CEB"/>
    <w:rsid w:val="004936BF"/>
    <w:rsid w:val="004A0F90"/>
    <w:rsid w:val="004A3FDE"/>
    <w:rsid w:val="004B39A1"/>
    <w:rsid w:val="004B580B"/>
    <w:rsid w:val="004E3C18"/>
    <w:rsid w:val="004F0409"/>
    <w:rsid w:val="0050345E"/>
    <w:rsid w:val="00513A26"/>
    <w:rsid w:val="0051474A"/>
    <w:rsid w:val="005244B6"/>
    <w:rsid w:val="00526603"/>
    <w:rsid w:val="00533E4A"/>
    <w:rsid w:val="00557857"/>
    <w:rsid w:val="00563EA6"/>
    <w:rsid w:val="00566E07"/>
    <w:rsid w:val="0057116C"/>
    <w:rsid w:val="00584194"/>
    <w:rsid w:val="00585B9F"/>
    <w:rsid w:val="005A1F16"/>
    <w:rsid w:val="005A2489"/>
    <w:rsid w:val="005B1E8F"/>
    <w:rsid w:val="005C12EA"/>
    <w:rsid w:val="005C1E7F"/>
    <w:rsid w:val="005C2B07"/>
    <w:rsid w:val="005E61DA"/>
    <w:rsid w:val="005E77A4"/>
    <w:rsid w:val="005F2CFE"/>
    <w:rsid w:val="006219EA"/>
    <w:rsid w:val="00625C0A"/>
    <w:rsid w:val="0062604C"/>
    <w:rsid w:val="00626CB9"/>
    <w:rsid w:val="00630876"/>
    <w:rsid w:val="006457AA"/>
    <w:rsid w:val="006561D9"/>
    <w:rsid w:val="00667054"/>
    <w:rsid w:val="00670D26"/>
    <w:rsid w:val="006A2218"/>
    <w:rsid w:val="006A2F8C"/>
    <w:rsid w:val="006A3E53"/>
    <w:rsid w:val="006A4DD9"/>
    <w:rsid w:val="006C2491"/>
    <w:rsid w:val="006C42FF"/>
    <w:rsid w:val="006C7215"/>
    <w:rsid w:val="006E7269"/>
    <w:rsid w:val="006E7A1F"/>
    <w:rsid w:val="006F46CE"/>
    <w:rsid w:val="006F771E"/>
    <w:rsid w:val="00701D81"/>
    <w:rsid w:val="00724281"/>
    <w:rsid w:val="00735289"/>
    <w:rsid w:val="0074150D"/>
    <w:rsid w:val="0074514A"/>
    <w:rsid w:val="0075200B"/>
    <w:rsid w:val="00755C8B"/>
    <w:rsid w:val="00761578"/>
    <w:rsid w:val="00765379"/>
    <w:rsid w:val="0076605A"/>
    <w:rsid w:val="00767275"/>
    <w:rsid w:val="00772D65"/>
    <w:rsid w:val="00773717"/>
    <w:rsid w:val="00795F04"/>
    <w:rsid w:val="00797C52"/>
    <w:rsid w:val="007A1EF1"/>
    <w:rsid w:val="007A79A3"/>
    <w:rsid w:val="007B1155"/>
    <w:rsid w:val="007B7A6E"/>
    <w:rsid w:val="007C13A7"/>
    <w:rsid w:val="007C3614"/>
    <w:rsid w:val="007C3623"/>
    <w:rsid w:val="007D38D8"/>
    <w:rsid w:val="007F0DF5"/>
    <w:rsid w:val="007F27E8"/>
    <w:rsid w:val="007F38F3"/>
    <w:rsid w:val="007F7D5C"/>
    <w:rsid w:val="008061E7"/>
    <w:rsid w:val="00810B15"/>
    <w:rsid w:val="00823CDB"/>
    <w:rsid w:val="0085498E"/>
    <w:rsid w:val="00860EEA"/>
    <w:rsid w:val="00877EC4"/>
    <w:rsid w:val="00894BC7"/>
    <w:rsid w:val="008A2FB2"/>
    <w:rsid w:val="008B3FDD"/>
    <w:rsid w:val="008E2781"/>
    <w:rsid w:val="008F09BF"/>
    <w:rsid w:val="008F3EF0"/>
    <w:rsid w:val="009007DB"/>
    <w:rsid w:val="00903BAB"/>
    <w:rsid w:val="00905365"/>
    <w:rsid w:val="00905E85"/>
    <w:rsid w:val="00910042"/>
    <w:rsid w:val="00911A3C"/>
    <w:rsid w:val="00913242"/>
    <w:rsid w:val="00942ABF"/>
    <w:rsid w:val="009532DF"/>
    <w:rsid w:val="0095622A"/>
    <w:rsid w:val="0095635F"/>
    <w:rsid w:val="00956B59"/>
    <w:rsid w:val="00956C53"/>
    <w:rsid w:val="00960825"/>
    <w:rsid w:val="00963445"/>
    <w:rsid w:val="009716F4"/>
    <w:rsid w:val="00987716"/>
    <w:rsid w:val="009A711C"/>
    <w:rsid w:val="009C2112"/>
    <w:rsid w:val="009C2FFC"/>
    <w:rsid w:val="009C4688"/>
    <w:rsid w:val="009D484E"/>
    <w:rsid w:val="009E18A4"/>
    <w:rsid w:val="009E2941"/>
    <w:rsid w:val="009E57AE"/>
    <w:rsid w:val="009E68E1"/>
    <w:rsid w:val="009F583F"/>
    <w:rsid w:val="00A01F4F"/>
    <w:rsid w:val="00A038C8"/>
    <w:rsid w:val="00A04588"/>
    <w:rsid w:val="00A35EC8"/>
    <w:rsid w:val="00A558A8"/>
    <w:rsid w:val="00A674E3"/>
    <w:rsid w:val="00A67C6F"/>
    <w:rsid w:val="00A717B4"/>
    <w:rsid w:val="00A800D8"/>
    <w:rsid w:val="00A861E6"/>
    <w:rsid w:val="00A874BD"/>
    <w:rsid w:val="00A92A38"/>
    <w:rsid w:val="00A95E9E"/>
    <w:rsid w:val="00AA29A4"/>
    <w:rsid w:val="00AA7CA9"/>
    <w:rsid w:val="00AB25EB"/>
    <w:rsid w:val="00AC0E4B"/>
    <w:rsid w:val="00AC116B"/>
    <w:rsid w:val="00AC171A"/>
    <w:rsid w:val="00AC4E3F"/>
    <w:rsid w:val="00AD35DA"/>
    <w:rsid w:val="00AD4846"/>
    <w:rsid w:val="00AD6D19"/>
    <w:rsid w:val="00AF19E2"/>
    <w:rsid w:val="00B132D5"/>
    <w:rsid w:val="00B26C90"/>
    <w:rsid w:val="00B35093"/>
    <w:rsid w:val="00B3756C"/>
    <w:rsid w:val="00B46122"/>
    <w:rsid w:val="00B60A35"/>
    <w:rsid w:val="00B66393"/>
    <w:rsid w:val="00B71123"/>
    <w:rsid w:val="00B71C0A"/>
    <w:rsid w:val="00B74AE0"/>
    <w:rsid w:val="00B91E0D"/>
    <w:rsid w:val="00B93D83"/>
    <w:rsid w:val="00BA0300"/>
    <w:rsid w:val="00BA06DA"/>
    <w:rsid w:val="00BA3C20"/>
    <w:rsid w:val="00BF179E"/>
    <w:rsid w:val="00C16EFA"/>
    <w:rsid w:val="00C206C8"/>
    <w:rsid w:val="00C23163"/>
    <w:rsid w:val="00C5507B"/>
    <w:rsid w:val="00C72C04"/>
    <w:rsid w:val="00C756F6"/>
    <w:rsid w:val="00C93371"/>
    <w:rsid w:val="00CA1F3A"/>
    <w:rsid w:val="00CA4AEF"/>
    <w:rsid w:val="00CA5F03"/>
    <w:rsid w:val="00CA7B9C"/>
    <w:rsid w:val="00CB6EBC"/>
    <w:rsid w:val="00CB6EC9"/>
    <w:rsid w:val="00CC5479"/>
    <w:rsid w:val="00CD0653"/>
    <w:rsid w:val="00CD736E"/>
    <w:rsid w:val="00CE0C48"/>
    <w:rsid w:val="00CF01EC"/>
    <w:rsid w:val="00CF0C8C"/>
    <w:rsid w:val="00D239EA"/>
    <w:rsid w:val="00D269CD"/>
    <w:rsid w:val="00D26B47"/>
    <w:rsid w:val="00D26F08"/>
    <w:rsid w:val="00D30E2F"/>
    <w:rsid w:val="00D32511"/>
    <w:rsid w:val="00D374B5"/>
    <w:rsid w:val="00D4299A"/>
    <w:rsid w:val="00D4453F"/>
    <w:rsid w:val="00D476F8"/>
    <w:rsid w:val="00D539DF"/>
    <w:rsid w:val="00D70B80"/>
    <w:rsid w:val="00D808CB"/>
    <w:rsid w:val="00D821F1"/>
    <w:rsid w:val="00D85402"/>
    <w:rsid w:val="00D943AE"/>
    <w:rsid w:val="00D978B2"/>
    <w:rsid w:val="00DA1B6D"/>
    <w:rsid w:val="00DB5533"/>
    <w:rsid w:val="00DC0E6F"/>
    <w:rsid w:val="00DC364E"/>
    <w:rsid w:val="00DC6CBD"/>
    <w:rsid w:val="00DE1AF0"/>
    <w:rsid w:val="00DF36DB"/>
    <w:rsid w:val="00E35727"/>
    <w:rsid w:val="00E43E55"/>
    <w:rsid w:val="00E64635"/>
    <w:rsid w:val="00E65D4B"/>
    <w:rsid w:val="00E81077"/>
    <w:rsid w:val="00E9603A"/>
    <w:rsid w:val="00EA0C54"/>
    <w:rsid w:val="00EA5560"/>
    <w:rsid w:val="00EB4466"/>
    <w:rsid w:val="00EB5AEF"/>
    <w:rsid w:val="00EB6CD6"/>
    <w:rsid w:val="00EB7333"/>
    <w:rsid w:val="00EC374D"/>
    <w:rsid w:val="00EE222F"/>
    <w:rsid w:val="00EF76E2"/>
    <w:rsid w:val="00F028CF"/>
    <w:rsid w:val="00F05B61"/>
    <w:rsid w:val="00F13631"/>
    <w:rsid w:val="00F15079"/>
    <w:rsid w:val="00F2154B"/>
    <w:rsid w:val="00F249DC"/>
    <w:rsid w:val="00F24B90"/>
    <w:rsid w:val="00F24D7B"/>
    <w:rsid w:val="00F436B3"/>
    <w:rsid w:val="00F547A1"/>
    <w:rsid w:val="00F64FBB"/>
    <w:rsid w:val="00F659D1"/>
    <w:rsid w:val="00F83725"/>
    <w:rsid w:val="00F97344"/>
    <w:rsid w:val="00FA2161"/>
    <w:rsid w:val="00FA235E"/>
    <w:rsid w:val="00FA40C8"/>
    <w:rsid w:val="00FB56D4"/>
    <w:rsid w:val="00FD4060"/>
    <w:rsid w:val="00FD4F09"/>
    <w:rsid w:val="00FF1F7A"/>
    <w:rsid w:val="00FF3271"/>
    <w:rsid w:val="00FF4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D678983"/>
  <w15:docId w15:val="{A366B349-32C2-4966-AC16-B15BB6E4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F436B3"/>
    <w:pPr>
      <w:keepNext/>
      <w:spacing w:after="0" w:line="240" w:lineRule="auto"/>
      <w:jc w:val="both"/>
      <w:outlineLvl w:val="0"/>
    </w:pPr>
    <w:rPr>
      <w:rFonts w:ascii="Arial" w:eastAsia="Times New Roman" w:hAnsi="Arial" w:cs="Times New Roman"/>
      <w:i/>
      <w:sz w:val="24"/>
      <w:szCs w:val="20"/>
    </w:rPr>
  </w:style>
  <w:style w:type="paragraph" w:styleId="Heading2">
    <w:name w:val="heading 2"/>
    <w:basedOn w:val="Normal"/>
    <w:next w:val="Normal"/>
    <w:link w:val="Heading2Char"/>
    <w:uiPriority w:val="99"/>
    <w:qFormat/>
    <w:rsid w:val="00F436B3"/>
    <w:pPr>
      <w:keepNext/>
      <w:spacing w:after="0" w:line="240" w:lineRule="auto"/>
      <w:jc w:val="center"/>
      <w:outlineLvl w:val="1"/>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CEB"/>
    <w:pPr>
      <w:ind w:left="720"/>
      <w:contextualSpacing/>
    </w:pPr>
  </w:style>
  <w:style w:type="character" w:customStyle="1" w:styleId="ssbf1">
    <w:name w:val="ss_bf1"/>
    <w:basedOn w:val="DefaultParagraphFont"/>
    <w:rsid w:val="00AC4E3F"/>
    <w:rPr>
      <w:b/>
      <w:bCs/>
      <w:color w:val="373739"/>
    </w:rPr>
  </w:style>
  <w:style w:type="character" w:customStyle="1" w:styleId="ssit1">
    <w:name w:val="ss_it1"/>
    <w:basedOn w:val="DefaultParagraphFont"/>
    <w:rsid w:val="00AC4E3F"/>
    <w:rPr>
      <w:i/>
      <w:iCs/>
    </w:rPr>
  </w:style>
  <w:style w:type="paragraph" w:styleId="FootnoteText">
    <w:name w:val="footnote text"/>
    <w:basedOn w:val="Normal"/>
    <w:link w:val="FootnoteTextChar"/>
    <w:uiPriority w:val="99"/>
    <w:unhideWhenUsed/>
    <w:rsid w:val="00EB5AEF"/>
    <w:pPr>
      <w:spacing w:after="0" w:line="240" w:lineRule="auto"/>
    </w:pPr>
    <w:rPr>
      <w:sz w:val="20"/>
      <w:szCs w:val="20"/>
    </w:rPr>
  </w:style>
  <w:style w:type="character" w:customStyle="1" w:styleId="FootnoteTextChar">
    <w:name w:val="Footnote Text Char"/>
    <w:basedOn w:val="DefaultParagraphFont"/>
    <w:link w:val="FootnoteText"/>
    <w:uiPriority w:val="99"/>
    <w:rsid w:val="00EB5AEF"/>
    <w:rPr>
      <w:sz w:val="20"/>
      <w:szCs w:val="20"/>
    </w:rPr>
  </w:style>
  <w:style w:type="character" w:styleId="FootnoteReference">
    <w:name w:val="footnote reference"/>
    <w:basedOn w:val="DefaultParagraphFont"/>
    <w:uiPriority w:val="99"/>
    <w:unhideWhenUsed/>
    <w:rsid w:val="00EB5AEF"/>
    <w:rPr>
      <w:vertAlign w:val="superscript"/>
    </w:rPr>
  </w:style>
  <w:style w:type="paragraph" w:styleId="Header">
    <w:name w:val="header"/>
    <w:basedOn w:val="Normal"/>
    <w:link w:val="HeaderChar"/>
    <w:uiPriority w:val="99"/>
    <w:unhideWhenUsed/>
    <w:rsid w:val="00626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04C"/>
  </w:style>
  <w:style w:type="paragraph" w:styleId="Footer">
    <w:name w:val="footer"/>
    <w:basedOn w:val="Normal"/>
    <w:link w:val="FooterChar"/>
    <w:uiPriority w:val="99"/>
    <w:unhideWhenUsed/>
    <w:rsid w:val="00626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04C"/>
  </w:style>
  <w:style w:type="character" w:customStyle="1" w:styleId="ssun1">
    <w:name w:val="ss_un1"/>
    <w:basedOn w:val="DefaultParagraphFont"/>
    <w:rsid w:val="001A5C49"/>
    <w:rPr>
      <w:u w:val="single"/>
    </w:rPr>
  </w:style>
  <w:style w:type="character" w:styleId="Hyperlink">
    <w:name w:val="Hyperlink"/>
    <w:basedOn w:val="DefaultParagraphFont"/>
    <w:uiPriority w:val="99"/>
    <w:semiHidden/>
    <w:unhideWhenUsed/>
    <w:rsid w:val="00062DAB"/>
    <w:rPr>
      <w:color w:val="0077CC"/>
      <w:u w:val="single"/>
    </w:rPr>
  </w:style>
  <w:style w:type="character" w:customStyle="1" w:styleId="sssh">
    <w:name w:val="ss_sh"/>
    <w:basedOn w:val="DefaultParagraphFont"/>
    <w:rsid w:val="00047BD3"/>
  </w:style>
  <w:style w:type="character" w:customStyle="1" w:styleId="Heading1Char">
    <w:name w:val="Heading 1 Char"/>
    <w:basedOn w:val="DefaultParagraphFont"/>
    <w:link w:val="Heading1"/>
    <w:uiPriority w:val="99"/>
    <w:rsid w:val="00F436B3"/>
    <w:rPr>
      <w:rFonts w:ascii="Arial" w:eastAsia="Times New Roman" w:hAnsi="Arial" w:cs="Times New Roman"/>
      <w:i/>
      <w:sz w:val="24"/>
      <w:szCs w:val="20"/>
    </w:rPr>
  </w:style>
  <w:style w:type="character" w:customStyle="1" w:styleId="Heading2Char">
    <w:name w:val="Heading 2 Char"/>
    <w:basedOn w:val="DefaultParagraphFont"/>
    <w:link w:val="Heading2"/>
    <w:uiPriority w:val="99"/>
    <w:rsid w:val="00F436B3"/>
    <w:rPr>
      <w:rFonts w:ascii="Arial" w:eastAsia="Times New Roman" w:hAnsi="Arial" w:cs="Times New Roman"/>
      <w:sz w:val="24"/>
      <w:szCs w:val="20"/>
    </w:rPr>
  </w:style>
  <w:style w:type="table" w:styleId="TableGrid">
    <w:name w:val="Table Grid"/>
    <w:basedOn w:val="TableNormal"/>
    <w:uiPriority w:val="99"/>
    <w:rsid w:val="00F436B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05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B61"/>
    <w:rPr>
      <w:rFonts w:ascii="Segoe UI" w:hAnsi="Segoe UI" w:cs="Segoe UI"/>
      <w:sz w:val="18"/>
      <w:szCs w:val="18"/>
    </w:rPr>
  </w:style>
  <w:style w:type="character" w:styleId="CommentReference">
    <w:name w:val="annotation reference"/>
    <w:basedOn w:val="DefaultParagraphFont"/>
    <w:uiPriority w:val="99"/>
    <w:semiHidden/>
    <w:unhideWhenUsed/>
    <w:rsid w:val="00F05B61"/>
    <w:rPr>
      <w:sz w:val="16"/>
      <w:szCs w:val="16"/>
    </w:rPr>
  </w:style>
  <w:style w:type="paragraph" w:styleId="CommentText">
    <w:name w:val="annotation text"/>
    <w:basedOn w:val="Normal"/>
    <w:link w:val="CommentTextChar"/>
    <w:uiPriority w:val="99"/>
    <w:semiHidden/>
    <w:unhideWhenUsed/>
    <w:rsid w:val="00F05B61"/>
    <w:pPr>
      <w:spacing w:line="240" w:lineRule="auto"/>
    </w:pPr>
    <w:rPr>
      <w:sz w:val="20"/>
      <w:szCs w:val="20"/>
    </w:rPr>
  </w:style>
  <w:style w:type="character" w:customStyle="1" w:styleId="CommentTextChar">
    <w:name w:val="Comment Text Char"/>
    <w:basedOn w:val="DefaultParagraphFont"/>
    <w:link w:val="CommentText"/>
    <w:uiPriority w:val="99"/>
    <w:semiHidden/>
    <w:rsid w:val="00F05B61"/>
    <w:rPr>
      <w:sz w:val="20"/>
      <w:szCs w:val="20"/>
    </w:rPr>
  </w:style>
  <w:style w:type="paragraph" w:styleId="CommentSubject">
    <w:name w:val="annotation subject"/>
    <w:basedOn w:val="CommentText"/>
    <w:next w:val="CommentText"/>
    <w:link w:val="CommentSubjectChar"/>
    <w:uiPriority w:val="99"/>
    <w:semiHidden/>
    <w:unhideWhenUsed/>
    <w:rsid w:val="00F05B61"/>
    <w:rPr>
      <w:b/>
      <w:bCs/>
    </w:rPr>
  </w:style>
  <w:style w:type="character" w:customStyle="1" w:styleId="CommentSubjectChar">
    <w:name w:val="Comment Subject Char"/>
    <w:basedOn w:val="CommentTextChar"/>
    <w:link w:val="CommentSubject"/>
    <w:uiPriority w:val="99"/>
    <w:semiHidden/>
    <w:rsid w:val="00F05B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648133">
      <w:bodyDiv w:val="1"/>
      <w:marLeft w:val="0"/>
      <w:marRight w:val="0"/>
      <w:marTop w:val="0"/>
      <w:marBottom w:val="0"/>
      <w:divBdr>
        <w:top w:val="none" w:sz="0" w:space="0" w:color="auto"/>
        <w:left w:val="none" w:sz="0" w:space="0" w:color="auto"/>
        <w:bottom w:val="none" w:sz="0" w:space="0" w:color="auto"/>
        <w:right w:val="none" w:sz="0" w:space="0" w:color="auto"/>
      </w:divBdr>
      <w:divsChild>
        <w:div w:id="69693749">
          <w:marLeft w:val="0"/>
          <w:marRight w:val="0"/>
          <w:marTop w:val="0"/>
          <w:marBottom w:val="0"/>
          <w:divBdr>
            <w:top w:val="none" w:sz="0" w:space="0" w:color="auto"/>
            <w:left w:val="none" w:sz="0" w:space="0" w:color="auto"/>
            <w:bottom w:val="none" w:sz="0" w:space="0" w:color="auto"/>
            <w:right w:val="none" w:sz="0" w:space="0" w:color="auto"/>
          </w:divBdr>
          <w:divsChild>
            <w:div w:id="1319383347">
              <w:marLeft w:val="0"/>
              <w:marRight w:val="0"/>
              <w:marTop w:val="0"/>
              <w:marBottom w:val="0"/>
              <w:divBdr>
                <w:top w:val="none" w:sz="0" w:space="0" w:color="auto"/>
                <w:left w:val="none" w:sz="0" w:space="0" w:color="auto"/>
                <w:bottom w:val="none" w:sz="0" w:space="0" w:color="auto"/>
                <w:right w:val="none" w:sz="0" w:space="0" w:color="auto"/>
              </w:divBdr>
              <w:divsChild>
                <w:div w:id="984704656">
                  <w:marLeft w:val="0"/>
                  <w:marRight w:val="300"/>
                  <w:marTop w:val="0"/>
                  <w:marBottom w:val="0"/>
                  <w:divBdr>
                    <w:top w:val="none" w:sz="0" w:space="0" w:color="auto"/>
                    <w:left w:val="none" w:sz="0" w:space="0" w:color="auto"/>
                    <w:bottom w:val="none" w:sz="0" w:space="0" w:color="auto"/>
                    <w:right w:val="none" w:sz="0" w:space="0" w:color="auto"/>
                  </w:divBdr>
                  <w:divsChild>
                    <w:div w:id="271859965">
                      <w:marLeft w:val="0"/>
                      <w:marRight w:val="0"/>
                      <w:marTop w:val="0"/>
                      <w:marBottom w:val="0"/>
                      <w:divBdr>
                        <w:top w:val="single" w:sz="6" w:space="26" w:color="BCBEC0"/>
                        <w:left w:val="single" w:sz="6" w:space="26" w:color="BCBEC0"/>
                        <w:bottom w:val="single" w:sz="6" w:space="26" w:color="BCBEC0"/>
                        <w:right w:val="single" w:sz="6" w:space="26" w:color="BCBEC0"/>
                      </w:divBdr>
                      <w:divsChild>
                        <w:div w:id="1382292349">
                          <w:marLeft w:val="0"/>
                          <w:marRight w:val="0"/>
                          <w:marTop w:val="0"/>
                          <w:marBottom w:val="0"/>
                          <w:divBdr>
                            <w:top w:val="none" w:sz="0" w:space="0" w:color="auto"/>
                            <w:left w:val="none" w:sz="0" w:space="0" w:color="auto"/>
                            <w:bottom w:val="none" w:sz="0" w:space="0" w:color="auto"/>
                            <w:right w:val="none" w:sz="0" w:space="0" w:color="auto"/>
                          </w:divBdr>
                          <w:divsChild>
                            <w:div w:id="9443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383803">
      <w:bodyDiv w:val="1"/>
      <w:marLeft w:val="0"/>
      <w:marRight w:val="0"/>
      <w:marTop w:val="0"/>
      <w:marBottom w:val="0"/>
      <w:divBdr>
        <w:top w:val="none" w:sz="0" w:space="0" w:color="auto"/>
        <w:left w:val="none" w:sz="0" w:space="0" w:color="auto"/>
        <w:bottom w:val="none" w:sz="0" w:space="0" w:color="auto"/>
        <w:right w:val="none" w:sz="0" w:space="0" w:color="auto"/>
      </w:divBdr>
      <w:divsChild>
        <w:div w:id="455104670">
          <w:marLeft w:val="0"/>
          <w:marRight w:val="0"/>
          <w:marTop w:val="0"/>
          <w:marBottom w:val="0"/>
          <w:divBdr>
            <w:top w:val="none" w:sz="0" w:space="0" w:color="auto"/>
            <w:left w:val="none" w:sz="0" w:space="0" w:color="auto"/>
            <w:bottom w:val="none" w:sz="0" w:space="0" w:color="auto"/>
            <w:right w:val="none" w:sz="0" w:space="0" w:color="auto"/>
          </w:divBdr>
          <w:divsChild>
            <w:div w:id="1173497159">
              <w:marLeft w:val="0"/>
              <w:marRight w:val="0"/>
              <w:marTop w:val="0"/>
              <w:marBottom w:val="0"/>
              <w:divBdr>
                <w:top w:val="none" w:sz="0" w:space="0" w:color="auto"/>
                <w:left w:val="none" w:sz="0" w:space="0" w:color="auto"/>
                <w:bottom w:val="none" w:sz="0" w:space="0" w:color="auto"/>
                <w:right w:val="none" w:sz="0" w:space="0" w:color="auto"/>
              </w:divBdr>
              <w:divsChild>
                <w:div w:id="1767580563">
                  <w:marLeft w:val="0"/>
                  <w:marRight w:val="300"/>
                  <w:marTop w:val="0"/>
                  <w:marBottom w:val="0"/>
                  <w:divBdr>
                    <w:top w:val="none" w:sz="0" w:space="0" w:color="auto"/>
                    <w:left w:val="none" w:sz="0" w:space="0" w:color="auto"/>
                    <w:bottom w:val="none" w:sz="0" w:space="0" w:color="auto"/>
                    <w:right w:val="none" w:sz="0" w:space="0" w:color="auto"/>
                  </w:divBdr>
                  <w:divsChild>
                    <w:div w:id="440539013">
                      <w:marLeft w:val="0"/>
                      <w:marRight w:val="0"/>
                      <w:marTop w:val="0"/>
                      <w:marBottom w:val="0"/>
                      <w:divBdr>
                        <w:top w:val="single" w:sz="6" w:space="26" w:color="BCBEC0"/>
                        <w:left w:val="single" w:sz="6" w:space="26" w:color="BCBEC0"/>
                        <w:bottom w:val="single" w:sz="6" w:space="26" w:color="BCBEC0"/>
                        <w:right w:val="single" w:sz="6" w:space="26" w:color="BCBEC0"/>
                      </w:divBdr>
                      <w:divsChild>
                        <w:div w:id="1207714241">
                          <w:marLeft w:val="0"/>
                          <w:marRight w:val="0"/>
                          <w:marTop w:val="0"/>
                          <w:marBottom w:val="0"/>
                          <w:divBdr>
                            <w:top w:val="none" w:sz="0" w:space="0" w:color="auto"/>
                            <w:left w:val="none" w:sz="0" w:space="0" w:color="auto"/>
                            <w:bottom w:val="none" w:sz="0" w:space="0" w:color="auto"/>
                            <w:right w:val="none" w:sz="0" w:space="0" w:color="auto"/>
                          </w:divBdr>
                          <w:divsChild>
                            <w:div w:id="57890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91576">
      <w:bodyDiv w:val="1"/>
      <w:marLeft w:val="0"/>
      <w:marRight w:val="0"/>
      <w:marTop w:val="0"/>
      <w:marBottom w:val="0"/>
      <w:divBdr>
        <w:top w:val="none" w:sz="0" w:space="0" w:color="auto"/>
        <w:left w:val="none" w:sz="0" w:space="0" w:color="auto"/>
        <w:bottom w:val="none" w:sz="0" w:space="0" w:color="auto"/>
        <w:right w:val="none" w:sz="0" w:space="0" w:color="auto"/>
      </w:divBdr>
      <w:divsChild>
        <w:div w:id="2043433781">
          <w:marLeft w:val="0"/>
          <w:marRight w:val="0"/>
          <w:marTop w:val="0"/>
          <w:marBottom w:val="0"/>
          <w:divBdr>
            <w:top w:val="none" w:sz="0" w:space="0" w:color="auto"/>
            <w:left w:val="none" w:sz="0" w:space="0" w:color="auto"/>
            <w:bottom w:val="none" w:sz="0" w:space="0" w:color="auto"/>
            <w:right w:val="none" w:sz="0" w:space="0" w:color="auto"/>
          </w:divBdr>
          <w:divsChild>
            <w:div w:id="1706100379">
              <w:marLeft w:val="0"/>
              <w:marRight w:val="0"/>
              <w:marTop w:val="0"/>
              <w:marBottom w:val="0"/>
              <w:divBdr>
                <w:top w:val="none" w:sz="0" w:space="0" w:color="auto"/>
                <w:left w:val="none" w:sz="0" w:space="0" w:color="auto"/>
                <w:bottom w:val="none" w:sz="0" w:space="0" w:color="auto"/>
                <w:right w:val="none" w:sz="0" w:space="0" w:color="auto"/>
              </w:divBdr>
              <w:divsChild>
                <w:div w:id="739713990">
                  <w:marLeft w:val="0"/>
                  <w:marRight w:val="300"/>
                  <w:marTop w:val="0"/>
                  <w:marBottom w:val="0"/>
                  <w:divBdr>
                    <w:top w:val="none" w:sz="0" w:space="0" w:color="auto"/>
                    <w:left w:val="none" w:sz="0" w:space="0" w:color="auto"/>
                    <w:bottom w:val="none" w:sz="0" w:space="0" w:color="auto"/>
                    <w:right w:val="none" w:sz="0" w:space="0" w:color="auto"/>
                  </w:divBdr>
                  <w:divsChild>
                    <w:div w:id="1881164226">
                      <w:marLeft w:val="0"/>
                      <w:marRight w:val="0"/>
                      <w:marTop w:val="0"/>
                      <w:marBottom w:val="0"/>
                      <w:divBdr>
                        <w:top w:val="single" w:sz="6" w:space="26" w:color="BCBEC0"/>
                        <w:left w:val="single" w:sz="6" w:space="26" w:color="BCBEC0"/>
                        <w:bottom w:val="single" w:sz="6" w:space="26" w:color="BCBEC0"/>
                        <w:right w:val="single" w:sz="6" w:space="26" w:color="BCBEC0"/>
                      </w:divBdr>
                      <w:divsChild>
                        <w:div w:id="188297576">
                          <w:marLeft w:val="0"/>
                          <w:marRight w:val="0"/>
                          <w:marTop w:val="0"/>
                          <w:marBottom w:val="0"/>
                          <w:divBdr>
                            <w:top w:val="none" w:sz="0" w:space="0" w:color="auto"/>
                            <w:left w:val="none" w:sz="0" w:space="0" w:color="auto"/>
                            <w:bottom w:val="none" w:sz="0" w:space="0" w:color="auto"/>
                            <w:right w:val="none" w:sz="0" w:space="0" w:color="auto"/>
                          </w:divBdr>
                          <w:divsChild>
                            <w:div w:id="15825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260898">
      <w:bodyDiv w:val="1"/>
      <w:marLeft w:val="0"/>
      <w:marRight w:val="0"/>
      <w:marTop w:val="0"/>
      <w:marBottom w:val="0"/>
      <w:divBdr>
        <w:top w:val="none" w:sz="0" w:space="0" w:color="auto"/>
        <w:left w:val="none" w:sz="0" w:space="0" w:color="auto"/>
        <w:bottom w:val="none" w:sz="0" w:space="0" w:color="auto"/>
        <w:right w:val="none" w:sz="0" w:space="0" w:color="auto"/>
      </w:divBdr>
      <w:divsChild>
        <w:div w:id="941188435">
          <w:marLeft w:val="0"/>
          <w:marRight w:val="0"/>
          <w:marTop w:val="0"/>
          <w:marBottom w:val="0"/>
          <w:divBdr>
            <w:top w:val="none" w:sz="0" w:space="0" w:color="auto"/>
            <w:left w:val="none" w:sz="0" w:space="0" w:color="auto"/>
            <w:bottom w:val="none" w:sz="0" w:space="0" w:color="auto"/>
            <w:right w:val="none" w:sz="0" w:space="0" w:color="auto"/>
          </w:divBdr>
          <w:divsChild>
            <w:div w:id="2088570375">
              <w:marLeft w:val="0"/>
              <w:marRight w:val="0"/>
              <w:marTop w:val="0"/>
              <w:marBottom w:val="0"/>
              <w:divBdr>
                <w:top w:val="none" w:sz="0" w:space="0" w:color="auto"/>
                <w:left w:val="none" w:sz="0" w:space="0" w:color="auto"/>
                <w:bottom w:val="none" w:sz="0" w:space="0" w:color="auto"/>
                <w:right w:val="none" w:sz="0" w:space="0" w:color="auto"/>
              </w:divBdr>
              <w:divsChild>
                <w:div w:id="1272279081">
                  <w:marLeft w:val="0"/>
                  <w:marRight w:val="300"/>
                  <w:marTop w:val="0"/>
                  <w:marBottom w:val="0"/>
                  <w:divBdr>
                    <w:top w:val="none" w:sz="0" w:space="0" w:color="auto"/>
                    <w:left w:val="none" w:sz="0" w:space="0" w:color="auto"/>
                    <w:bottom w:val="none" w:sz="0" w:space="0" w:color="auto"/>
                    <w:right w:val="none" w:sz="0" w:space="0" w:color="auto"/>
                  </w:divBdr>
                  <w:divsChild>
                    <w:div w:id="1150244341">
                      <w:marLeft w:val="0"/>
                      <w:marRight w:val="0"/>
                      <w:marTop w:val="0"/>
                      <w:marBottom w:val="0"/>
                      <w:divBdr>
                        <w:top w:val="single" w:sz="6" w:space="26" w:color="BCBEC0"/>
                        <w:left w:val="single" w:sz="6" w:space="26" w:color="BCBEC0"/>
                        <w:bottom w:val="single" w:sz="6" w:space="26" w:color="BCBEC0"/>
                        <w:right w:val="single" w:sz="6" w:space="26" w:color="BCBEC0"/>
                      </w:divBdr>
                      <w:divsChild>
                        <w:div w:id="202065296">
                          <w:marLeft w:val="0"/>
                          <w:marRight w:val="0"/>
                          <w:marTop w:val="0"/>
                          <w:marBottom w:val="0"/>
                          <w:divBdr>
                            <w:top w:val="none" w:sz="0" w:space="0" w:color="auto"/>
                            <w:left w:val="none" w:sz="0" w:space="0" w:color="auto"/>
                            <w:bottom w:val="none" w:sz="0" w:space="0" w:color="auto"/>
                            <w:right w:val="none" w:sz="0" w:space="0" w:color="auto"/>
                          </w:divBdr>
                          <w:divsChild>
                            <w:div w:id="126761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11536">
      <w:bodyDiv w:val="1"/>
      <w:marLeft w:val="0"/>
      <w:marRight w:val="0"/>
      <w:marTop w:val="0"/>
      <w:marBottom w:val="0"/>
      <w:divBdr>
        <w:top w:val="none" w:sz="0" w:space="0" w:color="auto"/>
        <w:left w:val="none" w:sz="0" w:space="0" w:color="auto"/>
        <w:bottom w:val="none" w:sz="0" w:space="0" w:color="auto"/>
        <w:right w:val="none" w:sz="0" w:space="0" w:color="auto"/>
      </w:divBdr>
      <w:divsChild>
        <w:div w:id="2004694957">
          <w:marLeft w:val="0"/>
          <w:marRight w:val="0"/>
          <w:marTop w:val="0"/>
          <w:marBottom w:val="0"/>
          <w:divBdr>
            <w:top w:val="none" w:sz="0" w:space="0" w:color="auto"/>
            <w:left w:val="none" w:sz="0" w:space="0" w:color="auto"/>
            <w:bottom w:val="none" w:sz="0" w:space="0" w:color="auto"/>
            <w:right w:val="none" w:sz="0" w:space="0" w:color="auto"/>
          </w:divBdr>
          <w:divsChild>
            <w:div w:id="1711807676">
              <w:marLeft w:val="0"/>
              <w:marRight w:val="0"/>
              <w:marTop w:val="0"/>
              <w:marBottom w:val="0"/>
              <w:divBdr>
                <w:top w:val="none" w:sz="0" w:space="0" w:color="auto"/>
                <w:left w:val="none" w:sz="0" w:space="0" w:color="auto"/>
                <w:bottom w:val="none" w:sz="0" w:space="0" w:color="auto"/>
                <w:right w:val="none" w:sz="0" w:space="0" w:color="auto"/>
              </w:divBdr>
              <w:divsChild>
                <w:div w:id="1510868264">
                  <w:marLeft w:val="0"/>
                  <w:marRight w:val="300"/>
                  <w:marTop w:val="0"/>
                  <w:marBottom w:val="0"/>
                  <w:divBdr>
                    <w:top w:val="none" w:sz="0" w:space="0" w:color="auto"/>
                    <w:left w:val="none" w:sz="0" w:space="0" w:color="auto"/>
                    <w:bottom w:val="none" w:sz="0" w:space="0" w:color="auto"/>
                    <w:right w:val="none" w:sz="0" w:space="0" w:color="auto"/>
                  </w:divBdr>
                  <w:divsChild>
                    <w:div w:id="396589280">
                      <w:marLeft w:val="0"/>
                      <w:marRight w:val="0"/>
                      <w:marTop w:val="0"/>
                      <w:marBottom w:val="0"/>
                      <w:divBdr>
                        <w:top w:val="single" w:sz="6" w:space="26" w:color="BCBEC0"/>
                        <w:left w:val="single" w:sz="6" w:space="26" w:color="BCBEC0"/>
                        <w:bottom w:val="single" w:sz="6" w:space="26" w:color="BCBEC0"/>
                        <w:right w:val="single" w:sz="6" w:space="26" w:color="BCBEC0"/>
                      </w:divBdr>
                      <w:divsChild>
                        <w:div w:id="946473612">
                          <w:marLeft w:val="0"/>
                          <w:marRight w:val="0"/>
                          <w:marTop w:val="0"/>
                          <w:marBottom w:val="0"/>
                          <w:divBdr>
                            <w:top w:val="none" w:sz="0" w:space="0" w:color="auto"/>
                            <w:left w:val="none" w:sz="0" w:space="0" w:color="auto"/>
                            <w:bottom w:val="none" w:sz="0" w:space="0" w:color="auto"/>
                            <w:right w:val="none" w:sz="0" w:space="0" w:color="auto"/>
                          </w:divBdr>
                          <w:divsChild>
                            <w:div w:id="17260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vance.lexis.com/search/?pdmfid=1505209&amp;crid=8fa36124-ccd8-455b-9d20-77469e7119a2&amp;pdsearchterms=2017NBQB027&amp;pdicsfeatureid=1517129&amp;pdstartin=hlct%3A1%3A11&amp;pdtypeofsearch=searchboxclick&amp;pdsearchtype=SearchBox&amp;pdqttype=and&amp;pdpsf=%3A%3A1&amp;ecomp=Lfgg&amp;earg=pdpsf&amp;prid=1cbe22c6-2a63-453b-bbc2-62f45bc6fe7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vance.lexis.com/search/?pdmfid=1505209&amp;crid=8fa36124-ccd8-455b-9d20-77469e7119a2&amp;pdsearchterms=2017NBQB027&amp;pdicsfeatureid=1517129&amp;pdstartin=hlct%3A1%3A11&amp;pdtypeofsearch=searchboxclick&amp;pdsearchtype=SearchBox&amp;pdqttype=and&amp;pdpsf=%3A%3A1&amp;ecomp=Lfgg&amp;earg=pdpsf&amp;prid=1cbe22c6-2a63-453b-bbc2-62f45bc6fe7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dvance.lexis.com/document/documentlink/?pdmfid=1505209&amp;crid=b681ff20-dcdb-4aca-8b71-6eb739379fbe&amp;pddocfullpath=%2Fshared%2Fdocument%2Fcases-ca%2Furn%3AcontentItem%3A5F8T-N3R1-FBV7-B0BT-00000-00&amp;pdcontentcomponentid=281150&amp;pddoctitle=%5B1949%5D+S.C.R.+172&amp;pdproductcontenttypeid=urn%3Apct%3A221&amp;pdiskwicview=false&amp;ecomp=5gsdk&amp;prid=ea2389f7-63f1-4b35-81c4-2664ac289d56" TargetMode="External"/><Relationship Id="rId4" Type="http://schemas.openxmlformats.org/officeDocument/2006/relationships/settings" Target="settings.xml"/><Relationship Id="rId9" Type="http://schemas.openxmlformats.org/officeDocument/2006/relationships/hyperlink" Target="https://advance.lexis.com/search/?pdmfid=1505209&amp;crid=ea2389f7-63f1-4b35-81c4-2664ac289d56&amp;pdsearchterms=19981scr679&amp;pdicsfeatureid=1517129&amp;pdstartin=hlct%3A1%3A11&amp;pdtypeofsearch=searchboxclick&amp;pdsearchtype=SearchBox&amp;pdqttype=and&amp;pdpsf=%3A%3A1&amp;ecomp=44gt9kk&amp;earg=pdpsf&amp;prid=16517c9f-2911-4610-a037-e3734e029a9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DC90C-6A79-47F9-AF51-CBFA0E491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7156</Words>
  <Characters>40793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Gorin</dc:creator>
  <cp:lastModifiedBy>Tracy Downes</cp:lastModifiedBy>
  <cp:revision>5</cp:revision>
  <cp:lastPrinted>2018-03-29T21:47:00Z</cp:lastPrinted>
  <dcterms:created xsi:type="dcterms:W3CDTF">2018-03-29T19:58:00Z</dcterms:created>
  <dcterms:modified xsi:type="dcterms:W3CDTF">2018-03-29T22:32:00Z</dcterms:modified>
</cp:coreProperties>
</file>