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5C56" w14:textId="0001DF5E" w:rsidR="00800D6B" w:rsidRPr="006E779C" w:rsidRDefault="00657E58" w:rsidP="00800D6B">
      <w:pPr>
        <w:pStyle w:val="Heading1"/>
        <w:ind w:left="5760" w:hanging="5760"/>
        <w:rPr>
          <w:rFonts w:ascii="Times New Roman" w:hAnsi="Times New Roman"/>
          <w:i w:val="0"/>
          <w:szCs w:val="24"/>
        </w:rPr>
      </w:pPr>
      <w:r>
        <w:rPr>
          <w:rFonts w:ascii="Times New Roman" w:hAnsi="Times New Roman"/>
          <w:szCs w:val="24"/>
        </w:rPr>
        <w:t>R</w:t>
      </w:r>
      <w:r w:rsidR="00BE6A26">
        <w:rPr>
          <w:rFonts w:ascii="Times New Roman" w:hAnsi="Times New Roman"/>
          <w:szCs w:val="24"/>
        </w:rPr>
        <w:t>.</w:t>
      </w:r>
      <w:r w:rsidR="004E41F8">
        <w:rPr>
          <w:rFonts w:ascii="Times New Roman" w:hAnsi="Times New Roman"/>
          <w:szCs w:val="24"/>
        </w:rPr>
        <w:t xml:space="preserve"> v. Dryneck</w:t>
      </w:r>
      <w:r w:rsidR="00800D6B" w:rsidRPr="006E779C">
        <w:rPr>
          <w:rFonts w:ascii="Times New Roman" w:hAnsi="Times New Roman"/>
          <w:szCs w:val="24"/>
        </w:rPr>
        <w:t>,</w:t>
      </w:r>
      <w:r w:rsidR="004E41F8">
        <w:rPr>
          <w:rFonts w:ascii="Times New Roman" w:hAnsi="Times New Roman"/>
          <w:i w:val="0"/>
          <w:szCs w:val="24"/>
        </w:rPr>
        <w:t xml:space="preserve"> 2023 NWTTC 01</w:t>
      </w:r>
    </w:p>
    <w:p w14:paraId="6C110723" w14:textId="2E876EF3" w:rsidR="00800D6B" w:rsidRPr="00FE55B6" w:rsidRDefault="00BB525A" w:rsidP="00800D6B">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 xml:space="preserve">Date: </w:t>
      </w:r>
      <w:r w:rsidR="00800D6B" w:rsidRPr="00FE55B6">
        <w:rPr>
          <w:rFonts w:ascii="Times New Roman" w:hAnsi="Times New Roman"/>
          <w:sz w:val="28"/>
          <w:szCs w:val="28"/>
          <w:lang w:val="en-CA"/>
        </w:rPr>
        <w:t>20</w:t>
      </w:r>
      <w:r w:rsidR="007B46E1">
        <w:rPr>
          <w:rFonts w:ascii="Times New Roman" w:hAnsi="Times New Roman"/>
          <w:sz w:val="28"/>
          <w:szCs w:val="28"/>
          <w:lang w:val="en-CA"/>
        </w:rPr>
        <w:t>23 02 09</w:t>
      </w:r>
    </w:p>
    <w:p w14:paraId="7FFC4F4E" w14:textId="368A14DB" w:rsidR="00037510" w:rsidRDefault="009C0FB9" w:rsidP="009C0FB9">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w:t>
      </w:r>
      <w:r w:rsidR="004E41F8">
        <w:rPr>
          <w:rFonts w:ascii="Times New Roman" w:hAnsi="Times New Roman"/>
          <w:sz w:val="28"/>
          <w:szCs w:val="28"/>
          <w:lang w:val="en-CA"/>
        </w:rPr>
        <w:t>:</w:t>
      </w:r>
      <w:r w:rsidR="00C3450C">
        <w:rPr>
          <w:rFonts w:ascii="Times New Roman" w:hAnsi="Times New Roman"/>
          <w:sz w:val="28"/>
          <w:szCs w:val="28"/>
          <w:lang w:val="en-CA"/>
        </w:rPr>
        <w:t xml:space="preserve"> T-1-CR-2020-002127</w:t>
      </w:r>
    </w:p>
    <w:p w14:paraId="47B3FA81" w14:textId="77777777" w:rsidR="00800D6B" w:rsidRDefault="00800D6B" w:rsidP="00B53215">
      <w:pPr>
        <w:pStyle w:val="Heading1"/>
        <w:spacing w:after="120"/>
        <w:ind w:left="5761" w:hanging="5761"/>
        <w:jc w:val="center"/>
        <w:rPr>
          <w:rFonts w:ascii="Times New Roman" w:hAnsi="Times New Roman"/>
          <w:i w:val="0"/>
          <w:sz w:val="28"/>
          <w:szCs w:val="28"/>
          <w:lang w:val="en-CA"/>
        </w:rPr>
      </w:pPr>
    </w:p>
    <w:p w14:paraId="5E9E111C" w14:textId="77777777" w:rsidR="00B53215" w:rsidRDefault="009F69D0" w:rsidP="00B53215">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14:paraId="71034EBD" w14:textId="77777777" w:rsidR="00B53215" w:rsidRPr="00B53215" w:rsidRDefault="00B53215" w:rsidP="00B53215">
      <w:pPr>
        <w:spacing w:after="120" w:line="240" w:lineRule="auto"/>
        <w:jc w:val="center"/>
        <w:rPr>
          <w:rFonts w:ascii="Times New Roman" w:hAnsi="Times New Roman" w:cs="Times New Roman"/>
          <w:b/>
          <w:sz w:val="28"/>
          <w:szCs w:val="28"/>
        </w:rPr>
      </w:pPr>
    </w:p>
    <w:p w14:paraId="26F09442" w14:textId="77777777" w:rsidR="009F69D0" w:rsidRPr="00F06722" w:rsidRDefault="009F69D0" w:rsidP="00B53215">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14:paraId="76747B85" w14:textId="77777777" w:rsidR="009F69D0" w:rsidRPr="00F06722" w:rsidRDefault="00657E58"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14:paraId="6DB38B75" w14:textId="77777777" w:rsidR="009F69D0" w:rsidRPr="00C1386D" w:rsidRDefault="00C1386D"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1BFA084F" w14:textId="4E65984C" w:rsidR="00F06722" w:rsidRDefault="004E41F8" w:rsidP="00F56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THOMAS DRYNECK</w:t>
      </w:r>
    </w:p>
    <w:p w14:paraId="621D7B77" w14:textId="77777777" w:rsidR="00F56A35" w:rsidRPr="00B53215" w:rsidRDefault="00F56A35" w:rsidP="00F56A35">
      <w:pPr>
        <w:spacing w:after="0" w:line="240" w:lineRule="auto"/>
        <w:jc w:val="center"/>
        <w:rPr>
          <w:rFonts w:ascii="Times New Roman" w:hAnsi="Times New Roman" w:cs="Times New Roman"/>
          <w:b/>
          <w:sz w:val="28"/>
          <w:szCs w:val="28"/>
        </w:rPr>
      </w:pPr>
    </w:p>
    <w:p w14:paraId="201669FC" w14:textId="77777777" w:rsidR="00F06722" w:rsidRPr="001C5312" w:rsidRDefault="00F06722" w:rsidP="00B53215">
      <w:pPr>
        <w:spacing w:after="200" w:line="276" w:lineRule="auto"/>
        <w:jc w:val="center"/>
        <w:rPr>
          <w:sz w:val="28"/>
          <w:szCs w:val="28"/>
        </w:rPr>
      </w:pPr>
      <w:r w:rsidRPr="001C5312">
        <w:rPr>
          <w:sz w:val="28"/>
          <w:szCs w:val="28"/>
        </w:rPr>
        <w:t>____________________________________</w:t>
      </w:r>
      <w:r w:rsidR="00B53215" w:rsidRPr="001C5312">
        <w:rPr>
          <w:sz w:val="28"/>
          <w:szCs w:val="28"/>
        </w:rPr>
        <w:t>_______________________________</w:t>
      </w:r>
    </w:p>
    <w:p w14:paraId="16ECB5A7" w14:textId="77777777" w:rsidR="00F56A35" w:rsidRDefault="00B53215" w:rsidP="00F56A3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REASONS FOR JUDGMENT</w:t>
      </w:r>
    </w:p>
    <w:p w14:paraId="120177A0" w14:textId="77777777" w:rsidR="00F56A35" w:rsidRPr="00497B3F" w:rsidRDefault="00B53215" w:rsidP="00F56A3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of the</w:t>
      </w:r>
    </w:p>
    <w:p w14:paraId="5D56F231" w14:textId="77777777" w:rsidR="00F06722" w:rsidRDefault="00F06722" w:rsidP="00F56A35">
      <w:pPr>
        <w:spacing w:after="0" w:line="276" w:lineRule="auto"/>
        <w:jc w:val="center"/>
        <w:rPr>
          <w:rFonts w:ascii="Times New Roman" w:hAnsi="Times New Roman" w:cs="Times New Roman"/>
          <w:b/>
          <w:sz w:val="28"/>
          <w:szCs w:val="28"/>
        </w:rPr>
      </w:pPr>
      <w:r w:rsidRPr="00497B3F">
        <w:rPr>
          <w:rFonts w:ascii="Times New Roman" w:hAnsi="Times New Roman" w:cs="Times New Roman"/>
          <w:b/>
          <w:sz w:val="28"/>
          <w:szCs w:val="28"/>
        </w:rPr>
        <w:t>HONOURABLE CHIEF JUDGE ROBERT GORIN</w:t>
      </w:r>
    </w:p>
    <w:p w14:paraId="6B961D10" w14:textId="77777777" w:rsidR="00B53215" w:rsidRPr="001C5312" w:rsidRDefault="00B53215" w:rsidP="00B53215">
      <w:pPr>
        <w:spacing w:after="200" w:line="276" w:lineRule="auto"/>
        <w:jc w:val="center"/>
        <w:rPr>
          <w:sz w:val="28"/>
          <w:szCs w:val="28"/>
        </w:rPr>
      </w:pPr>
      <w:r w:rsidRPr="001C5312">
        <w:rPr>
          <w:sz w:val="28"/>
          <w:szCs w:val="28"/>
        </w:rPr>
        <w:t>___________________________________________________________________</w:t>
      </w:r>
    </w:p>
    <w:p w14:paraId="78E5D1CA" w14:textId="77777777" w:rsidR="00B53215" w:rsidRDefault="00B53215" w:rsidP="009F69D0">
      <w:pPr>
        <w:rPr>
          <w:rFonts w:ascii="Times New Roman" w:hAnsi="Times New Roman" w:cs="Times New Roman"/>
          <w:b/>
          <w:sz w:val="24"/>
          <w:szCs w:val="28"/>
        </w:rPr>
      </w:pPr>
    </w:p>
    <w:p w14:paraId="23AE30A4" w14:textId="77777777" w:rsidR="00B53215" w:rsidRPr="00B53215" w:rsidRDefault="00B53215" w:rsidP="009F69D0">
      <w:pPr>
        <w:rPr>
          <w:rFonts w:ascii="Times New Roman" w:hAnsi="Times New Roman" w:cs="Times New Roman"/>
          <w:b/>
          <w:sz w:val="24"/>
          <w:szCs w:val="28"/>
        </w:rPr>
      </w:pPr>
    </w:p>
    <w:p w14:paraId="6C8CB999" w14:textId="7B50DF3E"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Heard at:</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D86D11">
        <w:rPr>
          <w:rFonts w:ascii="Times New Roman" w:hAnsi="Times New Roman" w:cs="Times New Roman"/>
          <w:sz w:val="28"/>
          <w:szCs w:val="28"/>
          <w:lang w:val="en-CA"/>
        </w:rPr>
        <w:t>Yellowknife</w:t>
      </w:r>
      <w:r w:rsidR="00BE6A26">
        <w:rPr>
          <w:rFonts w:ascii="Times New Roman" w:hAnsi="Times New Roman" w:cs="Times New Roman"/>
          <w:sz w:val="28"/>
          <w:szCs w:val="28"/>
          <w:lang w:val="en-CA"/>
        </w:rPr>
        <w:t>, Northwest Territories</w:t>
      </w:r>
    </w:p>
    <w:p w14:paraId="6DB9215C" w14:textId="7D1EEE59"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Decision: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99067D">
        <w:rPr>
          <w:rFonts w:ascii="Times New Roman" w:hAnsi="Times New Roman" w:cs="Times New Roman"/>
          <w:sz w:val="28"/>
          <w:szCs w:val="28"/>
          <w:lang w:val="en-CA"/>
        </w:rPr>
        <w:t>February 9</w:t>
      </w:r>
      <w:r w:rsidR="004E41F8">
        <w:rPr>
          <w:rFonts w:ascii="Times New Roman" w:hAnsi="Times New Roman" w:cs="Times New Roman"/>
          <w:sz w:val="28"/>
          <w:szCs w:val="28"/>
          <w:lang w:val="en-CA"/>
        </w:rPr>
        <w:t>, 2023</w:t>
      </w:r>
    </w:p>
    <w:p w14:paraId="7241AD25" w14:textId="77802687"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Written Judgment:</w:t>
      </w:r>
      <w:r w:rsidRPr="00B53215">
        <w:rPr>
          <w:rFonts w:ascii="Times New Roman" w:hAnsi="Times New Roman" w:cs="Times New Roman"/>
          <w:sz w:val="28"/>
          <w:szCs w:val="28"/>
          <w:lang w:val="en-CA"/>
        </w:rPr>
        <w:tab/>
      </w:r>
      <w:r w:rsidR="0099067D">
        <w:rPr>
          <w:rFonts w:ascii="Times New Roman" w:hAnsi="Times New Roman" w:cs="Times New Roman"/>
          <w:sz w:val="28"/>
          <w:szCs w:val="28"/>
          <w:lang w:val="en-CA"/>
        </w:rPr>
        <w:t xml:space="preserve">February </w:t>
      </w:r>
      <w:r w:rsidR="007B46E1">
        <w:rPr>
          <w:rFonts w:ascii="Times New Roman" w:hAnsi="Times New Roman" w:cs="Times New Roman"/>
          <w:sz w:val="28"/>
          <w:szCs w:val="28"/>
          <w:lang w:val="en-CA"/>
        </w:rPr>
        <w:t>9</w:t>
      </w:r>
      <w:r w:rsidR="004E41F8">
        <w:rPr>
          <w:rFonts w:ascii="Times New Roman" w:hAnsi="Times New Roman" w:cs="Times New Roman"/>
          <w:sz w:val="28"/>
          <w:szCs w:val="28"/>
          <w:lang w:val="en-CA"/>
        </w:rPr>
        <w:t>, 2023</w:t>
      </w:r>
    </w:p>
    <w:p w14:paraId="5C9C65D7" w14:textId="11D8E09C"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Counsel for the Crown: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99067D" w:rsidRPr="0099067D">
        <w:rPr>
          <w:rFonts w:ascii="Times New Roman" w:hAnsi="Times New Roman" w:cs="Times New Roman"/>
          <w:sz w:val="28"/>
          <w:szCs w:val="28"/>
          <w:lang w:val="en-CA"/>
        </w:rPr>
        <w:t xml:space="preserve">Annie </w:t>
      </w:r>
      <w:r w:rsidR="0099067D" w:rsidRPr="00B6384D">
        <w:rPr>
          <w:rFonts w:ascii="Times New Roman" w:hAnsi="Times New Roman" w:cs="Times New Roman"/>
          <w:sz w:val="28"/>
          <w:szCs w:val="28"/>
          <w:lang w:val="en-CA"/>
        </w:rPr>
        <w:t>Pich</w:t>
      </w:r>
      <w:r w:rsidR="0099067D" w:rsidRPr="00B6384D">
        <w:rPr>
          <w:rStyle w:val="Emphasis"/>
          <w:rFonts w:ascii="Times New Roman" w:hAnsi="Times New Roman" w:cs="Times New Roman"/>
          <w:bCs/>
          <w:i w:val="0"/>
          <w:iCs w:val="0"/>
          <w:sz w:val="28"/>
          <w:szCs w:val="28"/>
          <w:shd w:val="clear" w:color="auto" w:fill="FFFFFF"/>
        </w:rPr>
        <w:t>é</w:t>
      </w:r>
      <w:r w:rsidR="0099067D" w:rsidRPr="00B6384D">
        <w:rPr>
          <w:rFonts w:ascii="Times New Roman" w:hAnsi="Times New Roman" w:cs="Times New Roman"/>
          <w:sz w:val="28"/>
          <w:szCs w:val="28"/>
          <w:lang w:val="en-CA"/>
        </w:rPr>
        <w:t xml:space="preserve"> </w:t>
      </w:r>
      <w:r w:rsidR="0099067D" w:rsidRPr="0099067D">
        <w:rPr>
          <w:rFonts w:ascii="Times New Roman" w:hAnsi="Times New Roman" w:cs="Times New Roman"/>
          <w:sz w:val="28"/>
          <w:szCs w:val="28"/>
          <w:lang w:val="en-CA"/>
        </w:rPr>
        <w:t>&amp; Georgios P</w:t>
      </w:r>
      <w:bookmarkStart w:id="0" w:name="_GoBack"/>
      <w:bookmarkEnd w:id="0"/>
      <w:r w:rsidR="0099067D" w:rsidRPr="0099067D">
        <w:rPr>
          <w:rFonts w:ascii="Times New Roman" w:hAnsi="Times New Roman" w:cs="Times New Roman"/>
          <w:sz w:val="28"/>
          <w:szCs w:val="28"/>
          <w:lang w:val="en-CA"/>
        </w:rPr>
        <w:t>hillips</w:t>
      </w:r>
    </w:p>
    <w:p w14:paraId="76FBDD9E" w14:textId="1B80AF32"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Defence Counsel:</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99067D">
        <w:rPr>
          <w:rFonts w:ascii="Times New Roman" w:hAnsi="Times New Roman" w:cs="Times New Roman"/>
          <w:sz w:val="28"/>
          <w:szCs w:val="28"/>
          <w:lang w:val="en-CA"/>
        </w:rPr>
        <w:t>Roopa Mulherkar &amp; Mallorie Malone</w:t>
      </w:r>
    </w:p>
    <w:p w14:paraId="3771E18C" w14:textId="77777777" w:rsidR="00F06722" w:rsidRDefault="00F06722" w:rsidP="009F69D0">
      <w:pPr>
        <w:rPr>
          <w:rFonts w:ascii="Times New Roman" w:hAnsi="Times New Roman" w:cs="Times New Roman"/>
          <w:sz w:val="28"/>
          <w:szCs w:val="28"/>
        </w:rPr>
      </w:pPr>
    </w:p>
    <w:p w14:paraId="26E6881C" w14:textId="77777777" w:rsidR="00335C2E" w:rsidRDefault="00335C2E" w:rsidP="009F69D0">
      <w:pPr>
        <w:rPr>
          <w:rFonts w:ascii="Times New Roman" w:hAnsi="Times New Roman" w:cs="Times New Roman"/>
          <w:sz w:val="28"/>
          <w:szCs w:val="28"/>
        </w:rPr>
      </w:pPr>
    </w:p>
    <w:p w14:paraId="30B8DD51" w14:textId="70E86F25" w:rsidR="00AB571E" w:rsidRDefault="00AB571E" w:rsidP="00AB571E">
      <w:pPr>
        <w:jc w:val="center"/>
        <w:rPr>
          <w:rFonts w:ascii="Times New Roman" w:hAnsi="Times New Roman" w:cs="Times New Roman"/>
          <w:sz w:val="28"/>
          <w:szCs w:val="28"/>
        </w:rPr>
      </w:pPr>
      <w:r>
        <w:rPr>
          <w:rFonts w:ascii="Times New Roman" w:hAnsi="Times New Roman" w:cs="Times New Roman"/>
          <w:sz w:val="28"/>
          <w:szCs w:val="28"/>
        </w:rPr>
        <w:t xml:space="preserve">[S. </w:t>
      </w:r>
      <w:r w:rsidR="004E41F8">
        <w:rPr>
          <w:rFonts w:ascii="Times New Roman" w:hAnsi="Times New Roman" w:cs="Times New Roman"/>
          <w:sz w:val="28"/>
          <w:szCs w:val="28"/>
        </w:rPr>
        <w:t>271</w:t>
      </w:r>
      <w:r>
        <w:rPr>
          <w:rFonts w:ascii="Times New Roman" w:hAnsi="Times New Roman" w:cs="Times New Roman"/>
          <w:sz w:val="28"/>
          <w:szCs w:val="28"/>
        </w:rPr>
        <w:t xml:space="preserve"> of the </w:t>
      </w:r>
      <w:r>
        <w:rPr>
          <w:rFonts w:ascii="Times New Roman" w:hAnsi="Times New Roman" w:cs="Times New Roman"/>
          <w:i/>
          <w:sz w:val="28"/>
          <w:szCs w:val="28"/>
        </w:rPr>
        <w:t>Criminal Code</w:t>
      </w:r>
      <w:r>
        <w:rPr>
          <w:rFonts w:ascii="Times New Roman" w:hAnsi="Times New Roman" w:cs="Times New Roman"/>
          <w:sz w:val="28"/>
          <w:szCs w:val="28"/>
        </w:rPr>
        <w:t>]</w:t>
      </w:r>
    </w:p>
    <w:p w14:paraId="3B46833F" w14:textId="77777777" w:rsidR="00AB571E" w:rsidRDefault="00AB571E" w:rsidP="00AB571E">
      <w:pPr>
        <w:jc w:val="center"/>
        <w:rPr>
          <w:rFonts w:ascii="Times New Roman" w:hAnsi="Times New Roman" w:cs="Times New Roman"/>
          <w:sz w:val="28"/>
          <w:szCs w:val="28"/>
        </w:rPr>
      </w:pPr>
    </w:p>
    <w:p w14:paraId="53B18806" w14:textId="77777777" w:rsidR="00AB571E" w:rsidRDefault="00AB571E" w:rsidP="00AB571E">
      <w:pPr>
        <w:jc w:val="center"/>
        <w:rPr>
          <w:rFonts w:ascii="Times New Roman" w:hAnsi="Times New Roman" w:cs="Times New Roman"/>
          <w:sz w:val="28"/>
          <w:szCs w:val="28"/>
        </w:rPr>
        <w:sectPr w:rsidR="00AB571E" w:rsidSect="00335C2E">
          <w:headerReference w:type="default" r:id="rId8"/>
          <w:pgSz w:w="12240" w:h="15840"/>
          <w:pgMar w:top="1440" w:right="1440" w:bottom="1440" w:left="1440" w:header="720" w:footer="720" w:gutter="0"/>
          <w:cols w:space="720"/>
          <w:titlePg/>
          <w:docGrid w:linePitch="360"/>
        </w:sectPr>
      </w:pPr>
    </w:p>
    <w:p w14:paraId="75006240" w14:textId="6A0BC3AA" w:rsidR="00F56A35" w:rsidRPr="006E779C" w:rsidRDefault="00F56A35" w:rsidP="00F56A35">
      <w:pPr>
        <w:pStyle w:val="Heading1"/>
        <w:ind w:left="5760" w:hanging="5760"/>
        <w:rPr>
          <w:rFonts w:ascii="Times New Roman" w:hAnsi="Times New Roman"/>
          <w:i w:val="0"/>
          <w:szCs w:val="24"/>
        </w:rPr>
      </w:pPr>
      <w:r>
        <w:rPr>
          <w:rFonts w:ascii="Times New Roman" w:hAnsi="Times New Roman"/>
          <w:szCs w:val="24"/>
        </w:rPr>
        <w:lastRenderedPageBreak/>
        <w:t>R</w:t>
      </w:r>
      <w:r w:rsidR="00BE6A26">
        <w:rPr>
          <w:rFonts w:ascii="Times New Roman" w:hAnsi="Times New Roman"/>
          <w:szCs w:val="24"/>
        </w:rPr>
        <w:t>.</w:t>
      </w:r>
      <w:r>
        <w:rPr>
          <w:rFonts w:ascii="Times New Roman" w:hAnsi="Times New Roman"/>
          <w:szCs w:val="24"/>
        </w:rPr>
        <w:t xml:space="preserve"> v. </w:t>
      </w:r>
      <w:r w:rsidR="004E41F8">
        <w:rPr>
          <w:rFonts w:ascii="Times New Roman" w:hAnsi="Times New Roman"/>
          <w:szCs w:val="24"/>
        </w:rPr>
        <w:t>Dryneck</w:t>
      </w:r>
      <w:r w:rsidRPr="006E779C">
        <w:rPr>
          <w:rFonts w:ascii="Times New Roman" w:hAnsi="Times New Roman"/>
          <w:szCs w:val="24"/>
        </w:rPr>
        <w:t>,</w:t>
      </w:r>
      <w:r>
        <w:rPr>
          <w:rFonts w:ascii="Times New Roman" w:hAnsi="Times New Roman"/>
          <w:i w:val="0"/>
          <w:szCs w:val="24"/>
        </w:rPr>
        <w:t xml:space="preserve"> </w:t>
      </w:r>
      <w:r w:rsidR="004E41F8">
        <w:rPr>
          <w:rFonts w:ascii="Times New Roman" w:hAnsi="Times New Roman"/>
          <w:i w:val="0"/>
          <w:szCs w:val="24"/>
        </w:rPr>
        <w:t>2023 NWTTC 01</w:t>
      </w:r>
    </w:p>
    <w:p w14:paraId="2AC6276A" w14:textId="2DD65909" w:rsidR="00F56A35" w:rsidRPr="00FE55B6" w:rsidRDefault="00BB525A" w:rsidP="00F56A35">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Date:</w:t>
      </w:r>
      <w:r w:rsidR="00450B10">
        <w:rPr>
          <w:rFonts w:ascii="Times New Roman" w:hAnsi="Times New Roman"/>
          <w:sz w:val="28"/>
          <w:szCs w:val="28"/>
          <w:lang w:val="en-CA"/>
        </w:rPr>
        <w:t xml:space="preserve"> </w:t>
      </w:r>
      <w:r w:rsidR="004E41F8">
        <w:rPr>
          <w:rFonts w:ascii="Times New Roman" w:hAnsi="Times New Roman"/>
          <w:sz w:val="28"/>
          <w:szCs w:val="28"/>
          <w:lang w:val="en-CA"/>
        </w:rPr>
        <w:t>2023 02 0</w:t>
      </w:r>
      <w:r w:rsidR="007B46E1">
        <w:rPr>
          <w:rFonts w:ascii="Times New Roman" w:hAnsi="Times New Roman"/>
          <w:sz w:val="28"/>
          <w:szCs w:val="28"/>
          <w:lang w:val="en-CA"/>
        </w:rPr>
        <w:t>9</w:t>
      </w:r>
    </w:p>
    <w:p w14:paraId="2680CF0D" w14:textId="6F1826AF" w:rsidR="00037510" w:rsidRDefault="00037510" w:rsidP="00037510">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w:t>
      </w:r>
      <w:r w:rsidR="00C3450C">
        <w:rPr>
          <w:rFonts w:ascii="Times New Roman" w:hAnsi="Times New Roman"/>
          <w:sz w:val="28"/>
          <w:szCs w:val="28"/>
          <w:lang w:val="en-CA"/>
        </w:rPr>
        <w:t>: T-1-CR-2020-002127</w:t>
      </w:r>
    </w:p>
    <w:p w14:paraId="2EA7777A" w14:textId="77777777" w:rsidR="00F56A35" w:rsidRDefault="00F56A35" w:rsidP="00F56A35">
      <w:pPr>
        <w:pStyle w:val="Heading1"/>
        <w:spacing w:after="120"/>
        <w:ind w:left="5761" w:hanging="5761"/>
        <w:jc w:val="center"/>
        <w:rPr>
          <w:rFonts w:ascii="Times New Roman" w:hAnsi="Times New Roman"/>
          <w:i w:val="0"/>
          <w:sz w:val="28"/>
          <w:szCs w:val="28"/>
          <w:lang w:val="en-CA"/>
        </w:rPr>
      </w:pPr>
    </w:p>
    <w:p w14:paraId="699F4195" w14:textId="77777777" w:rsidR="00F56A35" w:rsidRDefault="00F56A35" w:rsidP="00F56A35">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14:paraId="1DA3EF29" w14:textId="77777777" w:rsidR="00F56A35" w:rsidRPr="00B53215" w:rsidRDefault="00F56A35" w:rsidP="00F56A35">
      <w:pPr>
        <w:spacing w:after="120" w:line="240" w:lineRule="auto"/>
        <w:jc w:val="center"/>
        <w:rPr>
          <w:rFonts w:ascii="Times New Roman" w:hAnsi="Times New Roman" w:cs="Times New Roman"/>
          <w:b/>
          <w:sz w:val="28"/>
          <w:szCs w:val="28"/>
        </w:rPr>
      </w:pPr>
    </w:p>
    <w:p w14:paraId="351ABF4D" w14:textId="77777777" w:rsidR="00F56A35" w:rsidRPr="00F06722" w:rsidRDefault="00F56A35" w:rsidP="00F56A35">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14:paraId="5E29CAC8" w14:textId="77777777" w:rsidR="00F56A35" w:rsidRPr="00F06722" w:rsidRDefault="00F56A35" w:rsidP="00F56A3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14:paraId="04554462" w14:textId="77777777" w:rsidR="00F56A35" w:rsidRPr="00C1386D" w:rsidRDefault="00F56A35" w:rsidP="00F56A3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562D2264" w14:textId="4C842C3D" w:rsidR="00F56A35" w:rsidRDefault="004E41F8" w:rsidP="00F56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THOMAS DRYNECK</w:t>
      </w:r>
    </w:p>
    <w:p w14:paraId="1C8D3869" w14:textId="77777777" w:rsidR="00F56A35" w:rsidRPr="00B53215" w:rsidRDefault="00F56A35" w:rsidP="00F56A35">
      <w:pPr>
        <w:spacing w:after="0" w:line="240" w:lineRule="auto"/>
        <w:jc w:val="center"/>
        <w:rPr>
          <w:rFonts w:ascii="Times New Roman" w:hAnsi="Times New Roman" w:cs="Times New Roman"/>
          <w:b/>
          <w:sz w:val="28"/>
          <w:szCs w:val="28"/>
        </w:rPr>
      </w:pPr>
    </w:p>
    <w:p w14:paraId="70B9E510" w14:textId="77777777" w:rsidR="00F06722" w:rsidRPr="001C5312" w:rsidRDefault="00F06722" w:rsidP="00F06722">
      <w:pPr>
        <w:spacing w:after="200" w:line="276" w:lineRule="auto"/>
        <w:rPr>
          <w:sz w:val="28"/>
          <w:szCs w:val="28"/>
        </w:rPr>
      </w:pPr>
      <w:r w:rsidRPr="001C5312">
        <w:rPr>
          <w:sz w:val="28"/>
          <w:szCs w:val="28"/>
        </w:rPr>
        <w:t>____________________________________</w:t>
      </w:r>
      <w:r w:rsidR="00F56A35" w:rsidRPr="001C5312">
        <w:rPr>
          <w:sz w:val="28"/>
          <w:szCs w:val="28"/>
        </w:rPr>
        <w:t>_______________________________</w:t>
      </w:r>
    </w:p>
    <w:p w14:paraId="26959D9C" w14:textId="77777777" w:rsidR="00B45843" w:rsidRDefault="00C7162D" w:rsidP="00260645">
      <w:pPr>
        <w:pStyle w:val="ListParagraph"/>
        <w:numPr>
          <w:ilvl w:val="0"/>
          <w:numId w:val="12"/>
        </w:numPr>
        <w:spacing w:after="240" w:line="240" w:lineRule="auto"/>
        <w:ind w:left="709" w:hanging="709"/>
        <w:contextualSpacing w:val="0"/>
        <w:rPr>
          <w:rFonts w:ascii="Times New Roman" w:hAnsi="Times New Roman" w:cs="Times New Roman"/>
          <w:b/>
          <w:sz w:val="28"/>
          <w:szCs w:val="28"/>
        </w:rPr>
      </w:pPr>
      <w:r w:rsidRPr="00D70590">
        <w:rPr>
          <w:rFonts w:ascii="Times New Roman" w:hAnsi="Times New Roman" w:cs="Times New Roman"/>
          <w:b/>
          <w:sz w:val="28"/>
          <w:szCs w:val="28"/>
        </w:rPr>
        <w:t>INTRODUCTION</w:t>
      </w:r>
    </w:p>
    <w:p w14:paraId="54CC3AD1" w14:textId="2C44EFA0" w:rsidR="00B45843" w:rsidRPr="004E41F8" w:rsidRDefault="004E41F8"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E41F8">
        <w:rPr>
          <w:rFonts w:ascii="Times New Roman" w:hAnsi="Times New Roman" w:cs="Times New Roman"/>
          <w:sz w:val="28"/>
          <w:szCs w:val="28"/>
        </w:rPr>
        <w:t>Thomas Dryneck has been convicted of sexual assault contrary to s. 271 of the</w:t>
      </w:r>
      <w:r w:rsidR="00657E58" w:rsidRPr="004E41F8">
        <w:rPr>
          <w:rFonts w:ascii="Times New Roman" w:hAnsi="Times New Roman" w:cs="Times New Roman"/>
          <w:sz w:val="28"/>
          <w:szCs w:val="28"/>
        </w:rPr>
        <w:t xml:space="preserve"> </w:t>
      </w:r>
      <w:r w:rsidR="00657E58" w:rsidRPr="004E41F8">
        <w:rPr>
          <w:rFonts w:ascii="Times New Roman" w:hAnsi="Times New Roman" w:cs="Times New Roman"/>
          <w:i/>
          <w:sz w:val="28"/>
          <w:szCs w:val="28"/>
        </w:rPr>
        <w:t>Criminal Code</w:t>
      </w:r>
      <w:r w:rsidR="00657E58" w:rsidRPr="004E41F8">
        <w:rPr>
          <w:rFonts w:ascii="Times New Roman" w:hAnsi="Times New Roman" w:cs="Times New Roman"/>
          <w:sz w:val="28"/>
          <w:szCs w:val="28"/>
        </w:rPr>
        <w:t>.</w:t>
      </w:r>
    </w:p>
    <w:p w14:paraId="2DE24A6A" w14:textId="4347EA92" w:rsidR="00F56A35" w:rsidRPr="004E41F8" w:rsidRDefault="004E41F8"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E41F8">
        <w:rPr>
          <w:rFonts w:ascii="Times New Roman" w:hAnsi="Times New Roman" w:cs="Times New Roman"/>
          <w:sz w:val="28"/>
          <w:szCs w:val="28"/>
        </w:rPr>
        <w:t xml:space="preserve">Very briefly, the essential facts of the offence are that after a night of drinking at a residence with several other people, the victim woke up in </w:t>
      </w:r>
      <w:r w:rsidR="007B46E1">
        <w:rPr>
          <w:rFonts w:ascii="Times New Roman" w:hAnsi="Times New Roman" w:cs="Times New Roman"/>
          <w:sz w:val="28"/>
          <w:szCs w:val="28"/>
        </w:rPr>
        <w:t>the</w:t>
      </w:r>
      <w:r w:rsidRPr="004E41F8">
        <w:rPr>
          <w:rFonts w:ascii="Times New Roman" w:hAnsi="Times New Roman" w:cs="Times New Roman"/>
          <w:sz w:val="28"/>
          <w:szCs w:val="28"/>
        </w:rPr>
        <w:t xml:space="preserve"> bed </w:t>
      </w:r>
      <w:r w:rsidR="007B46E1">
        <w:rPr>
          <w:rFonts w:ascii="Times New Roman" w:hAnsi="Times New Roman" w:cs="Times New Roman"/>
          <w:sz w:val="28"/>
          <w:szCs w:val="28"/>
        </w:rPr>
        <w:t xml:space="preserve">where she had </w:t>
      </w:r>
      <w:r w:rsidR="0034509C">
        <w:rPr>
          <w:rFonts w:ascii="Times New Roman" w:hAnsi="Times New Roman" w:cs="Times New Roman"/>
          <w:sz w:val="28"/>
          <w:szCs w:val="28"/>
        </w:rPr>
        <w:t xml:space="preserve">previously </w:t>
      </w:r>
      <w:r w:rsidR="007B46E1">
        <w:rPr>
          <w:rFonts w:ascii="Times New Roman" w:hAnsi="Times New Roman" w:cs="Times New Roman"/>
          <w:sz w:val="28"/>
          <w:szCs w:val="28"/>
        </w:rPr>
        <w:t xml:space="preserve">gone to sleep </w:t>
      </w:r>
      <w:r w:rsidRPr="004E41F8">
        <w:rPr>
          <w:rFonts w:ascii="Times New Roman" w:hAnsi="Times New Roman" w:cs="Times New Roman"/>
          <w:sz w:val="28"/>
          <w:szCs w:val="28"/>
        </w:rPr>
        <w:t>with the accused</w:t>
      </w:r>
      <w:r w:rsidR="007B46E1">
        <w:rPr>
          <w:rFonts w:ascii="Times New Roman" w:hAnsi="Times New Roman" w:cs="Times New Roman"/>
          <w:sz w:val="28"/>
          <w:szCs w:val="28"/>
        </w:rPr>
        <w:t xml:space="preserve"> lying</w:t>
      </w:r>
      <w:r w:rsidRPr="004E41F8">
        <w:rPr>
          <w:rFonts w:ascii="Times New Roman" w:hAnsi="Times New Roman" w:cs="Times New Roman"/>
          <w:sz w:val="28"/>
          <w:szCs w:val="28"/>
        </w:rPr>
        <w:t xml:space="preserve"> next to her digitally penetrating her vagina.  She contacted the police who arrived soon </w:t>
      </w:r>
      <w:r w:rsidR="00883A46">
        <w:rPr>
          <w:rFonts w:ascii="Times New Roman" w:hAnsi="Times New Roman" w:cs="Times New Roman"/>
          <w:sz w:val="28"/>
          <w:szCs w:val="28"/>
        </w:rPr>
        <w:t>after and arrested the accused.</w:t>
      </w:r>
    </w:p>
    <w:p w14:paraId="033F8AD9" w14:textId="4CA7D948" w:rsidR="008403A7" w:rsidRDefault="007B46E1"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The Crown submits that the maximum allowable jail term</w:t>
      </w:r>
      <w:r w:rsidR="00B85F06">
        <w:rPr>
          <w:rFonts w:ascii="Times New Roman" w:hAnsi="Times New Roman" w:cs="Times New Roman"/>
          <w:sz w:val="28"/>
          <w:szCs w:val="28"/>
        </w:rPr>
        <w:t xml:space="preserve"> of 18 months </w:t>
      </w:r>
      <w:r w:rsidR="004E41F8" w:rsidRPr="004E41F8">
        <w:rPr>
          <w:rFonts w:ascii="Times New Roman" w:hAnsi="Times New Roman" w:cs="Times New Roman"/>
          <w:sz w:val="28"/>
          <w:szCs w:val="28"/>
        </w:rPr>
        <w:t xml:space="preserve">along with probation and other ancillary orders </w:t>
      </w:r>
      <w:r w:rsidR="0034509C">
        <w:rPr>
          <w:rFonts w:ascii="Times New Roman" w:hAnsi="Times New Roman" w:cs="Times New Roman"/>
          <w:sz w:val="28"/>
          <w:szCs w:val="28"/>
        </w:rPr>
        <w:t>should be imposed</w:t>
      </w:r>
      <w:r w:rsidRPr="004E41F8">
        <w:rPr>
          <w:rFonts w:ascii="Times New Roman" w:hAnsi="Times New Roman" w:cs="Times New Roman"/>
          <w:sz w:val="28"/>
          <w:szCs w:val="28"/>
        </w:rPr>
        <w:t xml:space="preserve">.  </w:t>
      </w:r>
      <w:r w:rsidR="004E41F8" w:rsidRPr="004E41F8">
        <w:rPr>
          <w:rFonts w:ascii="Times New Roman" w:hAnsi="Times New Roman" w:cs="Times New Roman"/>
          <w:sz w:val="28"/>
          <w:szCs w:val="28"/>
        </w:rPr>
        <w:t>Mr. Dryneck</w:t>
      </w:r>
      <w:r>
        <w:rPr>
          <w:rFonts w:ascii="Times New Roman" w:hAnsi="Times New Roman" w:cs="Times New Roman"/>
          <w:sz w:val="28"/>
          <w:szCs w:val="28"/>
        </w:rPr>
        <w:t xml:space="preserve"> submits</w:t>
      </w:r>
      <w:r w:rsidR="004E41F8" w:rsidRPr="004E41F8">
        <w:rPr>
          <w:rFonts w:ascii="Times New Roman" w:hAnsi="Times New Roman" w:cs="Times New Roman"/>
          <w:sz w:val="28"/>
          <w:szCs w:val="28"/>
        </w:rPr>
        <w:t xml:space="preserve"> that a conditional sentence of 15 months </w:t>
      </w:r>
      <w:r w:rsidR="0034509C">
        <w:rPr>
          <w:rFonts w:ascii="Times New Roman" w:hAnsi="Times New Roman" w:cs="Times New Roman"/>
          <w:sz w:val="28"/>
          <w:szCs w:val="28"/>
        </w:rPr>
        <w:t>would be appropriate</w:t>
      </w:r>
      <w:r w:rsidR="004E41F8" w:rsidRPr="004E41F8">
        <w:rPr>
          <w:rFonts w:ascii="Times New Roman" w:hAnsi="Times New Roman" w:cs="Times New Roman"/>
          <w:sz w:val="28"/>
          <w:szCs w:val="28"/>
        </w:rPr>
        <w:t>, or in the alternative, a jail term of 10 to 12 months.</w:t>
      </w:r>
    </w:p>
    <w:p w14:paraId="47710CE0" w14:textId="7B3F3160" w:rsidR="007B46E1" w:rsidRPr="00260645" w:rsidRDefault="007B46E1"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For the following reasons, I agree with </w:t>
      </w:r>
      <w:r w:rsidR="0034509C">
        <w:rPr>
          <w:rFonts w:ascii="Times New Roman" w:hAnsi="Times New Roman" w:cs="Times New Roman"/>
          <w:sz w:val="28"/>
          <w:szCs w:val="28"/>
        </w:rPr>
        <w:t>the</w:t>
      </w:r>
      <w:r>
        <w:rPr>
          <w:rFonts w:ascii="Times New Roman" w:hAnsi="Times New Roman" w:cs="Times New Roman"/>
          <w:sz w:val="28"/>
          <w:szCs w:val="28"/>
        </w:rPr>
        <w:t xml:space="preserve"> Crown. </w:t>
      </w:r>
    </w:p>
    <w:p w14:paraId="37BE5823" w14:textId="77777777" w:rsidR="00E610E9" w:rsidRDefault="008403A7" w:rsidP="00260645">
      <w:pPr>
        <w:pStyle w:val="ListParagraph"/>
        <w:numPr>
          <w:ilvl w:val="0"/>
          <w:numId w:val="12"/>
        </w:numPr>
        <w:spacing w:after="240" w:line="240" w:lineRule="auto"/>
        <w:ind w:left="709" w:hanging="709"/>
        <w:contextualSpacing w:val="0"/>
        <w:rPr>
          <w:rFonts w:ascii="Times New Roman" w:hAnsi="Times New Roman" w:cs="Times New Roman"/>
          <w:b/>
          <w:sz w:val="28"/>
          <w:szCs w:val="28"/>
        </w:rPr>
      </w:pPr>
      <w:r>
        <w:rPr>
          <w:rFonts w:ascii="Times New Roman" w:hAnsi="Times New Roman" w:cs="Times New Roman"/>
          <w:b/>
          <w:sz w:val="28"/>
          <w:szCs w:val="28"/>
        </w:rPr>
        <w:t>ANALYSIS</w:t>
      </w:r>
    </w:p>
    <w:p w14:paraId="7A331C16" w14:textId="0A918486" w:rsidR="004E41F8" w:rsidRPr="004E41F8" w:rsidRDefault="004E41F8" w:rsidP="00260645">
      <w:pPr>
        <w:spacing w:after="240" w:line="240" w:lineRule="auto"/>
        <w:rPr>
          <w:rFonts w:ascii="Times New Roman" w:hAnsi="Times New Roman" w:cs="Times New Roman"/>
          <w:i/>
          <w:sz w:val="28"/>
          <w:szCs w:val="28"/>
        </w:rPr>
      </w:pPr>
      <w:r>
        <w:rPr>
          <w:rFonts w:ascii="Times New Roman" w:hAnsi="Times New Roman" w:cs="Times New Roman"/>
          <w:i/>
          <w:sz w:val="28"/>
          <w:szCs w:val="28"/>
        </w:rPr>
        <w:t>Effect of the Crown Election</w:t>
      </w:r>
    </w:p>
    <w:p w14:paraId="4B7FD821" w14:textId="520182DE" w:rsidR="004E41F8" w:rsidRDefault="004E41F8"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E41F8">
        <w:rPr>
          <w:rFonts w:ascii="Times New Roman" w:hAnsi="Times New Roman" w:cs="Times New Roman"/>
          <w:sz w:val="28"/>
          <w:szCs w:val="28"/>
        </w:rPr>
        <w:t>The Crown says that the offence in question was a “major sexual assault” as that term has been defined by the Albert</w:t>
      </w:r>
      <w:r w:rsidR="00883A46">
        <w:rPr>
          <w:rFonts w:ascii="Times New Roman" w:hAnsi="Times New Roman" w:cs="Times New Roman"/>
          <w:sz w:val="28"/>
          <w:szCs w:val="28"/>
        </w:rPr>
        <w:t>a and Northwest Territories Courts of A</w:t>
      </w:r>
      <w:r w:rsidRPr="004E41F8">
        <w:rPr>
          <w:rFonts w:ascii="Times New Roman" w:hAnsi="Times New Roman" w:cs="Times New Roman"/>
          <w:sz w:val="28"/>
          <w:szCs w:val="28"/>
        </w:rPr>
        <w:t xml:space="preserve">ppeal, that characterization is not disputed by Mr. Dryneck.  As made clear by the Alberta Court of Appeal in </w:t>
      </w:r>
      <w:r w:rsidRPr="004E41F8">
        <w:rPr>
          <w:rFonts w:ascii="Times New Roman" w:hAnsi="Times New Roman" w:cs="Times New Roman"/>
          <w:i/>
          <w:sz w:val="28"/>
          <w:szCs w:val="28"/>
        </w:rPr>
        <w:t>R. v. Arcand</w:t>
      </w:r>
      <w:r w:rsidRPr="004E41F8">
        <w:rPr>
          <w:rFonts w:ascii="Times New Roman" w:hAnsi="Times New Roman" w:cs="Times New Roman"/>
          <w:sz w:val="28"/>
          <w:szCs w:val="28"/>
        </w:rPr>
        <w:t xml:space="preserve">, 2010 ABCA 363; at para. 169, the </w:t>
      </w:r>
      <w:r w:rsidRPr="004E41F8">
        <w:rPr>
          <w:rFonts w:ascii="Times New Roman" w:hAnsi="Times New Roman" w:cs="Times New Roman"/>
          <w:sz w:val="28"/>
          <w:szCs w:val="28"/>
        </w:rPr>
        <w:lastRenderedPageBreak/>
        <w:t xml:space="preserve">starting point for cases of major sexual assault on an adult victim is three years imprisonment.  </w:t>
      </w:r>
      <w:r w:rsidRPr="004E41F8">
        <w:rPr>
          <w:rFonts w:ascii="Times New Roman" w:hAnsi="Times New Roman" w:cs="Times New Roman"/>
          <w:i/>
          <w:sz w:val="28"/>
          <w:szCs w:val="28"/>
        </w:rPr>
        <w:t>Arcand,</w:t>
      </w:r>
      <w:r w:rsidRPr="004E41F8">
        <w:rPr>
          <w:rFonts w:ascii="Times New Roman" w:hAnsi="Times New Roman" w:cs="Times New Roman"/>
          <w:sz w:val="28"/>
          <w:szCs w:val="28"/>
        </w:rPr>
        <w:t xml:space="preserve"> was adopted </w:t>
      </w:r>
      <w:r w:rsidR="00B85F06">
        <w:rPr>
          <w:rFonts w:ascii="Times New Roman" w:hAnsi="Times New Roman" w:cs="Times New Roman"/>
          <w:sz w:val="28"/>
          <w:szCs w:val="28"/>
        </w:rPr>
        <w:t xml:space="preserve">in the Northwest Territories by </w:t>
      </w:r>
      <w:r w:rsidRPr="004E41F8">
        <w:rPr>
          <w:rFonts w:ascii="Times New Roman" w:hAnsi="Times New Roman" w:cs="Times New Roman"/>
          <w:sz w:val="28"/>
          <w:szCs w:val="28"/>
        </w:rPr>
        <w:t xml:space="preserve">Northwest Territories Court of Appeal in </w:t>
      </w:r>
      <w:r w:rsidRPr="004E41F8">
        <w:rPr>
          <w:rFonts w:ascii="Times New Roman" w:hAnsi="Times New Roman" w:cs="Times New Roman"/>
          <w:i/>
          <w:sz w:val="28"/>
          <w:szCs w:val="28"/>
        </w:rPr>
        <w:t>R. v. A.J.P.J</w:t>
      </w:r>
      <w:r>
        <w:rPr>
          <w:rFonts w:ascii="Times New Roman" w:hAnsi="Times New Roman" w:cs="Times New Roman"/>
          <w:sz w:val="28"/>
          <w:szCs w:val="28"/>
        </w:rPr>
        <w:t>., 2011 NWTCA</w:t>
      </w:r>
      <w:r w:rsidR="00B85F06">
        <w:rPr>
          <w:rFonts w:ascii="Times New Roman" w:hAnsi="Times New Roman" w:cs="Times New Roman"/>
          <w:sz w:val="28"/>
          <w:szCs w:val="28"/>
        </w:rPr>
        <w:t xml:space="preserve"> 2</w:t>
      </w:r>
      <w:r>
        <w:rPr>
          <w:rFonts w:ascii="Times New Roman" w:hAnsi="Times New Roman" w:cs="Times New Roman"/>
          <w:sz w:val="28"/>
          <w:szCs w:val="28"/>
        </w:rPr>
        <w:t>.</w:t>
      </w:r>
    </w:p>
    <w:p w14:paraId="3288676D" w14:textId="6EDAC741" w:rsidR="00810724" w:rsidRPr="00810724" w:rsidRDefault="007B46E1"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E41F8">
        <w:rPr>
          <w:rFonts w:ascii="Times New Roman" w:hAnsi="Times New Roman" w:cs="Times New Roman"/>
          <w:sz w:val="28"/>
          <w:szCs w:val="28"/>
        </w:rPr>
        <w:t xml:space="preserve">Notwithstanding that the offence committed was a major sexual assault, the Crown proceeded summarily with this matter.  </w:t>
      </w:r>
      <w:r w:rsidR="00810724" w:rsidRPr="00810724">
        <w:rPr>
          <w:rFonts w:ascii="Times New Roman" w:hAnsi="Times New Roman" w:cs="Times New Roman"/>
          <w:sz w:val="28"/>
          <w:szCs w:val="28"/>
        </w:rPr>
        <w:t>The Crown takes the position that I should impose the maximum jail se</w:t>
      </w:r>
      <w:r>
        <w:rPr>
          <w:rFonts w:ascii="Times New Roman" w:hAnsi="Times New Roman" w:cs="Times New Roman"/>
          <w:sz w:val="28"/>
          <w:szCs w:val="28"/>
        </w:rPr>
        <w:t>ntence of 18 months along with</w:t>
      </w:r>
      <w:r w:rsidR="00810724" w:rsidRPr="00810724">
        <w:rPr>
          <w:rFonts w:ascii="Times New Roman" w:hAnsi="Times New Roman" w:cs="Times New Roman"/>
          <w:sz w:val="28"/>
          <w:szCs w:val="28"/>
        </w:rPr>
        <w:t xml:space="preserve"> probation and other ancillary orders.  Mr. Dryneck submits that I should impose a conditional sentence of 15 months or alternatively a jail term of 10 to 12 months.  </w:t>
      </w:r>
      <w:r>
        <w:rPr>
          <w:rFonts w:ascii="Times New Roman" w:hAnsi="Times New Roman" w:cs="Times New Roman"/>
          <w:sz w:val="28"/>
          <w:szCs w:val="28"/>
        </w:rPr>
        <w:t xml:space="preserve">He argues that, I must apply the principle of parity of sentence and in doing so, use only other cases where the Crown has proceeded summarily as comparators. </w:t>
      </w:r>
    </w:p>
    <w:p w14:paraId="644D414D" w14:textId="7A2D28FD" w:rsidR="004E41F8" w:rsidRPr="004E41F8" w:rsidRDefault="0081072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A3081B">
        <w:rPr>
          <w:rFonts w:ascii="Times New Roman" w:hAnsi="Times New Roman" w:cs="Times New Roman"/>
          <w:sz w:val="28"/>
          <w:szCs w:val="28"/>
        </w:rPr>
        <w:t xml:space="preserve">Parliament recently amended s. 787(1) of the </w:t>
      </w:r>
      <w:r w:rsidRPr="00A3081B">
        <w:rPr>
          <w:rFonts w:ascii="Times New Roman" w:hAnsi="Times New Roman" w:cs="Times New Roman"/>
          <w:i/>
          <w:sz w:val="28"/>
          <w:szCs w:val="28"/>
        </w:rPr>
        <w:t>Criminal Code</w:t>
      </w:r>
      <w:r w:rsidRPr="00A3081B">
        <w:rPr>
          <w:rFonts w:ascii="Times New Roman" w:hAnsi="Times New Roman" w:cs="Times New Roman"/>
          <w:sz w:val="28"/>
          <w:szCs w:val="28"/>
        </w:rPr>
        <w:t xml:space="preserve"> to increase the maximum period of imprisonment generally applicable </w:t>
      </w:r>
      <w:r w:rsidR="00883A46">
        <w:rPr>
          <w:rFonts w:ascii="Times New Roman" w:hAnsi="Times New Roman" w:cs="Times New Roman"/>
          <w:sz w:val="28"/>
          <w:szCs w:val="28"/>
        </w:rPr>
        <w:t xml:space="preserve">to </w:t>
      </w:r>
      <w:r w:rsidRPr="00A3081B">
        <w:rPr>
          <w:rFonts w:ascii="Times New Roman" w:hAnsi="Times New Roman" w:cs="Times New Roman"/>
          <w:sz w:val="28"/>
          <w:szCs w:val="28"/>
        </w:rPr>
        <w:t>summary conviction offences, where no maximum is otherwise specified, to two years less a day.  However, sexual assault in cases where the Crown has proceeded summarily</w:t>
      </w:r>
      <w:r w:rsidR="00524937" w:rsidRPr="004008D2">
        <w:rPr>
          <w:rFonts w:ascii="Times New Roman" w:hAnsi="Times New Roman" w:cs="Times New Roman"/>
          <w:sz w:val="28"/>
          <w:szCs w:val="28"/>
        </w:rPr>
        <w:t xml:space="preserve">– </w:t>
      </w:r>
      <w:r w:rsidRPr="00A3081B">
        <w:rPr>
          <w:rFonts w:ascii="Times New Roman" w:hAnsi="Times New Roman" w:cs="Times New Roman"/>
          <w:sz w:val="28"/>
          <w:szCs w:val="28"/>
        </w:rPr>
        <w:t>and in which the victim is 16 years of age or over</w:t>
      </w:r>
      <w:r w:rsidR="00524937" w:rsidRPr="004008D2">
        <w:rPr>
          <w:rFonts w:ascii="Times New Roman" w:hAnsi="Times New Roman" w:cs="Times New Roman"/>
          <w:sz w:val="28"/>
          <w:szCs w:val="28"/>
        </w:rPr>
        <w:t xml:space="preserve">– </w:t>
      </w:r>
      <w:r w:rsidRPr="00A3081B">
        <w:rPr>
          <w:rFonts w:ascii="Times New Roman" w:hAnsi="Times New Roman" w:cs="Times New Roman"/>
          <w:sz w:val="28"/>
          <w:szCs w:val="28"/>
        </w:rPr>
        <w:t xml:space="preserve">has explicitly retained a maximum jail term of 18 months; see s. 271(b) </w:t>
      </w:r>
      <w:r w:rsidRPr="00A3081B">
        <w:rPr>
          <w:rFonts w:ascii="Times New Roman" w:hAnsi="Times New Roman" w:cs="Times New Roman"/>
          <w:i/>
          <w:sz w:val="28"/>
          <w:szCs w:val="28"/>
        </w:rPr>
        <w:t>Criminal Code</w:t>
      </w:r>
      <w:r w:rsidRPr="00A3081B">
        <w:rPr>
          <w:rFonts w:ascii="Times New Roman" w:hAnsi="Times New Roman" w:cs="Times New Roman"/>
          <w:sz w:val="28"/>
          <w:szCs w:val="28"/>
        </w:rPr>
        <w:t xml:space="preserve">.  I note that these maximum penalties lead to an anomaly since common assault contrary to s. 266 of the </w:t>
      </w:r>
      <w:r w:rsidRPr="00883A46">
        <w:rPr>
          <w:rFonts w:ascii="Times New Roman" w:hAnsi="Times New Roman" w:cs="Times New Roman"/>
          <w:i/>
          <w:sz w:val="28"/>
          <w:szCs w:val="28"/>
        </w:rPr>
        <w:t>Code</w:t>
      </w:r>
      <w:r w:rsidRPr="00A3081B">
        <w:rPr>
          <w:rFonts w:ascii="Times New Roman" w:hAnsi="Times New Roman" w:cs="Times New Roman"/>
          <w:sz w:val="28"/>
          <w:szCs w:val="28"/>
        </w:rPr>
        <w:t>, an offence that is included in that one cannot commit a sexual assault without also committing a common assault, now carries a maximum period of imprisonment of 2 years less a day in the case of a summary election.  That said, there is no dispute that in the present circumstances, the maximum amount of jail that I can impose is 18 months.</w:t>
      </w:r>
    </w:p>
    <w:p w14:paraId="794AF402" w14:textId="20CE8D73" w:rsidR="004E41F8" w:rsidRDefault="0081072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A3081B">
        <w:rPr>
          <w:rFonts w:ascii="Times New Roman" w:hAnsi="Times New Roman" w:cs="Times New Roman"/>
          <w:sz w:val="28"/>
          <w:szCs w:val="28"/>
        </w:rPr>
        <w:t xml:space="preserve">The Crown relies on the case of </w:t>
      </w:r>
      <w:r w:rsidRPr="00A3081B">
        <w:rPr>
          <w:rFonts w:ascii="Times New Roman" w:hAnsi="Times New Roman" w:cs="Times New Roman"/>
          <w:i/>
          <w:sz w:val="28"/>
          <w:szCs w:val="28"/>
        </w:rPr>
        <w:t xml:space="preserve">R. v. Solowan, </w:t>
      </w:r>
      <w:r w:rsidRPr="00A3081B">
        <w:rPr>
          <w:rFonts w:ascii="Times New Roman" w:hAnsi="Times New Roman" w:cs="Times New Roman"/>
          <w:sz w:val="28"/>
          <w:szCs w:val="28"/>
        </w:rPr>
        <w:t>[2008] 3 SCR</w:t>
      </w:r>
      <w:r w:rsidR="00863292">
        <w:rPr>
          <w:rFonts w:ascii="Times New Roman" w:hAnsi="Times New Roman" w:cs="Times New Roman"/>
          <w:sz w:val="28"/>
          <w:szCs w:val="28"/>
        </w:rPr>
        <w:t xml:space="preserve"> 309</w:t>
      </w:r>
      <w:r w:rsidRPr="00A3081B">
        <w:rPr>
          <w:rFonts w:ascii="Times New Roman" w:hAnsi="Times New Roman" w:cs="Times New Roman"/>
          <w:sz w:val="28"/>
          <w:szCs w:val="28"/>
        </w:rPr>
        <w:t xml:space="preserve">.  In </w:t>
      </w:r>
      <w:r w:rsidRPr="00A3081B">
        <w:rPr>
          <w:rFonts w:ascii="Times New Roman" w:hAnsi="Times New Roman" w:cs="Times New Roman"/>
          <w:i/>
          <w:sz w:val="28"/>
          <w:szCs w:val="28"/>
        </w:rPr>
        <w:t>Solowan</w:t>
      </w:r>
      <w:r w:rsidRPr="00A3081B">
        <w:rPr>
          <w:rFonts w:ascii="Times New Roman" w:hAnsi="Times New Roman" w:cs="Times New Roman"/>
          <w:sz w:val="28"/>
          <w:szCs w:val="28"/>
        </w:rPr>
        <w:t xml:space="preserve"> the accused had received the maximum jail term of six months for two offences in which the Crown had proceeded summarily, possession of stolen property and failing to stop at the scene of an accident.  Mr. Solowan appealed his sentence.  The British Columbia Court of Appeal reduced the sentence on the possession count but upheld the sentence on the count of failing to stop at the scene of an accident.  In doing so the court observed that it was clear that the worst offender, worst offence principle no longer operated as a constraint on the imposition of </w:t>
      </w:r>
      <w:r w:rsidR="0018069F">
        <w:rPr>
          <w:rFonts w:ascii="Times New Roman" w:hAnsi="Times New Roman" w:cs="Times New Roman"/>
          <w:sz w:val="28"/>
          <w:szCs w:val="28"/>
        </w:rPr>
        <w:t xml:space="preserve">the </w:t>
      </w:r>
      <w:r w:rsidRPr="00A3081B">
        <w:rPr>
          <w:rFonts w:ascii="Times New Roman" w:hAnsi="Times New Roman" w:cs="Times New Roman"/>
          <w:sz w:val="28"/>
          <w:szCs w:val="28"/>
        </w:rPr>
        <w:t>maximum sentence given the principles of sentencing now set out in Part XX</w:t>
      </w:r>
      <w:r w:rsidR="0018069F">
        <w:rPr>
          <w:rFonts w:ascii="Times New Roman" w:hAnsi="Times New Roman" w:cs="Times New Roman"/>
          <w:sz w:val="28"/>
          <w:szCs w:val="28"/>
        </w:rPr>
        <w:t>I</w:t>
      </w:r>
      <w:r w:rsidRPr="00A3081B">
        <w:rPr>
          <w:rFonts w:ascii="Times New Roman" w:hAnsi="Times New Roman" w:cs="Times New Roman"/>
          <w:sz w:val="28"/>
          <w:szCs w:val="28"/>
        </w:rPr>
        <w:t xml:space="preserve">II of the </w:t>
      </w:r>
      <w:r w:rsidRPr="0018069F">
        <w:rPr>
          <w:rFonts w:ascii="Times New Roman" w:hAnsi="Times New Roman" w:cs="Times New Roman"/>
          <w:i/>
          <w:sz w:val="28"/>
          <w:szCs w:val="28"/>
        </w:rPr>
        <w:t>Criminal Code</w:t>
      </w:r>
      <w:r w:rsidRPr="00A3081B">
        <w:rPr>
          <w:rFonts w:ascii="Times New Roman" w:hAnsi="Times New Roman" w:cs="Times New Roman"/>
          <w:sz w:val="28"/>
          <w:szCs w:val="28"/>
        </w:rPr>
        <w:t xml:space="preserve"> and earlier jurisprudence of the Supreme Court of Canada; see: </w:t>
      </w:r>
      <w:r w:rsidRPr="00A3081B">
        <w:rPr>
          <w:rFonts w:ascii="Times New Roman" w:hAnsi="Times New Roman" w:cs="Times New Roman"/>
          <w:i/>
          <w:sz w:val="28"/>
          <w:szCs w:val="28"/>
        </w:rPr>
        <w:t>R. v. Cheddesingh</w:t>
      </w:r>
      <w:r w:rsidRPr="00A3081B">
        <w:rPr>
          <w:rFonts w:ascii="Times New Roman" w:hAnsi="Times New Roman" w:cs="Times New Roman"/>
          <w:sz w:val="28"/>
          <w:szCs w:val="28"/>
        </w:rPr>
        <w:t xml:space="preserve">, [2004] 1 SCR 433; </w:t>
      </w:r>
      <w:r w:rsidRPr="00A3081B">
        <w:rPr>
          <w:rFonts w:ascii="Times New Roman" w:hAnsi="Times New Roman" w:cs="Times New Roman"/>
          <w:i/>
          <w:sz w:val="28"/>
          <w:szCs w:val="28"/>
        </w:rPr>
        <w:t xml:space="preserve">R. v. L.M., </w:t>
      </w:r>
      <w:r w:rsidRPr="00A3081B">
        <w:rPr>
          <w:rFonts w:ascii="Times New Roman" w:hAnsi="Times New Roman" w:cs="Times New Roman"/>
          <w:sz w:val="28"/>
          <w:szCs w:val="28"/>
        </w:rPr>
        <w:t>[2008 2 SCR 163</w:t>
      </w:r>
      <w:r>
        <w:rPr>
          <w:rFonts w:ascii="Times New Roman" w:hAnsi="Times New Roman" w:cs="Times New Roman"/>
          <w:sz w:val="28"/>
          <w:szCs w:val="28"/>
        </w:rPr>
        <w:t>]</w:t>
      </w:r>
      <w:r w:rsidRPr="00A3081B">
        <w:rPr>
          <w:rFonts w:ascii="Times New Roman" w:hAnsi="Times New Roman" w:cs="Times New Roman"/>
          <w:sz w:val="28"/>
          <w:szCs w:val="28"/>
        </w:rPr>
        <w:t>.</w:t>
      </w:r>
    </w:p>
    <w:p w14:paraId="47E4449D" w14:textId="4BF41B00" w:rsidR="00810724" w:rsidRPr="000D287D" w:rsidRDefault="00810724" w:rsidP="00260645">
      <w:pPr>
        <w:pStyle w:val="ListParagraph"/>
        <w:keepNext/>
        <w:widowControl w:val="0"/>
        <w:numPr>
          <w:ilvl w:val="0"/>
          <w:numId w:val="13"/>
        </w:numPr>
        <w:spacing w:after="240" w:line="240" w:lineRule="auto"/>
        <w:ind w:left="0" w:firstLine="0"/>
        <w:contextualSpacing w:val="0"/>
        <w:rPr>
          <w:rFonts w:ascii="Times New Roman" w:hAnsi="Times New Roman" w:cs="Times New Roman"/>
          <w:sz w:val="28"/>
          <w:szCs w:val="28"/>
        </w:rPr>
      </w:pPr>
      <w:r w:rsidRPr="00810724">
        <w:rPr>
          <w:rFonts w:ascii="Times New Roman" w:hAnsi="Times New Roman" w:cs="Times New Roman"/>
          <w:sz w:val="28"/>
          <w:szCs w:val="28"/>
        </w:rPr>
        <w:lastRenderedPageBreak/>
        <w:t xml:space="preserve">Lowry J.A. on behalf of the Court of </w:t>
      </w:r>
      <w:r w:rsidRPr="000D287D">
        <w:rPr>
          <w:rFonts w:ascii="Times New Roman" w:hAnsi="Times New Roman" w:cs="Times New Roman"/>
          <w:sz w:val="28"/>
          <w:szCs w:val="28"/>
        </w:rPr>
        <w:t>Appeal</w:t>
      </w:r>
      <w:r w:rsidR="000D287D" w:rsidRPr="000D287D">
        <w:rPr>
          <w:rFonts w:ascii="Times New Roman" w:hAnsi="Times New Roman" w:cs="Times New Roman"/>
          <w:sz w:val="28"/>
          <w:szCs w:val="28"/>
        </w:rPr>
        <w:t>, 2007 BCCA 388</w:t>
      </w:r>
      <w:r w:rsidR="000D287D">
        <w:rPr>
          <w:rFonts w:ascii="Times New Roman" w:hAnsi="Times New Roman" w:cs="Times New Roman"/>
          <w:sz w:val="28"/>
          <w:szCs w:val="28"/>
        </w:rPr>
        <w:t>, stated</w:t>
      </w:r>
      <w:r w:rsidRPr="000D287D">
        <w:rPr>
          <w:rFonts w:ascii="Times New Roman" w:hAnsi="Times New Roman" w:cs="Times New Roman"/>
          <w:sz w:val="28"/>
          <w:szCs w:val="28"/>
        </w:rPr>
        <w:t>:</w:t>
      </w:r>
    </w:p>
    <w:p w14:paraId="115438AD" w14:textId="43C3E08D" w:rsidR="000D287D" w:rsidRDefault="000D287D" w:rsidP="00260645">
      <w:pPr>
        <w:spacing w:after="240" w:line="240" w:lineRule="auto"/>
        <w:ind w:left="720"/>
        <w:rPr>
          <w:rFonts w:ascii="Times New Roman" w:hAnsi="Times New Roman" w:cs="Times New Roman"/>
          <w:i/>
          <w:sz w:val="24"/>
          <w:szCs w:val="28"/>
        </w:rPr>
      </w:pPr>
      <w:r>
        <w:rPr>
          <w:rFonts w:ascii="Times New Roman" w:hAnsi="Times New Roman" w:cs="Times New Roman"/>
          <w:sz w:val="24"/>
          <w:szCs w:val="28"/>
        </w:rPr>
        <w:t xml:space="preserve">[9] </w:t>
      </w:r>
      <w:r w:rsidR="00810724" w:rsidRPr="00810724">
        <w:rPr>
          <w:rFonts w:ascii="Times New Roman" w:hAnsi="Times New Roman" w:cs="Times New Roman"/>
          <w:sz w:val="24"/>
          <w:szCs w:val="28"/>
        </w:rPr>
        <w:t xml:space="preserve">The applicant contends that the judge erred in imposing the maximum sentence for which the law provides on two of the counts without first finding he was the worst offender committing the worst offence which the judge could not have done.  The applicant says the sentences are in the result at odds with the principle of proportionality.  But possession of stolen property under $5,000 and failing to stop are hybrid offences.  The Crown can proceed summarily or by indictment.  </w:t>
      </w:r>
      <w:r w:rsidR="00810724" w:rsidRPr="000D287D">
        <w:rPr>
          <w:rFonts w:ascii="Times New Roman" w:hAnsi="Times New Roman" w:cs="Times New Roman"/>
          <w:i/>
          <w:sz w:val="24"/>
          <w:szCs w:val="28"/>
        </w:rPr>
        <w:t xml:space="preserve">The maximum sentence for the offences was not imposed here.  It is available only where the Crown elects to proceed by indictment. </w:t>
      </w:r>
    </w:p>
    <w:p w14:paraId="42E38FAB" w14:textId="1C8386DF" w:rsidR="00810724" w:rsidRPr="00810724" w:rsidRDefault="00810724" w:rsidP="000D287D">
      <w:pPr>
        <w:spacing w:after="240" w:line="240" w:lineRule="auto"/>
        <w:ind w:left="720"/>
        <w:rPr>
          <w:rFonts w:ascii="Times New Roman" w:hAnsi="Times New Roman" w:cs="Times New Roman"/>
          <w:sz w:val="24"/>
          <w:szCs w:val="28"/>
        </w:rPr>
      </w:pPr>
      <w:r w:rsidRPr="000D287D">
        <w:rPr>
          <w:rFonts w:ascii="Times New Roman" w:hAnsi="Times New Roman" w:cs="Times New Roman"/>
          <w:sz w:val="24"/>
          <w:szCs w:val="28"/>
        </w:rPr>
        <w:t>[Emphasis added.]</w:t>
      </w:r>
    </w:p>
    <w:p w14:paraId="3932A822" w14:textId="2F154B19" w:rsidR="00810724" w:rsidRDefault="0081072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10724">
        <w:rPr>
          <w:rFonts w:ascii="Times New Roman" w:hAnsi="Times New Roman" w:cs="Times New Roman"/>
          <w:sz w:val="28"/>
          <w:szCs w:val="28"/>
        </w:rPr>
        <w:t>Fish J., on behalf of the Supreme Court of Canada, noted that the</w:t>
      </w:r>
      <w:r w:rsidR="000D287D">
        <w:rPr>
          <w:rFonts w:ascii="Times New Roman" w:hAnsi="Times New Roman" w:cs="Times New Roman"/>
          <w:sz w:val="28"/>
          <w:szCs w:val="28"/>
        </w:rPr>
        <w:t xml:space="preserve"> emphasized</w:t>
      </w:r>
      <w:r w:rsidRPr="00810724">
        <w:rPr>
          <w:rFonts w:ascii="Times New Roman" w:hAnsi="Times New Roman" w:cs="Times New Roman"/>
          <w:sz w:val="28"/>
          <w:szCs w:val="28"/>
        </w:rPr>
        <w:t xml:space="preserve"> portion of the above</w:t>
      </w:r>
      <w:r w:rsidR="000D287D">
        <w:rPr>
          <w:rFonts w:ascii="Times New Roman" w:hAnsi="Times New Roman" w:cs="Times New Roman"/>
          <w:sz w:val="28"/>
          <w:szCs w:val="28"/>
        </w:rPr>
        <w:t xml:space="preserve"> paragraph,</w:t>
      </w:r>
      <w:r w:rsidRPr="00810724">
        <w:rPr>
          <w:rFonts w:ascii="Times New Roman" w:hAnsi="Times New Roman" w:cs="Times New Roman"/>
          <w:sz w:val="28"/>
          <w:szCs w:val="28"/>
        </w:rPr>
        <w:t xml:space="preserve"> if construed literally</w:t>
      </w:r>
      <w:r w:rsidR="000D287D">
        <w:rPr>
          <w:rFonts w:ascii="Times New Roman" w:hAnsi="Times New Roman" w:cs="Times New Roman"/>
          <w:sz w:val="28"/>
          <w:szCs w:val="28"/>
        </w:rPr>
        <w:t>,</w:t>
      </w:r>
      <w:r w:rsidRPr="00810724">
        <w:rPr>
          <w:rFonts w:ascii="Times New Roman" w:hAnsi="Times New Roman" w:cs="Times New Roman"/>
          <w:sz w:val="28"/>
          <w:szCs w:val="28"/>
        </w:rPr>
        <w:t xml:space="preserve"> was incorrect in that given the Crown’s summary election, the maximum jail </w:t>
      </w:r>
      <w:r w:rsidR="0018069F">
        <w:rPr>
          <w:rFonts w:ascii="Times New Roman" w:hAnsi="Times New Roman" w:cs="Times New Roman"/>
          <w:sz w:val="28"/>
          <w:szCs w:val="28"/>
        </w:rPr>
        <w:t xml:space="preserve">term </w:t>
      </w:r>
      <w:r w:rsidRPr="00810724">
        <w:rPr>
          <w:rFonts w:ascii="Times New Roman" w:hAnsi="Times New Roman" w:cs="Times New Roman"/>
          <w:sz w:val="28"/>
          <w:szCs w:val="28"/>
        </w:rPr>
        <w:t>had in fact been imposed.  However, he also held that the Court of Appeal had not erred in imposing the maximum sentence that was available.  In upholding the Court of Appeal’s sentence, he stated:</w:t>
      </w:r>
    </w:p>
    <w:p w14:paraId="2104014B" w14:textId="4E195753" w:rsidR="00810724" w:rsidRPr="00260645" w:rsidRDefault="00810724" w:rsidP="00260645">
      <w:pPr>
        <w:pStyle w:val="ListParagraph"/>
        <w:spacing w:after="240" w:line="240" w:lineRule="auto"/>
        <w:contextualSpacing w:val="0"/>
        <w:rPr>
          <w:rFonts w:ascii="Times New Roman" w:hAnsi="Times New Roman" w:cs="Times New Roman"/>
          <w:sz w:val="24"/>
          <w:szCs w:val="28"/>
        </w:rPr>
      </w:pPr>
      <w:r w:rsidRPr="00810724">
        <w:rPr>
          <w:rFonts w:ascii="Times New Roman" w:hAnsi="Times New Roman" w:cs="Times New Roman"/>
          <w:sz w:val="24"/>
          <w:szCs w:val="28"/>
        </w:rPr>
        <w:t>[15] A fit sentence for a hybrid offence is neither a function nor a fraction of the sentence that might have been imposed had the Crown elected to proceed otherwise than it did.  More particularly, the sentence for a hybrid offence prosecuted summarily should not be “scaled down” from the maximum on summary conviction simply because the defendant would likely have received less than the maximum had he or she been prosecuted by indictment.  Likewise, upon indictment, the sentence should not be “scaled up” from the sentence that the accused might well have received if prosecuted by summary conviction.</w:t>
      </w:r>
    </w:p>
    <w:p w14:paraId="1320044C" w14:textId="31B261A7" w:rsidR="00810724" w:rsidRPr="00810724" w:rsidRDefault="00810724" w:rsidP="00260645">
      <w:pPr>
        <w:pStyle w:val="ListParagraph"/>
        <w:spacing w:after="240" w:line="240" w:lineRule="auto"/>
        <w:contextualSpacing w:val="0"/>
        <w:rPr>
          <w:rFonts w:ascii="Times New Roman" w:hAnsi="Times New Roman" w:cs="Times New Roman"/>
          <w:sz w:val="24"/>
          <w:szCs w:val="28"/>
        </w:rPr>
      </w:pPr>
      <w:r w:rsidRPr="00810724">
        <w:rPr>
          <w:rFonts w:ascii="Times New Roman" w:hAnsi="Times New Roman" w:cs="Times New Roman"/>
          <w:sz w:val="24"/>
          <w:szCs w:val="28"/>
        </w:rPr>
        <w:t xml:space="preserve">[16] In short, the sentencing principles set out in Part XXIII of the </w:t>
      </w:r>
      <w:r w:rsidRPr="00883A46">
        <w:rPr>
          <w:rFonts w:ascii="Times New Roman" w:hAnsi="Times New Roman" w:cs="Times New Roman"/>
          <w:i/>
          <w:sz w:val="24"/>
          <w:szCs w:val="28"/>
        </w:rPr>
        <w:t>Criminal Code</w:t>
      </w:r>
      <w:r w:rsidRPr="00810724">
        <w:rPr>
          <w:rFonts w:ascii="Times New Roman" w:hAnsi="Times New Roman" w:cs="Times New Roman"/>
          <w:sz w:val="24"/>
          <w:szCs w:val="28"/>
        </w:rPr>
        <w:t xml:space="preserve"> apply to both indictable and summary conviction offences.  Parliament has made that clear in the definition of “court” at s. 716 of the </w:t>
      </w:r>
      <w:r w:rsidRPr="00883A46">
        <w:rPr>
          <w:rFonts w:ascii="Times New Roman" w:hAnsi="Times New Roman" w:cs="Times New Roman"/>
          <w:i/>
          <w:sz w:val="24"/>
          <w:szCs w:val="28"/>
        </w:rPr>
        <w:t>Code</w:t>
      </w:r>
      <w:r w:rsidRPr="00810724">
        <w:rPr>
          <w:rFonts w:ascii="Times New Roman" w:hAnsi="Times New Roman" w:cs="Times New Roman"/>
          <w:sz w:val="24"/>
          <w:szCs w:val="28"/>
        </w:rPr>
        <w:t>.  And when the Crown elects to prosecute a “hybrid” offence by way of summary conviction, the sentencing court is bound by the Crown’s election to determine the appropriate punishment within the limits established by Parliament for that mode of procedure.  Absent an error of principle, failure to consider a relevant factor, or overemphasis of the appropriate factors, any sentence within that range — including the maximum — should not be varied on appeal unless it is demonstrably inadequate or excessive.</w:t>
      </w:r>
    </w:p>
    <w:p w14:paraId="2359217B" w14:textId="4019EBF4" w:rsidR="00810724" w:rsidRDefault="000D287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I interpret</w:t>
      </w:r>
      <w:r w:rsidR="003C06AD">
        <w:rPr>
          <w:rFonts w:ascii="Times New Roman" w:hAnsi="Times New Roman" w:cs="Times New Roman"/>
          <w:sz w:val="28"/>
          <w:szCs w:val="28"/>
        </w:rPr>
        <w:t xml:space="preserve"> </w:t>
      </w:r>
      <w:r w:rsidR="00810724" w:rsidRPr="00810724">
        <w:rPr>
          <w:rFonts w:ascii="Times New Roman" w:hAnsi="Times New Roman" w:cs="Times New Roman"/>
          <w:sz w:val="28"/>
          <w:szCs w:val="28"/>
        </w:rPr>
        <w:t xml:space="preserve">the foregoing words </w:t>
      </w:r>
      <w:r>
        <w:rPr>
          <w:rFonts w:ascii="Times New Roman" w:hAnsi="Times New Roman" w:cs="Times New Roman"/>
          <w:sz w:val="28"/>
          <w:szCs w:val="28"/>
        </w:rPr>
        <w:t>as stating</w:t>
      </w:r>
      <w:r w:rsidR="00810724" w:rsidRPr="00810724">
        <w:rPr>
          <w:rFonts w:ascii="Times New Roman" w:hAnsi="Times New Roman" w:cs="Times New Roman"/>
          <w:sz w:val="28"/>
          <w:szCs w:val="28"/>
        </w:rPr>
        <w:t xml:space="preserve"> that the sentence imposed by the court should not be affected by the election of the Crown, other than to limit the sentence at the lower maximum sentence in the case of a summary election.</w:t>
      </w:r>
    </w:p>
    <w:p w14:paraId="26F140F3" w14:textId="5686082E" w:rsidR="00810724" w:rsidRDefault="00810724" w:rsidP="00260645">
      <w:pPr>
        <w:pStyle w:val="ListParagraph"/>
        <w:keepNext/>
        <w:widowControl w:val="0"/>
        <w:numPr>
          <w:ilvl w:val="0"/>
          <w:numId w:val="13"/>
        </w:numPr>
        <w:spacing w:after="240" w:line="240" w:lineRule="auto"/>
        <w:ind w:left="0" w:firstLine="0"/>
        <w:contextualSpacing w:val="0"/>
        <w:rPr>
          <w:rFonts w:ascii="Times New Roman" w:hAnsi="Times New Roman" w:cs="Times New Roman"/>
          <w:sz w:val="28"/>
          <w:szCs w:val="28"/>
        </w:rPr>
      </w:pPr>
      <w:r w:rsidRPr="00810724">
        <w:rPr>
          <w:rFonts w:ascii="Times New Roman" w:hAnsi="Times New Roman" w:cs="Times New Roman"/>
          <w:sz w:val="28"/>
          <w:szCs w:val="28"/>
        </w:rPr>
        <w:t xml:space="preserve">In the case of </w:t>
      </w:r>
      <w:r w:rsidRPr="00883A46">
        <w:rPr>
          <w:rFonts w:ascii="Times New Roman" w:hAnsi="Times New Roman" w:cs="Times New Roman"/>
          <w:i/>
          <w:sz w:val="28"/>
          <w:szCs w:val="28"/>
        </w:rPr>
        <w:t>R. v. Minoza</w:t>
      </w:r>
      <w:r w:rsidR="00883A46">
        <w:rPr>
          <w:rFonts w:ascii="Times New Roman" w:hAnsi="Times New Roman" w:cs="Times New Roman"/>
          <w:sz w:val="28"/>
          <w:szCs w:val="28"/>
        </w:rPr>
        <w:t>, 2009 NWTSC 07,</w:t>
      </w:r>
      <w:r w:rsidRPr="00810724">
        <w:rPr>
          <w:rFonts w:ascii="Times New Roman" w:hAnsi="Times New Roman" w:cs="Times New Roman"/>
          <w:sz w:val="28"/>
          <w:szCs w:val="28"/>
        </w:rPr>
        <w:t xml:space="preserve"> Charbonneau J. (as she then was) appears to have come to a similar conclusion where she stated:</w:t>
      </w:r>
    </w:p>
    <w:p w14:paraId="30D18049" w14:textId="3D47D0E9" w:rsidR="00810724" w:rsidRPr="00810724" w:rsidRDefault="00810724" w:rsidP="00260645">
      <w:pPr>
        <w:spacing w:after="240" w:line="240" w:lineRule="auto"/>
        <w:ind w:left="720"/>
        <w:rPr>
          <w:rFonts w:ascii="Times New Roman" w:hAnsi="Times New Roman" w:cs="Times New Roman"/>
          <w:sz w:val="24"/>
          <w:szCs w:val="28"/>
        </w:rPr>
      </w:pPr>
      <w:r w:rsidRPr="00810724">
        <w:rPr>
          <w:rFonts w:ascii="Times New Roman" w:hAnsi="Times New Roman" w:cs="Times New Roman"/>
          <w:sz w:val="24"/>
          <w:szCs w:val="28"/>
        </w:rPr>
        <w:t xml:space="preserve">[37] The line of reasoning according to which maximum penalties should be reserved for the theoretical “worst crime committed by the worst offender” has also been rejected.  The fitness of any sentence, even the maximum sentence, must be assessed in light of all the sentencing principles set out in the </w:t>
      </w:r>
      <w:r w:rsidRPr="00883A46">
        <w:rPr>
          <w:rFonts w:ascii="Times New Roman" w:hAnsi="Times New Roman" w:cs="Times New Roman"/>
          <w:i/>
          <w:sz w:val="24"/>
          <w:szCs w:val="28"/>
        </w:rPr>
        <w:t>Criminal Code.  R. v. L. M.</w:t>
      </w:r>
      <w:r w:rsidRPr="00810724">
        <w:rPr>
          <w:rFonts w:ascii="Times New Roman" w:hAnsi="Times New Roman" w:cs="Times New Roman"/>
          <w:sz w:val="24"/>
          <w:szCs w:val="28"/>
        </w:rPr>
        <w:t xml:space="preserve">, supra.  In </w:t>
      </w:r>
      <w:r w:rsidRPr="00883A46">
        <w:rPr>
          <w:rFonts w:ascii="Times New Roman" w:hAnsi="Times New Roman" w:cs="Times New Roman"/>
          <w:i/>
          <w:sz w:val="24"/>
          <w:szCs w:val="28"/>
        </w:rPr>
        <w:t>Solowan</w:t>
      </w:r>
      <w:r w:rsidRPr="00810724">
        <w:rPr>
          <w:rFonts w:ascii="Times New Roman" w:hAnsi="Times New Roman" w:cs="Times New Roman"/>
          <w:sz w:val="24"/>
          <w:szCs w:val="28"/>
        </w:rPr>
        <w:t>, the Supreme Court made it clear that this is as true for summary conviction offenses as it is for indictable offenses, and that it applies to hybrid offenses for which the Crown has proceeded summarily:</w:t>
      </w:r>
    </w:p>
    <w:p w14:paraId="76884D54" w14:textId="652AA337" w:rsidR="00810724" w:rsidRPr="00810724" w:rsidRDefault="00810724" w:rsidP="00260645">
      <w:pPr>
        <w:spacing w:after="240" w:line="240" w:lineRule="auto"/>
        <w:ind w:left="720"/>
        <w:rPr>
          <w:rFonts w:ascii="Times New Roman" w:hAnsi="Times New Roman" w:cs="Times New Roman"/>
          <w:sz w:val="24"/>
          <w:szCs w:val="28"/>
        </w:rPr>
      </w:pPr>
      <w:r w:rsidRPr="00810724">
        <w:rPr>
          <w:rFonts w:ascii="Times New Roman" w:hAnsi="Times New Roman" w:cs="Times New Roman"/>
          <w:sz w:val="24"/>
          <w:szCs w:val="28"/>
        </w:rPr>
        <w:t xml:space="preserve">In short, the sentencing principles set out in Part XXIII of the </w:t>
      </w:r>
      <w:r w:rsidRPr="00883A46">
        <w:rPr>
          <w:rFonts w:ascii="Times New Roman" w:hAnsi="Times New Roman" w:cs="Times New Roman"/>
          <w:i/>
          <w:sz w:val="24"/>
          <w:szCs w:val="28"/>
        </w:rPr>
        <w:t>Criminal Code</w:t>
      </w:r>
      <w:r w:rsidRPr="00810724">
        <w:rPr>
          <w:rFonts w:ascii="Times New Roman" w:hAnsi="Times New Roman" w:cs="Times New Roman"/>
          <w:sz w:val="24"/>
          <w:szCs w:val="28"/>
        </w:rPr>
        <w:t xml:space="preserve"> apply to both indictable and summary conviction offenses.  Parliament has made that clear in the definition of “court” at s. 716 of the </w:t>
      </w:r>
      <w:r w:rsidRPr="00883A46">
        <w:rPr>
          <w:rFonts w:ascii="Times New Roman" w:hAnsi="Times New Roman" w:cs="Times New Roman"/>
          <w:i/>
          <w:sz w:val="24"/>
          <w:szCs w:val="28"/>
        </w:rPr>
        <w:t>Code</w:t>
      </w:r>
      <w:r w:rsidRPr="00810724">
        <w:rPr>
          <w:rFonts w:ascii="Times New Roman" w:hAnsi="Times New Roman" w:cs="Times New Roman"/>
          <w:sz w:val="24"/>
          <w:szCs w:val="28"/>
        </w:rPr>
        <w:t>.  And when the Crown elects to prosecute a “hybrid” offence by way of summary conviction, the sentencing court is bound by the Crown’s election to determine the appropriate punishment within the limits established by Parliament for that mode of procedure.  Absent an error in principle, failure to consider a relevant factor, or overemphasis of appropriate factors, any sentence within that range - including the maximum - should not be varied on appeal unless it is demonstrably inadequate or excessive.</w:t>
      </w:r>
    </w:p>
    <w:p w14:paraId="64EB93B5" w14:textId="5EF31609" w:rsidR="00810724" w:rsidRPr="00810724" w:rsidRDefault="00810724" w:rsidP="00260645">
      <w:pPr>
        <w:spacing w:after="240" w:line="240" w:lineRule="auto"/>
        <w:ind w:left="720"/>
        <w:rPr>
          <w:rFonts w:ascii="Times New Roman" w:hAnsi="Times New Roman" w:cs="Times New Roman"/>
          <w:sz w:val="24"/>
          <w:szCs w:val="28"/>
        </w:rPr>
      </w:pPr>
      <w:r w:rsidRPr="00883A46">
        <w:rPr>
          <w:rFonts w:ascii="Times New Roman" w:hAnsi="Times New Roman" w:cs="Times New Roman"/>
          <w:i/>
          <w:sz w:val="24"/>
          <w:szCs w:val="28"/>
        </w:rPr>
        <w:t xml:space="preserve">R. </w:t>
      </w:r>
      <w:r w:rsidR="006C6BB1" w:rsidRPr="00883A46">
        <w:rPr>
          <w:rFonts w:ascii="Times New Roman" w:hAnsi="Times New Roman" w:cs="Times New Roman"/>
          <w:i/>
          <w:sz w:val="24"/>
          <w:szCs w:val="28"/>
        </w:rPr>
        <w:t>v. Solowan</w:t>
      </w:r>
      <w:r w:rsidR="006C6BB1">
        <w:rPr>
          <w:rFonts w:ascii="Times New Roman" w:hAnsi="Times New Roman" w:cs="Times New Roman"/>
          <w:sz w:val="24"/>
          <w:szCs w:val="28"/>
        </w:rPr>
        <w:t>, supra, at para. 16.</w:t>
      </w:r>
    </w:p>
    <w:p w14:paraId="5DF83CEE" w14:textId="545FD735" w:rsidR="00810724" w:rsidRPr="00810724" w:rsidRDefault="00810724" w:rsidP="00260645">
      <w:pPr>
        <w:spacing w:after="240" w:line="240" w:lineRule="auto"/>
        <w:ind w:left="720"/>
        <w:rPr>
          <w:rFonts w:ascii="Times New Roman" w:hAnsi="Times New Roman" w:cs="Times New Roman"/>
          <w:sz w:val="24"/>
          <w:szCs w:val="28"/>
        </w:rPr>
      </w:pPr>
      <w:r w:rsidRPr="00810724">
        <w:rPr>
          <w:rFonts w:ascii="Times New Roman" w:hAnsi="Times New Roman" w:cs="Times New Roman"/>
          <w:sz w:val="24"/>
          <w:szCs w:val="28"/>
        </w:rPr>
        <w:t xml:space="preserve">[38] The Sentencing Judge recognized that the Crown’s election to proceed summarily limited the range of sentences available to her.  She respected that limit, even though she thought that a jail term in the penitentiary range would have been fit under the circumstances.  </w:t>
      </w:r>
      <w:r w:rsidR="004E78EB">
        <w:rPr>
          <w:rFonts w:ascii="Times New Roman" w:hAnsi="Times New Roman" w:cs="Times New Roman"/>
          <w:sz w:val="24"/>
          <w:szCs w:val="28"/>
        </w:rPr>
        <w:t xml:space="preserve">The sentence imposed, which was only a few months longer than the one suggested by both counsel, cannot be characterized as “inadequate or excessive”, even though it was the maximum jail term that could be imposed.  </w:t>
      </w:r>
    </w:p>
    <w:p w14:paraId="2FC46BE5" w14:textId="58F3F667" w:rsidR="00810724" w:rsidRDefault="0081072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10724">
        <w:rPr>
          <w:rFonts w:ascii="Times New Roman" w:hAnsi="Times New Roman" w:cs="Times New Roman"/>
          <w:sz w:val="28"/>
          <w:szCs w:val="28"/>
        </w:rPr>
        <w:t xml:space="preserve">I note that in </w:t>
      </w:r>
      <w:r w:rsidRPr="00810724">
        <w:rPr>
          <w:rFonts w:ascii="Times New Roman" w:hAnsi="Times New Roman" w:cs="Times New Roman"/>
          <w:i/>
          <w:sz w:val="28"/>
          <w:szCs w:val="28"/>
        </w:rPr>
        <w:t>Minoza</w:t>
      </w:r>
      <w:r w:rsidRPr="00810724">
        <w:rPr>
          <w:rFonts w:ascii="Times New Roman" w:hAnsi="Times New Roman" w:cs="Times New Roman"/>
          <w:sz w:val="28"/>
          <w:szCs w:val="28"/>
        </w:rPr>
        <w:t xml:space="preserve">, Charbonneau J. was sitting in her capacity as a summary conviction appeal court and I am therefore bound by her decision as a matter of </w:t>
      </w:r>
      <w:r w:rsidRPr="00810724">
        <w:rPr>
          <w:rFonts w:ascii="Times New Roman" w:hAnsi="Times New Roman" w:cs="Times New Roman"/>
          <w:i/>
          <w:sz w:val="28"/>
          <w:szCs w:val="28"/>
        </w:rPr>
        <w:t>stare decisis</w:t>
      </w:r>
      <w:r w:rsidRPr="00810724">
        <w:rPr>
          <w:rFonts w:ascii="Times New Roman" w:hAnsi="Times New Roman" w:cs="Times New Roman"/>
          <w:sz w:val="28"/>
          <w:szCs w:val="28"/>
        </w:rPr>
        <w:t>.</w:t>
      </w:r>
    </w:p>
    <w:p w14:paraId="2240B319" w14:textId="4365B2C0" w:rsidR="00810724" w:rsidRDefault="0081072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810724">
        <w:rPr>
          <w:rFonts w:ascii="Times New Roman" w:hAnsi="Times New Roman" w:cs="Times New Roman"/>
          <w:sz w:val="28"/>
          <w:szCs w:val="28"/>
        </w:rPr>
        <w:t>Ms. Mallone on behalf of Mr. Dryneck has filed two cases from the Ontario Court of Justice as authority for the proposition that where the Crown elects to proceed summarily, that decision does not only affect the maximum penalty that can be imposed.  Rather, it also requires the court to consider the princip</w:t>
      </w:r>
      <w:r w:rsidR="003C06AD">
        <w:rPr>
          <w:rFonts w:ascii="Times New Roman" w:hAnsi="Times New Roman" w:cs="Times New Roman"/>
          <w:sz w:val="28"/>
          <w:szCs w:val="28"/>
        </w:rPr>
        <w:t>le</w:t>
      </w:r>
      <w:r w:rsidRPr="00810724">
        <w:rPr>
          <w:rFonts w:ascii="Times New Roman" w:hAnsi="Times New Roman" w:cs="Times New Roman"/>
          <w:sz w:val="28"/>
          <w:szCs w:val="28"/>
        </w:rPr>
        <w:t xml:space="preserve"> of parity with particular regard to cases where the Crown has proceeded summarily.  She refers to the case </w:t>
      </w:r>
      <w:r w:rsidRPr="00081284">
        <w:rPr>
          <w:rFonts w:ascii="Times New Roman" w:hAnsi="Times New Roman" w:cs="Times New Roman"/>
          <w:i/>
          <w:sz w:val="28"/>
          <w:szCs w:val="28"/>
        </w:rPr>
        <w:t>R. v. C.G.</w:t>
      </w:r>
      <w:r w:rsidRPr="00810724">
        <w:rPr>
          <w:rFonts w:ascii="Times New Roman" w:hAnsi="Times New Roman" w:cs="Times New Roman"/>
          <w:sz w:val="28"/>
          <w:szCs w:val="28"/>
        </w:rPr>
        <w:t xml:space="preserve">, 2020 ONCJ 459.  However, in my view </w:t>
      </w:r>
      <w:r w:rsidRPr="00081284">
        <w:rPr>
          <w:rFonts w:ascii="Times New Roman" w:hAnsi="Times New Roman" w:cs="Times New Roman"/>
          <w:i/>
          <w:sz w:val="28"/>
          <w:szCs w:val="28"/>
        </w:rPr>
        <w:t>C.G.</w:t>
      </w:r>
      <w:r w:rsidRPr="00810724">
        <w:rPr>
          <w:rFonts w:ascii="Times New Roman" w:hAnsi="Times New Roman" w:cs="Times New Roman"/>
          <w:sz w:val="28"/>
          <w:szCs w:val="28"/>
        </w:rPr>
        <w:t xml:space="preserve"> largely bolsters the Crown’s position where it states:</w:t>
      </w:r>
    </w:p>
    <w:p w14:paraId="29B2CA3C" w14:textId="77777777" w:rsidR="009A315E" w:rsidRPr="009A315E" w:rsidRDefault="009A315E" w:rsidP="00260645">
      <w:pPr>
        <w:spacing w:after="240" w:line="240" w:lineRule="auto"/>
        <w:ind w:left="720"/>
        <w:rPr>
          <w:rFonts w:ascii="Times New Roman" w:hAnsi="Times New Roman" w:cs="Times New Roman"/>
          <w:sz w:val="24"/>
          <w:szCs w:val="28"/>
        </w:rPr>
      </w:pPr>
      <w:r w:rsidRPr="009A315E">
        <w:rPr>
          <w:rFonts w:ascii="Times New Roman" w:hAnsi="Times New Roman" w:cs="Times New Roman"/>
          <w:sz w:val="24"/>
          <w:szCs w:val="28"/>
        </w:rPr>
        <w:t xml:space="preserve">[58]      An important decision in assessing whether a conditional sentence can appropriately reflect the sentencing principles of denunciation and deterrence in a case of sexual assault where the Crown proceeds by summary conviction is the decision in </w:t>
      </w:r>
      <w:r w:rsidRPr="00081284">
        <w:rPr>
          <w:rFonts w:ascii="Times New Roman" w:hAnsi="Times New Roman" w:cs="Times New Roman"/>
          <w:i/>
          <w:sz w:val="24"/>
          <w:szCs w:val="28"/>
        </w:rPr>
        <w:t>R. v. Smith</w:t>
      </w:r>
      <w:r w:rsidRPr="009A315E">
        <w:rPr>
          <w:rFonts w:ascii="Times New Roman" w:hAnsi="Times New Roman" w:cs="Times New Roman"/>
          <w:sz w:val="24"/>
          <w:szCs w:val="28"/>
        </w:rPr>
        <w:t>, 2015 ONSC 4304 (CanLII), [2015] O.J. No. 3513, a summary conviction appeal.  Justice Campbell indicated where the accused has been prosecuted by indictment, the usual range of sentence for an invasive assault involving intercourse on a sleeping or unconscious victim is somewhere between an upper reformatory term of imprisonment and a lower penitentiary term of imprisonment (18 months to 3 years).  He cites numerous examples in the Ontario Court of Appeal and Superior Court (see paras. 32-33) where custodial sentences were imposed.</w:t>
      </w:r>
    </w:p>
    <w:p w14:paraId="7D6CA5C3" w14:textId="4B053058" w:rsidR="00810724" w:rsidRDefault="009A315E" w:rsidP="00260645">
      <w:pPr>
        <w:spacing w:after="240" w:line="240" w:lineRule="auto"/>
        <w:ind w:left="720"/>
        <w:rPr>
          <w:rFonts w:ascii="Times New Roman" w:hAnsi="Times New Roman" w:cs="Times New Roman"/>
          <w:sz w:val="24"/>
          <w:szCs w:val="28"/>
        </w:rPr>
      </w:pPr>
      <w:r w:rsidRPr="009A315E">
        <w:rPr>
          <w:rFonts w:ascii="Times New Roman" w:hAnsi="Times New Roman" w:cs="Times New Roman"/>
          <w:sz w:val="24"/>
          <w:szCs w:val="28"/>
        </w:rPr>
        <w:t xml:space="preserve">[59]      Justice Campbell continued in </w:t>
      </w:r>
      <w:r w:rsidRPr="00081284">
        <w:rPr>
          <w:rFonts w:ascii="Times New Roman" w:hAnsi="Times New Roman" w:cs="Times New Roman"/>
          <w:i/>
          <w:sz w:val="24"/>
          <w:szCs w:val="28"/>
        </w:rPr>
        <w:t>Smith</w:t>
      </w:r>
      <w:r w:rsidRPr="009A315E">
        <w:rPr>
          <w:rFonts w:ascii="Times New Roman" w:hAnsi="Times New Roman" w:cs="Times New Roman"/>
          <w:sz w:val="24"/>
          <w:szCs w:val="28"/>
        </w:rPr>
        <w:t xml:space="preserve"> to address cases where the Crown elected to proceed summarily and indicated somewhat lesser sentences were required.  He referred to the maximum sentence pursuant to s. 271(b) was 18 months, however, the sentencing principles outlined in Part XXIII still apply.  </w:t>
      </w:r>
      <w:r w:rsidRPr="000D287D">
        <w:rPr>
          <w:rFonts w:ascii="Times New Roman" w:hAnsi="Times New Roman" w:cs="Times New Roman"/>
          <w:i/>
          <w:sz w:val="24"/>
          <w:szCs w:val="28"/>
        </w:rPr>
        <w:t>He also noted that the "worst offender committing the worst offence principle" does not operate to constrain the imposition of the maximum sentence in summary conviction matters where the maximum sentence would otherwise be appropriate having regard to the principles articulated in Part XXIII of the Code</w:t>
      </w:r>
      <w:r w:rsidRPr="009A315E">
        <w:rPr>
          <w:rFonts w:ascii="Times New Roman" w:hAnsi="Times New Roman" w:cs="Times New Roman"/>
          <w:sz w:val="24"/>
          <w:szCs w:val="28"/>
        </w:rPr>
        <w:t xml:space="preserve">.  See </w:t>
      </w:r>
      <w:r w:rsidRPr="00081284">
        <w:rPr>
          <w:rFonts w:ascii="Times New Roman" w:hAnsi="Times New Roman" w:cs="Times New Roman"/>
          <w:i/>
          <w:sz w:val="24"/>
          <w:szCs w:val="28"/>
        </w:rPr>
        <w:t>R. v. Solowan</w:t>
      </w:r>
      <w:r w:rsidRPr="009A315E">
        <w:rPr>
          <w:rFonts w:ascii="Times New Roman" w:hAnsi="Times New Roman" w:cs="Times New Roman"/>
          <w:sz w:val="24"/>
          <w:szCs w:val="28"/>
        </w:rPr>
        <w:t xml:space="preserve">, 2008 SCC 62 (CanLII), [2008] 3 S.C.R. 309, 237 C.C.C. (3d) 129, at paras. 3, 10, 15-16.  Justice Campbell provided the case of </w:t>
      </w:r>
      <w:r w:rsidRPr="00081284">
        <w:rPr>
          <w:rFonts w:ascii="Times New Roman" w:hAnsi="Times New Roman" w:cs="Times New Roman"/>
          <w:i/>
          <w:sz w:val="24"/>
          <w:szCs w:val="28"/>
        </w:rPr>
        <w:t>R. v. J.W.M.</w:t>
      </w:r>
      <w:r w:rsidRPr="009A315E">
        <w:rPr>
          <w:rFonts w:ascii="Times New Roman" w:hAnsi="Times New Roman" w:cs="Times New Roman"/>
          <w:sz w:val="24"/>
          <w:szCs w:val="28"/>
        </w:rPr>
        <w:t>, [2004] O.J. No. 1295 (SCJ, Hill J.) as an example where the maximum sentence of 18 months was upheld on a summary conviction appeal where Justice Hill held the maximum sentence imposed by the trial judge was a fit and appropriate sentence notwithstanding the fact that the accused was not the "worst offender" and the sexual assault was not the "worst offence."</w:t>
      </w:r>
    </w:p>
    <w:p w14:paraId="1DEADC02" w14:textId="50BE274A" w:rsidR="000D287D" w:rsidRPr="009A315E" w:rsidRDefault="000D287D" w:rsidP="00260645">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[Emphasis Mine]</w:t>
      </w:r>
    </w:p>
    <w:p w14:paraId="211C83ED" w14:textId="1A98B909" w:rsidR="009A315E" w:rsidRDefault="006C6BB1"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6C6BB1">
        <w:rPr>
          <w:rFonts w:ascii="Times New Roman" w:hAnsi="Times New Roman" w:cs="Times New Roman"/>
          <w:sz w:val="28"/>
          <w:szCs w:val="28"/>
        </w:rPr>
        <w:t xml:space="preserve">In </w:t>
      </w:r>
      <w:r w:rsidRPr="00081284">
        <w:rPr>
          <w:rFonts w:ascii="Times New Roman" w:hAnsi="Times New Roman" w:cs="Times New Roman"/>
          <w:i/>
          <w:sz w:val="28"/>
          <w:szCs w:val="28"/>
        </w:rPr>
        <w:t>C.G.</w:t>
      </w:r>
      <w:r w:rsidRPr="006C6BB1">
        <w:rPr>
          <w:rFonts w:ascii="Times New Roman" w:hAnsi="Times New Roman" w:cs="Times New Roman"/>
          <w:sz w:val="28"/>
          <w:szCs w:val="28"/>
        </w:rPr>
        <w:t>, the court went on to hold that the maximum allowable jail sentence of 18 months would be excessive considering the seriousness of the offence and the moral culpability of the accused.</w:t>
      </w:r>
    </w:p>
    <w:p w14:paraId="6FFF5CA4" w14:textId="5872908E" w:rsidR="006C6BB1" w:rsidRDefault="006C6BB1"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6C6BB1">
        <w:rPr>
          <w:rFonts w:ascii="Times New Roman" w:hAnsi="Times New Roman" w:cs="Times New Roman"/>
          <w:sz w:val="28"/>
          <w:szCs w:val="28"/>
        </w:rPr>
        <w:t xml:space="preserve">Ms. Mallone also relies on </w:t>
      </w:r>
      <w:r w:rsidRPr="00081284">
        <w:rPr>
          <w:rFonts w:ascii="Times New Roman" w:hAnsi="Times New Roman" w:cs="Times New Roman"/>
          <w:i/>
          <w:sz w:val="28"/>
          <w:szCs w:val="28"/>
        </w:rPr>
        <w:t>R. v. Sayers</w:t>
      </w:r>
      <w:r w:rsidRPr="006C6BB1">
        <w:rPr>
          <w:rFonts w:ascii="Times New Roman" w:hAnsi="Times New Roman" w:cs="Times New Roman"/>
          <w:sz w:val="28"/>
          <w:szCs w:val="28"/>
        </w:rPr>
        <w:t>, 2020 ONCJ 644, in which Kukurin J. stated:</w:t>
      </w:r>
    </w:p>
    <w:p w14:paraId="217B5E3B" w14:textId="1EE2C829"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 xml:space="preserve">[29]   Admittedly, there is some judicial disagreement with what inference a sentencing court may draw from the crown’s elected mode of procedure.  In </w:t>
      </w:r>
      <w:r w:rsidRPr="00081284">
        <w:rPr>
          <w:rFonts w:ascii="Times New Roman" w:hAnsi="Times New Roman" w:cs="Times New Roman"/>
          <w:i/>
          <w:sz w:val="24"/>
          <w:szCs w:val="28"/>
        </w:rPr>
        <w:t>R. v. Sanatkar</w:t>
      </w:r>
      <w:r w:rsidRPr="006C6BB1">
        <w:rPr>
          <w:rFonts w:ascii="Times New Roman" w:hAnsi="Times New Roman" w:cs="Times New Roman"/>
          <w:sz w:val="24"/>
          <w:szCs w:val="28"/>
        </w:rPr>
        <w:t>[15], an Ontario Court of Appeal decision, the court stated [at paragraph 7]</w:t>
      </w:r>
    </w:p>
    <w:p w14:paraId="29A9D3CD" w14:textId="4C9C64F2" w:rsidR="006C6BB1" w:rsidRPr="00081284" w:rsidRDefault="006C6BB1" w:rsidP="00D1605E">
      <w:pPr>
        <w:spacing w:after="240" w:line="240" w:lineRule="auto"/>
        <w:ind w:left="1440"/>
        <w:rPr>
          <w:rFonts w:ascii="Times New Roman" w:hAnsi="Times New Roman" w:cs="Times New Roman"/>
          <w:i/>
          <w:sz w:val="24"/>
          <w:szCs w:val="28"/>
        </w:rPr>
      </w:pPr>
      <w:r w:rsidRPr="00081284">
        <w:rPr>
          <w:rFonts w:ascii="Times New Roman" w:hAnsi="Times New Roman" w:cs="Times New Roman"/>
          <w:i/>
          <w:sz w:val="24"/>
          <w:szCs w:val="28"/>
        </w:rPr>
        <w:t>The election to proceed summarily represents a prosecutorial choice of procedure reflecting the less serious nature of the offence and obviously affecting the permissible range of appropriate sentences.”</w:t>
      </w:r>
    </w:p>
    <w:p w14:paraId="75F8A0C2" w14:textId="26D98024"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[30]   While the foregoing statement was made in</w:t>
      </w:r>
      <w:r w:rsidR="00D1605E">
        <w:rPr>
          <w:rFonts w:ascii="Times New Roman" w:hAnsi="Times New Roman" w:cs="Times New Roman"/>
          <w:sz w:val="24"/>
          <w:szCs w:val="28"/>
        </w:rPr>
        <w:t xml:space="preserve"> </w:t>
      </w:r>
      <w:r w:rsidRPr="006C6BB1">
        <w:rPr>
          <w:rFonts w:ascii="Times New Roman" w:hAnsi="Times New Roman" w:cs="Times New Roman"/>
          <w:sz w:val="24"/>
          <w:szCs w:val="28"/>
        </w:rPr>
        <w:t xml:space="preserve">1981, the same court made the following statement in June 2019 in </w:t>
      </w:r>
      <w:r w:rsidRPr="00081284">
        <w:rPr>
          <w:rFonts w:ascii="Times New Roman" w:hAnsi="Times New Roman" w:cs="Times New Roman"/>
          <w:i/>
          <w:sz w:val="24"/>
          <w:szCs w:val="28"/>
        </w:rPr>
        <w:t>R. v. Stuckless</w:t>
      </w:r>
      <w:r w:rsidRPr="006C6BB1">
        <w:rPr>
          <w:rFonts w:ascii="Times New Roman" w:hAnsi="Times New Roman" w:cs="Times New Roman"/>
          <w:sz w:val="24"/>
          <w:szCs w:val="28"/>
        </w:rPr>
        <w:t>[16] [at paragraph 108]</w:t>
      </w:r>
    </w:p>
    <w:p w14:paraId="43ADEEC6" w14:textId="409A634D" w:rsidR="006C6BB1" w:rsidRPr="00081284" w:rsidRDefault="006C6BB1" w:rsidP="00D1605E">
      <w:pPr>
        <w:spacing w:after="240" w:line="240" w:lineRule="auto"/>
        <w:ind w:left="1440"/>
        <w:rPr>
          <w:rFonts w:ascii="Times New Roman" w:hAnsi="Times New Roman" w:cs="Times New Roman"/>
          <w:i/>
          <w:sz w:val="24"/>
          <w:szCs w:val="28"/>
        </w:rPr>
      </w:pPr>
      <w:r w:rsidRPr="00081284">
        <w:rPr>
          <w:rFonts w:ascii="Times New Roman" w:hAnsi="Times New Roman" w:cs="Times New Roman"/>
          <w:i/>
          <w:sz w:val="24"/>
          <w:szCs w:val="28"/>
        </w:rPr>
        <w:t>However, as noted by this court in R. v. Sanatkar (1981), 1981 CanLII 3323 (ON CA), 64 C.C.C. (2d) 325 (Ont. C.A.), at p. 327, the maximum penalty provided for an offence is an important indicato</w:t>
      </w:r>
      <w:r w:rsidR="00D1605E">
        <w:rPr>
          <w:rFonts w:ascii="Times New Roman" w:hAnsi="Times New Roman" w:cs="Times New Roman"/>
          <w:i/>
          <w:sz w:val="24"/>
          <w:szCs w:val="28"/>
        </w:rPr>
        <w:t>r of the gravity of an offence.</w:t>
      </w:r>
    </w:p>
    <w:p w14:paraId="654D8102" w14:textId="4805D1F9"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 xml:space="preserve">[31]   In the </w:t>
      </w:r>
      <w:r w:rsidRPr="00081284">
        <w:rPr>
          <w:rFonts w:ascii="Times New Roman" w:hAnsi="Times New Roman" w:cs="Times New Roman"/>
          <w:i/>
          <w:sz w:val="24"/>
          <w:szCs w:val="28"/>
        </w:rPr>
        <w:t>R. v. Lequiere</w:t>
      </w:r>
      <w:r w:rsidRPr="006C6BB1">
        <w:rPr>
          <w:rFonts w:ascii="Times New Roman" w:hAnsi="Times New Roman" w:cs="Times New Roman"/>
          <w:sz w:val="24"/>
          <w:szCs w:val="28"/>
        </w:rPr>
        <w:t>[17] decision, Justice Dillon [at paragraph 49 and following] embarks on a historical review of summary conviction procedure election, and its meaning, and eventually concludes [at paragraph 58]</w:t>
      </w:r>
    </w:p>
    <w:p w14:paraId="64EF4B7A" w14:textId="5AE58F74" w:rsidR="006C6BB1" w:rsidRPr="006C6BB1" w:rsidRDefault="006C6BB1" w:rsidP="00260645">
      <w:pPr>
        <w:spacing w:after="240" w:line="240" w:lineRule="auto"/>
        <w:ind w:left="720"/>
        <w:rPr>
          <w:rFonts w:ascii="Times New Roman" w:hAnsi="Times New Roman" w:cs="Times New Roman"/>
          <w:sz w:val="24"/>
          <w:szCs w:val="28"/>
        </w:rPr>
      </w:pPr>
      <w:r w:rsidRPr="00081284">
        <w:rPr>
          <w:rFonts w:ascii="Times New Roman" w:hAnsi="Times New Roman" w:cs="Times New Roman"/>
          <w:i/>
          <w:sz w:val="24"/>
          <w:szCs w:val="28"/>
        </w:rPr>
        <w:t>“[the court] rejects the worst offence/worst offender principle but recognises that the maximum sentence should be reserved for those cases that fall within the worst category of summary conviction offences.”</w:t>
      </w:r>
      <w:r w:rsidRPr="00081284">
        <w:rPr>
          <w:rFonts w:ascii="Times New Roman" w:hAnsi="Times New Roman" w:cs="Times New Roman"/>
          <w:b/>
          <w:i/>
          <w:sz w:val="24"/>
          <w:szCs w:val="28"/>
        </w:rPr>
        <w:t>[18]</w:t>
      </w:r>
    </w:p>
    <w:p w14:paraId="75F9992E" w14:textId="3275AD71"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 xml:space="preserve">[32]   The end result is that the </w:t>
      </w:r>
      <w:r w:rsidRPr="00081284">
        <w:rPr>
          <w:rFonts w:ascii="Times New Roman" w:hAnsi="Times New Roman" w:cs="Times New Roman"/>
          <w:i/>
          <w:sz w:val="24"/>
          <w:szCs w:val="28"/>
        </w:rPr>
        <w:t>Sanatkar</w:t>
      </w:r>
      <w:r w:rsidRPr="006C6BB1">
        <w:rPr>
          <w:rFonts w:ascii="Times New Roman" w:hAnsi="Times New Roman" w:cs="Times New Roman"/>
          <w:sz w:val="24"/>
          <w:szCs w:val="28"/>
        </w:rPr>
        <w:t xml:space="preserve"> decision has never been clearly overruled, it is an Ontario decision, and it is a decision of our Court of Appeal.  I adopt what it says about crown elections to proceed summarily in hybrid offence charges.[19]  It does not make any sense that so fundamental a principle as the proportionality principle of sentencing would be inapplicable to sentencing on hybrid offences prosecuted by summary conviction procedure.</w:t>
      </w:r>
    </w:p>
    <w:p w14:paraId="739D12D6" w14:textId="297CF843"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 xml:space="preserve">[33]   Even if I am wrong in this belief, the crown’s decision to proceed summarily on a hybrid offence has significance from the vantage point of ‘parity’ in s.718.2 (b) of the </w:t>
      </w:r>
      <w:r w:rsidRPr="00081284">
        <w:rPr>
          <w:rFonts w:ascii="Times New Roman" w:hAnsi="Times New Roman" w:cs="Times New Roman"/>
          <w:i/>
          <w:sz w:val="24"/>
          <w:szCs w:val="28"/>
        </w:rPr>
        <w:t>Criminal Code</w:t>
      </w:r>
      <w:r w:rsidRPr="006C6BB1">
        <w:rPr>
          <w:rFonts w:ascii="Times New Roman" w:hAnsi="Times New Roman" w:cs="Times New Roman"/>
          <w:sz w:val="24"/>
          <w:szCs w:val="28"/>
        </w:rPr>
        <w:t>:</w:t>
      </w:r>
    </w:p>
    <w:p w14:paraId="5634BEC4" w14:textId="363780B4" w:rsidR="006C6BB1" w:rsidRPr="006C6BB1" w:rsidRDefault="006C6BB1" w:rsidP="00081284">
      <w:pPr>
        <w:spacing w:after="240" w:line="240" w:lineRule="auto"/>
        <w:ind w:left="1440"/>
        <w:rPr>
          <w:rFonts w:ascii="Times New Roman" w:hAnsi="Times New Roman" w:cs="Times New Roman"/>
          <w:sz w:val="24"/>
          <w:szCs w:val="28"/>
        </w:rPr>
      </w:pPr>
      <w:r w:rsidRPr="00081284">
        <w:rPr>
          <w:rFonts w:ascii="Times New Roman" w:hAnsi="Times New Roman" w:cs="Times New Roman"/>
          <w:b/>
          <w:sz w:val="24"/>
          <w:szCs w:val="28"/>
        </w:rPr>
        <w:t>S.718.2 (b)</w:t>
      </w:r>
      <w:r w:rsidRPr="006C6BB1">
        <w:rPr>
          <w:rFonts w:ascii="Times New Roman" w:hAnsi="Times New Roman" w:cs="Times New Roman"/>
          <w:sz w:val="24"/>
          <w:szCs w:val="28"/>
        </w:rPr>
        <w:t xml:space="preserve"> a sentence should be similar to sentences imposed on similar offenders for similar offences committed in similar circumstances.</w:t>
      </w:r>
    </w:p>
    <w:p w14:paraId="20705053" w14:textId="2460DCC0"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 xml:space="preserve">[34]   The crown’s mode of procedure decision is clearly relevant and has implications for the court in its sentencing of an offender who was prosecuted by summary conviction.  As concluded in </w:t>
      </w:r>
      <w:r w:rsidRPr="00081284">
        <w:rPr>
          <w:rFonts w:ascii="Times New Roman" w:hAnsi="Times New Roman" w:cs="Times New Roman"/>
          <w:i/>
          <w:sz w:val="24"/>
          <w:szCs w:val="28"/>
        </w:rPr>
        <w:t>Lequiere</w:t>
      </w:r>
      <w:r w:rsidRPr="006C6BB1">
        <w:rPr>
          <w:rFonts w:ascii="Times New Roman" w:hAnsi="Times New Roman" w:cs="Times New Roman"/>
          <w:sz w:val="24"/>
          <w:szCs w:val="28"/>
        </w:rPr>
        <w:t>, supra, [at paragraph 61]</w:t>
      </w:r>
    </w:p>
    <w:p w14:paraId="43FC1F09" w14:textId="03625805" w:rsidR="006C6BB1" w:rsidRPr="00081284" w:rsidRDefault="006C6BB1" w:rsidP="00D1605E">
      <w:pPr>
        <w:spacing w:after="240" w:line="240" w:lineRule="auto"/>
        <w:ind w:left="1440"/>
        <w:rPr>
          <w:rFonts w:ascii="Times New Roman" w:hAnsi="Times New Roman" w:cs="Times New Roman"/>
          <w:i/>
          <w:sz w:val="24"/>
          <w:szCs w:val="28"/>
        </w:rPr>
      </w:pPr>
      <w:r w:rsidRPr="00081284">
        <w:rPr>
          <w:rFonts w:ascii="Times New Roman" w:hAnsi="Times New Roman" w:cs="Times New Roman"/>
          <w:i/>
          <w:sz w:val="24"/>
          <w:szCs w:val="28"/>
        </w:rPr>
        <w:t xml:space="preserve">the decision to proceed summarily is </w:t>
      </w:r>
      <w:r w:rsidRPr="00081284">
        <w:rPr>
          <w:rFonts w:ascii="Times New Roman" w:hAnsi="Times New Roman" w:cs="Times New Roman"/>
          <w:i/>
          <w:sz w:val="24"/>
          <w:szCs w:val="28"/>
          <w:u w:val="single"/>
        </w:rPr>
        <w:t>a significant one</w:t>
      </w:r>
      <w:r w:rsidRPr="00081284">
        <w:rPr>
          <w:rFonts w:ascii="Times New Roman" w:hAnsi="Times New Roman" w:cs="Times New Roman"/>
          <w:i/>
          <w:sz w:val="24"/>
          <w:szCs w:val="28"/>
        </w:rPr>
        <w:t xml:space="preserve"> and is a </w:t>
      </w:r>
      <w:r w:rsidRPr="00081284">
        <w:rPr>
          <w:rFonts w:ascii="Times New Roman" w:hAnsi="Times New Roman" w:cs="Times New Roman"/>
          <w:i/>
          <w:sz w:val="24"/>
          <w:szCs w:val="28"/>
          <w:u w:val="single"/>
        </w:rPr>
        <w:t>relevant factor for the sentencing judge</w:t>
      </w:r>
      <w:r w:rsidRPr="00081284">
        <w:rPr>
          <w:rFonts w:ascii="Times New Roman" w:hAnsi="Times New Roman" w:cs="Times New Roman"/>
          <w:i/>
          <w:sz w:val="24"/>
          <w:szCs w:val="28"/>
        </w:rPr>
        <w:t xml:space="preserve"> to consider when determining the appropriate range of sentence for the purpose of minimizing disparity in accordance with section 718.2(b) of the Criminal Code.  Consideration of this factor requires the sentencing judge to consider sentences that have been given to other offenders in similar circumstances for the same offence that has proceeded summarily.  A </w:t>
      </w:r>
      <w:r w:rsidRPr="00081284">
        <w:rPr>
          <w:rFonts w:ascii="Times New Roman" w:hAnsi="Times New Roman" w:cs="Times New Roman"/>
          <w:i/>
          <w:sz w:val="24"/>
          <w:szCs w:val="28"/>
          <w:u w:val="single"/>
        </w:rPr>
        <w:t>failure to consider other summary conviction cases</w:t>
      </w:r>
      <w:r w:rsidRPr="00081284">
        <w:rPr>
          <w:rFonts w:ascii="Times New Roman" w:hAnsi="Times New Roman" w:cs="Times New Roman"/>
          <w:i/>
          <w:sz w:val="24"/>
          <w:szCs w:val="28"/>
        </w:rPr>
        <w:t>, being a relevant factor, is a reviewable error.”  (my emphasis)</w:t>
      </w:r>
    </w:p>
    <w:p w14:paraId="611AA9A8" w14:textId="3A3F8133"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[35]   My inference, for purposes of sentencing, from the crown’s election to proceed summarily is that the crown’s assessment of the offence was that it was not the worst offence, committed by the worst offender, in the worst set of circumstances.  I acknowledge that it is unknown whether the crown felt which one or more of, the offence, or the offender, or the circumstances was or were less than the “worst” and to what degree they were less than the worst.  That determination is a judicial function that flows from the facts of the case and the findings made with respect to those facts.</w:t>
      </w:r>
    </w:p>
    <w:p w14:paraId="286810B6" w14:textId="3E6297D7" w:rsidR="006C6BB1" w:rsidRDefault="006C6BB1"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6C6BB1">
        <w:rPr>
          <w:rFonts w:ascii="Times New Roman" w:hAnsi="Times New Roman" w:cs="Times New Roman"/>
          <w:sz w:val="28"/>
          <w:szCs w:val="28"/>
        </w:rPr>
        <w:t xml:space="preserve">I note that the cases cited in the foregoing passage all, with the exception of </w:t>
      </w:r>
      <w:r w:rsidRPr="00081284">
        <w:rPr>
          <w:rFonts w:ascii="Times New Roman" w:hAnsi="Times New Roman" w:cs="Times New Roman"/>
          <w:i/>
          <w:sz w:val="28"/>
          <w:szCs w:val="28"/>
        </w:rPr>
        <w:t>R. v. Stuckless</w:t>
      </w:r>
      <w:r w:rsidRPr="006C6BB1">
        <w:rPr>
          <w:rFonts w:ascii="Times New Roman" w:hAnsi="Times New Roman" w:cs="Times New Roman"/>
          <w:sz w:val="28"/>
          <w:szCs w:val="28"/>
        </w:rPr>
        <w:t xml:space="preserve">, [2019] ONCA 504, predate </w:t>
      </w:r>
      <w:r w:rsidRPr="00081284">
        <w:rPr>
          <w:rFonts w:ascii="Times New Roman" w:hAnsi="Times New Roman" w:cs="Times New Roman"/>
          <w:i/>
          <w:sz w:val="28"/>
          <w:szCs w:val="28"/>
        </w:rPr>
        <w:t>Solowan</w:t>
      </w:r>
      <w:r w:rsidRPr="006C6BB1">
        <w:rPr>
          <w:rFonts w:ascii="Times New Roman" w:hAnsi="Times New Roman" w:cs="Times New Roman"/>
          <w:sz w:val="28"/>
          <w:szCs w:val="28"/>
        </w:rPr>
        <w:t xml:space="preserve">.  </w:t>
      </w:r>
      <w:r w:rsidRPr="00081284">
        <w:rPr>
          <w:rFonts w:ascii="Times New Roman" w:hAnsi="Times New Roman" w:cs="Times New Roman"/>
          <w:i/>
          <w:sz w:val="28"/>
          <w:szCs w:val="28"/>
        </w:rPr>
        <w:t>Sanaktar</w:t>
      </w:r>
      <w:r w:rsidRPr="006C6BB1">
        <w:rPr>
          <w:rFonts w:ascii="Times New Roman" w:hAnsi="Times New Roman" w:cs="Times New Roman"/>
          <w:sz w:val="28"/>
          <w:szCs w:val="28"/>
        </w:rPr>
        <w:t xml:space="preserve"> was decided in 1981 and </w:t>
      </w:r>
      <w:r w:rsidRPr="00081284">
        <w:rPr>
          <w:rFonts w:ascii="Times New Roman" w:hAnsi="Times New Roman" w:cs="Times New Roman"/>
          <w:i/>
          <w:sz w:val="28"/>
          <w:szCs w:val="28"/>
        </w:rPr>
        <w:t>R. v. Lequiere</w:t>
      </w:r>
      <w:r w:rsidRPr="006C6BB1">
        <w:rPr>
          <w:rFonts w:ascii="Times New Roman" w:hAnsi="Times New Roman" w:cs="Times New Roman"/>
          <w:sz w:val="28"/>
          <w:szCs w:val="28"/>
        </w:rPr>
        <w:t xml:space="preserve">, 2006 BCSC 688, was decided in 2006.  Moreover, </w:t>
      </w:r>
      <w:r w:rsidRPr="00081284">
        <w:rPr>
          <w:rFonts w:ascii="Times New Roman" w:hAnsi="Times New Roman" w:cs="Times New Roman"/>
          <w:i/>
          <w:sz w:val="28"/>
          <w:szCs w:val="28"/>
        </w:rPr>
        <w:t>Stuckless</w:t>
      </w:r>
      <w:r w:rsidRPr="006C6BB1">
        <w:rPr>
          <w:rFonts w:ascii="Times New Roman" w:hAnsi="Times New Roman" w:cs="Times New Roman"/>
          <w:sz w:val="28"/>
          <w:szCs w:val="28"/>
        </w:rPr>
        <w:t xml:space="preserve"> was not speaking of the maximum that applies in summary conviction matters.  In the paragraph in </w:t>
      </w:r>
      <w:r w:rsidRPr="00081284">
        <w:rPr>
          <w:rFonts w:ascii="Times New Roman" w:hAnsi="Times New Roman" w:cs="Times New Roman"/>
          <w:i/>
          <w:sz w:val="28"/>
          <w:szCs w:val="28"/>
        </w:rPr>
        <w:t>Stuckless</w:t>
      </w:r>
      <w:r w:rsidRPr="006C6BB1">
        <w:rPr>
          <w:rFonts w:ascii="Times New Roman" w:hAnsi="Times New Roman" w:cs="Times New Roman"/>
          <w:sz w:val="28"/>
          <w:szCs w:val="28"/>
        </w:rPr>
        <w:t xml:space="preserve"> referred to by Kukurin J., the Ontario Court of Appeal in fact stated:</w:t>
      </w:r>
    </w:p>
    <w:p w14:paraId="6767F8DB" w14:textId="307FC935" w:rsidR="006C6BB1" w:rsidRPr="006C6BB1" w:rsidRDefault="006C6BB1" w:rsidP="00260645">
      <w:pPr>
        <w:spacing w:after="240" w:line="240" w:lineRule="auto"/>
        <w:ind w:left="720"/>
        <w:rPr>
          <w:rFonts w:ascii="Times New Roman" w:hAnsi="Times New Roman" w:cs="Times New Roman"/>
          <w:sz w:val="24"/>
          <w:szCs w:val="28"/>
        </w:rPr>
      </w:pPr>
      <w:r w:rsidRPr="006C6BB1">
        <w:rPr>
          <w:rFonts w:ascii="Times New Roman" w:hAnsi="Times New Roman" w:cs="Times New Roman"/>
          <w:sz w:val="24"/>
          <w:szCs w:val="28"/>
        </w:rPr>
        <w:t xml:space="preserve">[108] The current 14-year maximum penalty for sexual offences against children certainly exceeds the maximum penalty of ten years for indecent assault against a male that is applicable to the respondent's offences.  As mentioned, recourse to new statutory maximums is unhelpful insofar as the appropriate sentence is guided by the maximum penalties in effect at the time of the commission of the offences.  However, as noted by this court in </w:t>
      </w:r>
      <w:r w:rsidRPr="00081284">
        <w:rPr>
          <w:rFonts w:ascii="Times New Roman" w:hAnsi="Times New Roman" w:cs="Times New Roman"/>
          <w:i/>
          <w:sz w:val="24"/>
          <w:szCs w:val="28"/>
        </w:rPr>
        <w:t>R. v. Sanatkar</w:t>
      </w:r>
      <w:r w:rsidRPr="006C6BB1">
        <w:rPr>
          <w:rFonts w:ascii="Times New Roman" w:hAnsi="Times New Roman" w:cs="Times New Roman"/>
          <w:sz w:val="24"/>
          <w:szCs w:val="28"/>
        </w:rPr>
        <w:t xml:space="preserve">, 1981 CanLII 3323 (ON CA), [1981] O.J. No. 137, 64 C.C.C. (2d) 325 (C.A.), at p. 327 C.C.C., the maximum penalty provided for an offence is an important indicator of the gravity of an offence.  The Alberta Court of Appeal stated in </w:t>
      </w:r>
      <w:r w:rsidRPr="00081284">
        <w:rPr>
          <w:rFonts w:ascii="Times New Roman" w:hAnsi="Times New Roman" w:cs="Times New Roman"/>
          <w:i/>
          <w:sz w:val="24"/>
          <w:szCs w:val="28"/>
        </w:rPr>
        <w:t>R. v. King</w:t>
      </w:r>
      <w:r w:rsidRPr="006C6BB1">
        <w:rPr>
          <w:rFonts w:ascii="Times New Roman" w:hAnsi="Times New Roman" w:cs="Times New Roman"/>
          <w:sz w:val="24"/>
          <w:szCs w:val="28"/>
        </w:rPr>
        <w:t xml:space="preserve">, [2013] A.J. No. 3, 2013 ABCA 3, 542 A.R. 43, at para. 20, that although changes set out in the </w:t>
      </w:r>
      <w:r w:rsidRPr="00081284">
        <w:rPr>
          <w:rFonts w:ascii="Times New Roman" w:hAnsi="Times New Roman" w:cs="Times New Roman"/>
          <w:i/>
          <w:sz w:val="24"/>
          <w:szCs w:val="28"/>
        </w:rPr>
        <w:t>Criminal Code</w:t>
      </w:r>
      <w:r w:rsidRPr="006C6BB1">
        <w:rPr>
          <w:rFonts w:ascii="Times New Roman" w:hAnsi="Times New Roman" w:cs="Times New Roman"/>
          <w:sz w:val="24"/>
          <w:szCs w:val="28"/>
        </w:rPr>
        <w:t xml:space="preserve"> for sexual offences involving children cannot be applied retrospectively, the court "</w:t>
      </w:r>
      <w:r w:rsidRPr="00081284">
        <w:rPr>
          <w:rFonts w:ascii="Times New Roman" w:hAnsi="Times New Roman" w:cs="Times New Roman"/>
          <w:i/>
          <w:sz w:val="24"/>
          <w:szCs w:val="28"/>
        </w:rPr>
        <w:t>need not be oblivious to what [the changes] suggest about Parliament's view of the gravity of such offences</w:t>
      </w:r>
      <w:r w:rsidRPr="006C6BB1">
        <w:rPr>
          <w:rFonts w:ascii="Times New Roman" w:hAnsi="Times New Roman" w:cs="Times New Roman"/>
          <w:sz w:val="24"/>
          <w:szCs w:val="28"/>
        </w:rPr>
        <w:t>" (emphasis added).</w:t>
      </w:r>
    </w:p>
    <w:p w14:paraId="3156B51F" w14:textId="49D7D162" w:rsidR="006C6BB1" w:rsidRPr="006C6BB1" w:rsidRDefault="006C6BB1" w:rsidP="00260645">
      <w:pPr>
        <w:pStyle w:val="ListParagraph"/>
        <w:numPr>
          <w:ilvl w:val="0"/>
          <w:numId w:val="13"/>
        </w:numPr>
        <w:spacing w:after="240" w:line="240" w:lineRule="auto"/>
        <w:ind w:left="0" w:right="720" w:firstLine="0"/>
        <w:contextualSpacing w:val="0"/>
        <w:rPr>
          <w:rFonts w:ascii="Times New Roman" w:eastAsia="Times New Roman" w:hAnsi="Times New Roman" w:cs="Times New Roman"/>
          <w:color w:val="000000"/>
          <w:sz w:val="28"/>
          <w:szCs w:val="28"/>
        </w:rPr>
      </w:pPr>
      <w:r w:rsidRPr="006C6BB1">
        <w:rPr>
          <w:rFonts w:ascii="Times New Roman" w:eastAsia="Times New Roman" w:hAnsi="Times New Roman" w:cs="Times New Roman"/>
          <w:sz w:val="28"/>
          <w:szCs w:val="28"/>
        </w:rPr>
        <w:t>The Court then went on to state</w:t>
      </w:r>
      <w:r>
        <w:rPr>
          <w:rFonts w:ascii="Times New Roman" w:eastAsia="Times New Roman" w:hAnsi="Times New Roman" w:cs="Times New Roman"/>
          <w:sz w:val="28"/>
          <w:szCs w:val="28"/>
        </w:rPr>
        <w:t>:</w:t>
      </w:r>
    </w:p>
    <w:p w14:paraId="40C111E2" w14:textId="7FEB7840" w:rsidR="006C6BB1" w:rsidRPr="006C6BB1" w:rsidRDefault="006C6BB1" w:rsidP="00260645">
      <w:pPr>
        <w:pStyle w:val="ListParagraph"/>
        <w:spacing w:after="240" w:line="240" w:lineRule="auto"/>
        <w:ind w:right="720"/>
        <w:contextualSpacing w:val="0"/>
        <w:rPr>
          <w:rFonts w:ascii="Times New Roman" w:eastAsia="Times New Roman" w:hAnsi="Times New Roman" w:cs="Times New Roman"/>
          <w:color w:val="000000"/>
          <w:sz w:val="24"/>
          <w:szCs w:val="28"/>
        </w:rPr>
      </w:pPr>
      <w:r w:rsidRPr="006C6BB1">
        <w:rPr>
          <w:rFonts w:ascii="Times New Roman" w:eastAsia="Times New Roman" w:hAnsi="Times New Roman" w:cs="Times New Roman"/>
          <w:color w:val="000000"/>
          <w:sz w:val="24"/>
          <w:szCs w:val="28"/>
        </w:rPr>
        <w:t xml:space="preserve">[109] This principle is illustrated in this court's decision in </w:t>
      </w:r>
      <w:r w:rsidRPr="00081284">
        <w:rPr>
          <w:rFonts w:ascii="Times New Roman" w:eastAsia="Times New Roman" w:hAnsi="Times New Roman" w:cs="Times New Roman"/>
          <w:i/>
          <w:color w:val="000000"/>
          <w:sz w:val="24"/>
          <w:szCs w:val="28"/>
        </w:rPr>
        <w:t>Woodward</w:t>
      </w:r>
      <w:r w:rsidRPr="006C6BB1">
        <w:rPr>
          <w:rFonts w:ascii="Times New Roman" w:eastAsia="Times New Roman" w:hAnsi="Times New Roman" w:cs="Times New Roman"/>
          <w:color w:val="000000"/>
          <w:sz w:val="24"/>
          <w:szCs w:val="28"/>
        </w:rPr>
        <w:t>.  There, the appellant was sentenced to six-and-a-half years' imprisonment for child luring and a single incident of sexual abuse involving fellatio and vaginal intercourse with a 12-year-old in December 2008.  The offen</w:t>
      </w:r>
      <w:r w:rsidR="00ED398B">
        <w:rPr>
          <w:rFonts w:ascii="Times New Roman" w:eastAsia="Times New Roman" w:hAnsi="Times New Roman" w:cs="Times New Roman"/>
          <w:color w:val="000000"/>
          <w:sz w:val="24"/>
          <w:szCs w:val="28"/>
        </w:rPr>
        <w:t xml:space="preserve">ces were committed in September </w:t>
      </w:r>
      <w:r w:rsidRPr="006C6BB1">
        <w:rPr>
          <w:rFonts w:ascii="Times New Roman" w:eastAsia="Times New Roman" w:hAnsi="Times New Roman" w:cs="Times New Roman"/>
          <w:color w:val="000000"/>
          <w:sz w:val="24"/>
          <w:szCs w:val="28"/>
        </w:rPr>
        <w:t xml:space="preserve">2006.  The appellant argued that the sentence imposed was unfit and that a range of 12 months to 24 months for the offence of child luring had been established in this court's decision in </w:t>
      </w:r>
      <w:r w:rsidRPr="00081284">
        <w:rPr>
          <w:rFonts w:ascii="Times New Roman" w:eastAsia="Times New Roman" w:hAnsi="Times New Roman" w:cs="Times New Roman"/>
          <w:i/>
          <w:color w:val="000000"/>
          <w:sz w:val="24"/>
          <w:szCs w:val="28"/>
        </w:rPr>
        <w:t>R. v. Jarvis</w:t>
      </w:r>
      <w:r w:rsidRPr="006C6BB1">
        <w:rPr>
          <w:rFonts w:ascii="Times New Roman" w:eastAsia="Times New Roman" w:hAnsi="Times New Roman" w:cs="Times New Roman"/>
          <w:color w:val="000000"/>
          <w:sz w:val="24"/>
          <w:szCs w:val="28"/>
        </w:rPr>
        <w:t xml:space="preserve">, 2006 CanLII 27300 (ON CA), [2006] O.J. No. 3241, 214 O.A.C. 189 (C.A.).  Moldaver J.A. (as he then was) rejected this submission and noted, at para. 58, that even if Jarvis did purport to set a range of 12 to 24 months for the offence of luring, that range needed to be revised given the 2007 amendment to the </w:t>
      </w:r>
      <w:r w:rsidRPr="00081284">
        <w:rPr>
          <w:rFonts w:ascii="Times New Roman" w:eastAsia="Times New Roman" w:hAnsi="Times New Roman" w:cs="Times New Roman"/>
          <w:i/>
          <w:color w:val="000000"/>
          <w:sz w:val="24"/>
          <w:szCs w:val="28"/>
        </w:rPr>
        <w:t>Criminal Code</w:t>
      </w:r>
      <w:r w:rsidRPr="006C6BB1">
        <w:rPr>
          <w:rFonts w:ascii="Times New Roman" w:eastAsia="Times New Roman" w:hAnsi="Times New Roman" w:cs="Times New Roman"/>
          <w:color w:val="000000"/>
          <w:sz w:val="24"/>
          <w:szCs w:val="28"/>
        </w:rPr>
        <w:t xml:space="preserve"> in which Parliament doubled the maximum punishment for the offence from five to ten years.</w:t>
      </w:r>
    </w:p>
    <w:p w14:paraId="1B9F13A3" w14:textId="5D561B58" w:rsidR="006C6BB1" w:rsidRDefault="006C6BB1" w:rsidP="00260645">
      <w:pPr>
        <w:pStyle w:val="ListParagraph"/>
        <w:numPr>
          <w:ilvl w:val="0"/>
          <w:numId w:val="13"/>
        </w:numPr>
        <w:spacing w:after="240" w:line="240" w:lineRule="auto"/>
        <w:ind w:left="0" w:right="720" w:firstLine="0"/>
        <w:contextualSpacing w:val="0"/>
        <w:rPr>
          <w:rFonts w:ascii="Times New Roman" w:eastAsia="Times New Roman" w:hAnsi="Times New Roman" w:cs="Times New Roman"/>
          <w:color w:val="000000"/>
          <w:sz w:val="28"/>
          <w:szCs w:val="28"/>
        </w:rPr>
      </w:pPr>
      <w:r w:rsidRPr="006C6BB1">
        <w:rPr>
          <w:rFonts w:ascii="Times New Roman" w:eastAsia="Times New Roman" w:hAnsi="Times New Roman" w:cs="Times New Roman"/>
          <w:color w:val="000000"/>
          <w:sz w:val="28"/>
          <w:szCs w:val="28"/>
        </w:rPr>
        <w:t xml:space="preserve">While the foregoing paragraphs in </w:t>
      </w:r>
      <w:r w:rsidRPr="00081284">
        <w:rPr>
          <w:rFonts w:ascii="Times New Roman" w:eastAsia="Times New Roman" w:hAnsi="Times New Roman" w:cs="Times New Roman"/>
          <w:i/>
          <w:color w:val="000000"/>
          <w:sz w:val="28"/>
          <w:szCs w:val="28"/>
        </w:rPr>
        <w:t>Stuckless</w:t>
      </w:r>
      <w:r w:rsidR="00D1605E">
        <w:rPr>
          <w:rFonts w:ascii="Times New Roman" w:eastAsia="Times New Roman" w:hAnsi="Times New Roman" w:cs="Times New Roman"/>
          <w:color w:val="000000"/>
          <w:sz w:val="28"/>
          <w:szCs w:val="28"/>
        </w:rPr>
        <w:t xml:space="preserve"> certainly cite</w:t>
      </w:r>
      <w:r w:rsidRPr="006C6BB1">
        <w:rPr>
          <w:rFonts w:ascii="Times New Roman" w:eastAsia="Times New Roman" w:hAnsi="Times New Roman" w:cs="Times New Roman"/>
          <w:color w:val="000000"/>
          <w:sz w:val="28"/>
          <w:szCs w:val="28"/>
        </w:rPr>
        <w:t xml:space="preserve"> </w:t>
      </w:r>
      <w:r w:rsidRPr="00081284">
        <w:rPr>
          <w:rFonts w:ascii="Times New Roman" w:eastAsia="Times New Roman" w:hAnsi="Times New Roman" w:cs="Times New Roman"/>
          <w:i/>
          <w:color w:val="000000"/>
          <w:sz w:val="28"/>
          <w:szCs w:val="28"/>
        </w:rPr>
        <w:t>Sanaktar</w:t>
      </w:r>
      <w:r w:rsidRPr="006C6BB1">
        <w:rPr>
          <w:rFonts w:ascii="Times New Roman" w:eastAsia="Times New Roman" w:hAnsi="Times New Roman" w:cs="Times New Roman"/>
          <w:color w:val="000000"/>
          <w:sz w:val="28"/>
          <w:szCs w:val="28"/>
        </w:rPr>
        <w:t>, they are focused on Parliament’s assessment of the seriousness of an indictable offence as reflected by the maximum allowabl</w:t>
      </w:r>
      <w:r>
        <w:rPr>
          <w:rFonts w:ascii="Times New Roman" w:eastAsia="Times New Roman" w:hAnsi="Times New Roman" w:cs="Times New Roman"/>
          <w:color w:val="000000"/>
          <w:sz w:val="28"/>
          <w:szCs w:val="28"/>
        </w:rPr>
        <w:t xml:space="preserve">e penalty it has </w:t>
      </w:r>
      <w:r w:rsidR="00D1605E">
        <w:rPr>
          <w:rFonts w:ascii="Times New Roman" w:eastAsia="Times New Roman" w:hAnsi="Times New Roman" w:cs="Times New Roman"/>
          <w:color w:val="000000"/>
          <w:sz w:val="28"/>
          <w:szCs w:val="28"/>
        </w:rPr>
        <w:t>specified</w:t>
      </w:r>
      <w:r>
        <w:rPr>
          <w:rFonts w:ascii="Times New Roman" w:eastAsia="Times New Roman" w:hAnsi="Times New Roman" w:cs="Times New Roman"/>
          <w:color w:val="000000"/>
          <w:sz w:val="28"/>
          <w:szCs w:val="28"/>
        </w:rPr>
        <w:t xml:space="preserve">. </w:t>
      </w:r>
    </w:p>
    <w:p w14:paraId="3A305499" w14:textId="08D409F9" w:rsidR="006C6BB1" w:rsidRDefault="006C6BB1" w:rsidP="00260645">
      <w:pPr>
        <w:pStyle w:val="ListParagraph"/>
        <w:numPr>
          <w:ilvl w:val="0"/>
          <w:numId w:val="13"/>
        </w:numPr>
        <w:spacing w:after="240" w:line="240" w:lineRule="auto"/>
        <w:ind w:left="0" w:right="720" w:firstLine="0"/>
        <w:contextualSpacing w:val="0"/>
        <w:rPr>
          <w:rFonts w:ascii="Times New Roman" w:eastAsia="Times New Roman" w:hAnsi="Times New Roman" w:cs="Times New Roman"/>
          <w:color w:val="000000"/>
          <w:sz w:val="28"/>
          <w:szCs w:val="28"/>
        </w:rPr>
      </w:pPr>
      <w:r w:rsidRPr="006C6BB1">
        <w:rPr>
          <w:rFonts w:ascii="Times New Roman" w:eastAsia="Times New Roman" w:hAnsi="Times New Roman" w:cs="Times New Roman"/>
          <w:color w:val="000000"/>
          <w:sz w:val="28"/>
          <w:szCs w:val="28"/>
        </w:rPr>
        <w:t xml:space="preserve">I respectfully disagree with the proposition that a summary conviction court must focus on parity of sentence in other similar cases </w:t>
      </w:r>
      <w:r w:rsidR="00006537">
        <w:rPr>
          <w:rFonts w:ascii="Times New Roman" w:eastAsia="Times New Roman" w:hAnsi="Times New Roman" w:cs="Times New Roman"/>
          <w:color w:val="000000"/>
          <w:sz w:val="28"/>
          <w:szCs w:val="28"/>
        </w:rPr>
        <w:t xml:space="preserve">with </w:t>
      </w:r>
      <w:r w:rsidRPr="006C6BB1">
        <w:rPr>
          <w:rFonts w:ascii="Times New Roman" w:eastAsia="Times New Roman" w:hAnsi="Times New Roman" w:cs="Times New Roman"/>
          <w:color w:val="000000"/>
          <w:sz w:val="28"/>
          <w:szCs w:val="28"/>
        </w:rPr>
        <w:t>particular regard to those where the Crown has proceeded summarily.  I am unable to see why the Court should view a summary election in other cases as</w:t>
      </w:r>
      <w:r w:rsidR="00006537">
        <w:rPr>
          <w:rFonts w:ascii="Times New Roman" w:eastAsia="Times New Roman" w:hAnsi="Times New Roman" w:cs="Times New Roman"/>
          <w:color w:val="000000"/>
          <w:sz w:val="28"/>
          <w:szCs w:val="28"/>
        </w:rPr>
        <w:t xml:space="preserve"> a</w:t>
      </w:r>
      <w:r w:rsidRPr="006C6BB1">
        <w:rPr>
          <w:rFonts w:ascii="Times New Roman" w:eastAsia="Times New Roman" w:hAnsi="Times New Roman" w:cs="Times New Roman"/>
          <w:color w:val="000000"/>
          <w:sz w:val="28"/>
          <w:szCs w:val="28"/>
        </w:rPr>
        <w:t xml:space="preserve"> salient factor when assessing parity – other than where the maximum sentence was less than in the matter it is dealing with</w:t>
      </w:r>
      <w:r w:rsidR="00006537" w:rsidRPr="006C6BB1">
        <w:rPr>
          <w:rFonts w:ascii="Times New Roman" w:eastAsia="Times New Roman" w:hAnsi="Times New Roman" w:cs="Times New Roman"/>
          <w:color w:val="000000"/>
          <w:sz w:val="28"/>
          <w:szCs w:val="28"/>
        </w:rPr>
        <w:t>.</w:t>
      </w:r>
      <w:r w:rsidR="00006537">
        <w:rPr>
          <w:rFonts w:ascii="Times New Roman" w:eastAsia="Times New Roman" w:hAnsi="Times New Roman" w:cs="Times New Roman"/>
          <w:color w:val="000000"/>
          <w:sz w:val="28"/>
          <w:szCs w:val="28"/>
        </w:rPr>
        <w:t xml:space="preserve">  </w:t>
      </w:r>
      <w:r w:rsidR="00D1605E">
        <w:rPr>
          <w:rFonts w:ascii="Times New Roman" w:eastAsia="Times New Roman" w:hAnsi="Times New Roman" w:cs="Times New Roman"/>
          <w:color w:val="000000"/>
          <w:sz w:val="28"/>
          <w:szCs w:val="28"/>
        </w:rPr>
        <w:t xml:space="preserve">As pointed out in </w:t>
      </w:r>
      <w:r w:rsidR="00D1605E" w:rsidRPr="00006537">
        <w:rPr>
          <w:rFonts w:ascii="Times New Roman" w:eastAsia="Times New Roman" w:hAnsi="Times New Roman" w:cs="Times New Roman"/>
          <w:i/>
          <w:color w:val="000000"/>
          <w:sz w:val="28"/>
          <w:szCs w:val="28"/>
        </w:rPr>
        <w:t>Sayers</w:t>
      </w:r>
      <w:r w:rsidR="00D1605E">
        <w:rPr>
          <w:rFonts w:ascii="Times New Roman" w:eastAsia="Times New Roman" w:hAnsi="Times New Roman" w:cs="Times New Roman"/>
          <w:color w:val="000000"/>
          <w:sz w:val="28"/>
          <w:szCs w:val="28"/>
        </w:rPr>
        <w:t>, s. 718.2 of the Code</w:t>
      </w:r>
      <w:r w:rsidR="00ED2375">
        <w:rPr>
          <w:rFonts w:ascii="Times New Roman" w:eastAsia="Times New Roman" w:hAnsi="Times New Roman" w:cs="Times New Roman"/>
          <w:color w:val="000000"/>
          <w:sz w:val="28"/>
          <w:szCs w:val="28"/>
        </w:rPr>
        <w:t xml:space="preserve"> states that the principle of parity requires that a sentence should be “similar to sentences imposed on similar offenders for similar offences committed in similar circumstances”; see </w:t>
      </w:r>
      <w:r w:rsidR="00ED2375" w:rsidRPr="00006537">
        <w:rPr>
          <w:rFonts w:ascii="Times New Roman" w:eastAsia="Times New Roman" w:hAnsi="Times New Roman" w:cs="Times New Roman"/>
          <w:i/>
          <w:color w:val="000000"/>
          <w:sz w:val="28"/>
          <w:szCs w:val="28"/>
        </w:rPr>
        <w:t>Sayers</w:t>
      </w:r>
      <w:r w:rsidR="00ED2375">
        <w:rPr>
          <w:rFonts w:ascii="Times New Roman" w:eastAsia="Times New Roman" w:hAnsi="Times New Roman" w:cs="Times New Roman"/>
          <w:color w:val="000000"/>
          <w:sz w:val="28"/>
          <w:szCs w:val="28"/>
        </w:rPr>
        <w:t xml:space="preserve">, supra, at para 33.  </w:t>
      </w:r>
    </w:p>
    <w:p w14:paraId="66592D46" w14:textId="73607F79" w:rsidR="00DB6562" w:rsidRDefault="00ED2375" w:rsidP="00260645">
      <w:pPr>
        <w:pStyle w:val="ListParagraph"/>
        <w:numPr>
          <w:ilvl w:val="0"/>
          <w:numId w:val="13"/>
        </w:numPr>
        <w:spacing w:after="240" w:line="240" w:lineRule="auto"/>
        <w:ind w:left="0" w:right="720" w:firstLine="0"/>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my respectful view, parity requires that the sentence</w:t>
      </w:r>
      <w:r w:rsidR="00BF75B6">
        <w:rPr>
          <w:rFonts w:ascii="Times New Roman" w:eastAsia="Times New Roman" w:hAnsi="Times New Roman" w:cs="Times New Roman"/>
          <w:color w:val="000000"/>
          <w:sz w:val="28"/>
          <w:szCs w:val="28"/>
        </w:rPr>
        <w:t xml:space="preserve"> imposed on a given offence</w:t>
      </w:r>
      <w:r>
        <w:rPr>
          <w:rFonts w:ascii="Times New Roman" w:eastAsia="Times New Roman" w:hAnsi="Times New Roman" w:cs="Times New Roman"/>
          <w:color w:val="000000"/>
          <w:sz w:val="28"/>
          <w:szCs w:val="28"/>
        </w:rPr>
        <w:t xml:space="preserve"> must be similar to sentences imposed </w:t>
      </w:r>
      <w:r w:rsidR="002D4B1E">
        <w:rPr>
          <w:rFonts w:ascii="Times New Roman" w:eastAsia="Times New Roman" w:hAnsi="Times New Roman" w:cs="Times New Roman"/>
          <w:color w:val="000000"/>
          <w:sz w:val="28"/>
          <w:szCs w:val="28"/>
        </w:rPr>
        <w:t xml:space="preserve">on other offences </w:t>
      </w:r>
      <w:r>
        <w:rPr>
          <w:rFonts w:ascii="Times New Roman" w:eastAsia="Times New Roman" w:hAnsi="Times New Roman" w:cs="Times New Roman"/>
          <w:color w:val="000000"/>
          <w:sz w:val="28"/>
          <w:szCs w:val="28"/>
        </w:rPr>
        <w:t xml:space="preserve">where there are similar aggravating and mitigating factors relating to the offenders and the circumstances of the offences.  A summary election on the part of the Crown is not a mitigating factor any more than an indictable election is an aggravating factor. </w:t>
      </w:r>
    </w:p>
    <w:p w14:paraId="5478C1D7" w14:textId="721D68AD" w:rsidR="00ED2375" w:rsidRPr="00260645" w:rsidRDefault="00DB6562" w:rsidP="00260645">
      <w:pPr>
        <w:pStyle w:val="ListParagraph"/>
        <w:numPr>
          <w:ilvl w:val="0"/>
          <w:numId w:val="13"/>
        </w:numPr>
        <w:spacing w:after="240" w:line="240" w:lineRule="auto"/>
        <w:ind w:left="0" w:right="720" w:firstLine="0"/>
        <w:contextualSpacing w:val="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Ultimately, I agree with the Crown’s submission that had it elected to proceed </w:t>
      </w:r>
      <w:r w:rsidRPr="00810724">
        <w:rPr>
          <w:rFonts w:ascii="Times New Roman" w:hAnsi="Times New Roman" w:cs="Times New Roman"/>
          <w:sz w:val="28"/>
          <w:szCs w:val="28"/>
        </w:rPr>
        <w:t xml:space="preserve">by way of indictment, a </w:t>
      </w:r>
      <w:r>
        <w:rPr>
          <w:rFonts w:ascii="Times New Roman" w:hAnsi="Times New Roman" w:cs="Times New Roman"/>
          <w:sz w:val="28"/>
          <w:szCs w:val="28"/>
        </w:rPr>
        <w:t>term of imprisonment of more than 18 months</w:t>
      </w:r>
      <w:r w:rsidRPr="00810724">
        <w:rPr>
          <w:rFonts w:ascii="Times New Roman" w:hAnsi="Times New Roman" w:cs="Times New Roman"/>
          <w:sz w:val="28"/>
          <w:szCs w:val="28"/>
        </w:rPr>
        <w:t xml:space="preserve"> would have been required and that in that sense Mr. Dryneck has already benefited from the Crown’s summary election.  </w:t>
      </w:r>
    </w:p>
    <w:p w14:paraId="32AEFF6F" w14:textId="7E8A23E1" w:rsidR="006C6BB1" w:rsidRPr="006C6BB1" w:rsidRDefault="006C6BB1" w:rsidP="00260645">
      <w:pPr>
        <w:pStyle w:val="ListParagraph"/>
        <w:spacing w:after="240" w:line="240" w:lineRule="auto"/>
        <w:ind w:left="0" w:right="720"/>
        <w:contextualSpacing w:val="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The Appropriate Sentence</w:t>
      </w:r>
    </w:p>
    <w:p w14:paraId="69132ED7" w14:textId="0F34C8B4" w:rsidR="006C6BB1" w:rsidRDefault="006C6BB1" w:rsidP="00260645">
      <w:pPr>
        <w:pStyle w:val="ListParagraph"/>
        <w:numPr>
          <w:ilvl w:val="0"/>
          <w:numId w:val="13"/>
        </w:numPr>
        <w:spacing w:after="240" w:line="240" w:lineRule="auto"/>
        <w:ind w:left="0" w:right="720" w:firstLine="0"/>
        <w:contextualSpacing w:val="0"/>
        <w:rPr>
          <w:rFonts w:ascii="Times New Roman" w:eastAsia="Times New Roman" w:hAnsi="Times New Roman" w:cs="Times New Roman"/>
          <w:color w:val="000000"/>
          <w:sz w:val="28"/>
          <w:szCs w:val="28"/>
        </w:rPr>
      </w:pPr>
      <w:r w:rsidRPr="006C6BB1">
        <w:rPr>
          <w:rFonts w:ascii="Times New Roman" w:eastAsia="Times New Roman" w:hAnsi="Times New Roman" w:cs="Times New Roman"/>
          <w:color w:val="000000"/>
          <w:sz w:val="28"/>
          <w:szCs w:val="28"/>
        </w:rPr>
        <w:t xml:space="preserve">As stated, the sexual assault committed by Mr. Dryneck was a “major sexual assault”.  In </w:t>
      </w:r>
      <w:r w:rsidRPr="00737A95">
        <w:rPr>
          <w:rFonts w:ascii="Times New Roman" w:eastAsia="Times New Roman" w:hAnsi="Times New Roman" w:cs="Times New Roman"/>
          <w:i/>
          <w:color w:val="000000"/>
          <w:sz w:val="28"/>
          <w:szCs w:val="28"/>
        </w:rPr>
        <w:t>Arcand</w:t>
      </w:r>
      <w:r w:rsidRPr="006C6BB1">
        <w:rPr>
          <w:rFonts w:ascii="Times New Roman" w:eastAsia="Times New Roman" w:hAnsi="Times New Roman" w:cs="Times New Roman"/>
          <w:color w:val="000000"/>
          <w:sz w:val="28"/>
          <w:szCs w:val="28"/>
        </w:rPr>
        <w:t>, (supra), The Alberta Court of Appeal held:</w:t>
      </w:r>
    </w:p>
    <w:p w14:paraId="77046D84" w14:textId="78B062EB" w:rsidR="006C6BB1" w:rsidRPr="006C6BB1" w:rsidRDefault="006C6BB1" w:rsidP="00260645">
      <w:pPr>
        <w:pStyle w:val="ListParagraph"/>
        <w:spacing w:after="240" w:line="240" w:lineRule="auto"/>
        <w:ind w:right="720"/>
        <w:contextualSpacing w:val="0"/>
        <w:rPr>
          <w:rFonts w:ascii="Times New Roman" w:eastAsia="Times New Roman" w:hAnsi="Times New Roman" w:cs="Times New Roman"/>
          <w:color w:val="000000"/>
          <w:sz w:val="24"/>
          <w:szCs w:val="28"/>
        </w:rPr>
      </w:pPr>
      <w:r w:rsidRPr="006C6BB1">
        <w:rPr>
          <w:rFonts w:ascii="Times New Roman" w:eastAsia="Times New Roman" w:hAnsi="Times New Roman" w:cs="Times New Roman"/>
          <w:color w:val="000000"/>
          <w:sz w:val="24"/>
          <w:szCs w:val="28"/>
        </w:rPr>
        <w:t>[171]      A sexual assault is a major sexual assault where the sexual assault is of a nature or character such that a reasonable person could foresee that it is likely to cause serious psychological or emotional harm, whether or not physical injury occurs.  The harm might come from the force threatened or used or from the sexual aspect of the situation or from any combination of the two.  A major sexual assault includes but is not limited to non-consensual vaginal intercourse, anal intercourse, fellatio and cunnilingus.  We are satisfied that assessing whether a sexual assault is a major sexual assault is well within the capacity of sentencing judges.</w:t>
      </w:r>
    </w:p>
    <w:p w14:paraId="4A25A4E4" w14:textId="6B0DFF03" w:rsidR="006C6BB1" w:rsidRDefault="006C6BB1" w:rsidP="00FE582D">
      <w:pPr>
        <w:pStyle w:val="ListParagraph"/>
        <w:keepNext/>
        <w:widowControl w:val="0"/>
        <w:numPr>
          <w:ilvl w:val="0"/>
          <w:numId w:val="13"/>
        </w:numPr>
        <w:spacing w:after="240" w:line="240" w:lineRule="auto"/>
        <w:ind w:left="0" w:firstLine="0"/>
        <w:contextualSpacing w:val="0"/>
        <w:rPr>
          <w:rFonts w:ascii="Times New Roman" w:hAnsi="Times New Roman" w:cs="Times New Roman"/>
          <w:sz w:val="28"/>
          <w:szCs w:val="28"/>
        </w:rPr>
      </w:pPr>
      <w:r w:rsidRPr="006C6BB1">
        <w:rPr>
          <w:rFonts w:ascii="Times New Roman" w:hAnsi="Times New Roman" w:cs="Times New Roman"/>
          <w:sz w:val="28"/>
          <w:szCs w:val="28"/>
        </w:rPr>
        <w:t xml:space="preserve">In </w:t>
      </w:r>
      <w:r w:rsidRPr="00737A95">
        <w:rPr>
          <w:rFonts w:ascii="Times New Roman" w:hAnsi="Times New Roman" w:cs="Times New Roman"/>
          <w:i/>
          <w:sz w:val="28"/>
          <w:szCs w:val="28"/>
        </w:rPr>
        <w:t>R. v. Lepine</w:t>
      </w:r>
      <w:r w:rsidR="00737A95">
        <w:rPr>
          <w:rFonts w:ascii="Times New Roman" w:hAnsi="Times New Roman" w:cs="Times New Roman"/>
          <w:sz w:val="28"/>
          <w:szCs w:val="28"/>
        </w:rPr>
        <w:t>, 2013</w:t>
      </w:r>
      <w:r w:rsidRPr="006C6BB1">
        <w:rPr>
          <w:rFonts w:ascii="Times New Roman" w:hAnsi="Times New Roman" w:cs="Times New Roman"/>
          <w:sz w:val="28"/>
          <w:szCs w:val="28"/>
        </w:rPr>
        <w:t xml:space="preserve"> NWTSC 19, Shaner J. came to the conclusion that digital penetration of the victim’s vagina, constituted a major sexual assault. </w:t>
      </w:r>
      <w:r w:rsidR="00006537">
        <w:rPr>
          <w:rFonts w:ascii="Times New Roman" w:hAnsi="Times New Roman" w:cs="Times New Roman"/>
          <w:sz w:val="28"/>
          <w:szCs w:val="28"/>
        </w:rPr>
        <w:t>She stated:</w:t>
      </w:r>
    </w:p>
    <w:p w14:paraId="713C507F" w14:textId="43F6CEC5" w:rsidR="006C6BB1" w:rsidRDefault="00006537" w:rsidP="00006537">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[13</w:t>
      </w:r>
      <w:r w:rsidR="00BF75B6">
        <w:rPr>
          <w:rFonts w:ascii="Times New Roman" w:hAnsi="Times New Roman" w:cs="Times New Roman"/>
          <w:sz w:val="24"/>
          <w:szCs w:val="28"/>
        </w:rPr>
        <w:t>]</w:t>
      </w:r>
      <w:r>
        <w:rPr>
          <w:rFonts w:ascii="Times New Roman" w:hAnsi="Times New Roman" w:cs="Times New Roman"/>
          <w:sz w:val="24"/>
          <w:szCs w:val="28"/>
        </w:rPr>
        <w:t xml:space="preserve"> </w:t>
      </w:r>
      <w:r w:rsidR="006C6BB1" w:rsidRPr="006C6BB1">
        <w:rPr>
          <w:rFonts w:ascii="Times New Roman" w:hAnsi="Times New Roman" w:cs="Times New Roman"/>
          <w:sz w:val="24"/>
          <w:szCs w:val="28"/>
        </w:rPr>
        <w:t xml:space="preserve">The assault began while the victim was unconscious with [Mr. B] asleep beside her.  She testified that she started to wake up because she felt something brushing against her face.  Mr. Lepine placed his finger in her vagina and at that point she became fully awake and Mr. Lepine stopped.  He put his hands on his head and was turning in a circle; he said “sorry” and something to the effect of “I can’t believe that I did this to my girl”. </w:t>
      </w:r>
      <w:r>
        <w:rPr>
          <w:rFonts w:ascii="Times New Roman" w:hAnsi="Times New Roman" w:cs="Times New Roman"/>
          <w:sz w:val="24"/>
          <w:szCs w:val="28"/>
        </w:rPr>
        <w:t xml:space="preserve"> </w:t>
      </w:r>
      <w:r w:rsidR="006C6BB1" w:rsidRPr="006C6BB1">
        <w:rPr>
          <w:rFonts w:ascii="Times New Roman" w:hAnsi="Times New Roman" w:cs="Times New Roman"/>
          <w:sz w:val="24"/>
          <w:szCs w:val="28"/>
        </w:rPr>
        <w:t>He then left the room and the residence.</w:t>
      </w:r>
    </w:p>
    <w:p w14:paraId="283F79FA" w14:textId="2637218C" w:rsidR="00983158" w:rsidRPr="006C6BB1" w:rsidRDefault="00983158" w:rsidP="00006537">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 . . .]</w:t>
      </w:r>
    </w:p>
    <w:p w14:paraId="29A3AE97" w14:textId="5940B423" w:rsidR="00F15C8D" w:rsidRDefault="00983158" w:rsidP="00260645">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 xml:space="preserve">[16] </w:t>
      </w:r>
      <w:r w:rsidR="00F15C8D" w:rsidRPr="00F15C8D">
        <w:rPr>
          <w:rFonts w:ascii="Times New Roman" w:hAnsi="Times New Roman" w:cs="Times New Roman"/>
          <w:sz w:val="24"/>
          <w:szCs w:val="28"/>
        </w:rPr>
        <w:t>In argument, defence counsel urged that this is not a major sexual assault and argued that I should not equate what happened</w:t>
      </w:r>
      <w:r w:rsidR="00BF75B6">
        <w:rPr>
          <w:rFonts w:ascii="Times New Roman" w:hAnsi="Times New Roman" w:cs="Times New Roman"/>
          <w:sz w:val="24"/>
          <w:szCs w:val="28"/>
        </w:rPr>
        <w:t xml:space="preserve"> [to]</w:t>
      </w:r>
      <w:r w:rsidR="00F15C8D" w:rsidRPr="00F15C8D">
        <w:rPr>
          <w:rFonts w:ascii="Times New Roman" w:hAnsi="Times New Roman" w:cs="Times New Roman"/>
          <w:sz w:val="24"/>
          <w:szCs w:val="28"/>
        </w:rPr>
        <w:t xml:space="preserve"> her that is digital penetration, with penile penetration.  In my view, while these are in fact different acts, they are equally serious and obviously equally harmful violations of a victim’s sexual integrity.  The fact that there was no pen</w:t>
      </w:r>
      <w:r w:rsidR="00BF75B6">
        <w:rPr>
          <w:rFonts w:ascii="Times New Roman" w:hAnsi="Times New Roman" w:cs="Times New Roman"/>
          <w:sz w:val="24"/>
          <w:szCs w:val="28"/>
        </w:rPr>
        <w:t xml:space="preserve">ile penetration does not </w:t>
      </w:r>
      <w:r w:rsidR="00810741">
        <w:rPr>
          <w:rFonts w:ascii="Times New Roman" w:hAnsi="Times New Roman" w:cs="Times New Roman"/>
          <w:sz w:val="24"/>
          <w:szCs w:val="28"/>
        </w:rPr>
        <w:t>[remove]</w:t>
      </w:r>
      <w:r w:rsidR="00F15C8D" w:rsidRPr="00F15C8D">
        <w:rPr>
          <w:rFonts w:ascii="Times New Roman" w:hAnsi="Times New Roman" w:cs="Times New Roman"/>
          <w:sz w:val="24"/>
          <w:szCs w:val="28"/>
        </w:rPr>
        <w:t xml:space="preserve"> this act from the category of sexual assault.</w:t>
      </w:r>
    </w:p>
    <w:p w14:paraId="4B2BA444" w14:textId="64499E2A" w:rsidR="00983158" w:rsidRPr="00F15C8D" w:rsidRDefault="00983158" w:rsidP="00260645">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 . . . ]</w:t>
      </w:r>
    </w:p>
    <w:p w14:paraId="01134530" w14:textId="0B798F76" w:rsidR="00F15C8D" w:rsidRPr="00F15C8D" w:rsidRDefault="00983158" w:rsidP="00260645">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 xml:space="preserve">[18] </w:t>
      </w:r>
      <w:r w:rsidR="00F15C8D" w:rsidRPr="00F15C8D">
        <w:rPr>
          <w:rFonts w:ascii="Times New Roman" w:hAnsi="Times New Roman" w:cs="Times New Roman"/>
          <w:sz w:val="24"/>
          <w:szCs w:val="28"/>
        </w:rPr>
        <w:t>I am also of the view that the amount of time that the assault lasted does not remove it from the category of a major sexual assault.  There are many serious, awful crimes that take seconds to commit but yet have permanent, long-standing, and devastating result</w:t>
      </w:r>
      <w:r w:rsidR="00810741">
        <w:rPr>
          <w:rFonts w:ascii="Times New Roman" w:hAnsi="Times New Roman" w:cs="Times New Roman"/>
          <w:sz w:val="24"/>
          <w:szCs w:val="28"/>
        </w:rPr>
        <w:t>[s]</w:t>
      </w:r>
      <w:r w:rsidR="00F15C8D" w:rsidRPr="00F15C8D">
        <w:rPr>
          <w:rFonts w:ascii="Times New Roman" w:hAnsi="Times New Roman" w:cs="Times New Roman"/>
          <w:sz w:val="24"/>
          <w:szCs w:val="28"/>
        </w:rPr>
        <w:t>.  I think of a murder victim who is shot and killed in an instant.  This sexual assault was cut short because the victim woke up.  It was an invasive act perpetuated upon a vulnerable sleeping victim and any reasonable person could foresee that such an act would cause psychological or emotional harm.  Accordingly, it is a major sexual assault.</w:t>
      </w:r>
    </w:p>
    <w:p w14:paraId="636F5138" w14:textId="1E13338A" w:rsidR="0047703A" w:rsidRPr="00D53D2B" w:rsidRDefault="00F15C8D" w:rsidP="00D53D2B">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 xml:space="preserve">In </w:t>
      </w:r>
      <w:r w:rsidRPr="00FE582D">
        <w:rPr>
          <w:rFonts w:ascii="Times New Roman" w:hAnsi="Times New Roman" w:cs="Times New Roman"/>
          <w:i/>
          <w:sz w:val="28"/>
          <w:szCs w:val="28"/>
        </w:rPr>
        <w:t>R. v. T.N.</w:t>
      </w:r>
      <w:r w:rsidRPr="00F15C8D">
        <w:rPr>
          <w:rFonts w:ascii="Times New Roman" w:hAnsi="Times New Roman" w:cs="Times New Roman"/>
          <w:sz w:val="28"/>
          <w:szCs w:val="28"/>
        </w:rPr>
        <w:t>, 2020 NWTSC 43, another case involving forced digital penetration of an adult victim’s vagina, Charbonneau C.J. stated (beginning at page 10 line 19):</w:t>
      </w:r>
    </w:p>
    <w:p w14:paraId="0279A6AA" w14:textId="77777777" w:rsidR="00F15C8D" w:rsidRPr="00F15C8D" w:rsidRDefault="00F15C8D" w:rsidP="00260645">
      <w:pPr>
        <w:spacing w:after="240" w:line="240" w:lineRule="auto"/>
        <w:ind w:left="720"/>
        <w:rPr>
          <w:rFonts w:ascii="Times New Roman" w:hAnsi="Times New Roman" w:cs="Times New Roman"/>
          <w:sz w:val="24"/>
          <w:szCs w:val="28"/>
        </w:rPr>
      </w:pPr>
      <w:r w:rsidRPr="00F15C8D">
        <w:rPr>
          <w:rFonts w:ascii="Times New Roman" w:hAnsi="Times New Roman" w:cs="Times New Roman"/>
          <w:sz w:val="24"/>
          <w:szCs w:val="28"/>
        </w:rPr>
        <w:t xml:space="preserve">Defence argues that a jail term between 12 and 14 months would be enough to achieve the goals of sentencing, given Mr. T.N.’s youth his lack of record and his overall circumstances. </w:t>
      </w:r>
    </w:p>
    <w:p w14:paraId="0FFB7CE3" w14:textId="77777777" w:rsidR="00F15C8D" w:rsidRPr="00F15C8D" w:rsidRDefault="00F15C8D" w:rsidP="00260645">
      <w:pPr>
        <w:spacing w:after="240" w:line="240" w:lineRule="auto"/>
        <w:ind w:left="720"/>
        <w:rPr>
          <w:rFonts w:ascii="Times New Roman" w:hAnsi="Times New Roman" w:cs="Times New Roman"/>
          <w:sz w:val="24"/>
          <w:szCs w:val="28"/>
        </w:rPr>
      </w:pPr>
      <w:r w:rsidRPr="00F15C8D">
        <w:rPr>
          <w:rFonts w:ascii="Times New Roman" w:hAnsi="Times New Roman" w:cs="Times New Roman"/>
          <w:sz w:val="24"/>
          <w:szCs w:val="28"/>
        </w:rPr>
        <w:t xml:space="preserve">In my view, it is very clear that the sexual assault falls in the category of major sexual assault, as described in R. v. </w:t>
      </w:r>
      <w:r w:rsidRPr="00FE582D">
        <w:rPr>
          <w:rFonts w:ascii="Times New Roman" w:hAnsi="Times New Roman" w:cs="Times New Roman"/>
          <w:i/>
          <w:sz w:val="24"/>
          <w:szCs w:val="28"/>
        </w:rPr>
        <w:t>Arcand</w:t>
      </w:r>
      <w:r w:rsidRPr="00F15C8D">
        <w:rPr>
          <w:rFonts w:ascii="Times New Roman" w:hAnsi="Times New Roman" w:cs="Times New Roman"/>
          <w:sz w:val="24"/>
          <w:szCs w:val="28"/>
        </w:rPr>
        <w:t xml:space="preserve">, 2010 ABCA 363, and several other cases before it.  </w:t>
      </w:r>
      <w:r w:rsidRPr="00FE582D">
        <w:rPr>
          <w:rFonts w:ascii="Times New Roman" w:hAnsi="Times New Roman" w:cs="Times New Roman"/>
          <w:i/>
          <w:sz w:val="24"/>
          <w:szCs w:val="28"/>
        </w:rPr>
        <w:t>Arcand</w:t>
      </w:r>
      <w:r w:rsidRPr="00F15C8D">
        <w:rPr>
          <w:rFonts w:ascii="Times New Roman" w:hAnsi="Times New Roman" w:cs="Times New Roman"/>
          <w:sz w:val="24"/>
          <w:szCs w:val="28"/>
        </w:rPr>
        <w:t xml:space="preserve"> was adopted by our Court of Appeal in </w:t>
      </w:r>
      <w:r w:rsidRPr="00FE582D">
        <w:rPr>
          <w:rFonts w:ascii="Times New Roman" w:hAnsi="Times New Roman" w:cs="Times New Roman"/>
          <w:i/>
          <w:sz w:val="24"/>
          <w:szCs w:val="28"/>
        </w:rPr>
        <w:t>R. v. A.J.P.J.</w:t>
      </w:r>
      <w:r w:rsidRPr="00F15C8D">
        <w:rPr>
          <w:rFonts w:ascii="Times New Roman" w:hAnsi="Times New Roman" w:cs="Times New Roman"/>
          <w:sz w:val="24"/>
          <w:szCs w:val="28"/>
        </w:rPr>
        <w:t xml:space="preserve">, 2011 NWTCA 2. </w:t>
      </w:r>
    </w:p>
    <w:p w14:paraId="3DF2C720" w14:textId="77777777" w:rsidR="00F15C8D" w:rsidRPr="00F15C8D" w:rsidRDefault="00F15C8D" w:rsidP="00260645">
      <w:pPr>
        <w:spacing w:after="240" w:line="240" w:lineRule="auto"/>
        <w:ind w:left="720"/>
        <w:rPr>
          <w:rFonts w:ascii="Times New Roman" w:hAnsi="Times New Roman" w:cs="Times New Roman"/>
          <w:sz w:val="24"/>
          <w:szCs w:val="28"/>
        </w:rPr>
      </w:pPr>
      <w:r w:rsidRPr="00F15C8D">
        <w:rPr>
          <w:rFonts w:ascii="Times New Roman" w:hAnsi="Times New Roman" w:cs="Times New Roman"/>
          <w:sz w:val="24"/>
          <w:szCs w:val="28"/>
        </w:rPr>
        <w:t xml:space="preserve">As noted in one of those cases quoted by this Court in R. v. </w:t>
      </w:r>
      <w:r w:rsidRPr="00EF5803">
        <w:rPr>
          <w:rFonts w:ascii="Times New Roman" w:hAnsi="Times New Roman" w:cs="Times New Roman"/>
          <w:i/>
          <w:sz w:val="24"/>
          <w:szCs w:val="28"/>
        </w:rPr>
        <w:t>Lepine</w:t>
      </w:r>
      <w:r w:rsidRPr="00F15C8D">
        <w:rPr>
          <w:rFonts w:ascii="Times New Roman" w:hAnsi="Times New Roman" w:cs="Times New Roman"/>
          <w:sz w:val="24"/>
          <w:szCs w:val="28"/>
        </w:rPr>
        <w:t xml:space="preserve">, 2013 NWTSC 19, referred to by the Crown, there was a time where it was believed that there was a significant difference in seriousness between a case involving intercourse and a case involving digital penetration.  With respect, in my view that approach was seriously misguided.  Both acts constitute a serious violation of the victim’s physical, personal and sexual integrity. </w:t>
      </w:r>
    </w:p>
    <w:p w14:paraId="25CDD9BA" w14:textId="77777777" w:rsidR="00F15C8D" w:rsidRPr="00F15C8D" w:rsidRDefault="00F15C8D" w:rsidP="00260645">
      <w:pPr>
        <w:spacing w:after="240" w:line="240" w:lineRule="auto"/>
        <w:ind w:left="720"/>
        <w:rPr>
          <w:rFonts w:ascii="Times New Roman" w:hAnsi="Times New Roman" w:cs="Times New Roman"/>
          <w:sz w:val="24"/>
          <w:szCs w:val="28"/>
        </w:rPr>
      </w:pPr>
      <w:r w:rsidRPr="00F15C8D">
        <w:rPr>
          <w:rFonts w:ascii="Times New Roman" w:hAnsi="Times New Roman" w:cs="Times New Roman"/>
          <w:sz w:val="24"/>
          <w:szCs w:val="28"/>
        </w:rPr>
        <w:t xml:space="preserve">I entirely agree in this regard with the Court’s conclusion in </w:t>
      </w:r>
      <w:r w:rsidRPr="00EF5803">
        <w:rPr>
          <w:rFonts w:ascii="Times New Roman" w:hAnsi="Times New Roman" w:cs="Times New Roman"/>
          <w:i/>
          <w:sz w:val="24"/>
          <w:szCs w:val="28"/>
        </w:rPr>
        <w:t>Lepine</w:t>
      </w:r>
      <w:r w:rsidRPr="00F15C8D">
        <w:rPr>
          <w:rFonts w:ascii="Times New Roman" w:hAnsi="Times New Roman" w:cs="Times New Roman"/>
          <w:sz w:val="24"/>
          <w:szCs w:val="28"/>
        </w:rPr>
        <w:t xml:space="preserve"> and I consider it to be a well-settled point of law, at least in this jurisdiction, a sexual assault that involves a digital penetration is a major sexual assault within the meaning of </w:t>
      </w:r>
      <w:r w:rsidRPr="00EF5803">
        <w:rPr>
          <w:rFonts w:ascii="Times New Roman" w:hAnsi="Times New Roman" w:cs="Times New Roman"/>
          <w:i/>
          <w:sz w:val="24"/>
          <w:szCs w:val="28"/>
        </w:rPr>
        <w:t>Arcand</w:t>
      </w:r>
      <w:r w:rsidRPr="00F15C8D">
        <w:rPr>
          <w:rFonts w:ascii="Times New Roman" w:hAnsi="Times New Roman" w:cs="Times New Roman"/>
          <w:sz w:val="24"/>
          <w:szCs w:val="28"/>
        </w:rPr>
        <w:t xml:space="preserve"> and </w:t>
      </w:r>
      <w:r w:rsidRPr="00EF5803">
        <w:rPr>
          <w:rFonts w:ascii="Times New Roman" w:hAnsi="Times New Roman" w:cs="Times New Roman"/>
          <w:i/>
          <w:sz w:val="24"/>
          <w:szCs w:val="28"/>
        </w:rPr>
        <w:t>A.J.P.J.</w:t>
      </w:r>
      <w:r w:rsidRPr="00F15C8D">
        <w:rPr>
          <w:rFonts w:ascii="Times New Roman" w:hAnsi="Times New Roman" w:cs="Times New Roman"/>
          <w:sz w:val="24"/>
          <w:szCs w:val="28"/>
        </w:rPr>
        <w:t xml:space="preserve">  And while the more prolonged any assault, the more serious it is, the fact that a sexual assault is not prolonged does not take it outside that category. </w:t>
      </w:r>
    </w:p>
    <w:p w14:paraId="2177E57C" w14:textId="0FAB982C" w:rsidR="00D53D2B" w:rsidRPr="00D53D2B" w:rsidRDefault="00F15C8D" w:rsidP="00D53D2B">
      <w:pPr>
        <w:spacing w:after="240" w:line="240" w:lineRule="auto"/>
        <w:ind w:left="720"/>
        <w:rPr>
          <w:rFonts w:ascii="Times New Roman" w:hAnsi="Times New Roman" w:cs="Times New Roman"/>
          <w:sz w:val="24"/>
          <w:szCs w:val="28"/>
        </w:rPr>
      </w:pPr>
      <w:r w:rsidRPr="00F15C8D">
        <w:rPr>
          <w:rFonts w:ascii="Times New Roman" w:hAnsi="Times New Roman" w:cs="Times New Roman"/>
          <w:sz w:val="24"/>
          <w:szCs w:val="28"/>
        </w:rPr>
        <w:t>As a result, the starting point in sentencing is three years imprisonment.  It bears repeating, so I repeat again, this is not a minimum sentence.  It simply is a starting point that reflects the objective seriousness of this type of conduct.  From this starting point, a Court will determine a fit sentence by adjusting the sentence to reflect aggravating factors and mitigating factors that are present.</w:t>
      </w:r>
    </w:p>
    <w:p w14:paraId="0635620A" w14:textId="43D6AB28" w:rsidR="0047703A" w:rsidRPr="00792D9D" w:rsidRDefault="00F15C8D" w:rsidP="0047703A">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 xml:space="preserve">I agree that in the Northwest Territories it is uncontroversial that a case of forced digital penetration on an adult constitutes a major sexual assault.  I also note that both </w:t>
      </w:r>
      <w:r w:rsidRPr="00EF5803">
        <w:rPr>
          <w:rFonts w:ascii="Times New Roman" w:hAnsi="Times New Roman" w:cs="Times New Roman"/>
          <w:i/>
          <w:sz w:val="28"/>
          <w:szCs w:val="28"/>
        </w:rPr>
        <w:t>Lepine</w:t>
      </w:r>
      <w:r w:rsidRPr="00F15C8D">
        <w:rPr>
          <w:rFonts w:ascii="Times New Roman" w:hAnsi="Times New Roman" w:cs="Times New Roman"/>
          <w:sz w:val="28"/>
          <w:szCs w:val="28"/>
        </w:rPr>
        <w:t xml:space="preserve"> and </w:t>
      </w:r>
      <w:r w:rsidRPr="00EF5803">
        <w:rPr>
          <w:rFonts w:ascii="Times New Roman" w:hAnsi="Times New Roman" w:cs="Times New Roman"/>
          <w:i/>
          <w:sz w:val="28"/>
          <w:szCs w:val="28"/>
        </w:rPr>
        <w:t>T.N.</w:t>
      </w:r>
      <w:r w:rsidRPr="00F15C8D">
        <w:rPr>
          <w:rFonts w:ascii="Times New Roman" w:hAnsi="Times New Roman" w:cs="Times New Roman"/>
          <w:sz w:val="28"/>
          <w:szCs w:val="28"/>
        </w:rPr>
        <w:t xml:space="preserve"> were decided in the Supreme Court of the Northwest Territories sitting as courts of first instance.</w:t>
      </w:r>
      <w:r w:rsidR="00EF5803">
        <w:rPr>
          <w:rFonts w:ascii="Times New Roman" w:hAnsi="Times New Roman" w:cs="Times New Roman"/>
          <w:sz w:val="28"/>
          <w:szCs w:val="28"/>
        </w:rPr>
        <w:t xml:space="preserve">  As was held in </w:t>
      </w:r>
      <w:r w:rsidR="00EF5803" w:rsidRPr="00EF5803">
        <w:rPr>
          <w:rFonts w:ascii="Times New Roman" w:hAnsi="Times New Roman" w:cs="Times New Roman"/>
          <w:i/>
          <w:sz w:val="28"/>
          <w:szCs w:val="28"/>
        </w:rPr>
        <w:t>R. v. Sullivan</w:t>
      </w:r>
      <w:r w:rsidR="00983158">
        <w:rPr>
          <w:rFonts w:ascii="Times New Roman" w:hAnsi="Times New Roman" w:cs="Times New Roman"/>
          <w:i/>
          <w:sz w:val="28"/>
          <w:szCs w:val="28"/>
        </w:rPr>
        <w:t>,</w:t>
      </w:r>
      <w:r w:rsidRPr="00F15C8D">
        <w:rPr>
          <w:rFonts w:ascii="Times New Roman" w:hAnsi="Times New Roman" w:cs="Times New Roman"/>
          <w:sz w:val="28"/>
          <w:szCs w:val="28"/>
        </w:rPr>
        <w:t xml:space="preserve"> </w:t>
      </w:r>
      <w:r w:rsidR="00983158" w:rsidRPr="00F15C8D">
        <w:rPr>
          <w:rFonts w:ascii="Times New Roman" w:hAnsi="Times New Roman" w:cs="Times New Roman"/>
          <w:sz w:val="28"/>
          <w:szCs w:val="28"/>
        </w:rPr>
        <w:t xml:space="preserve">2022 SCC 19, </w:t>
      </w:r>
      <w:r w:rsidRPr="00F15C8D">
        <w:rPr>
          <w:rFonts w:ascii="Times New Roman" w:hAnsi="Times New Roman" w:cs="Times New Roman"/>
          <w:sz w:val="28"/>
          <w:szCs w:val="28"/>
        </w:rPr>
        <w:t xml:space="preserve">the principle of </w:t>
      </w:r>
      <w:r w:rsidR="00983158">
        <w:rPr>
          <w:rFonts w:ascii="Times New Roman" w:hAnsi="Times New Roman" w:cs="Times New Roman"/>
          <w:sz w:val="28"/>
          <w:szCs w:val="28"/>
        </w:rPr>
        <w:t>comity</w:t>
      </w:r>
      <w:r w:rsidRPr="00F15C8D">
        <w:rPr>
          <w:rFonts w:ascii="Times New Roman" w:hAnsi="Times New Roman" w:cs="Times New Roman"/>
          <w:sz w:val="28"/>
          <w:szCs w:val="28"/>
        </w:rPr>
        <w:t xml:space="preserve">, or </w:t>
      </w:r>
      <w:r w:rsidR="00983158">
        <w:rPr>
          <w:rFonts w:ascii="Times New Roman" w:hAnsi="Times New Roman" w:cs="Times New Roman"/>
          <w:sz w:val="28"/>
          <w:szCs w:val="28"/>
        </w:rPr>
        <w:t xml:space="preserve">horizontal </w:t>
      </w:r>
      <w:r w:rsidR="00983158" w:rsidRPr="00983158">
        <w:rPr>
          <w:rFonts w:ascii="Times New Roman" w:hAnsi="Times New Roman" w:cs="Times New Roman"/>
          <w:i/>
          <w:sz w:val="28"/>
          <w:szCs w:val="28"/>
        </w:rPr>
        <w:t>stare decisis</w:t>
      </w:r>
      <w:r w:rsidRPr="00F15C8D">
        <w:rPr>
          <w:rFonts w:ascii="Times New Roman" w:hAnsi="Times New Roman" w:cs="Times New Roman"/>
          <w:sz w:val="28"/>
          <w:szCs w:val="28"/>
        </w:rPr>
        <w:t xml:space="preserve"> as it is also referred to, requires that I follow a similar approach; see paras</w:t>
      </w:r>
      <w:r w:rsidR="00983158">
        <w:rPr>
          <w:rFonts w:ascii="Times New Roman" w:hAnsi="Times New Roman" w:cs="Times New Roman"/>
          <w:sz w:val="28"/>
          <w:szCs w:val="28"/>
        </w:rPr>
        <w:t>.</w:t>
      </w:r>
      <w:r w:rsidRPr="00F15C8D">
        <w:rPr>
          <w:rFonts w:ascii="Times New Roman" w:hAnsi="Times New Roman" w:cs="Times New Roman"/>
          <w:sz w:val="28"/>
          <w:szCs w:val="28"/>
        </w:rPr>
        <w:t xml:space="preserve"> 65, 75, &amp; 86. </w:t>
      </w:r>
      <w:r w:rsidR="00EF5803">
        <w:rPr>
          <w:rFonts w:ascii="Times New Roman" w:hAnsi="Times New Roman" w:cs="Times New Roman"/>
          <w:sz w:val="28"/>
          <w:szCs w:val="28"/>
        </w:rPr>
        <w:t xml:space="preserve"> </w:t>
      </w:r>
      <w:r w:rsidR="00983158">
        <w:rPr>
          <w:rFonts w:ascii="Times New Roman" w:hAnsi="Times New Roman" w:cs="Times New Roman"/>
          <w:sz w:val="28"/>
          <w:szCs w:val="28"/>
        </w:rPr>
        <w:t>Given</w:t>
      </w:r>
      <w:r w:rsidRPr="00F15C8D">
        <w:rPr>
          <w:rFonts w:ascii="Times New Roman" w:hAnsi="Times New Roman" w:cs="Times New Roman"/>
          <w:sz w:val="28"/>
          <w:szCs w:val="28"/>
        </w:rPr>
        <w:t xml:space="preserve"> the facts in this case, </w:t>
      </w:r>
      <w:r w:rsidR="00983158">
        <w:rPr>
          <w:rFonts w:ascii="Times New Roman" w:hAnsi="Times New Roman" w:cs="Times New Roman"/>
          <w:sz w:val="28"/>
          <w:szCs w:val="28"/>
        </w:rPr>
        <w:t>I conclude</w:t>
      </w:r>
      <w:r w:rsidRPr="00F15C8D">
        <w:rPr>
          <w:rFonts w:ascii="Times New Roman" w:hAnsi="Times New Roman" w:cs="Times New Roman"/>
          <w:sz w:val="28"/>
          <w:szCs w:val="28"/>
        </w:rPr>
        <w:t xml:space="preserve"> the sexual assault was such that a reasonable person </w:t>
      </w:r>
      <w:r w:rsidR="00983158">
        <w:rPr>
          <w:rFonts w:ascii="Times New Roman" w:hAnsi="Times New Roman" w:cs="Times New Roman"/>
          <w:sz w:val="28"/>
          <w:szCs w:val="28"/>
        </w:rPr>
        <w:t xml:space="preserve">would easily </w:t>
      </w:r>
      <w:r w:rsidRPr="00F15C8D">
        <w:rPr>
          <w:rFonts w:ascii="Times New Roman" w:hAnsi="Times New Roman" w:cs="Times New Roman"/>
          <w:sz w:val="28"/>
          <w:szCs w:val="28"/>
        </w:rPr>
        <w:t>have foreseen that it was likely to cause serious psychological or emotional harm.</w:t>
      </w:r>
    </w:p>
    <w:p w14:paraId="314B2A1E" w14:textId="2D0B0E98"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For these reasons, the starting point for an appropriate sentence that is applicable in the present case is one of three years imprisonment</w:t>
      </w:r>
      <w:r w:rsidR="00983158">
        <w:rPr>
          <w:rFonts w:ascii="Times New Roman" w:hAnsi="Times New Roman" w:cs="Times New Roman"/>
          <w:sz w:val="28"/>
          <w:szCs w:val="28"/>
        </w:rPr>
        <w:t>, notwithstanding that the maximum allowable jail term is 18 months</w:t>
      </w:r>
      <w:r w:rsidRPr="00F15C8D">
        <w:rPr>
          <w:rFonts w:ascii="Times New Roman" w:hAnsi="Times New Roman" w:cs="Times New Roman"/>
          <w:sz w:val="28"/>
          <w:szCs w:val="28"/>
        </w:rPr>
        <w:t>.</w:t>
      </w:r>
    </w:p>
    <w:p w14:paraId="6012D133" w14:textId="17C2CC1F"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In the case of Mr. Dryneck, the mitigating aspects that are</w:t>
      </w:r>
      <w:r w:rsidR="00810741">
        <w:rPr>
          <w:rFonts w:ascii="Times New Roman" w:hAnsi="Times New Roman" w:cs="Times New Roman"/>
          <w:sz w:val="28"/>
          <w:szCs w:val="28"/>
        </w:rPr>
        <w:t xml:space="preserve"> highly</w:t>
      </w:r>
      <w:r w:rsidRPr="00F15C8D">
        <w:rPr>
          <w:rFonts w:ascii="Times New Roman" w:hAnsi="Times New Roman" w:cs="Times New Roman"/>
          <w:sz w:val="28"/>
          <w:szCs w:val="28"/>
        </w:rPr>
        <w:t xml:space="preserve"> significant are the Gladue factors that have been set out in his presentence report and referred to by counsel, his rehabilitative efforts since</w:t>
      </w:r>
      <w:r w:rsidR="003520EB">
        <w:rPr>
          <w:rFonts w:ascii="Times New Roman" w:hAnsi="Times New Roman" w:cs="Times New Roman"/>
          <w:sz w:val="28"/>
          <w:szCs w:val="28"/>
        </w:rPr>
        <w:t xml:space="preserve"> being detained pending trial,</w:t>
      </w:r>
      <w:r w:rsidRPr="00F15C8D">
        <w:rPr>
          <w:rFonts w:ascii="Times New Roman" w:hAnsi="Times New Roman" w:cs="Times New Roman"/>
          <w:sz w:val="28"/>
          <w:szCs w:val="28"/>
        </w:rPr>
        <w:t xml:space="preserve"> and his level of remorse.  I remind myself that the fact that he pleaded not guilty and </w:t>
      </w:r>
      <w:r w:rsidR="003520EB">
        <w:rPr>
          <w:rFonts w:ascii="Times New Roman" w:hAnsi="Times New Roman" w:cs="Times New Roman"/>
          <w:sz w:val="28"/>
          <w:szCs w:val="28"/>
        </w:rPr>
        <w:t>required</w:t>
      </w:r>
      <w:r w:rsidRPr="00F15C8D">
        <w:rPr>
          <w:rFonts w:ascii="Times New Roman" w:hAnsi="Times New Roman" w:cs="Times New Roman"/>
          <w:sz w:val="28"/>
          <w:szCs w:val="28"/>
        </w:rPr>
        <w:t xml:space="preserve"> a trial is not an aggravating factor but </w:t>
      </w:r>
      <w:r w:rsidR="003520EB">
        <w:rPr>
          <w:rFonts w:ascii="Times New Roman" w:hAnsi="Times New Roman" w:cs="Times New Roman"/>
          <w:sz w:val="28"/>
          <w:szCs w:val="28"/>
        </w:rPr>
        <w:t xml:space="preserve">rather </w:t>
      </w:r>
      <w:r w:rsidRPr="00F15C8D">
        <w:rPr>
          <w:rFonts w:ascii="Times New Roman" w:hAnsi="Times New Roman" w:cs="Times New Roman"/>
          <w:sz w:val="28"/>
          <w:szCs w:val="28"/>
        </w:rPr>
        <w:t xml:space="preserve">the absence of a mitigating factor.  However, I </w:t>
      </w:r>
      <w:r w:rsidR="003520EB">
        <w:rPr>
          <w:rFonts w:ascii="Times New Roman" w:hAnsi="Times New Roman" w:cs="Times New Roman"/>
          <w:sz w:val="28"/>
          <w:szCs w:val="28"/>
        </w:rPr>
        <w:t>feel it worthwhile to note that</w:t>
      </w:r>
      <w:r w:rsidR="00810741">
        <w:rPr>
          <w:rFonts w:ascii="Times New Roman" w:hAnsi="Times New Roman" w:cs="Times New Roman"/>
          <w:sz w:val="28"/>
          <w:szCs w:val="28"/>
        </w:rPr>
        <w:t>, in my assessment, a guilty plea</w:t>
      </w:r>
      <w:r w:rsidRPr="00F15C8D">
        <w:rPr>
          <w:rFonts w:ascii="Times New Roman" w:hAnsi="Times New Roman" w:cs="Times New Roman"/>
          <w:sz w:val="28"/>
          <w:szCs w:val="28"/>
        </w:rPr>
        <w:t xml:space="preserve"> </w:t>
      </w:r>
      <w:r w:rsidR="00810741">
        <w:rPr>
          <w:rFonts w:ascii="Times New Roman" w:hAnsi="Times New Roman" w:cs="Times New Roman"/>
          <w:sz w:val="28"/>
          <w:szCs w:val="28"/>
        </w:rPr>
        <w:t xml:space="preserve">in this case </w:t>
      </w:r>
      <w:r w:rsidRPr="00F15C8D">
        <w:rPr>
          <w:rFonts w:ascii="Times New Roman" w:hAnsi="Times New Roman" w:cs="Times New Roman"/>
          <w:sz w:val="28"/>
          <w:szCs w:val="28"/>
        </w:rPr>
        <w:t>would have been a highly mitigating factor that would have resu</w:t>
      </w:r>
      <w:r w:rsidR="003520EB">
        <w:rPr>
          <w:rFonts w:ascii="Times New Roman" w:hAnsi="Times New Roman" w:cs="Times New Roman"/>
          <w:sz w:val="28"/>
          <w:szCs w:val="28"/>
        </w:rPr>
        <w:t>lted in a large reduction in what would otherwise have been required</w:t>
      </w:r>
      <w:r w:rsidRPr="00F15C8D">
        <w:rPr>
          <w:rFonts w:ascii="Times New Roman" w:hAnsi="Times New Roman" w:cs="Times New Roman"/>
          <w:sz w:val="28"/>
          <w:szCs w:val="28"/>
        </w:rPr>
        <w:t xml:space="preserve">.  This is for the usual reasons that guilty </w:t>
      </w:r>
      <w:r w:rsidR="003520EB">
        <w:rPr>
          <w:rFonts w:ascii="Times New Roman" w:hAnsi="Times New Roman" w:cs="Times New Roman"/>
          <w:sz w:val="28"/>
          <w:szCs w:val="28"/>
        </w:rPr>
        <w:t xml:space="preserve">pleas are said to be mitigating. But in the present case, </w:t>
      </w:r>
      <w:r w:rsidRPr="00F15C8D">
        <w:rPr>
          <w:rFonts w:ascii="Times New Roman" w:hAnsi="Times New Roman" w:cs="Times New Roman"/>
          <w:sz w:val="28"/>
          <w:szCs w:val="28"/>
        </w:rPr>
        <w:t>the fact that</w:t>
      </w:r>
      <w:r w:rsidR="003520EB">
        <w:rPr>
          <w:rFonts w:ascii="Times New Roman" w:hAnsi="Times New Roman" w:cs="Times New Roman"/>
          <w:sz w:val="28"/>
          <w:szCs w:val="28"/>
        </w:rPr>
        <w:t xml:space="preserve"> a guilty plea</w:t>
      </w:r>
      <w:r w:rsidRPr="00F15C8D">
        <w:rPr>
          <w:rFonts w:ascii="Times New Roman" w:hAnsi="Times New Roman" w:cs="Times New Roman"/>
          <w:sz w:val="28"/>
          <w:szCs w:val="28"/>
        </w:rPr>
        <w:t xml:space="preserve"> would have saved the victim the ordeal of having to testify would have been particularly important.</w:t>
      </w:r>
    </w:p>
    <w:p w14:paraId="14F8DE6F" w14:textId="10A47A00"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 xml:space="preserve">Mr. Dryneck’s Gladue factors are thoroughly set out in the pre-sentence report beginning at page 14 through to page 18.  I will not go through the specifics of the report other than to state, that they demonstrate the intergenerational trauma resulting from colonization that is far too common in Canada’s indigenous population.  Briefly, the reverberations of that trauma that have been specifically visited on Mr. Dryneck, are the </w:t>
      </w:r>
      <w:r w:rsidR="003520EB">
        <w:rPr>
          <w:rFonts w:ascii="Times New Roman" w:hAnsi="Times New Roman" w:cs="Times New Roman"/>
          <w:sz w:val="28"/>
          <w:szCs w:val="28"/>
        </w:rPr>
        <w:t xml:space="preserve">enumerated personal </w:t>
      </w:r>
      <w:r w:rsidRPr="00F15C8D">
        <w:rPr>
          <w:rFonts w:ascii="Times New Roman" w:hAnsi="Times New Roman" w:cs="Times New Roman"/>
          <w:sz w:val="28"/>
          <w:szCs w:val="28"/>
        </w:rPr>
        <w:t xml:space="preserve">tragedies he has </w:t>
      </w:r>
      <w:r w:rsidR="003520EB">
        <w:rPr>
          <w:rFonts w:ascii="Times New Roman" w:hAnsi="Times New Roman" w:cs="Times New Roman"/>
          <w:sz w:val="28"/>
          <w:szCs w:val="28"/>
        </w:rPr>
        <w:t>suffered,</w:t>
      </w:r>
      <w:r w:rsidRPr="00F15C8D">
        <w:rPr>
          <w:rFonts w:ascii="Times New Roman" w:hAnsi="Times New Roman" w:cs="Times New Roman"/>
          <w:sz w:val="28"/>
          <w:szCs w:val="28"/>
        </w:rPr>
        <w:t xml:space="preserve"> his </w:t>
      </w:r>
      <w:r w:rsidR="003520EB">
        <w:rPr>
          <w:rFonts w:ascii="Times New Roman" w:hAnsi="Times New Roman" w:cs="Times New Roman"/>
          <w:sz w:val="28"/>
          <w:szCs w:val="28"/>
        </w:rPr>
        <w:t xml:space="preserve">both </w:t>
      </w:r>
      <w:r w:rsidRPr="00F15C8D">
        <w:rPr>
          <w:rFonts w:ascii="Times New Roman" w:hAnsi="Times New Roman" w:cs="Times New Roman"/>
          <w:sz w:val="28"/>
          <w:szCs w:val="28"/>
        </w:rPr>
        <w:t>chronic and acute abuse of alcohol and other legal and illegal drugs, homelessness, and instability in employment and living arrangements</w:t>
      </w:r>
      <w:r w:rsidR="003520EB" w:rsidRPr="00F15C8D">
        <w:rPr>
          <w:rFonts w:ascii="Times New Roman" w:hAnsi="Times New Roman" w:cs="Times New Roman"/>
          <w:sz w:val="28"/>
          <w:szCs w:val="28"/>
        </w:rPr>
        <w:t xml:space="preserve">.  </w:t>
      </w:r>
      <w:r w:rsidRPr="00F15C8D">
        <w:rPr>
          <w:rFonts w:ascii="Times New Roman" w:hAnsi="Times New Roman" w:cs="Times New Roman"/>
          <w:sz w:val="28"/>
          <w:szCs w:val="28"/>
        </w:rPr>
        <w:t>He consumes</w:t>
      </w:r>
      <w:r w:rsidR="003520EB">
        <w:rPr>
          <w:rFonts w:ascii="Times New Roman" w:hAnsi="Times New Roman" w:cs="Times New Roman"/>
          <w:sz w:val="28"/>
          <w:szCs w:val="28"/>
        </w:rPr>
        <w:t xml:space="preserve"> mind altering</w:t>
      </w:r>
      <w:r w:rsidRPr="00F15C8D">
        <w:rPr>
          <w:rFonts w:ascii="Times New Roman" w:hAnsi="Times New Roman" w:cs="Times New Roman"/>
          <w:sz w:val="28"/>
          <w:szCs w:val="28"/>
        </w:rPr>
        <w:t xml:space="preserve"> substances to deal with his anger and anxiety.  He has experienced suicidal ideation in the past.</w:t>
      </w:r>
    </w:p>
    <w:p w14:paraId="4CED90B9" w14:textId="2C863573"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 xml:space="preserve">I </w:t>
      </w:r>
      <w:r w:rsidR="003520EB">
        <w:rPr>
          <w:rFonts w:ascii="Times New Roman" w:hAnsi="Times New Roman" w:cs="Times New Roman"/>
          <w:sz w:val="28"/>
          <w:szCs w:val="28"/>
        </w:rPr>
        <w:t xml:space="preserve">conclude that these case specific factors </w:t>
      </w:r>
      <w:r w:rsidRPr="00F15C8D">
        <w:rPr>
          <w:rFonts w:ascii="Times New Roman" w:hAnsi="Times New Roman" w:cs="Times New Roman"/>
          <w:sz w:val="28"/>
          <w:szCs w:val="28"/>
        </w:rPr>
        <w:t xml:space="preserve">considerably </w:t>
      </w:r>
      <w:r w:rsidR="003520EB">
        <w:rPr>
          <w:rFonts w:ascii="Times New Roman" w:hAnsi="Times New Roman" w:cs="Times New Roman"/>
          <w:sz w:val="28"/>
          <w:szCs w:val="28"/>
        </w:rPr>
        <w:t xml:space="preserve">diminish </w:t>
      </w:r>
      <w:r w:rsidRPr="00F15C8D">
        <w:rPr>
          <w:rFonts w:ascii="Times New Roman" w:hAnsi="Times New Roman" w:cs="Times New Roman"/>
          <w:sz w:val="28"/>
          <w:szCs w:val="28"/>
        </w:rPr>
        <w:t xml:space="preserve">his moral blameworthiness.  </w:t>
      </w:r>
    </w:p>
    <w:p w14:paraId="37093DD0" w14:textId="650FCCDD"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 xml:space="preserve">He has also taken significant rehabilitative steps since being </w:t>
      </w:r>
      <w:r w:rsidR="003520EB">
        <w:rPr>
          <w:rFonts w:ascii="Times New Roman" w:hAnsi="Times New Roman" w:cs="Times New Roman"/>
          <w:sz w:val="28"/>
          <w:szCs w:val="28"/>
        </w:rPr>
        <w:t>detained</w:t>
      </w:r>
      <w:r w:rsidRPr="00F15C8D">
        <w:rPr>
          <w:rFonts w:ascii="Times New Roman" w:hAnsi="Times New Roman" w:cs="Times New Roman"/>
          <w:sz w:val="28"/>
          <w:szCs w:val="28"/>
        </w:rPr>
        <w:t xml:space="preserve"> this past September.  He has taken programs to deal with his substance abuse and to assist him in living without violence.  He has also attended </w:t>
      </w:r>
      <w:r w:rsidR="003520EB">
        <w:rPr>
          <w:rFonts w:ascii="Times New Roman" w:hAnsi="Times New Roman" w:cs="Times New Roman"/>
          <w:sz w:val="28"/>
          <w:szCs w:val="28"/>
        </w:rPr>
        <w:t>nine</w:t>
      </w:r>
      <w:r w:rsidRPr="00F15C8D">
        <w:rPr>
          <w:rFonts w:ascii="Times New Roman" w:hAnsi="Times New Roman" w:cs="Times New Roman"/>
          <w:sz w:val="28"/>
          <w:szCs w:val="28"/>
        </w:rPr>
        <w:t xml:space="preserve"> one on one counselling sessions.  These </w:t>
      </w:r>
      <w:r w:rsidR="003520EB">
        <w:rPr>
          <w:rFonts w:ascii="Times New Roman" w:hAnsi="Times New Roman" w:cs="Times New Roman"/>
          <w:sz w:val="28"/>
          <w:szCs w:val="28"/>
        </w:rPr>
        <w:t>post-offence rehabilitative efforts</w:t>
      </w:r>
      <w:r w:rsidRPr="00F15C8D">
        <w:rPr>
          <w:rFonts w:ascii="Times New Roman" w:hAnsi="Times New Roman" w:cs="Times New Roman"/>
          <w:sz w:val="28"/>
          <w:szCs w:val="28"/>
        </w:rPr>
        <w:t xml:space="preserve"> are also significantly mitigating.</w:t>
      </w:r>
    </w:p>
    <w:p w14:paraId="1D4A8F68" w14:textId="6364901B"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 xml:space="preserve">I find that he is indeed remorseful for his actions.  However, I </w:t>
      </w:r>
      <w:r w:rsidR="003520EB">
        <w:rPr>
          <w:rFonts w:ascii="Times New Roman" w:hAnsi="Times New Roman" w:cs="Times New Roman"/>
          <w:sz w:val="28"/>
          <w:szCs w:val="28"/>
        </w:rPr>
        <w:t xml:space="preserve">will say that I </w:t>
      </w:r>
      <w:r w:rsidRPr="00F15C8D">
        <w:rPr>
          <w:rFonts w:ascii="Times New Roman" w:hAnsi="Times New Roman" w:cs="Times New Roman"/>
          <w:sz w:val="28"/>
          <w:szCs w:val="28"/>
        </w:rPr>
        <w:t>would have considered that remorse to have been far more mitigating had it been expressed through a guilty plea in this matter.</w:t>
      </w:r>
    </w:p>
    <w:p w14:paraId="16BCFDE4" w14:textId="07E2A8B2" w:rsid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An aggravating factor that I must consider is</w:t>
      </w:r>
      <w:r w:rsidR="003520EB">
        <w:rPr>
          <w:rFonts w:ascii="Times New Roman" w:hAnsi="Times New Roman" w:cs="Times New Roman"/>
          <w:sz w:val="28"/>
          <w:szCs w:val="28"/>
        </w:rPr>
        <w:t xml:space="preserve"> Mr. Dryneck’s</w:t>
      </w:r>
      <w:r w:rsidRPr="00F15C8D">
        <w:rPr>
          <w:rFonts w:ascii="Times New Roman" w:hAnsi="Times New Roman" w:cs="Times New Roman"/>
          <w:sz w:val="28"/>
          <w:szCs w:val="28"/>
        </w:rPr>
        <w:t xml:space="preserve"> criminal record.  However, I do not give it great weight. </w:t>
      </w:r>
      <w:r w:rsidR="003520EB">
        <w:rPr>
          <w:rFonts w:ascii="Times New Roman" w:hAnsi="Times New Roman" w:cs="Times New Roman"/>
          <w:sz w:val="28"/>
          <w:szCs w:val="28"/>
        </w:rPr>
        <w:t xml:space="preserve"> The criminal record consists </w:t>
      </w:r>
      <w:r w:rsidR="00524937">
        <w:rPr>
          <w:rFonts w:ascii="Times New Roman" w:hAnsi="Times New Roman" w:cs="Times New Roman"/>
          <w:sz w:val="28"/>
          <w:szCs w:val="28"/>
        </w:rPr>
        <w:t>of four</w:t>
      </w:r>
      <w:r w:rsidR="003520EB">
        <w:rPr>
          <w:rFonts w:ascii="Times New Roman" w:hAnsi="Times New Roman" w:cs="Times New Roman"/>
          <w:sz w:val="28"/>
          <w:szCs w:val="28"/>
        </w:rPr>
        <w:t xml:space="preserve"> convictions.  Three</w:t>
      </w:r>
      <w:r w:rsidRPr="00F15C8D">
        <w:rPr>
          <w:rFonts w:ascii="Times New Roman" w:hAnsi="Times New Roman" w:cs="Times New Roman"/>
          <w:sz w:val="28"/>
          <w:szCs w:val="28"/>
        </w:rPr>
        <w:t xml:space="preserve"> of those convictions are for common assault.  However, the most recent convictions entered in 2022 cannot be considered as aggravating since they were committed </w:t>
      </w:r>
      <w:r w:rsidR="00524937">
        <w:rPr>
          <w:rFonts w:ascii="Times New Roman" w:hAnsi="Times New Roman" w:cs="Times New Roman"/>
          <w:sz w:val="28"/>
          <w:szCs w:val="28"/>
        </w:rPr>
        <w:t>following</w:t>
      </w:r>
      <w:r w:rsidRPr="00F15C8D">
        <w:rPr>
          <w:rFonts w:ascii="Times New Roman" w:hAnsi="Times New Roman" w:cs="Times New Roman"/>
          <w:sz w:val="28"/>
          <w:szCs w:val="28"/>
        </w:rPr>
        <w:t xml:space="preserve"> the facts of the </w:t>
      </w:r>
      <w:r w:rsidR="00524937">
        <w:rPr>
          <w:rFonts w:ascii="Times New Roman" w:hAnsi="Times New Roman" w:cs="Times New Roman"/>
          <w:sz w:val="28"/>
          <w:szCs w:val="28"/>
        </w:rPr>
        <w:t>present offence</w:t>
      </w:r>
      <w:r w:rsidRPr="00F15C8D">
        <w:rPr>
          <w:rFonts w:ascii="Times New Roman" w:hAnsi="Times New Roman" w:cs="Times New Roman"/>
          <w:sz w:val="28"/>
          <w:szCs w:val="28"/>
        </w:rPr>
        <w:t xml:space="preserve">.  In terms </w:t>
      </w:r>
      <w:r w:rsidR="00524937">
        <w:rPr>
          <w:rFonts w:ascii="Times New Roman" w:hAnsi="Times New Roman" w:cs="Times New Roman"/>
          <w:sz w:val="28"/>
          <w:szCs w:val="28"/>
        </w:rPr>
        <w:t xml:space="preserve">of </w:t>
      </w:r>
      <w:r w:rsidRPr="00F15C8D">
        <w:rPr>
          <w:rFonts w:ascii="Times New Roman" w:hAnsi="Times New Roman" w:cs="Times New Roman"/>
          <w:sz w:val="28"/>
          <w:szCs w:val="28"/>
        </w:rPr>
        <w:t xml:space="preserve">convictions that predate the facts of the present offence, he has one for assault </w:t>
      </w:r>
      <w:r w:rsidR="00524937">
        <w:rPr>
          <w:rFonts w:ascii="Times New Roman" w:hAnsi="Times New Roman" w:cs="Times New Roman"/>
          <w:sz w:val="28"/>
          <w:szCs w:val="28"/>
        </w:rPr>
        <w:t xml:space="preserve">entered in </w:t>
      </w:r>
      <w:r w:rsidRPr="00F15C8D">
        <w:rPr>
          <w:rFonts w:ascii="Times New Roman" w:hAnsi="Times New Roman" w:cs="Times New Roman"/>
          <w:sz w:val="28"/>
          <w:szCs w:val="28"/>
        </w:rPr>
        <w:t>December of 2016</w:t>
      </w:r>
      <w:r w:rsidR="00524937">
        <w:rPr>
          <w:rFonts w:ascii="Times New Roman" w:hAnsi="Times New Roman" w:cs="Times New Roman"/>
          <w:sz w:val="28"/>
          <w:szCs w:val="28"/>
        </w:rPr>
        <w:t>,</w:t>
      </w:r>
      <w:r w:rsidRPr="00F15C8D">
        <w:rPr>
          <w:rFonts w:ascii="Times New Roman" w:hAnsi="Times New Roman" w:cs="Times New Roman"/>
          <w:sz w:val="28"/>
          <w:szCs w:val="28"/>
        </w:rPr>
        <w:t xml:space="preserve"> for which he received a $300 fine and 12 months of probation</w:t>
      </w:r>
      <w:r w:rsidR="00524937">
        <w:rPr>
          <w:rFonts w:ascii="Times New Roman" w:hAnsi="Times New Roman" w:cs="Times New Roman"/>
          <w:sz w:val="28"/>
          <w:szCs w:val="28"/>
        </w:rPr>
        <w:t>,</w:t>
      </w:r>
      <w:r w:rsidRPr="00F15C8D">
        <w:rPr>
          <w:rFonts w:ascii="Times New Roman" w:hAnsi="Times New Roman" w:cs="Times New Roman"/>
          <w:sz w:val="28"/>
          <w:szCs w:val="28"/>
        </w:rPr>
        <w:t xml:space="preserve"> and another </w:t>
      </w:r>
      <w:r w:rsidR="00524937">
        <w:rPr>
          <w:rFonts w:ascii="Times New Roman" w:hAnsi="Times New Roman" w:cs="Times New Roman"/>
          <w:sz w:val="28"/>
          <w:szCs w:val="28"/>
        </w:rPr>
        <w:t>entered in</w:t>
      </w:r>
      <w:r w:rsidRPr="00F15C8D">
        <w:rPr>
          <w:rFonts w:ascii="Times New Roman" w:hAnsi="Times New Roman" w:cs="Times New Roman"/>
          <w:sz w:val="28"/>
          <w:szCs w:val="28"/>
        </w:rPr>
        <w:t xml:space="preserve"> June 2018 for taking a motor vehicle without the owner’s consent</w:t>
      </w:r>
      <w:r w:rsidR="00524937">
        <w:rPr>
          <w:rFonts w:ascii="Times New Roman" w:hAnsi="Times New Roman" w:cs="Times New Roman"/>
          <w:sz w:val="28"/>
          <w:szCs w:val="28"/>
        </w:rPr>
        <w:t>,</w:t>
      </w:r>
      <w:r w:rsidRPr="00F15C8D">
        <w:rPr>
          <w:rFonts w:ascii="Times New Roman" w:hAnsi="Times New Roman" w:cs="Times New Roman"/>
          <w:sz w:val="28"/>
          <w:szCs w:val="28"/>
        </w:rPr>
        <w:t xml:space="preserve"> for which he received a suspended sentence accompanied by 9 months of probation.</w:t>
      </w:r>
    </w:p>
    <w:p w14:paraId="29DDA505" w14:textId="193835C1" w:rsidR="00660E33" w:rsidRPr="00F15C8D"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15C8D">
        <w:rPr>
          <w:rFonts w:ascii="Times New Roman" w:hAnsi="Times New Roman" w:cs="Times New Roman"/>
          <w:sz w:val="28"/>
          <w:szCs w:val="28"/>
        </w:rPr>
        <w:t>In terms of aggravating factors there are the negative effects that have been described</w:t>
      </w:r>
      <w:r w:rsidR="00524937">
        <w:rPr>
          <w:rFonts w:ascii="Times New Roman" w:hAnsi="Times New Roman" w:cs="Times New Roman"/>
          <w:sz w:val="28"/>
          <w:szCs w:val="28"/>
        </w:rPr>
        <w:t xml:space="preserve"> by</w:t>
      </w:r>
      <w:r w:rsidRPr="00F15C8D">
        <w:rPr>
          <w:rFonts w:ascii="Times New Roman" w:hAnsi="Times New Roman" w:cs="Times New Roman"/>
          <w:sz w:val="28"/>
          <w:szCs w:val="28"/>
        </w:rPr>
        <w:t xml:space="preserve"> the victim in her victim impact.  She indicated that she did not want her victim impact statement to be read out loud in court and I will not get into specifics.  However, it is fair to say that the event has had a negative impact on her mental health.  That is not surprising given </w:t>
      </w:r>
      <w:r w:rsidR="00524937">
        <w:rPr>
          <w:rFonts w:ascii="Times New Roman" w:hAnsi="Times New Roman" w:cs="Times New Roman"/>
          <w:sz w:val="28"/>
          <w:szCs w:val="28"/>
        </w:rPr>
        <w:t>the nature of the sexual assault committed on her</w:t>
      </w:r>
      <w:r w:rsidRPr="00F15C8D">
        <w:rPr>
          <w:rFonts w:ascii="Times New Roman" w:hAnsi="Times New Roman" w:cs="Times New Roman"/>
          <w:sz w:val="28"/>
          <w:szCs w:val="28"/>
        </w:rPr>
        <w:t xml:space="preserve">.  </w:t>
      </w:r>
    </w:p>
    <w:p w14:paraId="78F27071" w14:textId="7FCE569C" w:rsidR="00673FDD" w:rsidRPr="00673FDD" w:rsidRDefault="0032483C" w:rsidP="006C50A7">
      <w:pPr>
        <w:pStyle w:val="ListParagraph"/>
        <w:keepNext/>
        <w:widowControl w:val="0"/>
        <w:numPr>
          <w:ilvl w:val="0"/>
          <w:numId w:val="12"/>
        </w:numPr>
        <w:spacing w:after="240" w:line="240" w:lineRule="auto"/>
        <w:ind w:left="709" w:hanging="709"/>
        <w:contextualSpacing w:val="0"/>
        <w:rPr>
          <w:rFonts w:ascii="Times New Roman" w:hAnsi="Times New Roman" w:cs="Times New Roman"/>
          <w:b/>
          <w:sz w:val="28"/>
          <w:szCs w:val="26"/>
        </w:rPr>
      </w:pPr>
      <w:r w:rsidRPr="00673FDD">
        <w:rPr>
          <w:rFonts w:ascii="Times New Roman" w:hAnsi="Times New Roman" w:cs="Times New Roman"/>
          <w:b/>
          <w:sz w:val="28"/>
          <w:szCs w:val="26"/>
        </w:rPr>
        <w:t>CONCLUSION</w:t>
      </w:r>
    </w:p>
    <w:p w14:paraId="01470BE9" w14:textId="565AC4DA" w:rsidR="004008D2" w:rsidRDefault="00F15C8D"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After having considered the seriousness of the offence and the moral blameworthiness of Mr. Dryneck, I have concluded that an appropriate sentence is the maximum term of imprisonment allowable given the Crown’s summary election – in other words, 18 months of imprisonment.  However, h</w:t>
      </w:r>
      <w:r w:rsidR="00810741">
        <w:rPr>
          <w:rFonts w:ascii="Times New Roman" w:hAnsi="Times New Roman" w:cs="Times New Roman"/>
          <w:sz w:val="28"/>
          <w:szCs w:val="28"/>
        </w:rPr>
        <w:t>e will be given credit of</w:t>
      </w:r>
      <w:r w:rsidRPr="004008D2">
        <w:rPr>
          <w:rFonts w:ascii="Times New Roman" w:hAnsi="Times New Roman" w:cs="Times New Roman"/>
          <w:sz w:val="28"/>
          <w:szCs w:val="28"/>
        </w:rPr>
        <w:t xml:space="preserve"> 1</w:t>
      </w:r>
      <w:r w:rsidR="00810741">
        <w:rPr>
          <w:rFonts w:ascii="Times New Roman" w:hAnsi="Times New Roman" w:cs="Times New Roman"/>
          <w:sz w:val="28"/>
          <w:szCs w:val="28"/>
        </w:rPr>
        <w:t>80</w:t>
      </w:r>
      <w:r w:rsidRPr="004008D2">
        <w:rPr>
          <w:rFonts w:ascii="Times New Roman" w:hAnsi="Times New Roman" w:cs="Times New Roman"/>
          <w:sz w:val="28"/>
          <w:szCs w:val="28"/>
        </w:rPr>
        <w:t xml:space="preserve"> days for 1</w:t>
      </w:r>
      <w:r w:rsidR="00810741">
        <w:rPr>
          <w:rFonts w:ascii="Times New Roman" w:hAnsi="Times New Roman" w:cs="Times New Roman"/>
          <w:sz w:val="28"/>
          <w:szCs w:val="28"/>
        </w:rPr>
        <w:t>20</w:t>
      </w:r>
      <w:r w:rsidRPr="004008D2">
        <w:rPr>
          <w:rFonts w:ascii="Times New Roman" w:hAnsi="Times New Roman" w:cs="Times New Roman"/>
          <w:sz w:val="28"/>
          <w:szCs w:val="28"/>
        </w:rPr>
        <w:t xml:space="preserve"> days of actual pretrial detention.</w:t>
      </w:r>
    </w:p>
    <w:p w14:paraId="5A9E1B6A" w14:textId="60FC55FA" w:rsidR="004008D2" w:rsidRDefault="004008D2"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 xml:space="preserve">Pursuant to s. 743.21(1) of the </w:t>
      </w:r>
      <w:r w:rsidRPr="008A4A57">
        <w:rPr>
          <w:rFonts w:ascii="Times New Roman" w:hAnsi="Times New Roman" w:cs="Times New Roman"/>
          <w:i/>
          <w:sz w:val="28"/>
          <w:szCs w:val="28"/>
        </w:rPr>
        <w:t>Code</w:t>
      </w:r>
      <w:r w:rsidRPr="004008D2">
        <w:rPr>
          <w:rFonts w:ascii="Times New Roman" w:hAnsi="Times New Roman" w:cs="Times New Roman"/>
          <w:sz w:val="28"/>
          <w:szCs w:val="28"/>
        </w:rPr>
        <w:t>, I am ordering that Mr. Dryneck is prohibited from communicating directly or indirectly with the victim for the entire period that he remains in custody.</w:t>
      </w:r>
    </w:p>
    <w:p w14:paraId="4B7B418B" w14:textId="1EDC530A" w:rsidR="004008D2" w:rsidRDefault="004008D2"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I am also going to impose a probation order for a period of one year requiring that, in addition to the statutory terms, he not have any direct or indirect contact or communication with his victim or go within 10 meters of her place of residence, employment, or education, wherever that may be.  He is to report to his probation officer within 48 hours of his release from imprisonment and thereafter when and as directed by his probation officer.  He is to participate in any and all counselling that his probation officer may direct.</w:t>
      </w:r>
    </w:p>
    <w:p w14:paraId="056A6FB1" w14:textId="3526DE01" w:rsidR="004008D2" w:rsidRDefault="004008D2"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 xml:space="preserve">I am not going to impose a firearms prohibition order pursuant to s. 110 the </w:t>
      </w:r>
      <w:r w:rsidRPr="008A4A57">
        <w:rPr>
          <w:rFonts w:ascii="Times New Roman" w:hAnsi="Times New Roman" w:cs="Times New Roman"/>
          <w:i/>
          <w:sz w:val="28"/>
          <w:szCs w:val="28"/>
        </w:rPr>
        <w:t>Criminal Code</w:t>
      </w:r>
      <w:r w:rsidRPr="004008D2">
        <w:rPr>
          <w:rFonts w:ascii="Times New Roman" w:hAnsi="Times New Roman" w:cs="Times New Roman"/>
          <w:sz w:val="28"/>
          <w:szCs w:val="28"/>
        </w:rPr>
        <w:t>.  Although the offence committed was a serious offence of violence given that a weapon was not used or threatened and given his limited criminal record, I do not find it desirable in the interests of the safety of Mr. Drybones or anyone else that the order be made.</w:t>
      </w:r>
    </w:p>
    <w:p w14:paraId="2F1FACDF" w14:textId="62FAA1A3" w:rsidR="004008D2" w:rsidRDefault="004008D2"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However, there will be a DNA authorization given that the offence committed by Mr. Dryneck is a primary designated offence as defined in s. 487.04 of the Code and falls within the supercategory of offences set out in s. 487.061(1) where the authorization is</w:t>
      </w:r>
      <w:r w:rsidR="007F2FA9">
        <w:rPr>
          <w:rFonts w:ascii="Times New Roman" w:hAnsi="Times New Roman" w:cs="Times New Roman"/>
          <w:sz w:val="28"/>
          <w:szCs w:val="28"/>
        </w:rPr>
        <w:t xml:space="preserve"> </w:t>
      </w:r>
      <w:r w:rsidRPr="004008D2">
        <w:rPr>
          <w:rFonts w:ascii="Times New Roman" w:hAnsi="Times New Roman" w:cs="Times New Roman"/>
          <w:sz w:val="28"/>
          <w:szCs w:val="28"/>
        </w:rPr>
        <w:t>compulsory.</w:t>
      </w:r>
    </w:p>
    <w:p w14:paraId="530A1930" w14:textId="36266797" w:rsidR="004008D2" w:rsidRDefault="006A4CC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There</w:t>
      </w:r>
      <w:r w:rsidR="004008D2" w:rsidRPr="004008D2">
        <w:rPr>
          <w:rFonts w:ascii="Times New Roman" w:hAnsi="Times New Roman" w:cs="Times New Roman"/>
          <w:sz w:val="28"/>
          <w:szCs w:val="28"/>
        </w:rPr>
        <w:t xml:space="preserve"> will be an order pursuant to ss. 490.12 &amp; 490.14 of the </w:t>
      </w:r>
      <w:r w:rsidR="004008D2" w:rsidRPr="008A4A57">
        <w:rPr>
          <w:rFonts w:ascii="Times New Roman" w:hAnsi="Times New Roman" w:cs="Times New Roman"/>
          <w:i/>
          <w:sz w:val="28"/>
          <w:szCs w:val="28"/>
        </w:rPr>
        <w:t>Code</w:t>
      </w:r>
      <w:r w:rsidR="004008D2" w:rsidRPr="004008D2">
        <w:rPr>
          <w:rFonts w:ascii="Times New Roman" w:hAnsi="Times New Roman" w:cs="Times New Roman"/>
          <w:sz w:val="28"/>
          <w:szCs w:val="28"/>
        </w:rPr>
        <w:t xml:space="preserve"> that Mr. Dryneck comply with the provisions of the </w:t>
      </w:r>
      <w:r w:rsidR="004008D2" w:rsidRPr="00810741">
        <w:rPr>
          <w:rFonts w:ascii="Times New Roman" w:hAnsi="Times New Roman" w:cs="Times New Roman"/>
          <w:i/>
          <w:sz w:val="28"/>
          <w:szCs w:val="28"/>
        </w:rPr>
        <w:t>Sex Offender Information Registry Act</w:t>
      </w:r>
      <w:r w:rsidR="004008D2" w:rsidRPr="004008D2">
        <w:rPr>
          <w:rFonts w:ascii="Times New Roman" w:hAnsi="Times New Roman" w:cs="Times New Roman"/>
          <w:sz w:val="28"/>
          <w:szCs w:val="28"/>
        </w:rPr>
        <w:t xml:space="preserve"> for a period of 10 years from today’s date.</w:t>
      </w:r>
    </w:p>
    <w:p w14:paraId="220504AD" w14:textId="786281BA" w:rsidR="006A4CC4" w:rsidRDefault="006A4CC4"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 xml:space="preserve">Finally I am not going to impose the victim of crime surcharge in this matter </w:t>
      </w:r>
      <w:r w:rsidR="00E9730D">
        <w:rPr>
          <w:rFonts w:ascii="Times New Roman" w:hAnsi="Times New Roman" w:cs="Times New Roman"/>
          <w:sz w:val="28"/>
          <w:szCs w:val="28"/>
        </w:rPr>
        <w:t>since given that the accused has been incarcerate</w:t>
      </w:r>
      <w:r w:rsidR="00487E20">
        <w:rPr>
          <w:rFonts w:ascii="Times New Roman" w:hAnsi="Times New Roman" w:cs="Times New Roman"/>
          <w:sz w:val="28"/>
          <w:szCs w:val="28"/>
        </w:rPr>
        <w:t>d</w:t>
      </w:r>
      <w:r w:rsidR="00E9730D">
        <w:rPr>
          <w:rFonts w:ascii="Times New Roman" w:hAnsi="Times New Roman" w:cs="Times New Roman"/>
          <w:sz w:val="28"/>
          <w:szCs w:val="28"/>
        </w:rPr>
        <w:t xml:space="preserve"> since September and will continue to be incarcerated for a significant period of time.  </w:t>
      </w:r>
    </w:p>
    <w:p w14:paraId="3B66AC7A" w14:textId="474D1A72" w:rsidR="004008D2" w:rsidRDefault="004008D2"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 xml:space="preserve">Before we conclude court, I want to commend Mr. Dryneck for the rehabilitative path he started on several months ago.  </w:t>
      </w:r>
      <w:r w:rsidR="000A781F">
        <w:rPr>
          <w:rFonts w:ascii="Times New Roman" w:hAnsi="Times New Roman" w:cs="Times New Roman"/>
          <w:sz w:val="28"/>
          <w:szCs w:val="28"/>
        </w:rPr>
        <w:t>I hope that he continues</w:t>
      </w:r>
      <w:r w:rsidRPr="004008D2">
        <w:rPr>
          <w:rFonts w:ascii="Times New Roman" w:hAnsi="Times New Roman" w:cs="Times New Roman"/>
          <w:sz w:val="28"/>
          <w:szCs w:val="28"/>
        </w:rPr>
        <w:t xml:space="preserve"> on that path.  Although </w:t>
      </w:r>
      <w:r w:rsidR="000A781F">
        <w:rPr>
          <w:rFonts w:ascii="Times New Roman" w:hAnsi="Times New Roman" w:cs="Times New Roman"/>
          <w:sz w:val="28"/>
          <w:szCs w:val="28"/>
        </w:rPr>
        <w:t xml:space="preserve">he </w:t>
      </w:r>
      <w:r w:rsidRPr="004008D2">
        <w:rPr>
          <w:rFonts w:ascii="Times New Roman" w:hAnsi="Times New Roman" w:cs="Times New Roman"/>
          <w:sz w:val="28"/>
          <w:szCs w:val="28"/>
        </w:rPr>
        <w:t xml:space="preserve">committed a very serious offence, I certainly do not by any means believe that </w:t>
      </w:r>
      <w:r w:rsidR="000A781F">
        <w:rPr>
          <w:rFonts w:ascii="Times New Roman" w:hAnsi="Times New Roman" w:cs="Times New Roman"/>
          <w:sz w:val="28"/>
          <w:szCs w:val="28"/>
        </w:rPr>
        <w:t>he is</w:t>
      </w:r>
      <w:r w:rsidRPr="004008D2">
        <w:rPr>
          <w:rFonts w:ascii="Times New Roman" w:hAnsi="Times New Roman" w:cs="Times New Roman"/>
          <w:sz w:val="28"/>
          <w:szCs w:val="28"/>
        </w:rPr>
        <w:t xml:space="preserve"> a bad person.  I know that </w:t>
      </w:r>
      <w:r w:rsidR="000A781F">
        <w:rPr>
          <w:rFonts w:ascii="Times New Roman" w:hAnsi="Times New Roman" w:cs="Times New Roman"/>
          <w:sz w:val="28"/>
          <w:szCs w:val="28"/>
        </w:rPr>
        <w:t>he has what</w:t>
      </w:r>
      <w:r w:rsidRPr="004008D2">
        <w:rPr>
          <w:rFonts w:ascii="Times New Roman" w:hAnsi="Times New Roman" w:cs="Times New Roman"/>
          <w:sz w:val="28"/>
          <w:szCs w:val="28"/>
        </w:rPr>
        <w:t xml:space="preserve"> it takes to turn </w:t>
      </w:r>
      <w:r w:rsidR="000A781F">
        <w:rPr>
          <w:rFonts w:ascii="Times New Roman" w:hAnsi="Times New Roman" w:cs="Times New Roman"/>
          <w:sz w:val="28"/>
          <w:szCs w:val="28"/>
        </w:rPr>
        <w:t>his</w:t>
      </w:r>
      <w:r w:rsidRPr="004008D2">
        <w:rPr>
          <w:rFonts w:ascii="Times New Roman" w:hAnsi="Times New Roman" w:cs="Times New Roman"/>
          <w:sz w:val="28"/>
          <w:szCs w:val="28"/>
        </w:rPr>
        <w:t xml:space="preserve"> life around and ensure that </w:t>
      </w:r>
      <w:r w:rsidR="000A781F">
        <w:rPr>
          <w:rFonts w:ascii="Times New Roman" w:hAnsi="Times New Roman" w:cs="Times New Roman"/>
          <w:sz w:val="28"/>
          <w:szCs w:val="28"/>
        </w:rPr>
        <w:t>he does</w:t>
      </w:r>
      <w:r w:rsidRPr="004008D2">
        <w:rPr>
          <w:rFonts w:ascii="Times New Roman" w:hAnsi="Times New Roman" w:cs="Times New Roman"/>
          <w:sz w:val="28"/>
          <w:szCs w:val="28"/>
        </w:rPr>
        <w:t xml:space="preserve"> not get into this sort of trouble again.</w:t>
      </w:r>
    </w:p>
    <w:p w14:paraId="52DD3328" w14:textId="53EC3B21" w:rsidR="00F15C8D" w:rsidRPr="00260645" w:rsidRDefault="004008D2" w:rsidP="00260645">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4008D2">
        <w:rPr>
          <w:rFonts w:ascii="Times New Roman" w:hAnsi="Times New Roman" w:cs="Times New Roman"/>
          <w:sz w:val="28"/>
          <w:szCs w:val="28"/>
        </w:rPr>
        <w:t>I also wish to thank the counsel who have appeared on behalf of Mr. Dryneck and the Crown for their assistance in this matter.</w:t>
      </w:r>
    </w:p>
    <w:p w14:paraId="0AF5C540" w14:textId="5AC3571D" w:rsidR="008403A7" w:rsidRDefault="00EA2A0D" w:rsidP="00893B50">
      <w:pPr>
        <w:pStyle w:val="ListParagraph"/>
        <w:spacing w:after="240" w:line="240" w:lineRule="auto"/>
        <w:contextualSpacing w:val="0"/>
        <w:rPr>
          <w:rFonts w:ascii="Times New Roman" w:hAnsi="Times New Roman" w:cs="Times New Roman"/>
          <w:sz w:val="28"/>
          <w:szCs w:val="28"/>
        </w:rPr>
      </w:pPr>
      <w:r>
        <w:rPr>
          <w:rFonts w:ascii="Times New Roman" w:hAnsi="Times New Roman" w:cs="Times New Roman"/>
          <w:sz w:val="28"/>
          <w:szCs w:val="28"/>
        </w:rPr>
        <w:br/>
      </w:r>
    </w:p>
    <w:p w14:paraId="119CDFA0" w14:textId="0C9097E9" w:rsidR="00E610E9" w:rsidRPr="00E610E9" w:rsidRDefault="00380FD0" w:rsidP="00DB001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__________________________</w:t>
      </w:r>
      <w:r w:rsidR="00DB0010">
        <w:rPr>
          <w:rFonts w:ascii="Times New Roman" w:hAnsi="Times New Roman" w:cs="Times New Roman"/>
          <w:sz w:val="28"/>
          <w:szCs w:val="28"/>
        </w:rPr>
        <w:t>____</w:t>
      </w:r>
    </w:p>
    <w:p w14:paraId="4A3BB984" w14:textId="77777777" w:rsidR="00E610E9" w:rsidRPr="00E610E9" w:rsidRDefault="00380FD0" w:rsidP="00DB001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Robert Gorin</w:t>
      </w:r>
    </w:p>
    <w:p w14:paraId="7048E63A" w14:textId="77777777" w:rsidR="00E610E9" w:rsidRPr="00E610E9" w:rsidRDefault="00380FD0" w:rsidP="00DB001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 xml:space="preserve">Chief Judge of the </w:t>
      </w:r>
    </w:p>
    <w:p w14:paraId="37B520C7" w14:textId="77777777" w:rsidR="00E610E9" w:rsidRDefault="00380FD0" w:rsidP="00DB001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Territorial Court</w:t>
      </w:r>
    </w:p>
    <w:p w14:paraId="3AB746BD" w14:textId="77777777" w:rsidR="00E610E9" w:rsidRDefault="00E610E9" w:rsidP="00C7162D">
      <w:pPr>
        <w:spacing w:after="0" w:line="240" w:lineRule="auto"/>
        <w:ind w:left="5041" w:firstLine="720"/>
        <w:rPr>
          <w:rFonts w:ascii="Times New Roman" w:hAnsi="Times New Roman" w:cs="Times New Roman"/>
          <w:sz w:val="28"/>
          <w:szCs w:val="28"/>
        </w:rPr>
      </w:pPr>
    </w:p>
    <w:p w14:paraId="24218F56" w14:textId="77777777" w:rsidR="005E7F01" w:rsidRPr="00E610E9" w:rsidRDefault="005E7F01" w:rsidP="00C7162D">
      <w:pPr>
        <w:spacing w:after="0" w:line="240" w:lineRule="auto"/>
        <w:ind w:left="5041" w:firstLine="720"/>
        <w:rPr>
          <w:rFonts w:ascii="Times New Roman" w:hAnsi="Times New Roman" w:cs="Times New Roman"/>
          <w:sz w:val="28"/>
          <w:szCs w:val="28"/>
        </w:rPr>
      </w:pPr>
    </w:p>
    <w:p w14:paraId="3684A571" w14:textId="77777777" w:rsidR="00380FD0" w:rsidRDefault="00E610E9" w:rsidP="00C7162D">
      <w:pPr>
        <w:spacing w:after="0" w:line="240" w:lineRule="auto"/>
        <w:rPr>
          <w:rFonts w:ascii="Times New Roman" w:hAnsi="Times New Roman" w:cs="Times New Roman"/>
          <w:sz w:val="28"/>
          <w:szCs w:val="28"/>
        </w:rPr>
      </w:pPr>
      <w:r w:rsidRPr="00E610E9">
        <w:rPr>
          <w:rFonts w:ascii="Times New Roman" w:hAnsi="Times New Roman" w:cs="Times New Roman"/>
          <w:sz w:val="28"/>
          <w:szCs w:val="28"/>
        </w:rPr>
        <w:t>Dated at Yell</w:t>
      </w:r>
      <w:r w:rsidR="00380FD0">
        <w:rPr>
          <w:rFonts w:ascii="Times New Roman" w:hAnsi="Times New Roman" w:cs="Times New Roman"/>
          <w:sz w:val="28"/>
          <w:szCs w:val="28"/>
        </w:rPr>
        <w:t>owknife, Northwest Territories,</w:t>
      </w:r>
    </w:p>
    <w:p w14:paraId="19CBB9AB" w14:textId="049FF811" w:rsidR="00E610E9" w:rsidRPr="007B46E1" w:rsidRDefault="00E610E9" w:rsidP="00C7162D">
      <w:pPr>
        <w:spacing w:after="0" w:line="240" w:lineRule="auto"/>
        <w:rPr>
          <w:rFonts w:ascii="Times New Roman" w:hAnsi="Times New Roman" w:cs="Times New Roman"/>
          <w:sz w:val="28"/>
          <w:szCs w:val="28"/>
        </w:rPr>
      </w:pPr>
      <w:r w:rsidRPr="007B46E1">
        <w:rPr>
          <w:rFonts w:ascii="Times New Roman" w:hAnsi="Times New Roman" w:cs="Times New Roman"/>
          <w:sz w:val="28"/>
          <w:szCs w:val="28"/>
        </w:rPr>
        <w:t xml:space="preserve">this </w:t>
      </w:r>
      <w:r w:rsidR="007B46E1" w:rsidRPr="007B46E1">
        <w:rPr>
          <w:rFonts w:ascii="Times New Roman" w:hAnsi="Times New Roman" w:cs="Times New Roman"/>
          <w:sz w:val="28"/>
          <w:szCs w:val="28"/>
        </w:rPr>
        <w:t>9</w:t>
      </w:r>
      <w:r w:rsidR="007B46E1" w:rsidRPr="007B46E1">
        <w:rPr>
          <w:rFonts w:ascii="Times New Roman" w:hAnsi="Times New Roman" w:cs="Times New Roman"/>
          <w:sz w:val="28"/>
          <w:szCs w:val="28"/>
          <w:vertAlign w:val="superscript"/>
        </w:rPr>
        <w:t>th</w:t>
      </w:r>
      <w:r w:rsidR="00380FD0" w:rsidRPr="007B46E1">
        <w:rPr>
          <w:rFonts w:ascii="Times New Roman" w:hAnsi="Times New Roman" w:cs="Times New Roman"/>
          <w:sz w:val="28"/>
          <w:szCs w:val="28"/>
        </w:rPr>
        <w:t xml:space="preserve"> day of </w:t>
      </w:r>
      <w:r w:rsidR="004008D2" w:rsidRPr="007B46E1">
        <w:rPr>
          <w:rFonts w:ascii="Times New Roman" w:hAnsi="Times New Roman" w:cs="Times New Roman"/>
          <w:sz w:val="28"/>
          <w:szCs w:val="28"/>
        </w:rPr>
        <w:t>February</w:t>
      </w:r>
      <w:r w:rsidR="00380FD0" w:rsidRPr="007B46E1">
        <w:rPr>
          <w:rFonts w:ascii="Times New Roman" w:hAnsi="Times New Roman" w:cs="Times New Roman"/>
          <w:sz w:val="28"/>
          <w:szCs w:val="28"/>
        </w:rPr>
        <w:t xml:space="preserve">, </w:t>
      </w:r>
      <w:r w:rsidR="004008D2" w:rsidRPr="007B46E1">
        <w:rPr>
          <w:rFonts w:ascii="Times New Roman" w:hAnsi="Times New Roman" w:cs="Times New Roman"/>
          <w:sz w:val="28"/>
          <w:szCs w:val="28"/>
        </w:rPr>
        <w:t>2023</w:t>
      </w:r>
      <w:r w:rsidR="00380FD0" w:rsidRPr="007B46E1">
        <w:rPr>
          <w:rFonts w:ascii="Times New Roman" w:hAnsi="Times New Roman" w:cs="Times New Roman"/>
          <w:sz w:val="28"/>
          <w:szCs w:val="28"/>
        </w:rPr>
        <w:t xml:space="preserve">.  </w:t>
      </w:r>
    </w:p>
    <w:p w14:paraId="379E91E4" w14:textId="77777777" w:rsidR="00E610E9" w:rsidRDefault="00E610E9">
      <w:pPr>
        <w:rPr>
          <w:rFonts w:ascii="Times New Roman" w:hAnsi="Times New Roman" w:cs="Times New Roman"/>
          <w:sz w:val="28"/>
          <w:szCs w:val="28"/>
        </w:rPr>
        <w:sectPr w:rsidR="00E610E9" w:rsidSect="00EA2A0D">
          <w:pgSz w:w="12240" w:h="15840"/>
          <w:pgMar w:top="1440" w:right="1440" w:bottom="1389" w:left="1440" w:header="720" w:footer="720" w:gutter="0"/>
          <w:pgNumType w:start="1"/>
          <w:cols w:space="720"/>
          <w:titlePg/>
          <w:docGrid w:linePitch="360"/>
        </w:sectPr>
      </w:pPr>
    </w:p>
    <w:p w14:paraId="594F9737" w14:textId="7EA810B1" w:rsidR="00934D13" w:rsidRPr="00BB525A" w:rsidRDefault="00380FD0" w:rsidP="00EA2A0D">
      <w:pPr>
        <w:pStyle w:val="Heading1"/>
        <w:spacing w:after="240"/>
        <w:ind w:left="3969"/>
        <w:rPr>
          <w:rFonts w:ascii="Times New Roman" w:hAnsi="Times New Roman"/>
          <w:i w:val="0"/>
          <w:szCs w:val="24"/>
        </w:rPr>
      </w:pPr>
      <w:r w:rsidRPr="00BB525A">
        <w:rPr>
          <w:rFonts w:ascii="Times New Roman" w:hAnsi="Times New Roman"/>
          <w:szCs w:val="24"/>
        </w:rPr>
        <w:t>R</w:t>
      </w:r>
      <w:r w:rsidR="00BE6A26" w:rsidRPr="00BB525A">
        <w:rPr>
          <w:rFonts w:ascii="Times New Roman" w:hAnsi="Times New Roman"/>
          <w:szCs w:val="24"/>
        </w:rPr>
        <w:t>.</w:t>
      </w:r>
      <w:r w:rsidRPr="00BB525A">
        <w:rPr>
          <w:rFonts w:ascii="Times New Roman" w:hAnsi="Times New Roman"/>
          <w:szCs w:val="24"/>
        </w:rPr>
        <w:t xml:space="preserve"> v. </w:t>
      </w:r>
      <w:r w:rsidR="004008D2">
        <w:rPr>
          <w:rFonts w:ascii="Times New Roman" w:hAnsi="Times New Roman"/>
          <w:szCs w:val="24"/>
        </w:rPr>
        <w:t>Dryneck</w:t>
      </w:r>
      <w:r w:rsidR="00934D13" w:rsidRPr="00BB525A">
        <w:rPr>
          <w:rFonts w:ascii="Times New Roman" w:hAnsi="Times New Roman"/>
          <w:szCs w:val="24"/>
        </w:rPr>
        <w:t>,</w:t>
      </w:r>
      <w:r w:rsidR="00934D13" w:rsidRPr="00BB525A">
        <w:rPr>
          <w:rFonts w:ascii="Times New Roman" w:hAnsi="Times New Roman"/>
          <w:i w:val="0"/>
          <w:szCs w:val="24"/>
        </w:rPr>
        <w:t xml:space="preserve"> </w:t>
      </w:r>
      <w:r w:rsidR="004008D2">
        <w:rPr>
          <w:rFonts w:ascii="Times New Roman" w:hAnsi="Times New Roman"/>
          <w:i w:val="0"/>
          <w:szCs w:val="24"/>
        </w:rPr>
        <w:t>2023 NWTTC 01</w:t>
      </w:r>
    </w:p>
    <w:p w14:paraId="5D690C72" w14:textId="78733F8D" w:rsidR="00380FD0" w:rsidRPr="00FE55B6" w:rsidRDefault="00BB525A" w:rsidP="00DB0010">
      <w:pPr>
        <w:pStyle w:val="Heading1"/>
        <w:ind w:left="3969"/>
        <w:jc w:val="right"/>
        <w:rPr>
          <w:rFonts w:ascii="Times New Roman" w:hAnsi="Times New Roman"/>
          <w:sz w:val="28"/>
          <w:szCs w:val="24"/>
          <w:lang w:val="en-CA"/>
        </w:rPr>
      </w:pPr>
      <w:r w:rsidRPr="00FE55B6">
        <w:rPr>
          <w:rFonts w:ascii="Times New Roman" w:hAnsi="Times New Roman"/>
          <w:sz w:val="28"/>
          <w:szCs w:val="24"/>
          <w:lang w:val="fr-CA"/>
        </w:rPr>
        <w:t xml:space="preserve">Date: </w:t>
      </w:r>
      <w:r w:rsidR="007B46E1">
        <w:rPr>
          <w:rFonts w:ascii="Times New Roman" w:hAnsi="Times New Roman"/>
          <w:sz w:val="28"/>
          <w:szCs w:val="24"/>
          <w:lang w:val="en-CA"/>
        </w:rPr>
        <w:t>2023 02 09</w:t>
      </w:r>
    </w:p>
    <w:p w14:paraId="66C008FB" w14:textId="5CDFAA15" w:rsidR="00037510" w:rsidRDefault="00037510" w:rsidP="00037510">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w:t>
      </w:r>
      <w:r w:rsidR="00C3450C">
        <w:rPr>
          <w:rFonts w:ascii="Times New Roman" w:hAnsi="Times New Roman"/>
          <w:sz w:val="28"/>
          <w:szCs w:val="28"/>
          <w:lang w:val="en-CA"/>
        </w:rPr>
        <w:t>: T-1-CR-2020-002127</w:t>
      </w:r>
    </w:p>
    <w:p w14:paraId="3F3FB45D" w14:textId="1FB9F61F" w:rsidR="00E610E9" w:rsidRPr="00BB525A" w:rsidRDefault="00E610E9" w:rsidP="00DB0010">
      <w:pPr>
        <w:spacing w:after="200" w:line="276" w:lineRule="auto"/>
        <w:ind w:left="3969"/>
        <w:jc w:val="both"/>
        <w:rPr>
          <w:rFonts w:ascii="Times New Roman" w:hAnsi="Times New Roman" w:cs="Times New Roman"/>
          <w:b/>
          <w:sz w:val="28"/>
          <w:szCs w:val="28"/>
        </w:rPr>
      </w:pPr>
      <w:r w:rsidRPr="00BB525A">
        <w:rPr>
          <w:rFonts w:ascii="Times New Roman" w:hAnsi="Times New Roman" w:cs="Times New Roman"/>
          <w:b/>
          <w:sz w:val="28"/>
          <w:szCs w:val="28"/>
        </w:rPr>
        <w:t>______</w:t>
      </w:r>
      <w:r w:rsidR="00380FD0" w:rsidRPr="00BB525A">
        <w:rPr>
          <w:rFonts w:ascii="Times New Roman" w:hAnsi="Times New Roman" w:cs="Times New Roman"/>
          <w:b/>
          <w:sz w:val="28"/>
          <w:szCs w:val="28"/>
        </w:rPr>
        <w:t>________________</w:t>
      </w:r>
      <w:r w:rsidR="00FE55B6" w:rsidRPr="00BB525A">
        <w:rPr>
          <w:rFonts w:ascii="Times New Roman" w:hAnsi="Times New Roman" w:cs="Times New Roman"/>
          <w:b/>
          <w:sz w:val="28"/>
          <w:szCs w:val="28"/>
        </w:rPr>
        <w:t>______________</w:t>
      </w:r>
      <w:r w:rsidR="00DB0010" w:rsidRPr="00BB525A">
        <w:rPr>
          <w:rFonts w:ascii="Times New Roman" w:hAnsi="Times New Roman" w:cs="Times New Roman"/>
          <w:b/>
          <w:sz w:val="28"/>
          <w:szCs w:val="28"/>
        </w:rPr>
        <w:t>__</w:t>
      </w:r>
    </w:p>
    <w:p w14:paraId="6AD4C256" w14:textId="77777777" w:rsidR="00E610E9"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IN THE TERRITORIAL COURT OF</w:t>
      </w:r>
      <w:r w:rsidR="00380FD0" w:rsidRPr="00BB525A">
        <w:rPr>
          <w:rFonts w:ascii="Times New Roman" w:hAnsi="Times New Roman" w:cs="Times New Roman"/>
          <w:b/>
          <w:sz w:val="28"/>
          <w:szCs w:val="28"/>
        </w:rPr>
        <w:t xml:space="preserve"> </w:t>
      </w:r>
      <w:r w:rsidRPr="00BB525A">
        <w:rPr>
          <w:rFonts w:ascii="Times New Roman" w:hAnsi="Times New Roman" w:cs="Times New Roman"/>
          <w:b/>
          <w:sz w:val="28"/>
          <w:szCs w:val="28"/>
        </w:rPr>
        <w:t>THE NORTHWEST TERRITORIES</w:t>
      </w:r>
    </w:p>
    <w:p w14:paraId="7F305B6B" w14:textId="1228D231" w:rsidR="00E610E9" w:rsidRPr="00BB525A" w:rsidRDefault="00934D13" w:rsidP="00DB0010">
      <w:pPr>
        <w:spacing w:after="20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_</w:t>
      </w:r>
      <w:r w:rsidR="00E610E9" w:rsidRPr="00BB525A">
        <w:rPr>
          <w:rFonts w:ascii="Times New Roman" w:hAnsi="Times New Roman" w:cs="Times New Roman"/>
          <w:b/>
          <w:sz w:val="28"/>
          <w:szCs w:val="28"/>
        </w:rPr>
        <w:t>_</w:t>
      </w:r>
      <w:r w:rsidRPr="00BB525A">
        <w:rPr>
          <w:rFonts w:ascii="Times New Roman" w:hAnsi="Times New Roman" w:cs="Times New Roman"/>
          <w:b/>
          <w:sz w:val="28"/>
          <w:szCs w:val="28"/>
        </w:rPr>
        <w:t>____</w:t>
      </w:r>
      <w:r w:rsidR="00E610E9" w:rsidRPr="00BB525A">
        <w:rPr>
          <w:rFonts w:ascii="Times New Roman" w:hAnsi="Times New Roman" w:cs="Times New Roman"/>
          <w:b/>
          <w:sz w:val="28"/>
          <w:szCs w:val="28"/>
        </w:rPr>
        <w:t>_____</w:t>
      </w:r>
      <w:r w:rsidR="00380FD0" w:rsidRPr="00BB525A">
        <w:rPr>
          <w:rFonts w:ascii="Times New Roman" w:hAnsi="Times New Roman" w:cs="Times New Roman"/>
          <w:b/>
          <w:sz w:val="28"/>
          <w:szCs w:val="28"/>
        </w:rPr>
        <w:t>_________________________</w:t>
      </w:r>
      <w:r w:rsidR="00DB0010" w:rsidRPr="00BB525A">
        <w:rPr>
          <w:rFonts w:ascii="Times New Roman" w:hAnsi="Times New Roman" w:cs="Times New Roman"/>
          <w:b/>
          <w:sz w:val="28"/>
          <w:szCs w:val="28"/>
        </w:rPr>
        <w:t>__</w:t>
      </w:r>
    </w:p>
    <w:p w14:paraId="7D301393" w14:textId="77777777" w:rsidR="00BE6A26" w:rsidRPr="00BB525A" w:rsidRDefault="00BE6A26" w:rsidP="00DB0010">
      <w:pPr>
        <w:spacing w:before="120" w:after="0"/>
        <w:ind w:left="3969"/>
        <w:rPr>
          <w:rFonts w:ascii="Times New Roman" w:hAnsi="Times New Roman" w:cs="Times New Roman"/>
          <w:b/>
          <w:sz w:val="28"/>
          <w:szCs w:val="28"/>
        </w:rPr>
      </w:pPr>
    </w:p>
    <w:p w14:paraId="386BEA69" w14:textId="77777777" w:rsidR="009B3598" w:rsidRPr="00BB525A" w:rsidRDefault="009B3598" w:rsidP="00DB0010">
      <w:pPr>
        <w:spacing w:before="120" w:after="0"/>
        <w:ind w:left="3969"/>
        <w:rPr>
          <w:rFonts w:ascii="Times New Roman" w:hAnsi="Times New Roman" w:cs="Times New Roman"/>
          <w:b/>
          <w:sz w:val="28"/>
          <w:szCs w:val="28"/>
        </w:rPr>
      </w:pPr>
      <w:r w:rsidRPr="00BB525A">
        <w:rPr>
          <w:rFonts w:ascii="Times New Roman" w:hAnsi="Times New Roman" w:cs="Times New Roman"/>
          <w:b/>
          <w:sz w:val="28"/>
          <w:szCs w:val="28"/>
        </w:rPr>
        <w:t>BETWEEN:</w:t>
      </w:r>
    </w:p>
    <w:p w14:paraId="1F0C894D" w14:textId="77777777" w:rsidR="00934D13" w:rsidRPr="00BB525A" w:rsidRDefault="00934D13" w:rsidP="00DB0010">
      <w:pPr>
        <w:spacing w:before="120" w:after="0"/>
        <w:ind w:left="3969"/>
        <w:rPr>
          <w:rFonts w:ascii="Times New Roman" w:hAnsi="Times New Roman" w:cs="Times New Roman"/>
          <w:b/>
          <w:sz w:val="28"/>
          <w:szCs w:val="28"/>
        </w:rPr>
      </w:pPr>
    </w:p>
    <w:p w14:paraId="3EFC0991" w14:textId="77777777" w:rsidR="00380FD0" w:rsidRPr="00BB525A" w:rsidRDefault="00380FD0" w:rsidP="00DB0010">
      <w:pPr>
        <w:ind w:left="3969"/>
        <w:jc w:val="center"/>
        <w:rPr>
          <w:rFonts w:ascii="Times New Roman" w:hAnsi="Times New Roman" w:cs="Times New Roman"/>
          <w:b/>
          <w:sz w:val="28"/>
          <w:szCs w:val="28"/>
        </w:rPr>
      </w:pPr>
      <w:r w:rsidRPr="00BB525A">
        <w:rPr>
          <w:rFonts w:ascii="Times New Roman" w:hAnsi="Times New Roman" w:cs="Times New Roman"/>
          <w:b/>
          <w:sz w:val="28"/>
          <w:szCs w:val="28"/>
        </w:rPr>
        <w:t>HIS MAJESTY THE KING</w:t>
      </w:r>
    </w:p>
    <w:p w14:paraId="6607DB29" w14:textId="77777777" w:rsidR="00380FD0" w:rsidRPr="00BB525A" w:rsidRDefault="00380FD0" w:rsidP="00DB0010">
      <w:pPr>
        <w:ind w:left="3969"/>
        <w:jc w:val="center"/>
        <w:rPr>
          <w:rFonts w:ascii="Times New Roman" w:hAnsi="Times New Roman" w:cs="Times New Roman"/>
          <w:b/>
          <w:sz w:val="28"/>
          <w:szCs w:val="28"/>
        </w:rPr>
      </w:pPr>
      <w:r w:rsidRPr="00BB525A">
        <w:rPr>
          <w:rFonts w:ascii="Times New Roman" w:hAnsi="Times New Roman" w:cs="Times New Roman"/>
          <w:b/>
          <w:sz w:val="28"/>
          <w:szCs w:val="28"/>
        </w:rPr>
        <w:t>-and-</w:t>
      </w:r>
    </w:p>
    <w:p w14:paraId="566FABC7" w14:textId="5B038B93" w:rsidR="00934D13" w:rsidRPr="00BB525A" w:rsidRDefault="004008D2" w:rsidP="00DB0010">
      <w:pPr>
        <w:ind w:left="3969"/>
        <w:jc w:val="center"/>
        <w:rPr>
          <w:rFonts w:ascii="Times New Roman" w:hAnsi="Times New Roman" w:cs="Times New Roman"/>
          <w:b/>
          <w:sz w:val="28"/>
          <w:szCs w:val="28"/>
        </w:rPr>
      </w:pPr>
      <w:r>
        <w:rPr>
          <w:rFonts w:ascii="Times New Roman" w:hAnsi="Times New Roman" w:cs="Times New Roman"/>
          <w:b/>
          <w:sz w:val="28"/>
          <w:szCs w:val="28"/>
        </w:rPr>
        <w:t>THOMAS DRYNECK</w:t>
      </w:r>
    </w:p>
    <w:p w14:paraId="151DE31D" w14:textId="77777777" w:rsidR="00380FD0" w:rsidRPr="00BB525A" w:rsidRDefault="00380FD0" w:rsidP="00DB0010">
      <w:pPr>
        <w:ind w:left="3969"/>
        <w:jc w:val="center"/>
        <w:rPr>
          <w:rFonts w:ascii="Times New Roman" w:hAnsi="Times New Roman" w:cs="Times New Roman"/>
          <w:b/>
          <w:sz w:val="28"/>
          <w:szCs w:val="28"/>
        </w:rPr>
      </w:pPr>
    </w:p>
    <w:p w14:paraId="369E7FA4" w14:textId="1E490D41" w:rsidR="00E610E9" w:rsidRPr="00BB525A" w:rsidRDefault="00E610E9" w:rsidP="00DB0010">
      <w:pPr>
        <w:spacing w:after="200" w:line="276" w:lineRule="auto"/>
        <w:ind w:left="3969"/>
        <w:rPr>
          <w:rFonts w:ascii="Times New Roman" w:hAnsi="Times New Roman" w:cs="Times New Roman"/>
          <w:b/>
          <w:sz w:val="28"/>
          <w:szCs w:val="28"/>
        </w:rPr>
      </w:pPr>
      <w:r w:rsidRPr="00BB525A">
        <w:rPr>
          <w:rFonts w:ascii="Times New Roman" w:hAnsi="Times New Roman" w:cs="Times New Roman"/>
          <w:b/>
          <w:sz w:val="28"/>
          <w:szCs w:val="28"/>
        </w:rPr>
        <w:t>______________</w:t>
      </w:r>
      <w:r w:rsidR="00934D13" w:rsidRPr="00BB525A">
        <w:rPr>
          <w:rFonts w:ascii="Times New Roman" w:hAnsi="Times New Roman" w:cs="Times New Roman"/>
          <w:b/>
          <w:sz w:val="28"/>
          <w:szCs w:val="28"/>
        </w:rPr>
        <w:t>____</w:t>
      </w:r>
      <w:r w:rsidR="00380FD0" w:rsidRPr="00BB525A">
        <w:rPr>
          <w:rFonts w:ascii="Times New Roman" w:hAnsi="Times New Roman" w:cs="Times New Roman"/>
          <w:b/>
          <w:sz w:val="28"/>
          <w:szCs w:val="28"/>
        </w:rPr>
        <w:t>__________________</w:t>
      </w:r>
      <w:r w:rsidR="00DB0010" w:rsidRPr="00BB525A">
        <w:rPr>
          <w:rFonts w:ascii="Times New Roman" w:hAnsi="Times New Roman" w:cs="Times New Roman"/>
          <w:b/>
          <w:sz w:val="28"/>
          <w:szCs w:val="28"/>
        </w:rPr>
        <w:t>__</w:t>
      </w:r>
    </w:p>
    <w:p w14:paraId="79938194" w14:textId="77777777" w:rsidR="00380FD0"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REASONS FOR JUDGMENT</w:t>
      </w:r>
    </w:p>
    <w:p w14:paraId="2ADF0427" w14:textId="77777777" w:rsidR="00E610E9" w:rsidRPr="00BB525A" w:rsidRDefault="00380FD0"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of the</w:t>
      </w:r>
    </w:p>
    <w:p w14:paraId="48AF0989" w14:textId="77777777" w:rsidR="00C7162D"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HONOURABLE CHIEF JUDGE</w:t>
      </w:r>
    </w:p>
    <w:p w14:paraId="7E0D9D8A" w14:textId="77777777" w:rsidR="00E610E9"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ROBERT GORIN</w:t>
      </w:r>
    </w:p>
    <w:p w14:paraId="1B53FEEB" w14:textId="7166DC92" w:rsidR="00DB0010" w:rsidRDefault="00DB0010" w:rsidP="00DB0010">
      <w:pPr>
        <w:ind w:left="3969"/>
        <w:jc w:val="right"/>
      </w:pPr>
      <w:r>
        <w:rPr>
          <w:rFonts w:ascii="Times New Roman" w:hAnsi="Times New Roman" w:cs="Times New Roman"/>
          <w:b/>
          <w:sz w:val="28"/>
          <w:szCs w:val="28"/>
        </w:rPr>
        <w:t>____________________________________</w:t>
      </w:r>
      <w:r w:rsidRPr="00BB525A">
        <w:rPr>
          <w:rFonts w:ascii="Times New Roman" w:hAnsi="Times New Roman" w:cs="Times New Roman"/>
          <w:b/>
          <w:sz w:val="28"/>
          <w:szCs w:val="28"/>
        </w:rPr>
        <w:t>__</w:t>
      </w:r>
    </w:p>
    <w:p w14:paraId="6CE1A23B" w14:textId="77777777" w:rsidR="00DB0010" w:rsidRDefault="00DB0010" w:rsidP="00DB0010">
      <w:pPr>
        <w:spacing w:after="200" w:line="276" w:lineRule="auto"/>
        <w:ind w:left="3969"/>
        <w:rPr>
          <w:rFonts w:ascii="Times New Roman" w:hAnsi="Times New Roman" w:cs="Times New Roman"/>
          <w:b/>
          <w:sz w:val="28"/>
          <w:szCs w:val="28"/>
        </w:rPr>
      </w:pPr>
    </w:p>
    <w:p w14:paraId="0A205410" w14:textId="0B61E93D" w:rsidR="00380FD0" w:rsidRPr="007A620E" w:rsidRDefault="00660E33" w:rsidP="00DB0010">
      <w:pPr>
        <w:spacing w:after="200" w:line="276" w:lineRule="auto"/>
        <w:ind w:left="3969"/>
        <w:jc w:val="center"/>
        <w:rPr>
          <w:rFonts w:ascii="Times New Roman" w:hAnsi="Times New Roman" w:cs="Times New Roman"/>
          <w:sz w:val="28"/>
          <w:szCs w:val="28"/>
        </w:rPr>
      </w:pPr>
      <w:r w:rsidRPr="007A620E">
        <w:rPr>
          <w:rFonts w:ascii="Times New Roman" w:hAnsi="Times New Roman" w:cs="Times New Roman"/>
          <w:sz w:val="28"/>
          <w:szCs w:val="28"/>
        </w:rPr>
        <w:t xml:space="preserve">[S. </w:t>
      </w:r>
      <w:r w:rsidR="004008D2">
        <w:rPr>
          <w:rFonts w:ascii="Times New Roman" w:hAnsi="Times New Roman" w:cs="Times New Roman"/>
          <w:sz w:val="28"/>
          <w:szCs w:val="28"/>
        </w:rPr>
        <w:t>271</w:t>
      </w:r>
      <w:r w:rsidRPr="007A620E">
        <w:rPr>
          <w:rFonts w:ascii="Times New Roman" w:hAnsi="Times New Roman" w:cs="Times New Roman"/>
          <w:sz w:val="28"/>
          <w:szCs w:val="28"/>
        </w:rPr>
        <w:t xml:space="preserve"> of the </w:t>
      </w:r>
      <w:r w:rsidRPr="007A620E">
        <w:rPr>
          <w:rFonts w:ascii="Times New Roman" w:hAnsi="Times New Roman" w:cs="Times New Roman"/>
          <w:i/>
          <w:sz w:val="28"/>
          <w:szCs w:val="28"/>
        </w:rPr>
        <w:t>Criminal Code</w:t>
      </w:r>
      <w:r w:rsidRPr="007A620E">
        <w:rPr>
          <w:rFonts w:ascii="Times New Roman" w:hAnsi="Times New Roman" w:cs="Times New Roman"/>
          <w:sz w:val="28"/>
          <w:szCs w:val="28"/>
        </w:rPr>
        <w:t>]</w:t>
      </w:r>
    </w:p>
    <w:p w14:paraId="1545962C" w14:textId="77777777" w:rsidR="00380FD0" w:rsidRDefault="00380FD0" w:rsidP="00DB0010">
      <w:pPr>
        <w:spacing w:after="0" w:line="240" w:lineRule="auto"/>
        <w:ind w:left="3969" w:hanging="425"/>
        <w:jc w:val="center"/>
        <w:rPr>
          <w:rFonts w:ascii="Times New Roman" w:hAnsi="Times New Roman" w:cs="Times New Roman"/>
          <w:b/>
          <w:sz w:val="28"/>
          <w:szCs w:val="28"/>
        </w:rPr>
      </w:pPr>
    </w:p>
    <w:p w14:paraId="299EDDD8" w14:textId="77777777" w:rsidR="00380FD0" w:rsidRPr="00F06722" w:rsidRDefault="00380FD0" w:rsidP="00DB0010">
      <w:pPr>
        <w:spacing w:after="0" w:line="240" w:lineRule="auto"/>
        <w:ind w:left="3969" w:hanging="425"/>
        <w:jc w:val="center"/>
        <w:rPr>
          <w:rFonts w:ascii="Times New Roman" w:hAnsi="Times New Roman" w:cs="Times New Roman"/>
          <w:b/>
          <w:sz w:val="28"/>
          <w:szCs w:val="28"/>
        </w:rPr>
      </w:pPr>
    </w:p>
    <w:sectPr w:rsidR="00380FD0" w:rsidRPr="00F06722" w:rsidSect="00AC136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0358" w14:textId="77777777" w:rsidR="00963A25" w:rsidRDefault="00963A25" w:rsidP="00F06722">
      <w:pPr>
        <w:spacing w:after="0" w:line="240" w:lineRule="auto"/>
      </w:pPr>
      <w:r>
        <w:separator/>
      </w:r>
    </w:p>
  </w:endnote>
  <w:endnote w:type="continuationSeparator" w:id="0">
    <w:p w14:paraId="37956AAA" w14:textId="77777777" w:rsidR="00963A25" w:rsidRDefault="00963A25" w:rsidP="00F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344F" w14:textId="77777777" w:rsidR="00963A25" w:rsidRDefault="00963A25" w:rsidP="00F06722">
      <w:pPr>
        <w:spacing w:after="0" w:line="240" w:lineRule="auto"/>
      </w:pPr>
      <w:r>
        <w:separator/>
      </w:r>
    </w:p>
  </w:footnote>
  <w:footnote w:type="continuationSeparator" w:id="0">
    <w:p w14:paraId="0A35CEBA" w14:textId="77777777" w:rsidR="00963A25" w:rsidRDefault="00963A25" w:rsidP="00F0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3D03" w14:textId="3279D86B" w:rsidR="00335C2E" w:rsidRPr="00660E33" w:rsidRDefault="008403A7" w:rsidP="00335C2E">
    <w:pPr>
      <w:pStyle w:val="Header"/>
      <w:jc w:val="right"/>
      <w:rPr>
        <w:rFonts w:ascii="Times New Roman" w:hAnsi="Times New Roman" w:cs="Times New Roman"/>
        <w:i/>
        <w:sz w:val="20"/>
      </w:rPr>
    </w:pPr>
    <w:r w:rsidRPr="00660E33">
      <w:rPr>
        <w:rFonts w:ascii="Times New Roman" w:hAnsi="Times New Roman" w:cs="Times New Roman"/>
        <w:i/>
        <w:sz w:val="20"/>
        <w:szCs w:val="24"/>
      </w:rPr>
      <w:t>R</w:t>
    </w:r>
    <w:r w:rsidR="00BB525A" w:rsidRPr="00660E33">
      <w:rPr>
        <w:rFonts w:ascii="Times New Roman" w:hAnsi="Times New Roman" w:cs="Times New Roman"/>
        <w:i/>
        <w:sz w:val="20"/>
        <w:szCs w:val="24"/>
      </w:rPr>
      <w:t>.</w:t>
    </w:r>
    <w:r w:rsidRPr="00660E33">
      <w:rPr>
        <w:rFonts w:ascii="Times New Roman" w:hAnsi="Times New Roman" w:cs="Times New Roman"/>
        <w:i/>
        <w:sz w:val="20"/>
        <w:szCs w:val="24"/>
      </w:rPr>
      <w:t xml:space="preserve"> v. </w:t>
    </w:r>
    <w:r w:rsidR="00810724">
      <w:rPr>
        <w:rFonts w:ascii="Times New Roman" w:hAnsi="Times New Roman" w:cs="Times New Roman"/>
        <w:i/>
        <w:sz w:val="20"/>
        <w:szCs w:val="24"/>
      </w:rPr>
      <w:t>Dryneck</w:t>
    </w:r>
  </w:p>
  <w:p w14:paraId="78088D74" w14:textId="77777777" w:rsidR="00F06722" w:rsidRPr="00660E33" w:rsidRDefault="00335C2E" w:rsidP="00D70590">
    <w:pPr>
      <w:pStyle w:val="Header"/>
      <w:jc w:val="right"/>
      <w:rPr>
        <w:sz w:val="20"/>
      </w:rPr>
    </w:pPr>
    <w:r w:rsidRPr="00660E33">
      <w:rPr>
        <w:rFonts w:ascii="Times New Roman" w:hAnsi="Times New Roman" w:cs="Times New Roman"/>
        <w:i/>
        <w:sz w:val="20"/>
      </w:rPr>
      <w:t>Page</w:t>
    </w:r>
    <w:r w:rsidR="00D70590" w:rsidRPr="00660E33">
      <w:rPr>
        <w:rFonts w:ascii="Times New Roman" w:hAnsi="Times New Roman" w:cs="Times New Roman"/>
        <w:i/>
        <w:sz w:val="20"/>
      </w:rPr>
      <w:t xml:space="preserve"> </w:t>
    </w:r>
    <w:r w:rsidR="009C0FB9" w:rsidRPr="00660E33">
      <w:rPr>
        <w:rFonts w:ascii="Times New Roman" w:hAnsi="Times New Roman" w:cs="Times New Roman"/>
        <w:i/>
        <w:sz w:val="20"/>
      </w:rPr>
      <w:fldChar w:fldCharType="begin"/>
    </w:r>
    <w:r w:rsidR="009C0FB9" w:rsidRPr="00660E33">
      <w:rPr>
        <w:rFonts w:ascii="Times New Roman" w:hAnsi="Times New Roman" w:cs="Times New Roman"/>
        <w:i/>
        <w:sz w:val="20"/>
      </w:rPr>
      <w:instrText xml:space="preserve"> PAGE   \* MERGEFORMAT </w:instrText>
    </w:r>
    <w:r w:rsidR="009C0FB9" w:rsidRPr="00660E33">
      <w:rPr>
        <w:rFonts w:ascii="Times New Roman" w:hAnsi="Times New Roman" w:cs="Times New Roman"/>
        <w:i/>
        <w:sz w:val="20"/>
      </w:rPr>
      <w:fldChar w:fldCharType="separate"/>
    </w:r>
    <w:r w:rsidR="00B6384D">
      <w:rPr>
        <w:rFonts w:ascii="Times New Roman" w:hAnsi="Times New Roman" w:cs="Times New Roman"/>
        <w:i/>
        <w:noProof/>
        <w:sz w:val="20"/>
      </w:rPr>
      <w:t>12</w:t>
    </w:r>
    <w:r w:rsidR="009C0FB9" w:rsidRPr="00660E33">
      <w:rPr>
        <w:rFonts w:ascii="Times New Roman" w:hAnsi="Times New Roman" w:cs="Times New Roman"/>
        <w:i/>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348"/>
    <w:multiLevelType w:val="hybridMultilevel"/>
    <w:tmpl w:val="2990EC2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22B2D"/>
    <w:multiLevelType w:val="multilevel"/>
    <w:tmpl w:val="5506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2A53"/>
    <w:multiLevelType w:val="hybridMultilevel"/>
    <w:tmpl w:val="AC58352E"/>
    <w:lvl w:ilvl="0" w:tplc="75826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4" w15:restartNumberingAfterBreak="0">
    <w:nsid w:val="0CAD01ED"/>
    <w:multiLevelType w:val="hybridMultilevel"/>
    <w:tmpl w:val="CC9CF08E"/>
    <w:lvl w:ilvl="0" w:tplc="CA5A6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4514E"/>
    <w:multiLevelType w:val="hybridMultilevel"/>
    <w:tmpl w:val="BA2CB6D6"/>
    <w:lvl w:ilvl="0" w:tplc="2640D866">
      <w:start w:val="1"/>
      <w:numFmt w:val="decimal"/>
      <w:lvlText w:val="[%1]"/>
      <w:lvlJc w:val="left"/>
      <w:pPr>
        <w:ind w:left="720" w:hanging="360"/>
      </w:pPr>
      <w:rPr>
        <w:rFonts w:ascii="Times New Roman" w:hAnsi="Times New Roman" w:cs="Times New Roman"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C14857"/>
    <w:multiLevelType w:val="multilevel"/>
    <w:tmpl w:val="6DE8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4D67"/>
    <w:multiLevelType w:val="hybridMultilevel"/>
    <w:tmpl w:val="D220CEF2"/>
    <w:lvl w:ilvl="0" w:tplc="987ECA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F5238"/>
    <w:multiLevelType w:val="hybridMultilevel"/>
    <w:tmpl w:val="B4CED472"/>
    <w:lvl w:ilvl="0" w:tplc="12DA7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B0352"/>
    <w:multiLevelType w:val="hybridMultilevel"/>
    <w:tmpl w:val="DE6A3D42"/>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F32894"/>
    <w:multiLevelType w:val="hybridMultilevel"/>
    <w:tmpl w:val="478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86AF3"/>
    <w:multiLevelType w:val="hybridMultilevel"/>
    <w:tmpl w:val="C1B8675C"/>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A622A4E"/>
    <w:multiLevelType w:val="hybridMultilevel"/>
    <w:tmpl w:val="7C94A05E"/>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BA15AC"/>
    <w:multiLevelType w:val="multilevel"/>
    <w:tmpl w:val="326A91B4"/>
    <w:lvl w:ilvl="0">
      <w:start w:val="1"/>
      <w:numFmt w:val="decimal"/>
      <w:lvlText w:val="(%1."/>
      <w:lvlJc w:val="left"/>
      <w:pPr>
        <w:ind w:left="510" w:hanging="51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2DE31164"/>
    <w:multiLevelType w:val="hybridMultilevel"/>
    <w:tmpl w:val="9BC8C256"/>
    <w:lvl w:ilvl="0" w:tplc="A27872D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007F8"/>
    <w:multiLevelType w:val="hybridMultilevel"/>
    <w:tmpl w:val="173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E4002"/>
    <w:multiLevelType w:val="hybridMultilevel"/>
    <w:tmpl w:val="AE94FB44"/>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5278F8"/>
    <w:multiLevelType w:val="hybridMultilevel"/>
    <w:tmpl w:val="39A62620"/>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F7C1525"/>
    <w:multiLevelType w:val="hybridMultilevel"/>
    <w:tmpl w:val="D40E9E8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3F4787"/>
    <w:multiLevelType w:val="multilevel"/>
    <w:tmpl w:val="97B8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23C3A"/>
    <w:multiLevelType w:val="hybridMultilevel"/>
    <w:tmpl w:val="5526285C"/>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7F44F6"/>
    <w:multiLevelType w:val="hybridMultilevel"/>
    <w:tmpl w:val="86E47BB4"/>
    <w:lvl w:ilvl="0" w:tplc="A9989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06B03"/>
    <w:multiLevelType w:val="hybridMultilevel"/>
    <w:tmpl w:val="AFF02018"/>
    <w:lvl w:ilvl="0" w:tplc="10090015">
      <w:start w:val="1"/>
      <w:numFmt w:val="upperLetter"/>
      <w:lvlText w:val="%1."/>
      <w:lvlJc w:val="left"/>
      <w:pPr>
        <w:ind w:left="2028" w:hanging="360"/>
      </w:pPr>
    </w:lvl>
    <w:lvl w:ilvl="1" w:tplc="10090019" w:tentative="1">
      <w:start w:val="1"/>
      <w:numFmt w:val="lowerLetter"/>
      <w:lvlText w:val="%2."/>
      <w:lvlJc w:val="left"/>
      <w:pPr>
        <w:ind w:left="2748" w:hanging="360"/>
      </w:pPr>
    </w:lvl>
    <w:lvl w:ilvl="2" w:tplc="1009001B" w:tentative="1">
      <w:start w:val="1"/>
      <w:numFmt w:val="lowerRoman"/>
      <w:lvlText w:val="%3."/>
      <w:lvlJc w:val="right"/>
      <w:pPr>
        <w:ind w:left="3468" w:hanging="180"/>
      </w:pPr>
    </w:lvl>
    <w:lvl w:ilvl="3" w:tplc="1009000F" w:tentative="1">
      <w:start w:val="1"/>
      <w:numFmt w:val="decimal"/>
      <w:lvlText w:val="%4."/>
      <w:lvlJc w:val="left"/>
      <w:pPr>
        <w:ind w:left="4188" w:hanging="360"/>
      </w:pPr>
    </w:lvl>
    <w:lvl w:ilvl="4" w:tplc="10090019" w:tentative="1">
      <w:start w:val="1"/>
      <w:numFmt w:val="lowerLetter"/>
      <w:lvlText w:val="%5."/>
      <w:lvlJc w:val="left"/>
      <w:pPr>
        <w:ind w:left="4908" w:hanging="360"/>
      </w:pPr>
    </w:lvl>
    <w:lvl w:ilvl="5" w:tplc="1009001B" w:tentative="1">
      <w:start w:val="1"/>
      <w:numFmt w:val="lowerRoman"/>
      <w:lvlText w:val="%6."/>
      <w:lvlJc w:val="right"/>
      <w:pPr>
        <w:ind w:left="5628" w:hanging="180"/>
      </w:pPr>
    </w:lvl>
    <w:lvl w:ilvl="6" w:tplc="1009000F" w:tentative="1">
      <w:start w:val="1"/>
      <w:numFmt w:val="decimal"/>
      <w:lvlText w:val="%7."/>
      <w:lvlJc w:val="left"/>
      <w:pPr>
        <w:ind w:left="6348" w:hanging="360"/>
      </w:pPr>
    </w:lvl>
    <w:lvl w:ilvl="7" w:tplc="10090019" w:tentative="1">
      <w:start w:val="1"/>
      <w:numFmt w:val="lowerLetter"/>
      <w:lvlText w:val="%8."/>
      <w:lvlJc w:val="left"/>
      <w:pPr>
        <w:ind w:left="7068" w:hanging="360"/>
      </w:pPr>
    </w:lvl>
    <w:lvl w:ilvl="8" w:tplc="1009001B" w:tentative="1">
      <w:start w:val="1"/>
      <w:numFmt w:val="lowerRoman"/>
      <w:lvlText w:val="%9."/>
      <w:lvlJc w:val="right"/>
      <w:pPr>
        <w:ind w:left="7788" w:hanging="180"/>
      </w:pPr>
    </w:lvl>
  </w:abstractNum>
  <w:abstractNum w:abstractNumId="23" w15:restartNumberingAfterBreak="0">
    <w:nsid w:val="64B71384"/>
    <w:multiLevelType w:val="hybridMultilevel"/>
    <w:tmpl w:val="514EB058"/>
    <w:lvl w:ilvl="0" w:tplc="B560D71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A6F46DB"/>
    <w:multiLevelType w:val="hybridMultilevel"/>
    <w:tmpl w:val="270C5CB2"/>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21"/>
  </w:num>
  <w:num w:numId="4">
    <w:abstractNumId w:val="2"/>
  </w:num>
  <w:num w:numId="5">
    <w:abstractNumId w:val="7"/>
  </w:num>
  <w:num w:numId="6">
    <w:abstractNumId w:val="19"/>
  </w:num>
  <w:num w:numId="7">
    <w:abstractNumId w:val="15"/>
  </w:num>
  <w:num w:numId="8">
    <w:abstractNumId w:val="10"/>
  </w:num>
  <w:num w:numId="9">
    <w:abstractNumId w:val="6"/>
  </w:num>
  <w:num w:numId="10">
    <w:abstractNumId w:val="1"/>
  </w:num>
  <w:num w:numId="11">
    <w:abstractNumId w:val="13"/>
  </w:num>
  <w:num w:numId="12">
    <w:abstractNumId w:val="22"/>
  </w:num>
  <w:num w:numId="13">
    <w:abstractNumId w:val="9"/>
  </w:num>
  <w:num w:numId="14">
    <w:abstractNumId w:val="23"/>
  </w:num>
  <w:num w:numId="15">
    <w:abstractNumId w:val="14"/>
  </w:num>
  <w:num w:numId="16">
    <w:abstractNumId w:val="11"/>
  </w:num>
  <w:num w:numId="17">
    <w:abstractNumId w:val="0"/>
  </w:num>
  <w:num w:numId="18">
    <w:abstractNumId w:val="17"/>
  </w:num>
  <w:num w:numId="19">
    <w:abstractNumId w:val="16"/>
  </w:num>
  <w:num w:numId="20">
    <w:abstractNumId w:val="24"/>
  </w:num>
  <w:num w:numId="21">
    <w:abstractNumId w:val="20"/>
  </w:num>
  <w:num w:numId="22">
    <w:abstractNumId w:val="3"/>
  </w:num>
  <w:num w:numId="23">
    <w:abstractNumId w:val="18"/>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1"/>
    <w:rsid w:val="00006537"/>
    <w:rsid w:val="00027FC8"/>
    <w:rsid w:val="00037510"/>
    <w:rsid w:val="000511A1"/>
    <w:rsid w:val="000511BC"/>
    <w:rsid w:val="00061D70"/>
    <w:rsid w:val="00072D71"/>
    <w:rsid w:val="00081284"/>
    <w:rsid w:val="00097DE3"/>
    <w:rsid w:val="000A49F3"/>
    <w:rsid w:val="000A781F"/>
    <w:rsid w:val="000B057C"/>
    <w:rsid w:val="000C17EA"/>
    <w:rsid w:val="000D287D"/>
    <w:rsid w:val="000E644A"/>
    <w:rsid w:val="00102638"/>
    <w:rsid w:val="00104916"/>
    <w:rsid w:val="00106C5E"/>
    <w:rsid w:val="0011743B"/>
    <w:rsid w:val="001300D1"/>
    <w:rsid w:val="001310E3"/>
    <w:rsid w:val="00150D15"/>
    <w:rsid w:val="00155884"/>
    <w:rsid w:val="001741FE"/>
    <w:rsid w:val="0018069F"/>
    <w:rsid w:val="00186AEA"/>
    <w:rsid w:val="0019594B"/>
    <w:rsid w:val="001A2666"/>
    <w:rsid w:val="001B4E61"/>
    <w:rsid w:val="001B79CA"/>
    <w:rsid w:val="001C5312"/>
    <w:rsid w:val="001D1E1F"/>
    <w:rsid w:val="001E3131"/>
    <w:rsid w:val="001E5DA0"/>
    <w:rsid w:val="001F1991"/>
    <w:rsid w:val="002258B0"/>
    <w:rsid w:val="00226381"/>
    <w:rsid w:val="00227902"/>
    <w:rsid w:val="00236088"/>
    <w:rsid w:val="00260645"/>
    <w:rsid w:val="002844FA"/>
    <w:rsid w:val="002950E4"/>
    <w:rsid w:val="002C32CB"/>
    <w:rsid w:val="002D4B1E"/>
    <w:rsid w:val="002F560A"/>
    <w:rsid w:val="00307107"/>
    <w:rsid w:val="00316A0A"/>
    <w:rsid w:val="003208F6"/>
    <w:rsid w:val="0032483C"/>
    <w:rsid w:val="00335C2E"/>
    <w:rsid w:val="003371CB"/>
    <w:rsid w:val="0034509C"/>
    <w:rsid w:val="003520EB"/>
    <w:rsid w:val="003638EE"/>
    <w:rsid w:val="00364E69"/>
    <w:rsid w:val="00380FD0"/>
    <w:rsid w:val="00384E49"/>
    <w:rsid w:val="003A6960"/>
    <w:rsid w:val="003A7B3A"/>
    <w:rsid w:val="003C06AD"/>
    <w:rsid w:val="003C5616"/>
    <w:rsid w:val="003C69DE"/>
    <w:rsid w:val="003E785A"/>
    <w:rsid w:val="003F5FAB"/>
    <w:rsid w:val="004008D2"/>
    <w:rsid w:val="004340A4"/>
    <w:rsid w:val="00450B10"/>
    <w:rsid w:val="004552D1"/>
    <w:rsid w:val="00464112"/>
    <w:rsid w:val="0047703A"/>
    <w:rsid w:val="00485CEF"/>
    <w:rsid w:val="00487E20"/>
    <w:rsid w:val="00497B3F"/>
    <w:rsid w:val="004C261B"/>
    <w:rsid w:val="004E41F8"/>
    <w:rsid w:val="004E78EB"/>
    <w:rsid w:val="005025B5"/>
    <w:rsid w:val="00523601"/>
    <w:rsid w:val="00524937"/>
    <w:rsid w:val="005315FA"/>
    <w:rsid w:val="005322E7"/>
    <w:rsid w:val="00537B36"/>
    <w:rsid w:val="00560F4C"/>
    <w:rsid w:val="00572FDC"/>
    <w:rsid w:val="005B1723"/>
    <w:rsid w:val="005B4FE7"/>
    <w:rsid w:val="005E7F01"/>
    <w:rsid w:val="00624EC1"/>
    <w:rsid w:val="006413D4"/>
    <w:rsid w:val="006478E5"/>
    <w:rsid w:val="00652C89"/>
    <w:rsid w:val="00657E58"/>
    <w:rsid w:val="00660E33"/>
    <w:rsid w:val="00665ADD"/>
    <w:rsid w:val="00666780"/>
    <w:rsid w:val="00673FDD"/>
    <w:rsid w:val="00681F2B"/>
    <w:rsid w:val="006835A1"/>
    <w:rsid w:val="006A4CC4"/>
    <w:rsid w:val="006C27F2"/>
    <w:rsid w:val="006C50A7"/>
    <w:rsid w:val="006C6BB1"/>
    <w:rsid w:val="006E0A9E"/>
    <w:rsid w:val="006E32AC"/>
    <w:rsid w:val="00706E9B"/>
    <w:rsid w:val="00706F4C"/>
    <w:rsid w:val="00734568"/>
    <w:rsid w:val="00737A95"/>
    <w:rsid w:val="0075281C"/>
    <w:rsid w:val="00792D9D"/>
    <w:rsid w:val="007A620E"/>
    <w:rsid w:val="007B46E1"/>
    <w:rsid w:val="007E4EFF"/>
    <w:rsid w:val="007F2FA9"/>
    <w:rsid w:val="007F4E46"/>
    <w:rsid w:val="007F72F6"/>
    <w:rsid w:val="00800D6B"/>
    <w:rsid w:val="00810724"/>
    <w:rsid w:val="00810741"/>
    <w:rsid w:val="00825092"/>
    <w:rsid w:val="008403A7"/>
    <w:rsid w:val="00847475"/>
    <w:rsid w:val="00850A9B"/>
    <w:rsid w:val="00863292"/>
    <w:rsid w:val="008748C4"/>
    <w:rsid w:val="00883A46"/>
    <w:rsid w:val="00893B50"/>
    <w:rsid w:val="008A4A57"/>
    <w:rsid w:val="008C0DAB"/>
    <w:rsid w:val="008D0E17"/>
    <w:rsid w:val="008E30C4"/>
    <w:rsid w:val="008E64D2"/>
    <w:rsid w:val="00901BB4"/>
    <w:rsid w:val="009100E0"/>
    <w:rsid w:val="00934D13"/>
    <w:rsid w:val="009536FE"/>
    <w:rsid w:val="009544EE"/>
    <w:rsid w:val="00963A25"/>
    <w:rsid w:val="00981C45"/>
    <w:rsid w:val="00983158"/>
    <w:rsid w:val="0099067D"/>
    <w:rsid w:val="00992094"/>
    <w:rsid w:val="009A132B"/>
    <w:rsid w:val="009A315E"/>
    <w:rsid w:val="009B011B"/>
    <w:rsid w:val="009B3598"/>
    <w:rsid w:val="009C0FB9"/>
    <w:rsid w:val="009D3A92"/>
    <w:rsid w:val="009F09D7"/>
    <w:rsid w:val="009F69D0"/>
    <w:rsid w:val="00A032A1"/>
    <w:rsid w:val="00A06044"/>
    <w:rsid w:val="00A23778"/>
    <w:rsid w:val="00A32F4F"/>
    <w:rsid w:val="00A33F7C"/>
    <w:rsid w:val="00A7224F"/>
    <w:rsid w:val="00A76F87"/>
    <w:rsid w:val="00A83498"/>
    <w:rsid w:val="00A86F9F"/>
    <w:rsid w:val="00A9398A"/>
    <w:rsid w:val="00AA2354"/>
    <w:rsid w:val="00AA4798"/>
    <w:rsid w:val="00AA4B86"/>
    <w:rsid w:val="00AB571E"/>
    <w:rsid w:val="00AC136B"/>
    <w:rsid w:val="00AC276C"/>
    <w:rsid w:val="00B026C1"/>
    <w:rsid w:val="00B149E2"/>
    <w:rsid w:val="00B16A6C"/>
    <w:rsid w:val="00B200EB"/>
    <w:rsid w:val="00B31465"/>
    <w:rsid w:val="00B3654A"/>
    <w:rsid w:val="00B45843"/>
    <w:rsid w:val="00B53215"/>
    <w:rsid w:val="00B54B1E"/>
    <w:rsid w:val="00B54FCD"/>
    <w:rsid w:val="00B6384D"/>
    <w:rsid w:val="00B85F06"/>
    <w:rsid w:val="00B91321"/>
    <w:rsid w:val="00B92265"/>
    <w:rsid w:val="00BB4580"/>
    <w:rsid w:val="00BB525A"/>
    <w:rsid w:val="00BC3D2E"/>
    <w:rsid w:val="00BE6A26"/>
    <w:rsid w:val="00BF75B6"/>
    <w:rsid w:val="00C075EF"/>
    <w:rsid w:val="00C1386D"/>
    <w:rsid w:val="00C3450C"/>
    <w:rsid w:val="00C353C5"/>
    <w:rsid w:val="00C456B4"/>
    <w:rsid w:val="00C521D7"/>
    <w:rsid w:val="00C56E7B"/>
    <w:rsid w:val="00C65242"/>
    <w:rsid w:val="00C7162D"/>
    <w:rsid w:val="00CB6601"/>
    <w:rsid w:val="00CE4BD7"/>
    <w:rsid w:val="00CE5759"/>
    <w:rsid w:val="00CE588D"/>
    <w:rsid w:val="00D1605E"/>
    <w:rsid w:val="00D21855"/>
    <w:rsid w:val="00D22AF1"/>
    <w:rsid w:val="00D355E1"/>
    <w:rsid w:val="00D40FFD"/>
    <w:rsid w:val="00D53D2B"/>
    <w:rsid w:val="00D561F3"/>
    <w:rsid w:val="00D70590"/>
    <w:rsid w:val="00D86D11"/>
    <w:rsid w:val="00D92CE3"/>
    <w:rsid w:val="00DA288A"/>
    <w:rsid w:val="00DB0010"/>
    <w:rsid w:val="00DB45C2"/>
    <w:rsid w:val="00DB6562"/>
    <w:rsid w:val="00DB7FEB"/>
    <w:rsid w:val="00DE2529"/>
    <w:rsid w:val="00DF06FA"/>
    <w:rsid w:val="00DF1F8D"/>
    <w:rsid w:val="00E16C15"/>
    <w:rsid w:val="00E610E9"/>
    <w:rsid w:val="00E75DF6"/>
    <w:rsid w:val="00E8547F"/>
    <w:rsid w:val="00E91D0C"/>
    <w:rsid w:val="00E9730D"/>
    <w:rsid w:val="00EA2A0D"/>
    <w:rsid w:val="00EC7704"/>
    <w:rsid w:val="00ED2375"/>
    <w:rsid w:val="00ED398B"/>
    <w:rsid w:val="00ED3A59"/>
    <w:rsid w:val="00EE0B6C"/>
    <w:rsid w:val="00EF5803"/>
    <w:rsid w:val="00EF787B"/>
    <w:rsid w:val="00F06722"/>
    <w:rsid w:val="00F15C8D"/>
    <w:rsid w:val="00F25952"/>
    <w:rsid w:val="00F30902"/>
    <w:rsid w:val="00F34786"/>
    <w:rsid w:val="00F34CD1"/>
    <w:rsid w:val="00F3567F"/>
    <w:rsid w:val="00F43CC8"/>
    <w:rsid w:val="00F477CB"/>
    <w:rsid w:val="00F56A35"/>
    <w:rsid w:val="00F6465C"/>
    <w:rsid w:val="00F73C29"/>
    <w:rsid w:val="00F87AC4"/>
    <w:rsid w:val="00F92E45"/>
    <w:rsid w:val="00F960E3"/>
    <w:rsid w:val="00FC11EE"/>
    <w:rsid w:val="00FC5536"/>
    <w:rsid w:val="00FE32A7"/>
    <w:rsid w:val="00FE55B6"/>
    <w:rsid w:val="00FE582D"/>
    <w:rsid w:val="00FF00A9"/>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A61BD"/>
  <w15:docId w15:val="{BD634DD4-6498-4A30-9514-BE27E8B6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00D6B"/>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
    <w:semiHidden/>
    <w:unhideWhenUsed/>
    <w:qFormat/>
    <w:rsid w:val="00F06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D0"/>
    <w:pPr>
      <w:ind w:left="720"/>
      <w:contextualSpacing/>
    </w:pPr>
  </w:style>
  <w:style w:type="paragraph" w:customStyle="1" w:styleId="subsection">
    <w:name w:val="subsection"/>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EE0B6C"/>
  </w:style>
  <w:style w:type="character" w:customStyle="1" w:styleId="lawlabel">
    <w:name w:val="lawlabel"/>
    <w:basedOn w:val="DefaultParagraphFont"/>
    <w:rsid w:val="00EE0B6C"/>
  </w:style>
  <w:style w:type="paragraph" w:customStyle="1" w:styleId="paragraph">
    <w:name w:val="paragraph"/>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8C0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A0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00D6B"/>
    <w:rPr>
      <w:rFonts w:ascii="Arial" w:eastAsia="Times New Roman" w:hAnsi="Arial" w:cs="Times New Roman"/>
      <w:i/>
      <w:sz w:val="24"/>
      <w:szCs w:val="20"/>
    </w:rPr>
  </w:style>
  <w:style w:type="paragraph" w:styleId="Header">
    <w:name w:val="header"/>
    <w:basedOn w:val="Normal"/>
    <w:link w:val="HeaderChar"/>
    <w:uiPriority w:val="99"/>
    <w:unhideWhenUsed/>
    <w:rsid w:val="00F0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22"/>
  </w:style>
  <w:style w:type="paragraph" w:styleId="Footer">
    <w:name w:val="footer"/>
    <w:basedOn w:val="Normal"/>
    <w:link w:val="FooterChar"/>
    <w:uiPriority w:val="99"/>
    <w:unhideWhenUsed/>
    <w:rsid w:val="00F0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22"/>
  </w:style>
  <w:style w:type="character" w:customStyle="1" w:styleId="Heading2Char">
    <w:name w:val="Heading 2 Char"/>
    <w:basedOn w:val="DefaultParagraphFont"/>
    <w:link w:val="Heading2"/>
    <w:uiPriority w:val="9"/>
    <w:semiHidden/>
    <w:rsid w:val="00F067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4A"/>
    <w:rPr>
      <w:rFonts w:ascii="Segoe UI" w:hAnsi="Segoe UI" w:cs="Segoe UI"/>
      <w:sz w:val="18"/>
      <w:szCs w:val="18"/>
    </w:rPr>
  </w:style>
  <w:style w:type="paragraph" w:customStyle="1" w:styleId="Decision-Quote">
    <w:name w:val="Decision - Quote"/>
    <w:basedOn w:val="Normal"/>
    <w:qFormat/>
    <w:rsid w:val="008403A7"/>
    <w:pPr>
      <w:spacing w:before="240" w:after="0" w:line="240" w:lineRule="auto"/>
      <w:ind w:left="720" w:right="720"/>
      <w:jc w:val="both"/>
    </w:pPr>
    <w:rPr>
      <w:rFonts w:ascii="Times New Roman" w:eastAsia="Times New Roman" w:hAnsi="Times New Roman" w:cs="Times New Roman"/>
      <w:lang w:val="en-CA"/>
    </w:rPr>
  </w:style>
  <w:style w:type="character" w:styleId="Hyperlink">
    <w:name w:val="Hyperlink"/>
    <w:basedOn w:val="DefaultParagraphFont"/>
    <w:uiPriority w:val="99"/>
    <w:unhideWhenUsed/>
    <w:rsid w:val="00893B50"/>
    <w:rPr>
      <w:color w:val="0563C1" w:themeColor="hyperlink"/>
      <w:u w:val="single"/>
    </w:rPr>
  </w:style>
  <w:style w:type="paragraph" w:customStyle="1" w:styleId="D-Heading1">
    <w:name w:val="D - Heading 1"/>
    <w:basedOn w:val="ListParagraph"/>
    <w:qFormat/>
    <w:rsid w:val="00A23778"/>
    <w:pPr>
      <w:numPr>
        <w:numId w:val="22"/>
      </w:numPr>
      <w:tabs>
        <w:tab w:val="clear" w:pos="720"/>
        <w:tab w:val="num" w:pos="360"/>
      </w:tabs>
      <w:spacing w:before="360" w:after="0" w:line="240" w:lineRule="auto"/>
      <w:ind w:left="720" w:firstLine="0"/>
    </w:pPr>
    <w:rPr>
      <w:rFonts w:ascii="Times New Roman" w:eastAsia="Times New Roman" w:hAnsi="Times New Roman" w:cs="Times New Roman"/>
      <w:b/>
      <w:sz w:val="28"/>
      <w:szCs w:val="28"/>
      <w:lang w:val="en-CA"/>
    </w:rPr>
  </w:style>
  <w:style w:type="paragraph" w:customStyle="1" w:styleId="D-bodyofparagraph">
    <w:name w:val="D - body of paragraph"/>
    <w:basedOn w:val="ListParagraph"/>
    <w:qFormat/>
    <w:rsid w:val="00A23778"/>
    <w:pPr>
      <w:numPr>
        <w:ilvl w:val="2"/>
        <w:numId w:val="22"/>
      </w:numPr>
      <w:tabs>
        <w:tab w:val="num" w:pos="360"/>
      </w:tabs>
      <w:spacing w:before="240" w:after="0" w:line="240" w:lineRule="auto"/>
      <w:ind w:left="0"/>
      <w:contextualSpacing w:val="0"/>
      <w:jc w:val="both"/>
    </w:pPr>
    <w:rPr>
      <w:rFonts w:ascii="Times New Roman" w:eastAsia="Times New Roman" w:hAnsi="Times New Roman" w:cs="Times New Roman"/>
      <w:sz w:val="28"/>
      <w:szCs w:val="28"/>
      <w:lang w:val="en-CA"/>
    </w:rPr>
  </w:style>
  <w:style w:type="paragraph" w:customStyle="1" w:styleId="D-Heading2">
    <w:name w:val="D - Heading 2"/>
    <w:basedOn w:val="D-Heading1"/>
    <w:qFormat/>
    <w:rsid w:val="00A23778"/>
    <w:pPr>
      <w:numPr>
        <w:ilvl w:val="1"/>
      </w:numPr>
      <w:tabs>
        <w:tab w:val="clear" w:pos="720"/>
        <w:tab w:val="num" w:pos="360"/>
      </w:tabs>
    </w:pPr>
  </w:style>
  <w:style w:type="character" w:styleId="CommentReference">
    <w:name w:val="annotation reference"/>
    <w:basedOn w:val="DefaultParagraphFont"/>
    <w:uiPriority w:val="99"/>
    <w:semiHidden/>
    <w:unhideWhenUsed/>
    <w:rsid w:val="00901BB4"/>
    <w:rPr>
      <w:sz w:val="16"/>
      <w:szCs w:val="16"/>
    </w:rPr>
  </w:style>
  <w:style w:type="paragraph" w:styleId="CommentText">
    <w:name w:val="annotation text"/>
    <w:basedOn w:val="Normal"/>
    <w:link w:val="CommentTextChar"/>
    <w:uiPriority w:val="99"/>
    <w:semiHidden/>
    <w:unhideWhenUsed/>
    <w:rsid w:val="00901BB4"/>
    <w:pPr>
      <w:spacing w:line="240" w:lineRule="auto"/>
    </w:pPr>
    <w:rPr>
      <w:sz w:val="20"/>
      <w:szCs w:val="20"/>
    </w:rPr>
  </w:style>
  <w:style w:type="character" w:customStyle="1" w:styleId="CommentTextChar">
    <w:name w:val="Comment Text Char"/>
    <w:basedOn w:val="DefaultParagraphFont"/>
    <w:link w:val="CommentText"/>
    <w:uiPriority w:val="99"/>
    <w:semiHidden/>
    <w:rsid w:val="00901BB4"/>
    <w:rPr>
      <w:sz w:val="20"/>
      <w:szCs w:val="20"/>
    </w:rPr>
  </w:style>
  <w:style w:type="paragraph" w:styleId="CommentSubject">
    <w:name w:val="annotation subject"/>
    <w:basedOn w:val="CommentText"/>
    <w:next w:val="CommentText"/>
    <w:link w:val="CommentSubjectChar"/>
    <w:uiPriority w:val="99"/>
    <w:semiHidden/>
    <w:unhideWhenUsed/>
    <w:rsid w:val="00901BB4"/>
    <w:rPr>
      <w:b/>
      <w:bCs/>
    </w:rPr>
  </w:style>
  <w:style w:type="character" w:customStyle="1" w:styleId="CommentSubjectChar">
    <w:name w:val="Comment Subject Char"/>
    <w:basedOn w:val="CommentTextChar"/>
    <w:link w:val="CommentSubject"/>
    <w:uiPriority w:val="99"/>
    <w:semiHidden/>
    <w:rsid w:val="00901BB4"/>
    <w:rPr>
      <w:b/>
      <w:bCs/>
      <w:sz w:val="20"/>
      <w:szCs w:val="20"/>
    </w:rPr>
  </w:style>
  <w:style w:type="character" w:styleId="Emphasis">
    <w:name w:val="Emphasis"/>
    <w:basedOn w:val="DefaultParagraphFont"/>
    <w:uiPriority w:val="20"/>
    <w:qFormat/>
    <w:rsid w:val="0099067D"/>
    <w:rPr>
      <w:i/>
      <w:iCs/>
    </w:rPr>
  </w:style>
  <w:style w:type="paragraph" w:customStyle="1" w:styleId="felskynumbering12">
    <w:name w:val="felskynumbering12"/>
    <w:basedOn w:val="Normal"/>
    <w:rsid w:val="0047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304">
      <w:bodyDiv w:val="1"/>
      <w:marLeft w:val="0"/>
      <w:marRight w:val="0"/>
      <w:marTop w:val="0"/>
      <w:marBottom w:val="0"/>
      <w:divBdr>
        <w:top w:val="none" w:sz="0" w:space="0" w:color="auto"/>
        <w:left w:val="none" w:sz="0" w:space="0" w:color="auto"/>
        <w:bottom w:val="none" w:sz="0" w:space="0" w:color="auto"/>
        <w:right w:val="none" w:sz="0" w:space="0" w:color="auto"/>
      </w:divBdr>
    </w:div>
    <w:div w:id="81801148">
      <w:bodyDiv w:val="1"/>
      <w:marLeft w:val="0"/>
      <w:marRight w:val="0"/>
      <w:marTop w:val="0"/>
      <w:marBottom w:val="0"/>
      <w:divBdr>
        <w:top w:val="none" w:sz="0" w:space="0" w:color="auto"/>
        <w:left w:val="none" w:sz="0" w:space="0" w:color="auto"/>
        <w:bottom w:val="none" w:sz="0" w:space="0" w:color="auto"/>
        <w:right w:val="none" w:sz="0" w:space="0" w:color="auto"/>
      </w:divBdr>
      <w:divsChild>
        <w:div w:id="346758510">
          <w:marLeft w:val="0"/>
          <w:marRight w:val="0"/>
          <w:marTop w:val="0"/>
          <w:marBottom w:val="0"/>
          <w:divBdr>
            <w:top w:val="none" w:sz="0" w:space="0" w:color="auto"/>
            <w:left w:val="none" w:sz="0" w:space="0" w:color="auto"/>
            <w:bottom w:val="none" w:sz="0" w:space="0" w:color="auto"/>
            <w:right w:val="none" w:sz="0" w:space="0" w:color="auto"/>
          </w:divBdr>
          <w:divsChild>
            <w:div w:id="761293138">
              <w:marLeft w:val="0"/>
              <w:marRight w:val="0"/>
              <w:marTop w:val="0"/>
              <w:marBottom w:val="0"/>
              <w:divBdr>
                <w:top w:val="none" w:sz="0" w:space="0" w:color="auto"/>
                <w:left w:val="none" w:sz="0" w:space="0" w:color="auto"/>
                <w:bottom w:val="none" w:sz="0" w:space="0" w:color="auto"/>
                <w:right w:val="none" w:sz="0" w:space="0" w:color="auto"/>
              </w:divBdr>
              <w:divsChild>
                <w:div w:id="66074038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300"/>
                      <w:marTop w:val="0"/>
                      <w:marBottom w:val="0"/>
                      <w:divBdr>
                        <w:top w:val="none" w:sz="0" w:space="0" w:color="auto"/>
                        <w:left w:val="none" w:sz="0" w:space="0" w:color="auto"/>
                        <w:bottom w:val="none" w:sz="0" w:space="0" w:color="auto"/>
                        <w:right w:val="none" w:sz="0" w:space="0" w:color="auto"/>
                      </w:divBdr>
                      <w:divsChild>
                        <w:div w:id="1031032365">
                          <w:marLeft w:val="0"/>
                          <w:marRight w:val="0"/>
                          <w:marTop w:val="0"/>
                          <w:marBottom w:val="0"/>
                          <w:divBdr>
                            <w:top w:val="single" w:sz="6" w:space="26" w:color="BCBEC0"/>
                            <w:left w:val="single" w:sz="6" w:space="26" w:color="BCBEC0"/>
                            <w:bottom w:val="single" w:sz="6" w:space="26" w:color="BCBEC0"/>
                            <w:right w:val="single" w:sz="6" w:space="26" w:color="BCBEC0"/>
                          </w:divBdr>
                          <w:divsChild>
                            <w:div w:id="941572522">
                              <w:marLeft w:val="0"/>
                              <w:marRight w:val="0"/>
                              <w:marTop w:val="0"/>
                              <w:marBottom w:val="0"/>
                              <w:divBdr>
                                <w:top w:val="none" w:sz="0" w:space="0" w:color="auto"/>
                                <w:left w:val="none" w:sz="0" w:space="0" w:color="auto"/>
                                <w:bottom w:val="none" w:sz="0" w:space="0" w:color="auto"/>
                                <w:right w:val="none" w:sz="0" w:space="0" w:color="auto"/>
                              </w:divBdr>
                              <w:divsChild>
                                <w:div w:id="1528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92781">
      <w:bodyDiv w:val="1"/>
      <w:marLeft w:val="0"/>
      <w:marRight w:val="0"/>
      <w:marTop w:val="0"/>
      <w:marBottom w:val="0"/>
      <w:divBdr>
        <w:top w:val="none" w:sz="0" w:space="0" w:color="auto"/>
        <w:left w:val="none" w:sz="0" w:space="0" w:color="auto"/>
        <w:bottom w:val="none" w:sz="0" w:space="0" w:color="auto"/>
        <w:right w:val="none" w:sz="0" w:space="0" w:color="auto"/>
      </w:divBdr>
    </w:div>
    <w:div w:id="479229592">
      <w:bodyDiv w:val="1"/>
      <w:marLeft w:val="0"/>
      <w:marRight w:val="0"/>
      <w:marTop w:val="0"/>
      <w:marBottom w:val="0"/>
      <w:divBdr>
        <w:top w:val="none" w:sz="0" w:space="0" w:color="auto"/>
        <w:left w:val="none" w:sz="0" w:space="0" w:color="auto"/>
        <w:bottom w:val="none" w:sz="0" w:space="0" w:color="auto"/>
        <w:right w:val="none" w:sz="0" w:space="0" w:color="auto"/>
      </w:divBdr>
    </w:div>
    <w:div w:id="955793318">
      <w:bodyDiv w:val="1"/>
      <w:marLeft w:val="0"/>
      <w:marRight w:val="0"/>
      <w:marTop w:val="0"/>
      <w:marBottom w:val="0"/>
      <w:divBdr>
        <w:top w:val="none" w:sz="0" w:space="0" w:color="auto"/>
        <w:left w:val="none" w:sz="0" w:space="0" w:color="auto"/>
        <w:bottom w:val="none" w:sz="0" w:space="0" w:color="auto"/>
        <w:right w:val="none" w:sz="0" w:space="0" w:color="auto"/>
      </w:divBdr>
    </w:div>
    <w:div w:id="1018385060">
      <w:bodyDiv w:val="1"/>
      <w:marLeft w:val="0"/>
      <w:marRight w:val="0"/>
      <w:marTop w:val="0"/>
      <w:marBottom w:val="0"/>
      <w:divBdr>
        <w:top w:val="none" w:sz="0" w:space="0" w:color="auto"/>
        <w:left w:val="none" w:sz="0" w:space="0" w:color="auto"/>
        <w:bottom w:val="none" w:sz="0" w:space="0" w:color="auto"/>
        <w:right w:val="none" w:sz="0" w:space="0" w:color="auto"/>
      </w:divBdr>
    </w:div>
    <w:div w:id="1101530803">
      <w:bodyDiv w:val="1"/>
      <w:marLeft w:val="0"/>
      <w:marRight w:val="0"/>
      <w:marTop w:val="0"/>
      <w:marBottom w:val="0"/>
      <w:divBdr>
        <w:top w:val="none" w:sz="0" w:space="0" w:color="auto"/>
        <w:left w:val="none" w:sz="0" w:space="0" w:color="auto"/>
        <w:bottom w:val="none" w:sz="0" w:space="0" w:color="auto"/>
        <w:right w:val="none" w:sz="0" w:space="0" w:color="auto"/>
      </w:divBdr>
    </w:div>
    <w:div w:id="1180462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7740">
          <w:marLeft w:val="0"/>
          <w:marRight w:val="0"/>
          <w:marTop w:val="0"/>
          <w:marBottom w:val="0"/>
          <w:divBdr>
            <w:top w:val="none" w:sz="0" w:space="0" w:color="auto"/>
            <w:left w:val="none" w:sz="0" w:space="0" w:color="auto"/>
            <w:bottom w:val="none" w:sz="0" w:space="0" w:color="auto"/>
            <w:right w:val="none" w:sz="0" w:space="0" w:color="auto"/>
          </w:divBdr>
          <w:divsChild>
            <w:div w:id="1526169321">
              <w:marLeft w:val="0"/>
              <w:marRight w:val="0"/>
              <w:marTop w:val="0"/>
              <w:marBottom w:val="0"/>
              <w:divBdr>
                <w:top w:val="none" w:sz="0" w:space="0" w:color="auto"/>
                <w:left w:val="none" w:sz="0" w:space="0" w:color="auto"/>
                <w:bottom w:val="none" w:sz="0" w:space="0" w:color="auto"/>
                <w:right w:val="none" w:sz="0" w:space="0" w:color="auto"/>
              </w:divBdr>
              <w:divsChild>
                <w:div w:id="899946220">
                  <w:marLeft w:val="0"/>
                  <w:marRight w:val="0"/>
                  <w:marTop w:val="0"/>
                  <w:marBottom w:val="0"/>
                  <w:divBdr>
                    <w:top w:val="none" w:sz="0" w:space="0" w:color="auto"/>
                    <w:left w:val="none" w:sz="0" w:space="0" w:color="auto"/>
                    <w:bottom w:val="none" w:sz="0" w:space="0" w:color="auto"/>
                    <w:right w:val="none" w:sz="0" w:space="0" w:color="auto"/>
                  </w:divBdr>
                  <w:divsChild>
                    <w:div w:id="1808935340">
                      <w:marLeft w:val="0"/>
                      <w:marRight w:val="300"/>
                      <w:marTop w:val="0"/>
                      <w:marBottom w:val="0"/>
                      <w:divBdr>
                        <w:top w:val="none" w:sz="0" w:space="0" w:color="auto"/>
                        <w:left w:val="none" w:sz="0" w:space="0" w:color="auto"/>
                        <w:bottom w:val="none" w:sz="0" w:space="0" w:color="auto"/>
                        <w:right w:val="none" w:sz="0" w:space="0" w:color="auto"/>
                      </w:divBdr>
                      <w:divsChild>
                        <w:div w:id="1454248647">
                          <w:marLeft w:val="0"/>
                          <w:marRight w:val="0"/>
                          <w:marTop w:val="0"/>
                          <w:marBottom w:val="0"/>
                          <w:divBdr>
                            <w:top w:val="single" w:sz="6" w:space="26" w:color="BCBEC0"/>
                            <w:left w:val="single" w:sz="6" w:space="26" w:color="BCBEC0"/>
                            <w:bottom w:val="single" w:sz="6" w:space="26" w:color="BCBEC0"/>
                            <w:right w:val="single" w:sz="6" w:space="26" w:color="BCBEC0"/>
                          </w:divBdr>
                          <w:divsChild>
                            <w:div w:id="1190796719">
                              <w:marLeft w:val="0"/>
                              <w:marRight w:val="0"/>
                              <w:marTop w:val="0"/>
                              <w:marBottom w:val="0"/>
                              <w:divBdr>
                                <w:top w:val="none" w:sz="0" w:space="0" w:color="auto"/>
                                <w:left w:val="none" w:sz="0" w:space="0" w:color="auto"/>
                                <w:bottom w:val="none" w:sz="0" w:space="0" w:color="auto"/>
                                <w:right w:val="none" w:sz="0" w:space="0" w:color="auto"/>
                              </w:divBdr>
                              <w:divsChild>
                                <w:div w:id="2042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2255">
      <w:bodyDiv w:val="1"/>
      <w:marLeft w:val="0"/>
      <w:marRight w:val="0"/>
      <w:marTop w:val="0"/>
      <w:marBottom w:val="0"/>
      <w:divBdr>
        <w:top w:val="none" w:sz="0" w:space="0" w:color="auto"/>
        <w:left w:val="none" w:sz="0" w:space="0" w:color="auto"/>
        <w:bottom w:val="none" w:sz="0" w:space="0" w:color="auto"/>
        <w:right w:val="none" w:sz="0" w:space="0" w:color="auto"/>
      </w:divBdr>
      <w:divsChild>
        <w:div w:id="1672640748">
          <w:marLeft w:val="0"/>
          <w:marRight w:val="0"/>
          <w:marTop w:val="0"/>
          <w:marBottom w:val="0"/>
          <w:divBdr>
            <w:top w:val="none" w:sz="0" w:space="0" w:color="auto"/>
            <w:left w:val="none" w:sz="0" w:space="0" w:color="auto"/>
            <w:bottom w:val="none" w:sz="0" w:space="0" w:color="auto"/>
            <w:right w:val="none" w:sz="0" w:space="0" w:color="auto"/>
          </w:divBdr>
        </w:div>
        <w:div w:id="351297441">
          <w:marLeft w:val="0"/>
          <w:marRight w:val="0"/>
          <w:marTop w:val="0"/>
          <w:marBottom w:val="0"/>
          <w:divBdr>
            <w:top w:val="none" w:sz="0" w:space="0" w:color="auto"/>
            <w:left w:val="none" w:sz="0" w:space="0" w:color="auto"/>
            <w:bottom w:val="none" w:sz="0" w:space="0" w:color="auto"/>
            <w:right w:val="none" w:sz="0" w:space="0" w:color="auto"/>
          </w:divBdr>
        </w:div>
      </w:divsChild>
    </w:div>
    <w:div w:id="1733579229">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4989-B38B-40FE-BD81-73AA31CA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Gorin</dc:creator>
  <cp:lastModifiedBy>Caitlin Staples</cp:lastModifiedBy>
  <cp:revision>6</cp:revision>
  <cp:lastPrinted>2023-02-10T20:06:00Z</cp:lastPrinted>
  <dcterms:created xsi:type="dcterms:W3CDTF">2023-02-09T23:50:00Z</dcterms:created>
  <dcterms:modified xsi:type="dcterms:W3CDTF">2023-02-10T20:47:00Z</dcterms:modified>
</cp:coreProperties>
</file>