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E20B" w14:textId="68B78C7B" w:rsidR="00E67B31" w:rsidRDefault="00196AD1" w:rsidP="00E67B31">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Redcliff Developments Ltd </w:t>
      </w:r>
      <w:r w:rsidR="001034F9">
        <w:rPr>
          <w:rFonts w:ascii="Times New Roman" w:hAnsi="Times New Roman" w:cs="Times New Roman"/>
          <w:i/>
          <w:iCs/>
          <w:sz w:val="24"/>
          <w:szCs w:val="24"/>
        </w:rPr>
        <w:t>v</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Maskwa</w:t>
      </w:r>
      <w:proofErr w:type="spellEnd"/>
      <w:r>
        <w:rPr>
          <w:rFonts w:ascii="Times New Roman" w:hAnsi="Times New Roman" w:cs="Times New Roman"/>
          <w:i/>
          <w:iCs/>
          <w:sz w:val="24"/>
          <w:szCs w:val="24"/>
        </w:rPr>
        <w:t xml:space="preserve"> Engineering Ltd</w:t>
      </w:r>
      <w:r w:rsidR="00E67B31">
        <w:rPr>
          <w:rFonts w:ascii="Times New Roman" w:hAnsi="Times New Roman" w:cs="Times New Roman"/>
          <w:i/>
          <w:iCs/>
          <w:sz w:val="24"/>
          <w:szCs w:val="24"/>
        </w:rPr>
        <w:t xml:space="preserve">, </w:t>
      </w:r>
      <w:r w:rsidR="00E67B31">
        <w:rPr>
          <w:rFonts w:ascii="Times New Roman" w:hAnsi="Times New Roman" w:cs="Times New Roman"/>
          <w:sz w:val="24"/>
          <w:szCs w:val="24"/>
        </w:rPr>
        <w:t>202</w:t>
      </w:r>
      <w:r w:rsidR="00CA6E70">
        <w:rPr>
          <w:rFonts w:ascii="Times New Roman" w:hAnsi="Times New Roman" w:cs="Times New Roman"/>
          <w:sz w:val="24"/>
          <w:szCs w:val="24"/>
        </w:rPr>
        <w:t>4</w:t>
      </w:r>
      <w:r w:rsidR="00E67B31">
        <w:rPr>
          <w:rFonts w:ascii="Times New Roman" w:hAnsi="Times New Roman" w:cs="Times New Roman"/>
          <w:sz w:val="24"/>
          <w:szCs w:val="24"/>
        </w:rPr>
        <w:t xml:space="preserve"> NWTSC </w:t>
      </w:r>
      <w:r w:rsidR="007F7D76">
        <w:rPr>
          <w:rFonts w:ascii="Times New Roman" w:hAnsi="Times New Roman" w:cs="Times New Roman"/>
          <w:sz w:val="24"/>
          <w:szCs w:val="24"/>
        </w:rPr>
        <w:t>40</w:t>
      </w:r>
      <w:r w:rsidR="009F4270" w:rsidRPr="00522AB3">
        <w:rPr>
          <w:rFonts w:ascii="Times New Roman" w:hAnsi="Times New Roman" w:cs="Times New Roman"/>
          <w:sz w:val="24"/>
          <w:szCs w:val="24"/>
        </w:rPr>
        <w:t xml:space="preserve">.cor </w:t>
      </w:r>
      <w:proofErr w:type="gramStart"/>
      <w:r w:rsidR="009F4270" w:rsidRPr="005D02D5">
        <w:rPr>
          <w:rFonts w:ascii="Times New Roman" w:hAnsi="Times New Roman" w:cs="Times New Roman"/>
          <w:sz w:val="24"/>
          <w:szCs w:val="24"/>
        </w:rPr>
        <w:t>1</w:t>
      </w:r>
      <w:proofErr w:type="gramEnd"/>
    </w:p>
    <w:p w14:paraId="5F488878" w14:textId="77777777" w:rsidR="00960ADF" w:rsidRPr="005D02D5" w:rsidRDefault="00960ADF" w:rsidP="00E67B31">
      <w:pPr>
        <w:spacing w:after="0" w:line="240" w:lineRule="auto"/>
        <w:rPr>
          <w:rFonts w:ascii="Times New Roman" w:hAnsi="Times New Roman" w:cs="Times New Roman"/>
          <w:sz w:val="24"/>
          <w:szCs w:val="24"/>
        </w:rPr>
      </w:pPr>
    </w:p>
    <w:p w14:paraId="06EA8DC7" w14:textId="65330362" w:rsidR="00E67B31" w:rsidRPr="005D1B2E" w:rsidRDefault="0039753C" w:rsidP="0039753C">
      <w:pPr>
        <w:spacing w:after="0" w:line="240" w:lineRule="auto"/>
        <w:jc w:val="right"/>
        <w:rPr>
          <w:rFonts w:ascii="Times New Roman" w:hAnsi="Times New Roman"/>
          <w:sz w:val="28"/>
          <w:szCs w:val="28"/>
        </w:rPr>
      </w:pPr>
      <w:r w:rsidRPr="005D1B2E">
        <w:rPr>
          <w:rFonts w:ascii="Times New Roman" w:hAnsi="Times New Roman"/>
          <w:sz w:val="28"/>
          <w:szCs w:val="28"/>
        </w:rPr>
        <w:t xml:space="preserve">Date Corrigendum Filed:  </w:t>
      </w:r>
      <w:r w:rsidR="005D1B2E" w:rsidRPr="005D1B2E">
        <w:rPr>
          <w:rFonts w:ascii="Times New Roman" w:hAnsi="Times New Roman"/>
          <w:sz w:val="28"/>
          <w:szCs w:val="28"/>
        </w:rPr>
        <w:t>August 2, 2024</w:t>
      </w:r>
    </w:p>
    <w:p w14:paraId="2DC88428" w14:textId="31178C81" w:rsidR="00E2041F" w:rsidRPr="00010595" w:rsidRDefault="00E2041F" w:rsidP="00E2041F">
      <w:pPr>
        <w:spacing w:after="0" w:line="240" w:lineRule="auto"/>
        <w:jc w:val="right"/>
        <w:rPr>
          <w:rFonts w:ascii="Times New Roman" w:hAnsi="Times New Roman"/>
          <w:sz w:val="28"/>
          <w:szCs w:val="28"/>
        </w:rPr>
      </w:pPr>
      <w:r w:rsidRPr="00010595">
        <w:rPr>
          <w:rFonts w:ascii="Times New Roman" w:hAnsi="Times New Roman"/>
          <w:sz w:val="28"/>
          <w:szCs w:val="28"/>
        </w:rPr>
        <w:fldChar w:fldCharType="begin"/>
      </w:r>
      <w:r w:rsidRPr="00010595">
        <w:rPr>
          <w:rFonts w:ascii="Times New Roman" w:hAnsi="Times New Roman"/>
          <w:sz w:val="28"/>
          <w:szCs w:val="28"/>
        </w:rPr>
        <w:instrText xml:space="preserve"> SEQ CHAPTER \h \r 1</w:instrText>
      </w:r>
      <w:r w:rsidRPr="00010595">
        <w:rPr>
          <w:rFonts w:ascii="Times New Roman" w:hAnsi="Times New Roman"/>
          <w:sz w:val="28"/>
          <w:szCs w:val="28"/>
        </w:rPr>
        <w:fldChar w:fldCharType="end"/>
      </w:r>
      <w:r>
        <w:rPr>
          <w:rFonts w:ascii="Times New Roman" w:hAnsi="Times New Roman"/>
          <w:sz w:val="28"/>
          <w:szCs w:val="28"/>
        </w:rPr>
        <w:t>Date:  20</w:t>
      </w:r>
      <w:r w:rsidR="004D40DE">
        <w:rPr>
          <w:rFonts w:ascii="Times New Roman" w:hAnsi="Times New Roman"/>
          <w:sz w:val="28"/>
          <w:szCs w:val="28"/>
        </w:rPr>
        <w:t>2</w:t>
      </w:r>
      <w:r w:rsidR="00CA6E70">
        <w:rPr>
          <w:rFonts w:ascii="Times New Roman" w:hAnsi="Times New Roman"/>
          <w:sz w:val="28"/>
          <w:szCs w:val="28"/>
        </w:rPr>
        <w:t>4 0</w:t>
      </w:r>
      <w:r w:rsidR="007E6275">
        <w:rPr>
          <w:rFonts w:ascii="Times New Roman" w:hAnsi="Times New Roman"/>
          <w:sz w:val="28"/>
          <w:szCs w:val="28"/>
        </w:rPr>
        <w:t>8</w:t>
      </w:r>
      <w:r w:rsidR="00CA6E70">
        <w:rPr>
          <w:rFonts w:ascii="Times New Roman" w:hAnsi="Times New Roman"/>
          <w:sz w:val="28"/>
          <w:szCs w:val="28"/>
        </w:rPr>
        <w:t xml:space="preserve"> </w:t>
      </w:r>
      <w:r w:rsidR="007E6275">
        <w:rPr>
          <w:rFonts w:ascii="Times New Roman" w:hAnsi="Times New Roman"/>
          <w:sz w:val="28"/>
          <w:szCs w:val="28"/>
        </w:rPr>
        <w:t>01</w:t>
      </w:r>
    </w:p>
    <w:p w14:paraId="0082B406" w14:textId="1D37FC11" w:rsidR="00E2041F" w:rsidRPr="00010595" w:rsidRDefault="00E2041F" w:rsidP="00E2041F">
      <w:pPr>
        <w:spacing w:after="0" w:line="240" w:lineRule="auto"/>
        <w:jc w:val="right"/>
        <w:rPr>
          <w:rFonts w:ascii="Times New Roman" w:hAnsi="Times New Roman"/>
          <w:sz w:val="28"/>
          <w:szCs w:val="28"/>
        </w:rPr>
      </w:pPr>
      <w:r w:rsidRPr="00010595">
        <w:rPr>
          <w:rFonts w:ascii="Times New Roman" w:hAnsi="Times New Roman"/>
          <w:sz w:val="28"/>
          <w:szCs w:val="28"/>
        </w:rPr>
        <w:fldChar w:fldCharType="begin"/>
      </w:r>
      <w:r w:rsidRPr="00010595">
        <w:rPr>
          <w:rFonts w:ascii="Times New Roman" w:hAnsi="Times New Roman"/>
          <w:sz w:val="28"/>
          <w:szCs w:val="28"/>
        </w:rPr>
        <w:instrText xml:space="preserve"> SEQ CHAPTER \h \r 1</w:instrText>
      </w:r>
      <w:r w:rsidRPr="00010595">
        <w:rPr>
          <w:rFonts w:ascii="Times New Roman" w:hAnsi="Times New Roman"/>
          <w:sz w:val="28"/>
          <w:szCs w:val="28"/>
        </w:rPr>
        <w:fldChar w:fldCharType="end"/>
      </w:r>
      <w:r w:rsidRPr="00010595">
        <w:rPr>
          <w:rFonts w:ascii="Times New Roman" w:hAnsi="Times New Roman"/>
          <w:sz w:val="28"/>
          <w:szCs w:val="28"/>
        </w:rPr>
        <w:t>Docket:  S-1-</w:t>
      </w:r>
      <w:r w:rsidR="00D1162C">
        <w:rPr>
          <w:rFonts w:ascii="Times New Roman" w:hAnsi="Times New Roman"/>
          <w:sz w:val="28"/>
          <w:szCs w:val="28"/>
        </w:rPr>
        <w:t>CV</w:t>
      </w:r>
      <w:r w:rsidRPr="00010595">
        <w:rPr>
          <w:rFonts w:ascii="Times New Roman" w:hAnsi="Times New Roman"/>
          <w:sz w:val="28"/>
          <w:szCs w:val="28"/>
        </w:rPr>
        <w:t>-20</w:t>
      </w:r>
      <w:r w:rsidR="00D1162C">
        <w:rPr>
          <w:rFonts w:ascii="Times New Roman" w:hAnsi="Times New Roman"/>
          <w:sz w:val="28"/>
          <w:szCs w:val="28"/>
        </w:rPr>
        <w:t>14</w:t>
      </w:r>
      <w:r w:rsidRPr="00010595">
        <w:rPr>
          <w:rFonts w:ascii="Times New Roman" w:hAnsi="Times New Roman"/>
          <w:sz w:val="28"/>
          <w:szCs w:val="28"/>
        </w:rPr>
        <w:t xml:space="preserve"> 000</w:t>
      </w:r>
      <w:r w:rsidR="00D1162C">
        <w:rPr>
          <w:rFonts w:ascii="Times New Roman" w:hAnsi="Times New Roman"/>
          <w:sz w:val="28"/>
          <w:szCs w:val="28"/>
        </w:rPr>
        <w:t xml:space="preserve"> </w:t>
      </w:r>
      <w:r>
        <w:rPr>
          <w:rFonts w:ascii="Times New Roman" w:hAnsi="Times New Roman"/>
          <w:sz w:val="28"/>
          <w:szCs w:val="28"/>
        </w:rPr>
        <w:t>1</w:t>
      </w:r>
      <w:r w:rsidR="00D1162C">
        <w:rPr>
          <w:rFonts w:ascii="Times New Roman" w:hAnsi="Times New Roman"/>
          <w:sz w:val="28"/>
          <w:szCs w:val="28"/>
        </w:rPr>
        <w:t>00</w:t>
      </w:r>
    </w:p>
    <w:p w14:paraId="3140F437" w14:textId="77777777" w:rsidR="00E2041F" w:rsidRPr="00010595" w:rsidRDefault="00E2041F" w:rsidP="00E2041F">
      <w:pPr>
        <w:spacing w:after="0" w:line="240" w:lineRule="auto"/>
        <w:rPr>
          <w:rFonts w:ascii="Times New Roman" w:hAnsi="Times New Roman"/>
          <w:sz w:val="28"/>
          <w:szCs w:val="28"/>
        </w:rPr>
      </w:pPr>
    </w:p>
    <w:p w14:paraId="23E5B800" w14:textId="77777777" w:rsidR="00E2041F" w:rsidRPr="00010595" w:rsidRDefault="00E2041F" w:rsidP="00E2041F">
      <w:pPr>
        <w:jc w:val="center"/>
        <w:rPr>
          <w:rFonts w:ascii="Times New Roman" w:hAnsi="Times New Roman"/>
          <w:sz w:val="28"/>
          <w:szCs w:val="28"/>
        </w:rPr>
      </w:pPr>
      <w:r w:rsidRPr="00010595">
        <w:rPr>
          <w:rFonts w:ascii="Times New Roman" w:hAnsi="Times New Roman"/>
          <w:sz w:val="28"/>
          <w:szCs w:val="28"/>
        </w:rPr>
        <w:tab/>
        <w:t>IN THE SUPREME COURT OF THE NORTHWEST TERRITORIES</w:t>
      </w:r>
    </w:p>
    <w:p w14:paraId="3ED0AB0F" w14:textId="77777777" w:rsidR="00E2041F" w:rsidRPr="00BF0237" w:rsidRDefault="00E2041F" w:rsidP="00E2041F">
      <w:pPr>
        <w:spacing w:line="240" w:lineRule="auto"/>
        <w:rPr>
          <w:rFonts w:ascii="Times New Roman" w:hAnsi="Times New Roman" w:cs="Times New Roman"/>
          <w:bCs/>
          <w:sz w:val="28"/>
          <w:szCs w:val="28"/>
        </w:rPr>
      </w:pPr>
      <w:r w:rsidRPr="00BF0237">
        <w:rPr>
          <w:rFonts w:ascii="Times New Roman" w:hAnsi="Times New Roman" w:cs="Times New Roman"/>
          <w:bCs/>
          <w:sz w:val="28"/>
          <w:szCs w:val="28"/>
        </w:rPr>
        <w:t>BETWEEN</w:t>
      </w:r>
    </w:p>
    <w:p w14:paraId="663F327B" w14:textId="5CC7E8C9" w:rsidR="00E2041F" w:rsidRPr="00B04BAE" w:rsidRDefault="0072338A" w:rsidP="00CA6E70">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REDCLIFF DEVELOPMENT</w:t>
      </w:r>
      <w:r w:rsidR="00140E44">
        <w:rPr>
          <w:rFonts w:ascii="Times New Roman" w:hAnsi="Times New Roman" w:cs="Times New Roman"/>
          <w:bCs/>
          <w:sz w:val="28"/>
          <w:szCs w:val="28"/>
        </w:rPr>
        <w:t>S</w:t>
      </w:r>
      <w:r>
        <w:rPr>
          <w:rFonts w:ascii="Times New Roman" w:hAnsi="Times New Roman" w:cs="Times New Roman"/>
          <w:bCs/>
          <w:sz w:val="28"/>
          <w:szCs w:val="28"/>
        </w:rPr>
        <w:t xml:space="preserve"> LTD.</w:t>
      </w:r>
    </w:p>
    <w:p w14:paraId="21807A8B" w14:textId="52DDC8FC" w:rsidR="00E2041F" w:rsidRPr="00010595" w:rsidRDefault="0072338A" w:rsidP="00E2041F">
      <w:pPr>
        <w:spacing w:line="240" w:lineRule="auto"/>
        <w:jc w:val="right"/>
        <w:rPr>
          <w:rFonts w:ascii="Times New Roman" w:hAnsi="Times New Roman" w:cs="Times New Roman"/>
          <w:sz w:val="28"/>
          <w:szCs w:val="28"/>
        </w:rPr>
      </w:pPr>
      <w:r>
        <w:rPr>
          <w:rFonts w:ascii="Times New Roman" w:hAnsi="Times New Roman" w:cs="Times New Roman"/>
          <w:sz w:val="28"/>
          <w:szCs w:val="28"/>
        </w:rPr>
        <w:t>Plaintiff</w:t>
      </w:r>
    </w:p>
    <w:p w14:paraId="58E9E283" w14:textId="77777777" w:rsidR="00E2041F" w:rsidRDefault="00E2041F" w:rsidP="00E2041F">
      <w:pPr>
        <w:spacing w:line="240" w:lineRule="auto"/>
        <w:jc w:val="center"/>
        <w:rPr>
          <w:rFonts w:ascii="Times New Roman" w:hAnsi="Times New Roman" w:cs="Times New Roman"/>
          <w:sz w:val="28"/>
          <w:szCs w:val="28"/>
        </w:rPr>
      </w:pPr>
      <w:r w:rsidRPr="00010595">
        <w:rPr>
          <w:rFonts w:ascii="Times New Roman" w:hAnsi="Times New Roman" w:cs="Times New Roman"/>
          <w:sz w:val="28"/>
          <w:szCs w:val="28"/>
        </w:rPr>
        <w:t>-and-</w:t>
      </w:r>
    </w:p>
    <w:p w14:paraId="1FA3A863" w14:textId="77777777" w:rsidR="00E2041F" w:rsidRDefault="00E2041F" w:rsidP="00E2041F">
      <w:pPr>
        <w:spacing w:line="240" w:lineRule="auto"/>
        <w:jc w:val="center"/>
        <w:rPr>
          <w:rFonts w:ascii="Times New Roman" w:hAnsi="Times New Roman" w:cs="Times New Roman"/>
          <w:sz w:val="28"/>
          <w:szCs w:val="28"/>
        </w:rPr>
      </w:pPr>
    </w:p>
    <w:p w14:paraId="647FADE9" w14:textId="79BD12AF" w:rsidR="00E2041F" w:rsidRPr="00010595" w:rsidRDefault="0072338A" w:rsidP="00E2041F">
      <w:pPr>
        <w:spacing w:line="240" w:lineRule="auto"/>
        <w:jc w:val="center"/>
        <w:rPr>
          <w:rFonts w:ascii="Times New Roman" w:hAnsi="Times New Roman" w:cs="Times New Roman"/>
          <w:sz w:val="28"/>
          <w:szCs w:val="28"/>
        </w:rPr>
      </w:pPr>
      <w:r>
        <w:rPr>
          <w:rFonts w:ascii="Times New Roman" w:hAnsi="Times New Roman" w:cs="Times New Roman"/>
          <w:sz w:val="28"/>
          <w:szCs w:val="28"/>
        </w:rPr>
        <w:t>MASKWA ENGINEERING LTD.</w:t>
      </w:r>
    </w:p>
    <w:p w14:paraId="113FBC95" w14:textId="1BD34C42" w:rsidR="00E2041F" w:rsidRDefault="0072338A" w:rsidP="00E2041F">
      <w:pPr>
        <w:spacing w:line="240" w:lineRule="auto"/>
        <w:jc w:val="right"/>
        <w:rPr>
          <w:rFonts w:ascii="Times New Roman" w:hAnsi="Times New Roman" w:cs="Times New Roman"/>
          <w:sz w:val="28"/>
          <w:szCs w:val="28"/>
        </w:rPr>
      </w:pPr>
      <w:r>
        <w:rPr>
          <w:rFonts w:ascii="Times New Roman" w:hAnsi="Times New Roman" w:cs="Times New Roman"/>
          <w:sz w:val="28"/>
          <w:szCs w:val="28"/>
        </w:rPr>
        <w:t>Defendant</w:t>
      </w:r>
    </w:p>
    <w:tbl>
      <w:tblPr>
        <w:tblpPr w:leftFromText="180" w:rightFromText="180" w:vertAnchor="text" w:horzAnchor="margin" w:tblpXSpec="center" w:tblpY="125"/>
        <w:tblW w:w="0" w:type="auto"/>
        <w:tblLayout w:type="fixed"/>
        <w:tblCellMar>
          <w:left w:w="154" w:type="dxa"/>
          <w:right w:w="154" w:type="dxa"/>
        </w:tblCellMar>
        <w:tblLook w:val="0000" w:firstRow="0" w:lastRow="0" w:firstColumn="0" w:lastColumn="0" w:noHBand="0" w:noVBand="0"/>
      </w:tblPr>
      <w:tblGrid>
        <w:gridCol w:w="5689"/>
      </w:tblGrid>
      <w:tr w:rsidR="009465C8" w14:paraId="25347B05" w14:textId="77777777" w:rsidTr="009465C8">
        <w:trPr>
          <w:cantSplit/>
        </w:trPr>
        <w:tc>
          <w:tcPr>
            <w:tcW w:w="5689" w:type="dxa"/>
            <w:tcBorders>
              <w:top w:val="thinThickSmallGap" w:sz="36" w:space="0" w:color="000000"/>
              <w:left w:val="thinThickSmallGap" w:sz="36" w:space="0" w:color="000000"/>
              <w:bottom w:val="thickThinSmallGap" w:sz="36" w:space="0" w:color="000000"/>
              <w:right w:val="thickThinSmallGap" w:sz="36" w:space="0" w:color="000000"/>
            </w:tcBorders>
          </w:tcPr>
          <w:p w14:paraId="034FBDE4" w14:textId="20B31938" w:rsidR="009465C8" w:rsidRDefault="009465C8" w:rsidP="009465C8">
            <w:pPr>
              <w:spacing w:before="78" w:after="34"/>
              <w:jc w:val="both"/>
            </w:pPr>
            <w:bookmarkStart w:id="0" w:name="_Hlk173482948"/>
            <w:r w:rsidRPr="00FC18D6">
              <w:rPr>
                <w:b/>
                <w:bCs/>
                <w:lang w:val="en-GB"/>
              </w:rPr>
              <w:t>Corrected</w:t>
            </w:r>
            <w:r w:rsidRPr="00FC18D6">
              <w:rPr>
                <w:lang w:val="en-GB"/>
              </w:rPr>
              <w:t xml:space="preserve">: A corrigendum was issued on </w:t>
            </w:r>
            <w:r w:rsidR="0086719F">
              <w:rPr>
                <w:lang w:val="en-GB"/>
              </w:rPr>
              <w:t>August 2</w:t>
            </w:r>
            <w:r w:rsidRPr="00FC18D6">
              <w:rPr>
                <w:lang w:val="en-GB"/>
              </w:rPr>
              <w:t>, 202</w:t>
            </w:r>
            <w:r w:rsidR="0086719F">
              <w:rPr>
                <w:lang w:val="en-GB"/>
              </w:rPr>
              <w:t>4</w:t>
            </w:r>
            <w:r w:rsidRPr="00FC18D6">
              <w:rPr>
                <w:lang w:val="en-GB"/>
              </w:rPr>
              <w:t>; the correction ha</w:t>
            </w:r>
            <w:r w:rsidR="005C2354">
              <w:rPr>
                <w:lang w:val="en-GB"/>
              </w:rPr>
              <w:t>s</w:t>
            </w:r>
            <w:r w:rsidRPr="00FC18D6">
              <w:rPr>
                <w:lang w:val="en-GB"/>
              </w:rPr>
              <w:t xml:space="preserve"> been made to the text and the corrigendum is appended to this </w:t>
            </w:r>
            <w:r w:rsidR="0086719F">
              <w:rPr>
                <w:lang w:val="en-GB"/>
              </w:rPr>
              <w:t>Memorandum of Judgment</w:t>
            </w:r>
            <w:r w:rsidRPr="00FC18D6">
              <w:rPr>
                <w:lang w:val="en-GB"/>
              </w:rPr>
              <w:t>.</w:t>
            </w:r>
            <w:bookmarkStart w:id="1" w:name="PubBanText"/>
            <w:bookmarkEnd w:id="1"/>
          </w:p>
        </w:tc>
      </w:tr>
      <w:bookmarkEnd w:id="0"/>
    </w:tbl>
    <w:p w14:paraId="6FB85843" w14:textId="77777777" w:rsidR="009465C8" w:rsidRDefault="009465C8" w:rsidP="009465C8"/>
    <w:p w14:paraId="7457E915" w14:textId="77777777" w:rsidR="00CA5478" w:rsidRDefault="00CA5478" w:rsidP="00E2041F">
      <w:pPr>
        <w:spacing w:line="240" w:lineRule="auto"/>
        <w:jc w:val="right"/>
        <w:rPr>
          <w:rFonts w:ascii="Times New Roman" w:hAnsi="Times New Roman" w:cs="Times New Roman"/>
          <w:sz w:val="28"/>
          <w:szCs w:val="28"/>
        </w:rPr>
      </w:pPr>
    </w:p>
    <w:p w14:paraId="60435AB9" w14:textId="77777777" w:rsidR="00960ADF" w:rsidRDefault="00960ADF" w:rsidP="00E2041F">
      <w:pPr>
        <w:spacing w:line="240" w:lineRule="auto"/>
        <w:jc w:val="right"/>
        <w:rPr>
          <w:rFonts w:ascii="Times New Roman" w:hAnsi="Times New Roman" w:cs="Times New Roman"/>
          <w:sz w:val="28"/>
          <w:szCs w:val="28"/>
        </w:rPr>
      </w:pPr>
    </w:p>
    <w:p w14:paraId="6C0EE513" w14:textId="77777777" w:rsidR="00CA5478" w:rsidRPr="00010595" w:rsidRDefault="00CA5478" w:rsidP="00E2041F">
      <w:pPr>
        <w:spacing w:line="240" w:lineRule="auto"/>
        <w:jc w:val="right"/>
        <w:rPr>
          <w:rFonts w:ascii="Times New Roman" w:hAnsi="Times New Roman" w:cs="Times New Roman"/>
          <w:sz w:val="28"/>
          <w:szCs w:val="28"/>
        </w:rPr>
      </w:pPr>
    </w:p>
    <w:p w14:paraId="55325A0C" w14:textId="157087C1" w:rsidR="00E2041F" w:rsidRPr="00010595" w:rsidRDefault="0072338A" w:rsidP="00E2041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MEMORANDUM OF </w:t>
      </w:r>
      <w:r w:rsidR="00E2041F" w:rsidRPr="00010595">
        <w:rPr>
          <w:rFonts w:ascii="Times New Roman" w:hAnsi="Times New Roman" w:cs="Times New Roman"/>
          <w:b/>
          <w:sz w:val="28"/>
          <w:szCs w:val="28"/>
        </w:rPr>
        <w:t>JUDGMENT</w:t>
      </w:r>
    </w:p>
    <w:p w14:paraId="07B567DD" w14:textId="1E9A1CA8" w:rsidR="00E2041F" w:rsidRPr="00D94DAF" w:rsidRDefault="00CA6E70" w:rsidP="00E2041F">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O</w:t>
      </w:r>
      <w:r w:rsidR="00A11B13">
        <w:rPr>
          <w:rFonts w:ascii="Times New Roman" w:hAnsi="Times New Roman" w:cs="Times New Roman"/>
          <w:b/>
          <w:sz w:val="28"/>
          <w:szCs w:val="28"/>
        </w:rPr>
        <w:t>VERVIEW</w:t>
      </w:r>
    </w:p>
    <w:p w14:paraId="27F81760" w14:textId="4AE8154A" w:rsidR="00A11B13" w:rsidRPr="00A11B13" w:rsidRDefault="00A11B13" w:rsidP="00A11B1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This is an application by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Engineering Ltd.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to dismiss the claim of Redcliff Developments Ltd. (“Redcliff”) against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by reason of delay.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relies on </w:t>
      </w:r>
      <w:r w:rsidR="00EA0CF4">
        <w:rPr>
          <w:rFonts w:ascii="Times New Roman" w:hAnsi="Times New Roman" w:cs="Times New Roman"/>
          <w:sz w:val="28"/>
          <w:szCs w:val="28"/>
          <w:lang w:val="en-US"/>
        </w:rPr>
        <w:t>r</w:t>
      </w:r>
      <w:r w:rsidR="003832AC">
        <w:rPr>
          <w:rFonts w:ascii="Times New Roman" w:hAnsi="Times New Roman" w:cs="Times New Roman"/>
          <w:sz w:val="28"/>
          <w:szCs w:val="28"/>
          <w:lang w:val="en-US"/>
        </w:rPr>
        <w:t xml:space="preserve"> </w:t>
      </w:r>
      <w:r w:rsidRPr="00A11B13">
        <w:rPr>
          <w:rFonts w:ascii="Times New Roman" w:hAnsi="Times New Roman" w:cs="Times New Roman"/>
          <w:sz w:val="28"/>
          <w:szCs w:val="28"/>
          <w:lang w:val="en-US"/>
        </w:rPr>
        <w:t xml:space="preserve">327(1)(b) of the </w:t>
      </w:r>
      <w:r w:rsidRPr="00A11B13">
        <w:rPr>
          <w:rFonts w:ascii="Times New Roman" w:hAnsi="Times New Roman" w:cs="Times New Roman"/>
          <w:i/>
          <w:iCs/>
          <w:sz w:val="28"/>
          <w:szCs w:val="28"/>
          <w:lang w:val="en-US"/>
        </w:rPr>
        <w:t>Rules of the Supreme Court of the Northwest Territories</w:t>
      </w:r>
      <w:r w:rsidR="00DE4290">
        <w:rPr>
          <w:rFonts w:ascii="Times New Roman" w:hAnsi="Times New Roman" w:cs="Times New Roman"/>
          <w:sz w:val="28"/>
          <w:szCs w:val="28"/>
          <w:lang w:val="en-US"/>
        </w:rPr>
        <w:t xml:space="preserve">, </w:t>
      </w:r>
      <w:r w:rsidR="00754A3B" w:rsidRPr="00754A3B">
        <w:rPr>
          <w:rFonts w:ascii="Times New Roman" w:hAnsi="Times New Roman" w:cs="Times New Roman"/>
          <w:sz w:val="28"/>
          <w:szCs w:val="28"/>
          <w:lang w:val="en-US"/>
        </w:rPr>
        <w:t>R-010-96</w:t>
      </w:r>
      <w:r w:rsidRPr="00A11B13">
        <w:rPr>
          <w:rFonts w:ascii="Times New Roman" w:hAnsi="Times New Roman" w:cs="Times New Roman"/>
          <w:sz w:val="28"/>
          <w:szCs w:val="28"/>
          <w:lang w:val="en-US"/>
        </w:rPr>
        <w:t xml:space="preserve">; namely, that no step has been taken to materially advance the litigation for </w:t>
      </w:r>
      <w:r w:rsidR="00D34B7B">
        <w:rPr>
          <w:rFonts w:ascii="Times New Roman" w:hAnsi="Times New Roman" w:cs="Times New Roman"/>
          <w:sz w:val="28"/>
          <w:szCs w:val="28"/>
          <w:lang w:val="en-US"/>
        </w:rPr>
        <w:t xml:space="preserve">a </w:t>
      </w:r>
      <w:r w:rsidRPr="00A11B13">
        <w:rPr>
          <w:rFonts w:ascii="Times New Roman" w:hAnsi="Times New Roman" w:cs="Times New Roman"/>
          <w:sz w:val="28"/>
          <w:szCs w:val="28"/>
          <w:lang w:val="en-US"/>
        </w:rPr>
        <w:t>period of five or more years.  This rule is sometimes referred to as the “drop dead” rule.  If I find that no step has been taken for five or more years, I must grant the application.</w:t>
      </w:r>
    </w:p>
    <w:p w14:paraId="73A594CA" w14:textId="77777777" w:rsidR="00A11B13" w:rsidRPr="00A11B13" w:rsidRDefault="00A11B13" w:rsidP="00A11B1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The parties agree that the central issue before the Court is whether the steps which have been taken to set the matter down for mediation in the fall of 2024 constitute a step which materially advances the litigation.  </w:t>
      </w:r>
      <w:proofErr w:type="gramStart"/>
      <w:r w:rsidRPr="00A11B13">
        <w:rPr>
          <w:rFonts w:ascii="Times New Roman" w:hAnsi="Times New Roman" w:cs="Times New Roman"/>
          <w:sz w:val="28"/>
          <w:szCs w:val="28"/>
          <w:lang w:val="en-US"/>
        </w:rPr>
        <w:t>For the reasons that</w:t>
      </w:r>
      <w:proofErr w:type="gramEnd"/>
      <w:r w:rsidRPr="00A11B13">
        <w:rPr>
          <w:rFonts w:ascii="Times New Roman" w:hAnsi="Times New Roman" w:cs="Times New Roman"/>
          <w:sz w:val="28"/>
          <w:szCs w:val="28"/>
          <w:lang w:val="en-US"/>
        </w:rPr>
        <w:t xml:space="preserve"> </w:t>
      </w:r>
      <w:r w:rsidRPr="00A11B13">
        <w:rPr>
          <w:rFonts w:ascii="Times New Roman" w:hAnsi="Times New Roman" w:cs="Times New Roman"/>
          <w:sz w:val="28"/>
          <w:szCs w:val="28"/>
          <w:lang w:val="en-US"/>
        </w:rPr>
        <w:lastRenderedPageBreak/>
        <w:t xml:space="preserve">follow, on the facts of this case, I find that setting the matter down for mediation does materially advance this litigation and, accordingly, I dismiss the application by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w:t>
      </w:r>
    </w:p>
    <w:p w14:paraId="3249FE32" w14:textId="77777777" w:rsidR="00A11B13" w:rsidRPr="00A11B13" w:rsidRDefault="00A11B13" w:rsidP="00A11B13">
      <w:pPr>
        <w:pStyle w:val="ListParagraph"/>
        <w:spacing w:after="240" w:line="240" w:lineRule="auto"/>
        <w:ind w:left="0"/>
        <w:jc w:val="both"/>
        <w:rPr>
          <w:rFonts w:ascii="Times New Roman" w:hAnsi="Times New Roman" w:cs="Times New Roman"/>
          <w:b/>
          <w:bCs/>
          <w:sz w:val="28"/>
          <w:szCs w:val="28"/>
          <w:lang w:val="en-US"/>
        </w:rPr>
      </w:pPr>
      <w:r w:rsidRPr="00A11B13">
        <w:rPr>
          <w:rFonts w:ascii="Times New Roman" w:hAnsi="Times New Roman" w:cs="Times New Roman"/>
          <w:b/>
          <w:bCs/>
          <w:sz w:val="28"/>
          <w:szCs w:val="28"/>
          <w:lang w:val="en-US"/>
        </w:rPr>
        <w:t>FACTS</w:t>
      </w:r>
    </w:p>
    <w:p w14:paraId="60007CFF" w14:textId="77777777" w:rsidR="00A11B13" w:rsidRPr="00A11B13" w:rsidRDefault="00A11B13" w:rsidP="00A11B13">
      <w:pPr>
        <w:pStyle w:val="ListParagraph"/>
        <w:spacing w:after="240" w:line="240" w:lineRule="auto"/>
        <w:ind w:left="0"/>
        <w:jc w:val="both"/>
        <w:rPr>
          <w:rFonts w:ascii="Times New Roman" w:hAnsi="Times New Roman" w:cs="Times New Roman"/>
          <w:sz w:val="28"/>
          <w:szCs w:val="28"/>
          <w:lang w:val="en-US"/>
        </w:rPr>
      </w:pPr>
    </w:p>
    <w:p w14:paraId="1627D224" w14:textId="51D3F206" w:rsidR="00A11B13" w:rsidRPr="00A11B13" w:rsidRDefault="00A11B13" w:rsidP="00D91211">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The facts of this matter are straightforward and not contentious. </w:t>
      </w:r>
      <w:r w:rsidR="00D91211">
        <w:rPr>
          <w:rFonts w:ascii="Times New Roman" w:hAnsi="Times New Roman" w:cs="Times New Roman"/>
          <w:sz w:val="28"/>
          <w:szCs w:val="28"/>
          <w:lang w:val="en-US"/>
        </w:rPr>
        <w:t xml:space="preserve"> </w:t>
      </w:r>
      <w:r w:rsidRPr="00A11B13">
        <w:rPr>
          <w:rFonts w:ascii="Times New Roman" w:hAnsi="Times New Roman" w:cs="Times New Roman"/>
          <w:sz w:val="28"/>
          <w:szCs w:val="28"/>
          <w:lang w:val="en-US"/>
        </w:rPr>
        <w:t xml:space="preserve">This matter arises out of a dispute involving the construction of a three-story residential development in Yellowknife, Northwest Territories.  Redcliff retained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to provide services relating to this development between 2011 and 2012.  On June 24, 2014, Redcliff filed a Statement of Claim in relation to the services provided by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A Statement of Defence was filed on February 25, 2015, documents were exchanged in 2015 and examinations for discovery took place in the spring of 2016.  Redcliff provided answers to its undertakings on February 27, </w:t>
      </w:r>
      <w:proofErr w:type="gramStart"/>
      <w:r w:rsidRPr="00A11B13">
        <w:rPr>
          <w:rFonts w:ascii="Times New Roman" w:hAnsi="Times New Roman" w:cs="Times New Roman"/>
          <w:sz w:val="28"/>
          <w:szCs w:val="28"/>
          <w:lang w:val="en-US"/>
        </w:rPr>
        <w:t>2018</w:t>
      </w:r>
      <w:proofErr w:type="gramEnd"/>
      <w:r w:rsidRPr="00A11B13">
        <w:rPr>
          <w:rFonts w:ascii="Times New Roman" w:hAnsi="Times New Roman" w:cs="Times New Roman"/>
          <w:sz w:val="28"/>
          <w:szCs w:val="28"/>
          <w:lang w:val="en-US"/>
        </w:rPr>
        <w:t xml:space="preserve"> and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provided partial answers to undertakings on September 17, 2018 and provided the remaining answers to undertakings on February 13, 2019.</w:t>
      </w:r>
    </w:p>
    <w:p w14:paraId="1A2DEC47" w14:textId="0B3442D1" w:rsidR="00A11B13" w:rsidRPr="00A11B13" w:rsidRDefault="00A11B13" w:rsidP="00D91211">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Between 2020 and 2021, there was discussion between counsel about entering into a tolling agreement (being an agreement to suspend time frames) or a consent order establishing timelines for future steps.  No tolling agreement was ever entered into nor did the parties agree on a litigation plan.</w:t>
      </w:r>
    </w:p>
    <w:p w14:paraId="73DA0352" w14:textId="4EDEB17C" w:rsidR="00A11B13" w:rsidRPr="00A11B13" w:rsidRDefault="00A11B13" w:rsidP="00D91211">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As well, on March 11, 2020, the COVID-19 pandemic was declared by the World Health Organization which resulted in public heath orders being issued in the Northwest Territories that</w:t>
      </w:r>
      <w:r w:rsidR="00491147">
        <w:rPr>
          <w:rFonts w:ascii="Times New Roman" w:hAnsi="Times New Roman" w:cs="Times New Roman"/>
          <w:sz w:val="28"/>
          <w:szCs w:val="28"/>
          <w:lang w:val="en-US"/>
        </w:rPr>
        <w:t>, among other things,</w:t>
      </w:r>
      <w:r w:rsidRPr="00A11B13">
        <w:rPr>
          <w:rFonts w:ascii="Times New Roman" w:hAnsi="Times New Roman" w:cs="Times New Roman"/>
          <w:sz w:val="28"/>
          <w:szCs w:val="28"/>
          <w:lang w:val="en-US"/>
        </w:rPr>
        <w:t xml:space="preserve"> </w:t>
      </w:r>
      <w:r w:rsidR="00491147">
        <w:rPr>
          <w:rFonts w:ascii="Times New Roman" w:hAnsi="Times New Roman" w:cs="Times New Roman"/>
          <w:sz w:val="28"/>
          <w:szCs w:val="28"/>
          <w:lang w:val="en-US"/>
        </w:rPr>
        <w:t xml:space="preserve">restricted travel </w:t>
      </w:r>
      <w:r w:rsidRPr="00A11B13">
        <w:rPr>
          <w:rFonts w:ascii="Times New Roman" w:hAnsi="Times New Roman" w:cs="Times New Roman"/>
          <w:sz w:val="28"/>
          <w:szCs w:val="28"/>
          <w:lang w:val="en-US"/>
        </w:rPr>
        <w:t xml:space="preserve">in and out of the Northwest Territories.  The affidavit of Mitchel Heron, on behalf of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sworn April 17, 2024, reveals discussion between counsel on May 8, July 27, and November 2020 as to the challenges of travel restrictions in terms of Redcliff finalizing an expert’s report.  </w:t>
      </w:r>
    </w:p>
    <w:p w14:paraId="59C4573A" w14:textId="02BE08EC" w:rsidR="00A11B13" w:rsidRPr="00A11B13" w:rsidRDefault="00A11B13" w:rsidP="00D91211">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There is no doubt that while the courts in the Northwest Territories continued to carry on business </w:t>
      </w:r>
      <w:r w:rsidR="003A739D">
        <w:rPr>
          <w:rFonts w:ascii="Times New Roman" w:hAnsi="Times New Roman" w:cs="Times New Roman"/>
          <w:sz w:val="28"/>
          <w:szCs w:val="28"/>
          <w:lang w:val="en-US"/>
        </w:rPr>
        <w:t xml:space="preserve">as much as possible </w:t>
      </w:r>
      <w:r w:rsidRPr="00A11B13">
        <w:rPr>
          <w:rFonts w:ascii="Times New Roman" w:hAnsi="Times New Roman" w:cs="Times New Roman"/>
          <w:sz w:val="28"/>
          <w:szCs w:val="28"/>
          <w:lang w:val="en-US"/>
        </w:rPr>
        <w:t xml:space="preserve">during the COVID-19 pandemic, travel restrictions in place in the Northwest Territories for a significant </w:t>
      </w:r>
      <w:proofErr w:type="gramStart"/>
      <w:r w:rsidRPr="00A11B13">
        <w:rPr>
          <w:rFonts w:ascii="Times New Roman" w:hAnsi="Times New Roman" w:cs="Times New Roman"/>
          <w:sz w:val="28"/>
          <w:szCs w:val="28"/>
          <w:lang w:val="en-US"/>
        </w:rPr>
        <w:t>period of time</w:t>
      </w:r>
      <w:proofErr w:type="gramEnd"/>
      <w:r w:rsidRPr="00A11B13">
        <w:rPr>
          <w:rFonts w:ascii="Times New Roman" w:hAnsi="Times New Roman" w:cs="Times New Roman"/>
          <w:sz w:val="28"/>
          <w:szCs w:val="28"/>
          <w:lang w:val="en-US"/>
        </w:rPr>
        <w:t xml:space="preserve"> complicated the conduct of civil litigation files.</w:t>
      </w:r>
    </w:p>
    <w:p w14:paraId="01689934" w14:textId="3C45CCD3" w:rsidR="00A11B13" w:rsidRPr="00A11B13" w:rsidRDefault="00A11B13" w:rsidP="00D91211">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On January 20, 2023, counsel for Redcliff proposed that the parties consider mediating the matter.  The parties then engaged in a discussion around the choice of a mediator, selecting three possible mediators by February 2023.  There were challenges with the availability of two of the mediators but by February 2024, Redcliff’s counsel had determined that the third mediator was available in June 2024 for a mediation.  The parties were unable to confirm those dates as </w:t>
      </w:r>
      <w:proofErr w:type="spellStart"/>
      <w:r w:rsidRPr="00A11B13">
        <w:rPr>
          <w:rFonts w:ascii="Times New Roman" w:hAnsi="Times New Roman" w:cs="Times New Roman"/>
          <w:sz w:val="28"/>
          <w:szCs w:val="28"/>
          <w:lang w:val="en-US"/>
        </w:rPr>
        <w:t>Maskwa’s</w:t>
      </w:r>
      <w:proofErr w:type="spellEnd"/>
      <w:r w:rsidRPr="00A11B13">
        <w:rPr>
          <w:rFonts w:ascii="Times New Roman" w:hAnsi="Times New Roman" w:cs="Times New Roman"/>
          <w:sz w:val="28"/>
          <w:szCs w:val="28"/>
          <w:lang w:val="en-US"/>
        </w:rPr>
        <w:t xml:space="preserve"> counsel </w:t>
      </w:r>
      <w:r w:rsidRPr="00A11B13">
        <w:rPr>
          <w:rFonts w:ascii="Times New Roman" w:hAnsi="Times New Roman" w:cs="Times New Roman"/>
          <w:sz w:val="28"/>
          <w:szCs w:val="28"/>
          <w:lang w:val="en-US"/>
        </w:rPr>
        <w:lastRenderedPageBreak/>
        <w:t xml:space="preserve">did not respond to the email inquiry as to availability within the relatively short time frame needed to confirm the June date.  Consequently, the June date was released but alternate dates in September 2024 were offered.  On February 14, 2024, the parties agreed to the September dates and on April 8, 2024, the mediator confirmed with counsel for Redcliff and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a mediation date of September 30, 2024. </w:t>
      </w:r>
    </w:p>
    <w:p w14:paraId="759842DD" w14:textId="19311B0E" w:rsidR="00A11B13" w:rsidRPr="00A11B13" w:rsidRDefault="00A11B13" w:rsidP="00D91211">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On May 9, 2024, the mediator advised that the September mediation date fell on a statutory holiday in British Columbia.  The mediation was subsequently rescheduled to October 25, 2024.</w:t>
      </w:r>
    </w:p>
    <w:p w14:paraId="4E3FB931" w14:textId="79501E87" w:rsidR="00A11B13" w:rsidRPr="00A11B13" w:rsidRDefault="00A11B13" w:rsidP="00D91211">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proofErr w:type="spellStart"/>
      <w:r w:rsidRPr="00A11B13">
        <w:rPr>
          <w:rFonts w:ascii="Times New Roman" w:hAnsi="Times New Roman" w:cs="Times New Roman"/>
          <w:sz w:val="28"/>
          <w:szCs w:val="28"/>
          <w:lang w:val="en-US"/>
        </w:rPr>
        <w:t>Maskwa’s</w:t>
      </w:r>
      <w:proofErr w:type="spellEnd"/>
      <w:r w:rsidRPr="00A11B13">
        <w:rPr>
          <w:rFonts w:ascii="Times New Roman" w:hAnsi="Times New Roman" w:cs="Times New Roman"/>
          <w:sz w:val="28"/>
          <w:szCs w:val="28"/>
          <w:lang w:val="en-US"/>
        </w:rPr>
        <w:t xml:space="preserve"> notice of motion seeking to dismiss Redcliff’s claim was filed on May 1, 2024. </w:t>
      </w:r>
    </w:p>
    <w:p w14:paraId="7DB07878" w14:textId="77777777" w:rsidR="00A11B13" w:rsidRPr="00D91211" w:rsidRDefault="00A11B13" w:rsidP="00D91211">
      <w:pPr>
        <w:pStyle w:val="ListParagraph"/>
        <w:spacing w:after="240" w:line="240" w:lineRule="auto"/>
        <w:ind w:left="0"/>
        <w:jc w:val="both"/>
        <w:rPr>
          <w:rFonts w:ascii="Times New Roman" w:hAnsi="Times New Roman" w:cs="Times New Roman"/>
          <w:b/>
          <w:bCs/>
          <w:sz w:val="28"/>
          <w:szCs w:val="28"/>
          <w:lang w:val="en-US"/>
        </w:rPr>
      </w:pPr>
      <w:r w:rsidRPr="00A11B13">
        <w:rPr>
          <w:rFonts w:ascii="Times New Roman" w:hAnsi="Times New Roman" w:cs="Times New Roman"/>
          <w:b/>
          <w:bCs/>
          <w:sz w:val="28"/>
          <w:szCs w:val="28"/>
          <w:lang w:val="en-US"/>
        </w:rPr>
        <w:t>LEGAL ANALYSIS</w:t>
      </w:r>
    </w:p>
    <w:p w14:paraId="2CF55FD7" w14:textId="77777777" w:rsidR="00D91211" w:rsidRPr="00A11B13" w:rsidRDefault="00D91211" w:rsidP="00D91211">
      <w:pPr>
        <w:pStyle w:val="ListParagraph"/>
        <w:spacing w:after="240" w:line="240" w:lineRule="auto"/>
        <w:ind w:left="0"/>
        <w:jc w:val="both"/>
        <w:rPr>
          <w:rFonts w:ascii="Times New Roman" w:hAnsi="Times New Roman" w:cs="Times New Roman"/>
          <w:sz w:val="28"/>
          <w:szCs w:val="28"/>
          <w:lang w:val="en-US"/>
        </w:rPr>
      </w:pPr>
    </w:p>
    <w:p w14:paraId="763362C0" w14:textId="730EA169" w:rsidR="00EC5737" w:rsidRPr="00EC5737" w:rsidRDefault="00A11B13" w:rsidP="00EC5737">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Rule 327 states as follows:</w:t>
      </w:r>
    </w:p>
    <w:p w14:paraId="2C605444" w14:textId="77777777" w:rsidR="00EC5737" w:rsidRPr="003400F9" w:rsidRDefault="00EC5737" w:rsidP="00EC5737">
      <w:pPr>
        <w:pStyle w:val="ListParagraph"/>
        <w:spacing w:after="0" w:line="240" w:lineRule="auto"/>
        <w:ind w:left="0"/>
        <w:jc w:val="both"/>
        <w:rPr>
          <w:rFonts w:ascii="Times New Roman" w:hAnsi="Times New Roman" w:cs="Times New Roman"/>
          <w:sz w:val="28"/>
          <w:szCs w:val="28"/>
          <w:lang w:val="en-US"/>
        </w:rPr>
      </w:pPr>
    </w:p>
    <w:p w14:paraId="068D7991" w14:textId="605E9D94" w:rsidR="00EC5737" w:rsidRDefault="00EC5737" w:rsidP="00EC5737">
      <w:pPr>
        <w:pStyle w:val="ListParagraph"/>
        <w:spacing w:after="0" w:line="240" w:lineRule="auto"/>
        <w:ind w:left="567" w:right="567"/>
        <w:jc w:val="both"/>
        <w:rPr>
          <w:rFonts w:ascii="Times New Roman" w:hAnsi="Times New Roman" w:cs="Times New Roman"/>
          <w:sz w:val="24"/>
          <w:szCs w:val="24"/>
          <w:lang w:val="en-US"/>
        </w:rPr>
      </w:pPr>
      <w:r w:rsidRPr="00764060">
        <w:rPr>
          <w:rFonts w:ascii="Times New Roman" w:hAnsi="Times New Roman" w:cs="Times New Roman"/>
          <w:sz w:val="24"/>
          <w:szCs w:val="24"/>
          <w:lang w:val="en-US"/>
        </w:rPr>
        <w:t>3</w:t>
      </w:r>
      <w:r>
        <w:rPr>
          <w:rFonts w:ascii="Times New Roman" w:hAnsi="Times New Roman" w:cs="Times New Roman"/>
          <w:sz w:val="24"/>
          <w:szCs w:val="24"/>
          <w:lang w:val="en-US"/>
        </w:rPr>
        <w:t>27</w:t>
      </w:r>
      <w:r w:rsidRPr="00764060">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A party may at any time apply to the Court for a determination that there has been delay on the part of another party in an action or proceeding and, where the Court so determines, the </w:t>
      </w:r>
      <w:proofErr w:type="gramStart"/>
      <w:r>
        <w:rPr>
          <w:rFonts w:ascii="Times New Roman" w:hAnsi="Times New Roman" w:cs="Times New Roman"/>
          <w:sz w:val="24"/>
          <w:szCs w:val="24"/>
          <w:lang w:val="en-US"/>
        </w:rPr>
        <w:t>Court</w:t>
      </w:r>
      <w:proofErr w:type="gramEnd"/>
    </w:p>
    <w:p w14:paraId="54BD3214" w14:textId="77777777" w:rsidR="00EC5737" w:rsidRPr="00EC5737" w:rsidRDefault="00EC5737" w:rsidP="00EC5737">
      <w:pPr>
        <w:pStyle w:val="ListParagraph"/>
        <w:spacing w:after="0" w:line="240" w:lineRule="auto"/>
        <w:ind w:left="567" w:right="567"/>
        <w:jc w:val="both"/>
        <w:rPr>
          <w:rFonts w:ascii="Times New Roman" w:hAnsi="Times New Roman" w:cs="Times New Roman"/>
          <w:sz w:val="24"/>
          <w:szCs w:val="24"/>
          <w:lang w:val="en-US"/>
        </w:rPr>
      </w:pPr>
    </w:p>
    <w:p w14:paraId="7C7D6060" w14:textId="4F8D2853" w:rsidR="00EC5737" w:rsidRDefault="00EC5737" w:rsidP="00EC5737">
      <w:pPr>
        <w:pStyle w:val="ListParagraph"/>
        <w:spacing w:after="0" w:line="240" w:lineRule="auto"/>
        <w:ind w:left="1287" w:right="567"/>
        <w:jc w:val="both"/>
        <w:rPr>
          <w:rFonts w:ascii="Times New Roman" w:hAnsi="Times New Roman" w:cs="Times New Roman"/>
          <w:sz w:val="24"/>
          <w:szCs w:val="24"/>
          <w:lang w:val="en-US"/>
        </w:rPr>
      </w:pPr>
      <w:r w:rsidRPr="00764060">
        <w:rPr>
          <w:rFonts w:ascii="Times New Roman" w:hAnsi="Times New Roman" w:cs="Times New Roman"/>
          <w:sz w:val="24"/>
          <w:szCs w:val="24"/>
          <w:lang w:val="en-US"/>
        </w:rPr>
        <w:t xml:space="preserve">(a) </w:t>
      </w:r>
      <w:r>
        <w:rPr>
          <w:rFonts w:ascii="Times New Roman" w:hAnsi="Times New Roman" w:cs="Times New Roman"/>
          <w:sz w:val="24"/>
          <w:szCs w:val="24"/>
          <w:lang w:val="en-US"/>
        </w:rPr>
        <w:t>may, with or without terms, dismiss the action or proceeding for want of prosecution or give directions for the speedy determination of the action or proceeding; or</w:t>
      </w:r>
    </w:p>
    <w:p w14:paraId="087DF9F4" w14:textId="77777777" w:rsidR="00EC5737" w:rsidRPr="00764060" w:rsidRDefault="00EC5737" w:rsidP="00EC5737">
      <w:pPr>
        <w:pStyle w:val="ListParagraph"/>
        <w:spacing w:after="0" w:line="240" w:lineRule="auto"/>
        <w:ind w:left="1287" w:right="567"/>
        <w:jc w:val="both"/>
        <w:rPr>
          <w:rFonts w:ascii="Times New Roman" w:hAnsi="Times New Roman" w:cs="Times New Roman"/>
          <w:sz w:val="24"/>
          <w:szCs w:val="24"/>
          <w:lang w:val="en-US"/>
        </w:rPr>
      </w:pPr>
    </w:p>
    <w:p w14:paraId="7CC49D68" w14:textId="5E718A39" w:rsidR="00D91211" w:rsidRDefault="00EC5737" w:rsidP="00EC5737">
      <w:pPr>
        <w:pStyle w:val="ListParagraph"/>
        <w:spacing w:after="0" w:line="240" w:lineRule="auto"/>
        <w:ind w:left="1287" w:right="567"/>
        <w:jc w:val="both"/>
        <w:rPr>
          <w:rFonts w:ascii="Times New Roman" w:hAnsi="Times New Roman" w:cs="Times New Roman"/>
          <w:sz w:val="24"/>
          <w:szCs w:val="24"/>
          <w:lang w:val="en-US"/>
        </w:rPr>
      </w:pPr>
      <w:r w:rsidRPr="00764060">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shall dismiss so much of the action or proceeding as relates to the application, where for five or more years no step has been taken that materially advances the action or proceeding. </w:t>
      </w:r>
    </w:p>
    <w:p w14:paraId="109265D8" w14:textId="77777777" w:rsidR="00EC5737" w:rsidRPr="00A11B13" w:rsidRDefault="00EC5737" w:rsidP="00EC5737">
      <w:pPr>
        <w:pStyle w:val="ListParagraph"/>
        <w:spacing w:after="0" w:line="240" w:lineRule="auto"/>
        <w:ind w:left="1287" w:right="567"/>
        <w:jc w:val="both"/>
        <w:rPr>
          <w:rFonts w:ascii="Times New Roman" w:hAnsi="Times New Roman" w:cs="Times New Roman"/>
          <w:sz w:val="24"/>
          <w:szCs w:val="24"/>
          <w:lang w:val="en-US"/>
        </w:rPr>
      </w:pPr>
    </w:p>
    <w:p w14:paraId="394302F8" w14:textId="6A41CFA7" w:rsidR="00A11B13" w:rsidRPr="00A11B13" w:rsidRDefault="00A11B13" w:rsidP="00EC5737">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As stated above,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relies on </w:t>
      </w:r>
      <w:r w:rsidR="00C069A5">
        <w:rPr>
          <w:rFonts w:ascii="Times New Roman" w:hAnsi="Times New Roman" w:cs="Times New Roman"/>
          <w:sz w:val="28"/>
          <w:szCs w:val="28"/>
          <w:lang w:val="en-US"/>
        </w:rPr>
        <w:t>r</w:t>
      </w:r>
      <w:r w:rsidRPr="00A11B13">
        <w:rPr>
          <w:rFonts w:ascii="Times New Roman" w:hAnsi="Times New Roman" w:cs="Times New Roman"/>
          <w:sz w:val="28"/>
          <w:szCs w:val="28"/>
          <w:lang w:val="en-US"/>
        </w:rPr>
        <w:t xml:space="preserve"> 327(1)(b) </w:t>
      </w:r>
      <w:r w:rsidR="00C069A5">
        <w:rPr>
          <w:rFonts w:ascii="Times New Roman" w:hAnsi="Times New Roman" w:cs="Times New Roman"/>
          <w:sz w:val="28"/>
          <w:szCs w:val="28"/>
          <w:lang w:val="en-US"/>
        </w:rPr>
        <w:t>to</w:t>
      </w:r>
      <w:r w:rsidRPr="00A11B13">
        <w:rPr>
          <w:rFonts w:ascii="Times New Roman" w:hAnsi="Times New Roman" w:cs="Times New Roman"/>
          <w:sz w:val="28"/>
          <w:szCs w:val="28"/>
          <w:lang w:val="en-US"/>
        </w:rPr>
        <w:t xml:space="preserve"> argue that this court must dismiss the proceeding based on their assertion that no step has been taken that materially advances the proceeding.  They argue that the last step taken which materially advanced the proceeding was </w:t>
      </w:r>
      <w:proofErr w:type="spellStart"/>
      <w:r w:rsidRPr="00A11B13">
        <w:rPr>
          <w:rFonts w:ascii="Times New Roman" w:hAnsi="Times New Roman" w:cs="Times New Roman"/>
          <w:sz w:val="28"/>
          <w:szCs w:val="28"/>
          <w:lang w:val="en-US"/>
        </w:rPr>
        <w:t>Maskwa’s</w:t>
      </w:r>
      <w:proofErr w:type="spellEnd"/>
      <w:r w:rsidRPr="00A11B13">
        <w:rPr>
          <w:rFonts w:ascii="Times New Roman" w:hAnsi="Times New Roman" w:cs="Times New Roman"/>
          <w:sz w:val="28"/>
          <w:szCs w:val="28"/>
          <w:lang w:val="en-US"/>
        </w:rPr>
        <w:t xml:space="preserve"> answers to undertakings given on February 13, 2019.  They disagree with Redcliff’s argument that the agreement to set the matter down for mediation and the actual setting of a mediation date constitutes a material step. </w:t>
      </w:r>
    </w:p>
    <w:p w14:paraId="50F638C2" w14:textId="19394D43" w:rsidR="00A11B13" w:rsidRPr="00A11B13" w:rsidRDefault="00A11B13" w:rsidP="00EC5737">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An assessment of what materially advances a proceeding is, by necessity, highly fact specific and contextual.  A functional, rather than formalistic, approach is appropriate to determine if a step constitutes a significant advance:  </w:t>
      </w:r>
      <w:r w:rsidRPr="00A11B13">
        <w:rPr>
          <w:rFonts w:ascii="Times New Roman" w:hAnsi="Times New Roman" w:cs="Times New Roman"/>
          <w:i/>
          <w:iCs/>
          <w:sz w:val="28"/>
          <w:szCs w:val="28"/>
          <w:lang w:val="en-US"/>
        </w:rPr>
        <w:t>Ursa Ventures Ltd v Edmonton (City)</w:t>
      </w:r>
      <w:r w:rsidRPr="00A11B13">
        <w:rPr>
          <w:rFonts w:ascii="Times New Roman" w:hAnsi="Times New Roman" w:cs="Times New Roman"/>
          <w:sz w:val="28"/>
          <w:szCs w:val="28"/>
          <w:lang w:val="en-US"/>
        </w:rPr>
        <w:t xml:space="preserve">, </w:t>
      </w:r>
      <w:r w:rsidR="00C069A5" w:rsidRPr="00C069A5">
        <w:rPr>
          <w:rFonts w:ascii="Times New Roman" w:hAnsi="Times New Roman" w:cs="Times New Roman"/>
          <w:sz w:val="28"/>
          <w:szCs w:val="28"/>
          <w:lang w:val="en-US"/>
        </w:rPr>
        <w:t>2016 ABCA 135</w:t>
      </w:r>
      <w:r w:rsidRPr="00A11B13">
        <w:rPr>
          <w:rFonts w:ascii="Times New Roman" w:hAnsi="Times New Roman" w:cs="Times New Roman"/>
          <w:sz w:val="28"/>
          <w:szCs w:val="28"/>
          <w:lang w:val="en-US"/>
        </w:rPr>
        <w:t xml:space="preserve"> at para</w:t>
      </w:r>
      <w:r w:rsidR="00C069A5">
        <w:rPr>
          <w:rFonts w:ascii="Times New Roman" w:hAnsi="Times New Roman" w:cs="Times New Roman"/>
          <w:sz w:val="28"/>
          <w:szCs w:val="28"/>
          <w:lang w:val="en-US"/>
        </w:rPr>
        <w:t>s 18-20</w:t>
      </w:r>
      <w:r w:rsidR="00D34B7B">
        <w:rPr>
          <w:rFonts w:ascii="Times New Roman" w:hAnsi="Times New Roman" w:cs="Times New Roman"/>
          <w:sz w:val="28"/>
          <w:szCs w:val="28"/>
          <w:lang w:val="en-US"/>
        </w:rPr>
        <w:t xml:space="preserve">, which considered Alberta’s equivalent r 4.33.  </w:t>
      </w:r>
    </w:p>
    <w:p w14:paraId="5664024C" w14:textId="4655C906" w:rsidR="00A11B13" w:rsidRPr="00A11B13" w:rsidRDefault="00A11B13" w:rsidP="00EC5737">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proofErr w:type="spellStart"/>
      <w:r w:rsidRPr="00A11B13">
        <w:rPr>
          <w:rFonts w:ascii="Times New Roman" w:hAnsi="Times New Roman" w:cs="Times New Roman"/>
          <w:sz w:val="28"/>
          <w:szCs w:val="28"/>
          <w:lang w:val="en-US"/>
        </w:rPr>
        <w:lastRenderedPageBreak/>
        <w:t>Maskwa</w:t>
      </w:r>
      <w:proofErr w:type="spellEnd"/>
      <w:r w:rsidRPr="00A11B13">
        <w:rPr>
          <w:rFonts w:ascii="Times New Roman" w:hAnsi="Times New Roman" w:cs="Times New Roman"/>
          <w:sz w:val="28"/>
          <w:szCs w:val="28"/>
          <w:lang w:val="en-US"/>
        </w:rPr>
        <w:t xml:space="preserve"> relies on </w:t>
      </w:r>
      <w:proofErr w:type="spellStart"/>
      <w:r w:rsidRPr="00A11B13">
        <w:rPr>
          <w:rFonts w:ascii="Times New Roman" w:hAnsi="Times New Roman" w:cs="Times New Roman"/>
          <w:i/>
          <w:iCs/>
          <w:sz w:val="28"/>
          <w:szCs w:val="28"/>
          <w:lang w:val="en-US"/>
        </w:rPr>
        <w:t>Muckpaloo</w:t>
      </w:r>
      <w:proofErr w:type="spellEnd"/>
      <w:r w:rsidRPr="00A11B13">
        <w:rPr>
          <w:rFonts w:ascii="Times New Roman" w:hAnsi="Times New Roman" w:cs="Times New Roman"/>
          <w:i/>
          <w:iCs/>
          <w:sz w:val="28"/>
          <w:szCs w:val="28"/>
          <w:lang w:val="en-US"/>
        </w:rPr>
        <w:t xml:space="preserve"> v MacKay</w:t>
      </w:r>
      <w:r w:rsidRPr="00A11B13">
        <w:rPr>
          <w:rFonts w:ascii="Times New Roman" w:hAnsi="Times New Roman" w:cs="Times New Roman"/>
          <w:sz w:val="28"/>
          <w:szCs w:val="28"/>
          <w:lang w:val="en-US"/>
        </w:rPr>
        <w:t xml:space="preserve">, 2002 NWTSC 12, in which Vertes, J held that settlement negotiations do not constitute a step which materially advances an action.  Vertes, J held that materially advancing an action are those steps which move the action towards trial:  </w:t>
      </w:r>
      <w:proofErr w:type="spellStart"/>
      <w:r w:rsidRPr="00A11B13">
        <w:rPr>
          <w:rFonts w:ascii="Times New Roman" w:hAnsi="Times New Roman" w:cs="Times New Roman"/>
          <w:i/>
          <w:iCs/>
          <w:sz w:val="28"/>
          <w:szCs w:val="28"/>
          <w:lang w:val="en-US"/>
        </w:rPr>
        <w:t>Muckpaloo</w:t>
      </w:r>
      <w:proofErr w:type="spellEnd"/>
      <w:r w:rsidRPr="00A11B13">
        <w:rPr>
          <w:rFonts w:ascii="Times New Roman" w:hAnsi="Times New Roman" w:cs="Times New Roman"/>
          <w:sz w:val="28"/>
          <w:szCs w:val="28"/>
          <w:lang w:val="en-US"/>
        </w:rPr>
        <w:t xml:space="preserve">, para 19 and 20.  Notably, in </w:t>
      </w:r>
      <w:proofErr w:type="spellStart"/>
      <w:r w:rsidRPr="00A11B13">
        <w:rPr>
          <w:rFonts w:ascii="Times New Roman" w:hAnsi="Times New Roman" w:cs="Times New Roman"/>
          <w:i/>
          <w:iCs/>
          <w:sz w:val="28"/>
          <w:szCs w:val="28"/>
          <w:lang w:val="en-US"/>
        </w:rPr>
        <w:t>Muckpaloo</w:t>
      </w:r>
      <w:proofErr w:type="spellEnd"/>
      <w:r w:rsidRPr="00A11B13">
        <w:rPr>
          <w:rFonts w:ascii="Times New Roman" w:hAnsi="Times New Roman" w:cs="Times New Roman"/>
          <w:sz w:val="28"/>
          <w:szCs w:val="28"/>
          <w:lang w:val="en-US"/>
        </w:rPr>
        <w:t xml:space="preserve">, the litigation spanned 12 years, with significant gaps in addition to a </w:t>
      </w:r>
      <w:proofErr w:type="gramStart"/>
      <w:r w:rsidRPr="00A11B13">
        <w:rPr>
          <w:rFonts w:ascii="Times New Roman" w:hAnsi="Times New Roman" w:cs="Times New Roman"/>
          <w:sz w:val="28"/>
          <w:szCs w:val="28"/>
          <w:lang w:val="en-US"/>
        </w:rPr>
        <w:t>five year</w:t>
      </w:r>
      <w:proofErr w:type="gramEnd"/>
      <w:r w:rsidRPr="00A11B13">
        <w:rPr>
          <w:rFonts w:ascii="Times New Roman" w:hAnsi="Times New Roman" w:cs="Times New Roman"/>
          <w:sz w:val="28"/>
          <w:szCs w:val="28"/>
          <w:lang w:val="en-US"/>
        </w:rPr>
        <w:t xml:space="preserve"> gap between 1996 and 2001 and little evidence as to the nature of the ongoing discussions between counsel.  Indeed, in </w:t>
      </w:r>
      <w:proofErr w:type="spellStart"/>
      <w:r w:rsidRPr="00A11B13">
        <w:rPr>
          <w:rFonts w:ascii="Times New Roman" w:hAnsi="Times New Roman" w:cs="Times New Roman"/>
          <w:i/>
          <w:iCs/>
          <w:sz w:val="28"/>
          <w:szCs w:val="28"/>
          <w:lang w:val="en-US"/>
        </w:rPr>
        <w:t>Muckpaloo</w:t>
      </w:r>
      <w:proofErr w:type="spellEnd"/>
      <w:r w:rsidRPr="00A11B13">
        <w:rPr>
          <w:rFonts w:ascii="Times New Roman" w:hAnsi="Times New Roman" w:cs="Times New Roman"/>
          <w:sz w:val="28"/>
          <w:szCs w:val="28"/>
          <w:lang w:val="en-US"/>
        </w:rPr>
        <w:t xml:space="preserve">, the evidence was that counsel for the plaintiff had closed her file in 1998, three years prior to the application to dismiss being filed, and that the plaintiff and her counsel appeared content to rely on the interim order rather than pursuing a further order.  </w:t>
      </w:r>
    </w:p>
    <w:p w14:paraId="385AD603" w14:textId="7EDEE766" w:rsidR="00A11B13" w:rsidRPr="00A11B13" w:rsidRDefault="00A11B13" w:rsidP="00EC5737">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Redcliff submits that there has been a cultural shift in litigation such that the focus of a delay inquiry should not simply be on whether a step moves an action towards trial but whether a step moves the lawsuit forward in a meaningful way.  As such, they submit that the test is not that articulated by </w:t>
      </w:r>
      <w:proofErr w:type="spellStart"/>
      <w:r w:rsidRPr="00A11B13">
        <w:rPr>
          <w:rFonts w:ascii="Times New Roman" w:hAnsi="Times New Roman" w:cs="Times New Roman"/>
          <w:sz w:val="28"/>
          <w:szCs w:val="28"/>
          <w:lang w:val="en-US"/>
        </w:rPr>
        <w:t>Vertes</w:t>
      </w:r>
      <w:proofErr w:type="spellEnd"/>
      <w:r w:rsidRPr="00A11B13">
        <w:rPr>
          <w:rFonts w:ascii="Times New Roman" w:hAnsi="Times New Roman" w:cs="Times New Roman"/>
          <w:sz w:val="28"/>
          <w:szCs w:val="28"/>
          <w:lang w:val="en-US"/>
        </w:rPr>
        <w:t xml:space="preserve">, J in </w:t>
      </w:r>
      <w:proofErr w:type="spellStart"/>
      <w:r w:rsidRPr="00A11B13">
        <w:rPr>
          <w:rFonts w:ascii="Times New Roman" w:hAnsi="Times New Roman" w:cs="Times New Roman"/>
          <w:i/>
          <w:iCs/>
          <w:sz w:val="28"/>
          <w:szCs w:val="28"/>
          <w:lang w:val="en-US"/>
        </w:rPr>
        <w:t>Muckpaloo</w:t>
      </w:r>
      <w:proofErr w:type="spellEnd"/>
      <w:r w:rsidRPr="00A11B13">
        <w:rPr>
          <w:rFonts w:ascii="Times New Roman" w:hAnsi="Times New Roman" w:cs="Times New Roman"/>
          <w:sz w:val="28"/>
          <w:szCs w:val="28"/>
          <w:lang w:val="en-US"/>
        </w:rPr>
        <w:t xml:space="preserve">, with its focus on movement towards trial, but that this Court must take a more holistic view of the facts to determine whether the actions taken materially advance the potential resolution of the matter.  They specifically reference the comments of the Alberta Court of Appeal in </w:t>
      </w:r>
      <w:r w:rsidRPr="00A11B13">
        <w:rPr>
          <w:rFonts w:ascii="Times New Roman" w:hAnsi="Times New Roman" w:cs="Times New Roman"/>
          <w:i/>
          <w:iCs/>
          <w:sz w:val="28"/>
          <w:szCs w:val="28"/>
          <w:lang w:val="en-US"/>
        </w:rPr>
        <w:t xml:space="preserve">Weaver v </w:t>
      </w:r>
      <w:proofErr w:type="spellStart"/>
      <w:r w:rsidRPr="00A11B13">
        <w:rPr>
          <w:rFonts w:ascii="Times New Roman" w:hAnsi="Times New Roman" w:cs="Times New Roman"/>
          <w:i/>
          <w:iCs/>
          <w:sz w:val="28"/>
          <w:szCs w:val="28"/>
          <w:lang w:val="en-US"/>
        </w:rPr>
        <w:t>Cherniawsky</w:t>
      </w:r>
      <w:proofErr w:type="spellEnd"/>
      <w:r w:rsidRPr="00A11B13">
        <w:rPr>
          <w:rFonts w:ascii="Times New Roman" w:hAnsi="Times New Roman" w:cs="Times New Roman"/>
          <w:sz w:val="28"/>
          <w:szCs w:val="28"/>
          <w:lang w:val="en-US"/>
        </w:rPr>
        <w:t>, 2016 ABCA 152 at para</w:t>
      </w:r>
      <w:r w:rsidR="00DC5E5E">
        <w:rPr>
          <w:rFonts w:ascii="Times New Roman" w:hAnsi="Times New Roman" w:cs="Times New Roman"/>
          <w:sz w:val="28"/>
          <w:szCs w:val="28"/>
          <w:lang w:val="en-US"/>
        </w:rPr>
        <w:t>s</w:t>
      </w:r>
      <w:r w:rsidRPr="00A11B13">
        <w:rPr>
          <w:rFonts w:ascii="Times New Roman" w:hAnsi="Times New Roman" w:cs="Times New Roman"/>
          <w:sz w:val="28"/>
          <w:szCs w:val="28"/>
          <w:lang w:val="en-US"/>
        </w:rPr>
        <w:t xml:space="preserve"> 17-18: </w:t>
      </w:r>
    </w:p>
    <w:p w14:paraId="0FD10E87" w14:textId="77777777" w:rsidR="00A11B13" w:rsidRPr="00A11B13" w:rsidRDefault="00A11B13" w:rsidP="00EF4B63">
      <w:pPr>
        <w:pStyle w:val="ListParagraph"/>
        <w:spacing w:after="240" w:line="240" w:lineRule="auto"/>
        <w:ind w:left="567" w:right="567"/>
        <w:contextualSpacing w:val="0"/>
        <w:jc w:val="both"/>
        <w:rPr>
          <w:rFonts w:ascii="Times New Roman" w:hAnsi="Times New Roman" w:cs="Times New Roman"/>
          <w:sz w:val="24"/>
          <w:szCs w:val="24"/>
          <w:lang w:val="en-US"/>
        </w:rPr>
      </w:pPr>
      <w:r w:rsidRPr="00A11B13">
        <w:rPr>
          <w:rFonts w:ascii="Times New Roman" w:hAnsi="Times New Roman" w:cs="Times New Roman"/>
          <w:sz w:val="24"/>
          <w:szCs w:val="24"/>
          <w:lang w:val="en-US"/>
        </w:rPr>
        <w:t xml:space="preserve">[17]           Application of the new Rules requires a functional approach. Their purpose and intent, as emphasized in the foundational rule 1.2, is to provide fair and just resolution of claims in a timely and </w:t>
      </w:r>
      <w:proofErr w:type="gramStart"/>
      <w:r w:rsidRPr="00A11B13">
        <w:rPr>
          <w:rFonts w:ascii="Times New Roman" w:hAnsi="Times New Roman" w:cs="Times New Roman"/>
          <w:sz w:val="24"/>
          <w:szCs w:val="24"/>
          <w:lang w:val="en-US"/>
        </w:rPr>
        <w:t>cost effective</w:t>
      </w:r>
      <w:proofErr w:type="gramEnd"/>
      <w:r w:rsidRPr="00A11B13">
        <w:rPr>
          <w:rFonts w:ascii="Times New Roman" w:hAnsi="Times New Roman" w:cs="Times New Roman"/>
          <w:sz w:val="24"/>
          <w:szCs w:val="24"/>
          <w:lang w:val="en-US"/>
        </w:rPr>
        <w:t xml:space="preserve"> manner. The foundational rules parallel a cultural shift in litigation that </w:t>
      </w:r>
      <w:proofErr w:type="spellStart"/>
      <w:r w:rsidRPr="00A11B13">
        <w:rPr>
          <w:rFonts w:ascii="Times New Roman" w:hAnsi="Times New Roman" w:cs="Times New Roman"/>
          <w:sz w:val="24"/>
          <w:szCs w:val="24"/>
          <w:lang w:val="en-US"/>
        </w:rPr>
        <w:t>deemphasises</w:t>
      </w:r>
      <w:proofErr w:type="spellEnd"/>
      <w:r w:rsidRPr="00A11B13">
        <w:rPr>
          <w:rFonts w:ascii="Times New Roman" w:hAnsi="Times New Roman" w:cs="Times New Roman"/>
          <w:sz w:val="24"/>
          <w:szCs w:val="24"/>
          <w:lang w:val="en-US"/>
        </w:rPr>
        <w:t xml:space="preserve"> trial as the dominant mechanism for resolving civil disputes in favor of summary procedures and ADR: </w:t>
      </w:r>
      <w:r w:rsidRPr="00A11B13">
        <w:rPr>
          <w:rFonts w:ascii="Times New Roman" w:hAnsi="Times New Roman" w:cs="Times New Roman"/>
          <w:i/>
          <w:iCs/>
          <w:sz w:val="24"/>
          <w:szCs w:val="24"/>
          <w:lang w:val="en-US"/>
        </w:rPr>
        <w:t>Hryniak v Mauldin</w:t>
      </w:r>
      <w:r w:rsidRPr="00A11B13">
        <w:rPr>
          <w:rFonts w:ascii="Times New Roman" w:hAnsi="Times New Roman" w:cs="Times New Roman"/>
          <w:sz w:val="24"/>
          <w:szCs w:val="24"/>
          <w:lang w:val="en-US"/>
        </w:rPr>
        <w:t xml:space="preserve">, 2014 SCC 7, [2014] 1 SCR 87 and </w:t>
      </w:r>
      <w:r w:rsidRPr="00A11B13">
        <w:rPr>
          <w:rFonts w:ascii="Times New Roman" w:hAnsi="Times New Roman" w:cs="Times New Roman"/>
          <w:i/>
          <w:iCs/>
          <w:sz w:val="24"/>
          <w:szCs w:val="24"/>
          <w:lang w:val="en-US"/>
        </w:rPr>
        <w:t>Windsor v Canadian</w:t>
      </w:r>
      <w:r w:rsidRPr="00A11B13">
        <w:rPr>
          <w:rFonts w:ascii="Times New Roman" w:hAnsi="Times New Roman" w:cs="Times New Roman"/>
          <w:sz w:val="24"/>
          <w:szCs w:val="24"/>
          <w:lang w:val="en-US"/>
        </w:rPr>
        <w:t xml:space="preserve"> </w:t>
      </w:r>
      <w:r w:rsidRPr="00A11B13">
        <w:rPr>
          <w:rFonts w:ascii="Times New Roman" w:hAnsi="Times New Roman" w:cs="Times New Roman"/>
          <w:i/>
          <w:iCs/>
          <w:sz w:val="24"/>
          <w:szCs w:val="24"/>
          <w:lang w:val="en-US"/>
        </w:rPr>
        <w:t>Pacific Railway</w:t>
      </w:r>
      <w:r w:rsidRPr="00A11B13">
        <w:rPr>
          <w:rFonts w:ascii="Times New Roman" w:hAnsi="Times New Roman" w:cs="Times New Roman"/>
          <w:sz w:val="24"/>
          <w:szCs w:val="24"/>
          <w:lang w:val="en-US"/>
        </w:rPr>
        <w:t xml:space="preserve">, 2014 ABCA 108, 572 AR 317 at para 15; </w:t>
      </w:r>
      <w:proofErr w:type="spellStart"/>
      <w:r w:rsidRPr="00A11B13">
        <w:rPr>
          <w:rFonts w:ascii="Times New Roman" w:hAnsi="Times New Roman" w:cs="Times New Roman"/>
          <w:i/>
          <w:iCs/>
          <w:sz w:val="24"/>
          <w:szCs w:val="24"/>
          <w:lang w:val="en-US"/>
        </w:rPr>
        <w:t>Heurto</w:t>
      </w:r>
      <w:proofErr w:type="spellEnd"/>
      <w:r w:rsidRPr="00A11B13">
        <w:rPr>
          <w:rFonts w:ascii="Times New Roman" w:hAnsi="Times New Roman" w:cs="Times New Roman"/>
          <w:i/>
          <w:iCs/>
          <w:sz w:val="24"/>
          <w:szCs w:val="24"/>
          <w:lang w:val="en-US"/>
        </w:rPr>
        <w:t xml:space="preserve"> v </w:t>
      </w:r>
      <w:proofErr w:type="spellStart"/>
      <w:r w:rsidRPr="00A11B13">
        <w:rPr>
          <w:rFonts w:ascii="Times New Roman" w:hAnsi="Times New Roman" w:cs="Times New Roman"/>
          <w:i/>
          <w:iCs/>
          <w:sz w:val="24"/>
          <w:szCs w:val="24"/>
          <w:lang w:val="en-US"/>
        </w:rPr>
        <w:t>Canniff</w:t>
      </w:r>
      <w:proofErr w:type="spellEnd"/>
      <w:r w:rsidRPr="00A11B13">
        <w:rPr>
          <w:rFonts w:ascii="Times New Roman" w:hAnsi="Times New Roman" w:cs="Times New Roman"/>
          <w:sz w:val="24"/>
          <w:szCs w:val="24"/>
          <w:lang w:val="en-US"/>
        </w:rPr>
        <w:t>, 2014 ABQB 534 at paras 13-15, aff’d 2015 ABCA 316.</w:t>
      </w:r>
    </w:p>
    <w:p w14:paraId="3E456BFB" w14:textId="59E247A9" w:rsidR="00A11B13" w:rsidRPr="00A11B13" w:rsidRDefault="00A11B13" w:rsidP="00EF4B63">
      <w:pPr>
        <w:pStyle w:val="ListParagraph"/>
        <w:spacing w:after="240" w:line="240" w:lineRule="auto"/>
        <w:ind w:left="567" w:right="567"/>
        <w:contextualSpacing w:val="0"/>
        <w:jc w:val="both"/>
        <w:rPr>
          <w:rFonts w:ascii="Times New Roman" w:hAnsi="Times New Roman" w:cs="Times New Roman"/>
          <w:sz w:val="24"/>
          <w:szCs w:val="24"/>
          <w:lang w:val="en-US"/>
        </w:rPr>
      </w:pPr>
      <w:r w:rsidRPr="00A11B13">
        <w:rPr>
          <w:rFonts w:ascii="Times New Roman" w:hAnsi="Times New Roman" w:cs="Times New Roman"/>
          <w:sz w:val="24"/>
          <w:szCs w:val="24"/>
          <w:lang w:val="en-US"/>
        </w:rPr>
        <w:t xml:space="preserve">[18]           Under the delay Rules the functional approach requires the chambers judge to determine whether the step said to be a “significant advance in an action” </w:t>
      </w:r>
      <w:proofErr w:type="gramStart"/>
      <w:r w:rsidRPr="00A11B13">
        <w:rPr>
          <w:rFonts w:ascii="Times New Roman" w:hAnsi="Times New Roman" w:cs="Times New Roman"/>
          <w:sz w:val="24"/>
          <w:szCs w:val="24"/>
          <w:lang w:val="en-US"/>
        </w:rPr>
        <w:t>actually moves</w:t>
      </w:r>
      <w:proofErr w:type="gramEnd"/>
      <w:r w:rsidRPr="00A11B13">
        <w:rPr>
          <w:rFonts w:ascii="Times New Roman" w:hAnsi="Times New Roman" w:cs="Times New Roman"/>
          <w:sz w:val="24"/>
          <w:szCs w:val="24"/>
          <w:lang w:val="en-US"/>
        </w:rPr>
        <w:t xml:space="preserve"> the lawsuit forward in a meaningful way considering its nature, value, importance and quality. The genuineness and the timing of the step are also relevant. The focus is on the substance of the step taken and its effect on the litigation, rather than on its form: </w:t>
      </w:r>
      <w:r w:rsidRPr="00A11B13">
        <w:rPr>
          <w:rFonts w:ascii="Times New Roman" w:hAnsi="Times New Roman" w:cs="Times New Roman"/>
          <w:i/>
          <w:iCs/>
          <w:sz w:val="24"/>
          <w:szCs w:val="24"/>
          <w:lang w:val="en-US"/>
        </w:rPr>
        <w:t>St Jean Estate v Edmonton</w:t>
      </w:r>
      <w:r w:rsidRPr="00A11B13">
        <w:rPr>
          <w:rFonts w:ascii="Times New Roman" w:hAnsi="Times New Roman" w:cs="Times New Roman"/>
          <w:sz w:val="24"/>
          <w:szCs w:val="24"/>
          <w:lang w:val="en-US"/>
        </w:rPr>
        <w:t xml:space="preserve"> </w:t>
      </w:r>
      <w:r w:rsidRPr="00A11B13">
        <w:rPr>
          <w:rFonts w:ascii="Times New Roman" w:hAnsi="Times New Roman" w:cs="Times New Roman"/>
          <w:i/>
          <w:iCs/>
          <w:sz w:val="24"/>
          <w:szCs w:val="24"/>
          <w:lang w:val="en-US"/>
        </w:rPr>
        <w:t>(City)</w:t>
      </w:r>
      <w:r w:rsidRPr="00A11B13">
        <w:rPr>
          <w:rFonts w:ascii="Times New Roman" w:hAnsi="Times New Roman" w:cs="Times New Roman"/>
          <w:sz w:val="24"/>
          <w:szCs w:val="24"/>
          <w:lang w:val="en-US"/>
        </w:rPr>
        <w:t xml:space="preserve">, 2014 ABQB 47 at para 19, 585 AR 81; </w:t>
      </w:r>
      <w:r w:rsidRPr="00A11B13">
        <w:rPr>
          <w:rFonts w:ascii="Times New Roman" w:hAnsi="Times New Roman" w:cs="Times New Roman"/>
          <w:i/>
          <w:iCs/>
          <w:sz w:val="24"/>
          <w:szCs w:val="24"/>
          <w:lang w:val="en-US"/>
        </w:rPr>
        <w:t>Ro-Dar Contracting Ltd. v Verbeek Sand &amp; Gravel Inc</w:t>
      </w:r>
      <w:r w:rsidRPr="00A11B13">
        <w:rPr>
          <w:rFonts w:ascii="Times New Roman" w:hAnsi="Times New Roman" w:cs="Times New Roman"/>
          <w:sz w:val="24"/>
          <w:szCs w:val="24"/>
          <w:lang w:val="en-US"/>
        </w:rPr>
        <w:t xml:space="preserve">., 2016 ABCA 123 (available on </w:t>
      </w:r>
      <w:proofErr w:type="spellStart"/>
      <w:r w:rsidRPr="00A11B13">
        <w:rPr>
          <w:rFonts w:ascii="Times New Roman" w:hAnsi="Times New Roman" w:cs="Times New Roman"/>
          <w:sz w:val="24"/>
          <w:szCs w:val="24"/>
          <w:lang w:val="en-US"/>
        </w:rPr>
        <w:t>CanLII</w:t>
      </w:r>
      <w:proofErr w:type="spellEnd"/>
      <w:r w:rsidRPr="00A11B13">
        <w:rPr>
          <w:rFonts w:ascii="Times New Roman" w:hAnsi="Times New Roman" w:cs="Times New Roman"/>
          <w:sz w:val="24"/>
          <w:szCs w:val="24"/>
          <w:lang w:val="en-US"/>
        </w:rPr>
        <w:t xml:space="preserve">); </w:t>
      </w:r>
      <w:r w:rsidRPr="00A11B13">
        <w:rPr>
          <w:rFonts w:ascii="Times New Roman" w:hAnsi="Times New Roman" w:cs="Times New Roman"/>
          <w:i/>
          <w:iCs/>
          <w:sz w:val="24"/>
          <w:szCs w:val="24"/>
          <w:lang w:val="en-US"/>
        </w:rPr>
        <w:t>Ursa Ventures Ltd. v Edmonton (City),</w:t>
      </w:r>
      <w:r w:rsidRPr="00A11B13">
        <w:rPr>
          <w:rFonts w:ascii="Times New Roman" w:hAnsi="Times New Roman" w:cs="Times New Roman"/>
          <w:sz w:val="24"/>
          <w:szCs w:val="24"/>
          <w:lang w:val="en-US"/>
        </w:rPr>
        <w:t xml:space="preserve"> 2016 ABCA 135, paras 18 and 19 (available on </w:t>
      </w:r>
      <w:proofErr w:type="spellStart"/>
      <w:r w:rsidRPr="00A11B13">
        <w:rPr>
          <w:rFonts w:ascii="Times New Roman" w:hAnsi="Times New Roman" w:cs="Times New Roman"/>
          <w:sz w:val="24"/>
          <w:szCs w:val="24"/>
          <w:lang w:val="en-US"/>
        </w:rPr>
        <w:t>CanLII</w:t>
      </w:r>
      <w:proofErr w:type="spellEnd"/>
      <w:r w:rsidRPr="00A11B13">
        <w:rPr>
          <w:rFonts w:ascii="Times New Roman" w:hAnsi="Times New Roman" w:cs="Times New Roman"/>
          <w:sz w:val="24"/>
          <w:szCs w:val="24"/>
          <w:lang w:val="en-US"/>
        </w:rPr>
        <w:t>).</w:t>
      </w:r>
    </w:p>
    <w:p w14:paraId="74DA66D9" w14:textId="46492B6A" w:rsidR="00A11B13" w:rsidRPr="00A11B13" w:rsidRDefault="00A11B13" w:rsidP="00D91211">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i/>
          <w:iCs/>
          <w:sz w:val="28"/>
          <w:szCs w:val="28"/>
          <w:lang w:val="en-US"/>
        </w:rPr>
        <w:t xml:space="preserve">Weaver </w:t>
      </w:r>
      <w:r w:rsidRPr="00A11B13">
        <w:rPr>
          <w:rFonts w:ascii="Times New Roman" w:hAnsi="Times New Roman" w:cs="Times New Roman"/>
          <w:sz w:val="28"/>
          <w:szCs w:val="28"/>
          <w:lang w:val="en-US"/>
        </w:rPr>
        <w:t xml:space="preserve">also involved an offer to attempt to settle the matter through judicial dispute resolution (“JDR”) which was never scheduled, leading to the litigation languishing for several years.  In </w:t>
      </w:r>
      <w:r w:rsidRPr="00A11B13">
        <w:rPr>
          <w:rFonts w:ascii="Times New Roman" w:hAnsi="Times New Roman" w:cs="Times New Roman"/>
          <w:i/>
          <w:iCs/>
          <w:sz w:val="28"/>
          <w:szCs w:val="28"/>
          <w:lang w:val="en-US"/>
        </w:rPr>
        <w:t>Weaver,</w:t>
      </w:r>
      <w:r w:rsidRPr="00A11B13">
        <w:rPr>
          <w:rFonts w:ascii="Times New Roman" w:hAnsi="Times New Roman" w:cs="Times New Roman"/>
          <w:sz w:val="28"/>
          <w:szCs w:val="28"/>
          <w:lang w:val="en-US"/>
        </w:rPr>
        <w:t xml:space="preserve"> the Alberta Court of Appeal held, on the </w:t>
      </w:r>
      <w:r w:rsidRPr="00A11B13">
        <w:rPr>
          <w:rFonts w:ascii="Times New Roman" w:hAnsi="Times New Roman" w:cs="Times New Roman"/>
          <w:sz w:val="28"/>
          <w:szCs w:val="28"/>
          <w:lang w:val="en-US"/>
        </w:rPr>
        <w:lastRenderedPageBreak/>
        <w:t xml:space="preserve">facts of that case, that an agreement to set the matter for JDR, without anything further, was not a step that materially advanced the action.  The court stated: </w:t>
      </w:r>
    </w:p>
    <w:p w14:paraId="5065F150" w14:textId="1B11A205" w:rsidR="00A11B13" w:rsidRPr="00A11B13" w:rsidRDefault="00A11B13" w:rsidP="00EF4B63">
      <w:pPr>
        <w:pStyle w:val="ListParagraph"/>
        <w:spacing w:after="240" w:line="240" w:lineRule="auto"/>
        <w:ind w:left="567" w:right="567"/>
        <w:contextualSpacing w:val="0"/>
        <w:jc w:val="both"/>
        <w:rPr>
          <w:rFonts w:ascii="Times New Roman" w:hAnsi="Times New Roman" w:cs="Times New Roman"/>
          <w:sz w:val="24"/>
          <w:szCs w:val="24"/>
          <w:lang w:val="en-US"/>
        </w:rPr>
      </w:pPr>
      <w:r w:rsidRPr="00A11B13">
        <w:rPr>
          <w:rFonts w:ascii="Times New Roman" w:hAnsi="Times New Roman" w:cs="Times New Roman"/>
          <w:sz w:val="24"/>
          <w:szCs w:val="24"/>
          <w:lang w:val="en-US"/>
        </w:rPr>
        <w:t>[20]</w:t>
      </w:r>
      <w:r w:rsidR="00EF4B63">
        <w:rPr>
          <w:rFonts w:ascii="Times New Roman" w:hAnsi="Times New Roman" w:cs="Times New Roman"/>
          <w:sz w:val="24"/>
          <w:szCs w:val="24"/>
          <w:lang w:val="en-US"/>
        </w:rPr>
        <w:tab/>
      </w:r>
      <w:r w:rsidRPr="00A11B13">
        <w:rPr>
          <w:rFonts w:ascii="Times New Roman" w:hAnsi="Times New Roman" w:cs="Times New Roman"/>
          <w:sz w:val="24"/>
          <w:szCs w:val="24"/>
          <w:lang w:val="en-US"/>
        </w:rPr>
        <w:t xml:space="preserve">This was merely a failed attempt to schedule a JDR and nothing more. Considering the lawsuit’s nature, value, importance and quality, the failed attempt did not move the lawsuit forward in a meaningful way. The mere agreement to schedule a JDR with no follow up within a reasonable time when the proposed dates were not available does not significantly advance an action. The appellant’s contention that a formal request for JDR was sufficient to significantly advance the action relies on form not </w:t>
      </w:r>
      <w:proofErr w:type="gramStart"/>
      <w:r w:rsidRPr="00A11B13">
        <w:rPr>
          <w:rFonts w:ascii="Times New Roman" w:hAnsi="Times New Roman" w:cs="Times New Roman"/>
          <w:sz w:val="24"/>
          <w:szCs w:val="24"/>
          <w:lang w:val="en-US"/>
        </w:rPr>
        <w:t>substance, and</w:t>
      </w:r>
      <w:proofErr w:type="gramEnd"/>
      <w:r w:rsidRPr="00A11B13">
        <w:rPr>
          <w:rFonts w:ascii="Times New Roman" w:hAnsi="Times New Roman" w:cs="Times New Roman"/>
          <w:sz w:val="24"/>
          <w:szCs w:val="24"/>
          <w:lang w:val="en-US"/>
        </w:rPr>
        <w:t xml:space="preserve"> does not pass scrutiny on a functional approach.</w:t>
      </w:r>
    </w:p>
    <w:p w14:paraId="55E79B77" w14:textId="11DDE3A7" w:rsidR="00A11B13" w:rsidRPr="00A11B13" w:rsidRDefault="00A11B13" w:rsidP="00EF4B63">
      <w:pPr>
        <w:pStyle w:val="ListParagraph"/>
        <w:spacing w:after="240" w:line="240" w:lineRule="auto"/>
        <w:ind w:left="567" w:right="567"/>
        <w:contextualSpacing w:val="0"/>
        <w:jc w:val="both"/>
        <w:rPr>
          <w:rFonts w:ascii="Times New Roman" w:hAnsi="Times New Roman" w:cs="Times New Roman"/>
          <w:sz w:val="24"/>
          <w:szCs w:val="24"/>
          <w:lang w:val="en-US"/>
        </w:rPr>
      </w:pPr>
      <w:r w:rsidRPr="00A11B13">
        <w:rPr>
          <w:rFonts w:ascii="Times New Roman" w:hAnsi="Times New Roman" w:cs="Times New Roman"/>
          <w:sz w:val="24"/>
          <w:szCs w:val="24"/>
          <w:lang w:val="en-US"/>
        </w:rPr>
        <w:t>[21]</w:t>
      </w:r>
      <w:r w:rsidR="00EF4B63">
        <w:rPr>
          <w:rFonts w:ascii="Times New Roman" w:hAnsi="Times New Roman" w:cs="Times New Roman"/>
          <w:sz w:val="24"/>
          <w:szCs w:val="24"/>
          <w:lang w:val="en-US"/>
        </w:rPr>
        <w:tab/>
      </w:r>
      <w:r w:rsidRPr="00A11B13">
        <w:rPr>
          <w:rFonts w:ascii="Times New Roman" w:hAnsi="Times New Roman" w:cs="Times New Roman"/>
          <w:sz w:val="24"/>
          <w:szCs w:val="24"/>
          <w:lang w:val="en-US"/>
        </w:rPr>
        <w:t xml:space="preserve">Given this conclusion it is unnecessary to address and resolve the second ground of appeal, that is, whether an agreement to participate in ADR significantly advances an action. An unconditional agreement to participate in ADR may advance an action. However, the functional analysis requires an inquiry into substance. On the facts of this appeal, even if such an agreement was reached, it was entirely ineffectual because it did not move the action closer to resolution. That said, each piece of litigation is unique and the content, value, and timing of the advance in the action said to “reset the clock” for the purposes of rule 4.33 must be assessed within the context of that lawsuit. This is the heart of the functional approach: </w:t>
      </w:r>
      <w:r w:rsidRPr="00A11B13">
        <w:rPr>
          <w:rFonts w:ascii="Times New Roman" w:hAnsi="Times New Roman" w:cs="Times New Roman"/>
          <w:i/>
          <w:iCs/>
          <w:sz w:val="24"/>
          <w:szCs w:val="24"/>
          <w:lang w:val="en-US"/>
        </w:rPr>
        <w:t>Ursa</w:t>
      </w:r>
      <w:r w:rsidRPr="00A11B13">
        <w:rPr>
          <w:rFonts w:ascii="Times New Roman" w:hAnsi="Times New Roman" w:cs="Times New Roman"/>
          <w:sz w:val="24"/>
          <w:szCs w:val="24"/>
          <w:lang w:val="en-US"/>
        </w:rPr>
        <w:t xml:space="preserve"> at para 21.</w:t>
      </w:r>
    </w:p>
    <w:p w14:paraId="1CC6988D" w14:textId="791A12A0" w:rsidR="00A11B13" w:rsidRPr="00A11B1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also relies on </w:t>
      </w:r>
      <w:r w:rsidRPr="00A11B13">
        <w:rPr>
          <w:rFonts w:ascii="Times New Roman" w:hAnsi="Times New Roman" w:cs="Times New Roman"/>
          <w:i/>
          <w:iCs/>
          <w:sz w:val="28"/>
          <w:szCs w:val="28"/>
          <w:lang w:val="en-US"/>
        </w:rPr>
        <w:t xml:space="preserve">Thiessen v </w:t>
      </w:r>
      <w:proofErr w:type="spellStart"/>
      <w:r w:rsidRPr="00A11B13">
        <w:rPr>
          <w:rFonts w:ascii="Times New Roman" w:hAnsi="Times New Roman" w:cs="Times New Roman"/>
          <w:i/>
          <w:iCs/>
          <w:sz w:val="28"/>
          <w:szCs w:val="28"/>
          <w:lang w:val="en-US"/>
        </w:rPr>
        <w:t>Corbiell</w:t>
      </w:r>
      <w:proofErr w:type="spellEnd"/>
      <w:r w:rsidRPr="00A11B13">
        <w:rPr>
          <w:rFonts w:ascii="Times New Roman" w:hAnsi="Times New Roman" w:cs="Times New Roman"/>
          <w:sz w:val="28"/>
          <w:szCs w:val="28"/>
          <w:lang w:val="en-US"/>
        </w:rPr>
        <w:t xml:space="preserve">, 2019 ABCA 56 for the proposition that an agreement to mediate does not constitute a step which materially advances an action.  In </w:t>
      </w:r>
      <w:r w:rsidRPr="00A11B13">
        <w:rPr>
          <w:rFonts w:ascii="Times New Roman" w:hAnsi="Times New Roman" w:cs="Times New Roman"/>
          <w:i/>
          <w:iCs/>
          <w:sz w:val="28"/>
          <w:szCs w:val="28"/>
          <w:lang w:val="en-US"/>
        </w:rPr>
        <w:t>Thiessen</w:t>
      </w:r>
      <w:r w:rsidRPr="00A11B13">
        <w:rPr>
          <w:rFonts w:ascii="Times New Roman" w:hAnsi="Times New Roman" w:cs="Times New Roman"/>
          <w:sz w:val="28"/>
          <w:szCs w:val="28"/>
          <w:lang w:val="en-US"/>
        </w:rPr>
        <w:t xml:space="preserve">, the parties attempted in 2015 to obtain a court order consolidating two matters.  This order was rejected.  Two years later, the parties agreed on mediation in January 2017, </w:t>
      </w:r>
      <w:r w:rsidR="007E30B3">
        <w:rPr>
          <w:rFonts w:ascii="Times New Roman" w:hAnsi="Times New Roman" w:cs="Times New Roman"/>
          <w:sz w:val="28"/>
          <w:szCs w:val="28"/>
          <w:lang w:val="en-US"/>
        </w:rPr>
        <w:t>but</w:t>
      </w:r>
      <w:r w:rsidRPr="00A11B13">
        <w:rPr>
          <w:rFonts w:ascii="Times New Roman" w:hAnsi="Times New Roman" w:cs="Times New Roman"/>
          <w:sz w:val="28"/>
          <w:szCs w:val="28"/>
          <w:lang w:val="en-US"/>
        </w:rPr>
        <w:t xml:space="preserve"> one of the parties cancelled the mediation 8 days prior to the mediation in June 2017 for personal reasons but expressed a desire to reschedule it “in the upcoming months”.  Two months later, before a mediation date was set, an application for dismissal based on long delay was filed.</w:t>
      </w:r>
      <w:r w:rsidR="00EF4B63">
        <w:rPr>
          <w:rFonts w:ascii="Times New Roman" w:hAnsi="Times New Roman" w:cs="Times New Roman"/>
          <w:sz w:val="28"/>
          <w:szCs w:val="28"/>
          <w:lang w:val="en-US"/>
        </w:rPr>
        <w:t xml:space="preserve"> </w:t>
      </w:r>
      <w:r w:rsidRPr="00A11B13">
        <w:rPr>
          <w:rFonts w:ascii="Times New Roman" w:hAnsi="Times New Roman" w:cs="Times New Roman"/>
          <w:sz w:val="28"/>
          <w:szCs w:val="28"/>
          <w:lang w:val="en-US"/>
        </w:rPr>
        <w:t xml:space="preserve"> The Alberta Court of Appeal held that neither the failed attempt to consolidate matters, nor the willingness to engage in mediation, materially advanced the matter.  With reference to the willingness to mediate, the Court held that an agreement to set the matters down for a mediation hearing was simply an agreement to enter settlement discussions and did not narrow the issues or move the parties to resolution. </w:t>
      </w:r>
    </w:p>
    <w:p w14:paraId="1E4D8FD1" w14:textId="1D1847DA" w:rsidR="00A11B13" w:rsidRPr="00A11B1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In both </w:t>
      </w:r>
      <w:r w:rsidRPr="00A11B13">
        <w:rPr>
          <w:rFonts w:ascii="Times New Roman" w:hAnsi="Times New Roman" w:cs="Times New Roman"/>
          <w:i/>
          <w:iCs/>
          <w:sz w:val="28"/>
          <w:szCs w:val="28"/>
          <w:lang w:val="en-US"/>
        </w:rPr>
        <w:t xml:space="preserve">Weaver </w:t>
      </w:r>
      <w:r w:rsidRPr="00A11B13">
        <w:rPr>
          <w:rFonts w:ascii="Times New Roman" w:hAnsi="Times New Roman" w:cs="Times New Roman"/>
          <w:sz w:val="28"/>
          <w:szCs w:val="28"/>
          <w:lang w:val="en-US"/>
        </w:rPr>
        <w:t xml:space="preserve">and </w:t>
      </w:r>
      <w:r w:rsidRPr="00A11B13">
        <w:rPr>
          <w:rFonts w:ascii="Times New Roman" w:hAnsi="Times New Roman" w:cs="Times New Roman"/>
          <w:i/>
          <w:iCs/>
          <w:sz w:val="28"/>
          <w:szCs w:val="28"/>
          <w:lang w:val="en-US"/>
        </w:rPr>
        <w:t>Thiessen,</w:t>
      </w:r>
      <w:r w:rsidRPr="00A11B13">
        <w:rPr>
          <w:rFonts w:ascii="Times New Roman" w:hAnsi="Times New Roman" w:cs="Times New Roman"/>
          <w:sz w:val="28"/>
          <w:szCs w:val="28"/>
          <w:lang w:val="en-US"/>
        </w:rPr>
        <w:t xml:space="preserve"> attempts to mediate appear to have been desultory at best.  In </w:t>
      </w:r>
      <w:r w:rsidRPr="00A11B13">
        <w:rPr>
          <w:rFonts w:ascii="Times New Roman" w:hAnsi="Times New Roman" w:cs="Times New Roman"/>
          <w:i/>
          <w:iCs/>
          <w:sz w:val="28"/>
          <w:szCs w:val="28"/>
          <w:lang w:val="en-US"/>
        </w:rPr>
        <w:t>Weaver</w:t>
      </w:r>
      <w:r w:rsidRPr="00A11B13">
        <w:rPr>
          <w:rFonts w:ascii="Times New Roman" w:hAnsi="Times New Roman" w:cs="Times New Roman"/>
          <w:sz w:val="28"/>
          <w:szCs w:val="28"/>
          <w:lang w:val="en-US"/>
        </w:rPr>
        <w:t xml:space="preserve">, several years passed after attempts to schedule a JDR were unsuccessful.  In </w:t>
      </w:r>
      <w:r w:rsidRPr="00A11B13">
        <w:rPr>
          <w:rFonts w:ascii="Times New Roman" w:hAnsi="Times New Roman" w:cs="Times New Roman"/>
          <w:i/>
          <w:iCs/>
          <w:sz w:val="28"/>
          <w:szCs w:val="28"/>
          <w:lang w:val="en-US"/>
        </w:rPr>
        <w:t>Thiessen</w:t>
      </w:r>
      <w:r w:rsidRPr="00A11B13">
        <w:rPr>
          <w:rFonts w:ascii="Times New Roman" w:hAnsi="Times New Roman" w:cs="Times New Roman"/>
          <w:sz w:val="28"/>
          <w:szCs w:val="28"/>
          <w:lang w:val="en-US"/>
        </w:rPr>
        <w:t>, the mediation had been booked for six months and was cancelled a mere 8 days prior to it occurring without a specific commitment to a new date.</w:t>
      </w:r>
    </w:p>
    <w:p w14:paraId="4383BFBE" w14:textId="01000F67" w:rsidR="00A11B13" w:rsidRPr="00A11B1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In contrast, on the facts of this case, the evidence establishes a sustained commitment on the part of Redcliff to arrange mediation as of January 2023.  Prior </w:t>
      </w:r>
      <w:r w:rsidRPr="00A11B13">
        <w:rPr>
          <w:rFonts w:ascii="Times New Roman" w:hAnsi="Times New Roman" w:cs="Times New Roman"/>
          <w:sz w:val="28"/>
          <w:szCs w:val="28"/>
          <w:lang w:val="en-US"/>
        </w:rPr>
        <w:lastRenderedPageBreak/>
        <w:t xml:space="preserve">to that date, the delay in pursuing the action for the period 2020 to 2022 can be partially explained by the impact of the COVID-19 pandemic and the travel restrictions in place for a considerable period.  While the courts in the Northwest Territories remained open, travel restrictions and other challenges posed by the pandemic did have the potential of complicating the conduct of civil litigation files. </w:t>
      </w:r>
    </w:p>
    <w:p w14:paraId="626EF55A" w14:textId="27D0A04D" w:rsidR="00A11B13" w:rsidRPr="00A11B1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After mediation was agreed to and the parties agreed on acceptable mediators, there is evidence of the challenges of retaining a mediator as one was winding down his practice and </w:t>
      </w:r>
      <w:r w:rsidR="007E30B3">
        <w:rPr>
          <w:rFonts w:ascii="Times New Roman" w:hAnsi="Times New Roman" w:cs="Times New Roman"/>
          <w:sz w:val="28"/>
          <w:szCs w:val="28"/>
          <w:lang w:val="en-US"/>
        </w:rPr>
        <w:t>an</w:t>
      </w:r>
      <w:r w:rsidRPr="00A11B13">
        <w:rPr>
          <w:rFonts w:ascii="Times New Roman" w:hAnsi="Times New Roman" w:cs="Times New Roman"/>
          <w:sz w:val="28"/>
          <w:szCs w:val="28"/>
          <w:lang w:val="en-US"/>
        </w:rPr>
        <w:t xml:space="preserve">other was not available until early 2025.  </w:t>
      </w:r>
      <w:r w:rsidR="007E30B3">
        <w:rPr>
          <w:rFonts w:ascii="Times New Roman" w:hAnsi="Times New Roman" w:cs="Times New Roman"/>
          <w:sz w:val="28"/>
          <w:szCs w:val="28"/>
          <w:lang w:val="en-US"/>
        </w:rPr>
        <w:t>A</w:t>
      </w:r>
      <w:r w:rsidRPr="00A11B13">
        <w:rPr>
          <w:rFonts w:ascii="Times New Roman" w:hAnsi="Times New Roman" w:cs="Times New Roman"/>
          <w:sz w:val="28"/>
          <w:szCs w:val="28"/>
          <w:lang w:val="en-US"/>
        </w:rPr>
        <w:t xml:space="preserve"> third mediator had availability in June 2024, </w:t>
      </w:r>
      <w:proofErr w:type="gramStart"/>
      <w:r w:rsidR="00B63D42">
        <w:rPr>
          <w:rFonts w:ascii="Times New Roman" w:hAnsi="Times New Roman" w:cs="Times New Roman"/>
          <w:sz w:val="28"/>
          <w:szCs w:val="28"/>
          <w:lang w:val="en-US"/>
        </w:rPr>
        <w:t>but</w:t>
      </w:r>
      <w:r w:rsidR="00D34B7B">
        <w:rPr>
          <w:rFonts w:ascii="Times New Roman" w:hAnsi="Times New Roman" w:cs="Times New Roman"/>
          <w:sz w:val="28"/>
          <w:szCs w:val="28"/>
          <w:lang w:val="en-US"/>
        </w:rPr>
        <w:t>,</w:t>
      </w:r>
      <w:proofErr w:type="gramEnd"/>
      <w:r w:rsidR="00D34B7B">
        <w:rPr>
          <w:rFonts w:ascii="Times New Roman" w:hAnsi="Times New Roman" w:cs="Times New Roman"/>
          <w:sz w:val="28"/>
          <w:szCs w:val="28"/>
          <w:lang w:val="en-US"/>
        </w:rPr>
        <w:t xml:space="preserve"> as noted above, </w:t>
      </w:r>
      <w:r w:rsidRPr="00A11B13">
        <w:rPr>
          <w:rFonts w:ascii="Times New Roman" w:hAnsi="Times New Roman" w:cs="Times New Roman"/>
          <w:sz w:val="28"/>
          <w:szCs w:val="28"/>
          <w:lang w:val="en-US"/>
        </w:rPr>
        <w:t xml:space="preserve">counsel for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was not able to confirm their availability within the relatively short time frame afforded to them, leading to the mediation being scheduled for the fall of 2024.  </w:t>
      </w:r>
    </w:p>
    <w:p w14:paraId="5F24CA05" w14:textId="3CB48FA0" w:rsidR="00A11B13" w:rsidRPr="00A11B1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Unlike </w:t>
      </w:r>
      <w:proofErr w:type="spellStart"/>
      <w:r w:rsidRPr="00A11B13">
        <w:rPr>
          <w:rFonts w:ascii="Times New Roman" w:hAnsi="Times New Roman" w:cs="Times New Roman"/>
          <w:i/>
          <w:iCs/>
          <w:sz w:val="28"/>
          <w:szCs w:val="28"/>
          <w:lang w:val="en-US"/>
        </w:rPr>
        <w:t>Muckpaloo</w:t>
      </w:r>
      <w:proofErr w:type="spellEnd"/>
      <w:r w:rsidRPr="00A11B13">
        <w:rPr>
          <w:rFonts w:ascii="Times New Roman" w:hAnsi="Times New Roman" w:cs="Times New Roman"/>
          <w:sz w:val="28"/>
          <w:szCs w:val="28"/>
          <w:lang w:val="en-US"/>
        </w:rPr>
        <w:t xml:space="preserve">, this is not a situation where the matter was left to indefinitely languish.  Unlike both </w:t>
      </w:r>
      <w:r w:rsidRPr="00A11B13">
        <w:rPr>
          <w:rFonts w:ascii="Times New Roman" w:hAnsi="Times New Roman" w:cs="Times New Roman"/>
          <w:i/>
          <w:iCs/>
          <w:sz w:val="28"/>
          <w:szCs w:val="28"/>
          <w:lang w:val="en-US"/>
        </w:rPr>
        <w:t xml:space="preserve">Weaver </w:t>
      </w:r>
      <w:r w:rsidRPr="00A11B13">
        <w:rPr>
          <w:rFonts w:ascii="Times New Roman" w:hAnsi="Times New Roman" w:cs="Times New Roman"/>
          <w:sz w:val="28"/>
          <w:szCs w:val="28"/>
          <w:lang w:val="en-US"/>
        </w:rPr>
        <w:t xml:space="preserve">and </w:t>
      </w:r>
      <w:r w:rsidRPr="00A11B13">
        <w:rPr>
          <w:rFonts w:ascii="Times New Roman" w:hAnsi="Times New Roman" w:cs="Times New Roman"/>
          <w:i/>
          <w:iCs/>
          <w:sz w:val="28"/>
          <w:szCs w:val="28"/>
          <w:lang w:val="en-US"/>
        </w:rPr>
        <w:t>Thiessen</w:t>
      </w:r>
      <w:r w:rsidRPr="00A11B13">
        <w:rPr>
          <w:rFonts w:ascii="Times New Roman" w:hAnsi="Times New Roman" w:cs="Times New Roman"/>
          <w:sz w:val="28"/>
          <w:szCs w:val="28"/>
          <w:lang w:val="en-US"/>
        </w:rPr>
        <w:t xml:space="preserve">, once mediation was agreed to, efforts to retain a mediator were genuine as were attempts to finalize the date for mediation.  While it is not determinative, it is also noteworthy that the mediation date was set on April 14, 2024, prior to the application for dismissal being filed.  This is not a situation where mediation is proposed as a last-ditch effort to avoid a dismissal application. </w:t>
      </w:r>
    </w:p>
    <w:p w14:paraId="0B26BBC9" w14:textId="0509BB74" w:rsidR="00A11B13" w:rsidRPr="00A11B1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This is also a matter where counsel appeared to be alive to the benefits of mediation versus going to trial.  There is reference </w:t>
      </w:r>
      <w:r w:rsidR="003832AC">
        <w:rPr>
          <w:rFonts w:ascii="Times New Roman" w:hAnsi="Times New Roman" w:cs="Times New Roman"/>
          <w:sz w:val="28"/>
          <w:szCs w:val="28"/>
          <w:lang w:val="en-US"/>
        </w:rPr>
        <w:t xml:space="preserve">in the email exchange between counsel </w:t>
      </w:r>
      <w:r w:rsidRPr="00A11B13">
        <w:rPr>
          <w:rFonts w:ascii="Times New Roman" w:hAnsi="Times New Roman" w:cs="Times New Roman"/>
          <w:sz w:val="28"/>
          <w:szCs w:val="28"/>
          <w:lang w:val="en-US"/>
        </w:rPr>
        <w:t>to the file not being a “massive matter” (the claim is under $500,000) and the value of saving travel costs by holding the mediation virtually.</w:t>
      </w:r>
    </w:p>
    <w:p w14:paraId="36545426" w14:textId="3A7B063D" w:rsidR="00A11B13" w:rsidRPr="00A11B1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Additionally, at the time mediation was proposed, the evidence is clear that the alternative was entering into a procedural order with a view to getting the matter to trial.  The “culture shift” in civil litigation required by </w:t>
      </w:r>
      <w:r w:rsidR="00B63D42" w:rsidRPr="00B63D42">
        <w:rPr>
          <w:rFonts w:ascii="Times New Roman" w:hAnsi="Times New Roman" w:cs="Times New Roman"/>
          <w:i/>
          <w:iCs/>
          <w:sz w:val="28"/>
          <w:szCs w:val="28"/>
          <w:lang w:val="en-US"/>
        </w:rPr>
        <w:t>Hryniak v Mauldin</w:t>
      </w:r>
      <w:r w:rsidR="00B63D42" w:rsidRPr="00B63D42">
        <w:rPr>
          <w:rFonts w:ascii="Times New Roman" w:hAnsi="Times New Roman" w:cs="Times New Roman"/>
          <w:sz w:val="28"/>
          <w:szCs w:val="28"/>
          <w:lang w:val="en-US"/>
        </w:rPr>
        <w:t>, 2014 SCC 7</w:t>
      </w:r>
      <w:r w:rsidRPr="00A11B13">
        <w:rPr>
          <w:rFonts w:ascii="Times New Roman" w:hAnsi="Times New Roman" w:cs="Times New Roman"/>
          <w:i/>
          <w:iCs/>
          <w:sz w:val="28"/>
          <w:szCs w:val="28"/>
          <w:lang w:val="en-US"/>
        </w:rPr>
        <w:t xml:space="preserve"> </w:t>
      </w:r>
      <w:r w:rsidRPr="00A11B13">
        <w:rPr>
          <w:rFonts w:ascii="Times New Roman" w:hAnsi="Times New Roman" w:cs="Times New Roman"/>
          <w:sz w:val="28"/>
          <w:szCs w:val="28"/>
          <w:lang w:val="en-US"/>
        </w:rPr>
        <w:t>suggests that courts should give real, meaningful weight to genuine attempts by counsel to mediate disputes rather than avail themselves of the court process.</w:t>
      </w:r>
    </w:p>
    <w:p w14:paraId="48E3316C" w14:textId="6FA87AA5" w:rsidR="00A11B13" w:rsidRPr="00A11B1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I also note that there is no general rule that mediations cannot constitute a step that advances an action.  The inquiry is fact-specific and contextual.  In the context of specific circumstances, mediations have been held to constitute a step that materially advanced an action:  </w:t>
      </w:r>
      <w:r w:rsidRPr="00A11B13">
        <w:rPr>
          <w:rFonts w:ascii="Times New Roman" w:hAnsi="Times New Roman" w:cs="Times New Roman"/>
          <w:i/>
          <w:iCs/>
          <w:sz w:val="28"/>
          <w:szCs w:val="28"/>
          <w:lang w:val="en-US"/>
        </w:rPr>
        <w:t>369413 Alberta Ltd v Pocklington</w:t>
      </w:r>
      <w:r w:rsidRPr="00A11B13">
        <w:rPr>
          <w:rFonts w:ascii="Times New Roman" w:hAnsi="Times New Roman" w:cs="Times New Roman"/>
          <w:sz w:val="28"/>
          <w:szCs w:val="28"/>
          <w:lang w:val="en-US"/>
        </w:rPr>
        <w:t xml:space="preserve">, 1998 ABQB 603 at para 97. </w:t>
      </w:r>
    </w:p>
    <w:p w14:paraId="48AE6681" w14:textId="11389491" w:rsidR="00A11B13" w:rsidRPr="00A11B1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In summary, the genuineness of the attempts to set the matter down for mediation, the value of the claim itself, the appropriateness of mediation as a dispute resolution mechanism, and the timing of the upcoming mediation, all persuade me </w:t>
      </w:r>
      <w:r w:rsidRPr="00A11B13">
        <w:rPr>
          <w:rFonts w:ascii="Times New Roman" w:hAnsi="Times New Roman" w:cs="Times New Roman"/>
          <w:sz w:val="28"/>
          <w:szCs w:val="28"/>
          <w:lang w:val="en-US"/>
        </w:rPr>
        <w:lastRenderedPageBreak/>
        <w:t>that, on the facts of this case, the setting down of this matter for mediation in October 2024 is a step which materially advances this litigation.</w:t>
      </w:r>
    </w:p>
    <w:p w14:paraId="2A754538" w14:textId="0791DA31" w:rsidR="00A11B13" w:rsidRPr="00A11B1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There was also argument as to whether </w:t>
      </w:r>
      <w:r w:rsidR="00EA0CF4">
        <w:rPr>
          <w:rFonts w:ascii="Times New Roman" w:hAnsi="Times New Roman" w:cs="Times New Roman"/>
          <w:sz w:val="28"/>
          <w:szCs w:val="28"/>
          <w:lang w:val="en-US"/>
        </w:rPr>
        <w:t>r</w:t>
      </w:r>
      <w:r w:rsidRPr="00A11B13">
        <w:rPr>
          <w:rFonts w:ascii="Times New Roman" w:hAnsi="Times New Roman" w:cs="Times New Roman"/>
          <w:sz w:val="28"/>
          <w:szCs w:val="28"/>
          <w:lang w:val="en-US"/>
        </w:rPr>
        <w:t xml:space="preserve"> 330, allowing counsel to enter into an agreement to vary the application of the time constraints in </w:t>
      </w:r>
      <w:r w:rsidR="003832AC">
        <w:rPr>
          <w:rFonts w:ascii="Times New Roman" w:hAnsi="Times New Roman" w:cs="Times New Roman"/>
          <w:sz w:val="28"/>
          <w:szCs w:val="28"/>
          <w:lang w:val="en-US"/>
        </w:rPr>
        <w:t xml:space="preserve">r </w:t>
      </w:r>
      <w:r w:rsidRPr="00A11B13">
        <w:rPr>
          <w:rFonts w:ascii="Times New Roman" w:hAnsi="Times New Roman" w:cs="Times New Roman"/>
          <w:sz w:val="28"/>
          <w:szCs w:val="28"/>
          <w:lang w:val="en-US"/>
        </w:rPr>
        <w:t xml:space="preserve">327, might be engaged on the facts of this case.  </w:t>
      </w:r>
      <w:proofErr w:type="spellStart"/>
      <w:r w:rsidRPr="00A11B13">
        <w:rPr>
          <w:rFonts w:ascii="Times New Roman" w:hAnsi="Times New Roman" w:cs="Times New Roman"/>
          <w:sz w:val="28"/>
          <w:szCs w:val="28"/>
          <w:lang w:val="en-US"/>
        </w:rPr>
        <w:t>Maskwa</w:t>
      </w:r>
      <w:proofErr w:type="spellEnd"/>
      <w:r w:rsidRPr="00A11B13">
        <w:rPr>
          <w:rFonts w:ascii="Times New Roman" w:hAnsi="Times New Roman" w:cs="Times New Roman"/>
          <w:sz w:val="28"/>
          <w:szCs w:val="28"/>
          <w:lang w:val="en-US"/>
        </w:rPr>
        <w:t xml:space="preserve"> argued that </w:t>
      </w:r>
      <w:r w:rsidR="00EA0CF4">
        <w:rPr>
          <w:rFonts w:ascii="Times New Roman" w:hAnsi="Times New Roman" w:cs="Times New Roman"/>
          <w:sz w:val="28"/>
          <w:szCs w:val="28"/>
          <w:lang w:val="en-US"/>
        </w:rPr>
        <w:t>r</w:t>
      </w:r>
      <w:r w:rsidRPr="00A11B13">
        <w:rPr>
          <w:rFonts w:ascii="Times New Roman" w:hAnsi="Times New Roman" w:cs="Times New Roman"/>
          <w:sz w:val="28"/>
          <w:szCs w:val="28"/>
          <w:lang w:val="en-US"/>
        </w:rPr>
        <w:t xml:space="preserve"> 330 was not engaged, as there was no express agreement to vary the time constraints of </w:t>
      </w:r>
      <w:r w:rsidR="00EA0CF4">
        <w:rPr>
          <w:rFonts w:ascii="Times New Roman" w:hAnsi="Times New Roman" w:cs="Times New Roman"/>
          <w:sz w:val="28"/>
          <w:szCs w:val="28"/>
          <w:lang w:val="en-US"/>
        </w:rPr>
        <w:t>r</w:t>
      </w:r>
      <w:r w:rsidRPr="00A11B13">
        <w:rPr>
          <w:rFonts w:ascii="Times New Roman" w:hAnsi="Times New Roman" w:cs="Times New Roman"/>
          <w:sz w:val="28"/>
          <w:szCs w:val="28"/>
          <w:lang w:val="en-US"/>
        </w:rPr>
        <w:t xml:space="preserve"> 327.  Given the conclusion I have reached that on the specific facts of this case, the agreement to mediate was </w:t>
      </w:r>
      <w:r w:rsidRPr="00C75600">
        <w:rPr>
          <w:rFonts w:ascii="Times New Roman" w:hAnsi="Times New Roman" w:cs="Times New Roman"/>
          <w:sz w:val="28"/>
          <w:szCs w:val="28"/>
          <w:lang w:val="en-US"/>
        </w:rPr>
        <w:t>a</w:t>
      </w:r>
      <w:r w:rsidRPr="00A11B13">
        <w:rPr>
          <w:rFonts w:ascii="Times New Roman" w:hAnsi="Times New Roman" w:cs="Times New Roman"/>
          <w:sz w:val="28"/>
          <w:szCs w:val="28"/>
          <w:lang w:val="en-US"/>
        </w:rPr>
        <w:t xml:space="preserve"> step that materially advanced this litigation, I do not have to decide that issue.</w:t>
      </w:r>
    </w:p>
    <w:p w14:paraId="79354718" w14:textId="0A2C5401" w:rsidR="00A11B13" w:rsidRPr="00A11B1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 xml:space="preserve">Redcliff’s counsel proposed that I impose terms with respect to the future conduct of this litigation if the mediation currently scheduled for October 2024 is not successful in resolving matters.  I decline to do so </w:t>
      </w:r>
      <w:proofErr w:type="gramStart"/>
      <w:r w:rsidRPr="00A11B13">
        <w:rPr>
          <w:rFonts w:ascii="Times New Roman" w:hAnsi="Times New Roman" w:cs="Times New Roman"/>
          <w:sz w:val="28"/>
          <w:szCs w:val="28"/>
          <w:lang w:val="en-US"/>
        </w:rPr>
        <w:t>at this time</w:t>
      </w:r>
      <w:proofErr w:type="gramEnd"/>
      <w:r w:rsidRPr="00A11B13">
        <w:rPr>
          <w:rFonts w:ascii="Times New Roman" w:hAnsi="Times New Roman" w:cs="Times New Roman"/>
          <w:sz w:val="28"/>
          <w:szCs w:val="28"/>
          <w:lang w:val="en-US"/>
        </w:rPr>
        <w:t xml:space="preserve">.  Both </w:t>
      </w:r>
      <w:proofErr w:type="gramStart"/>
      <w:r w:rsidRPr="00A11B13">
        <w:rPr>
          <w:rFonts w:ascii="Times New Roman" w:hAnsi="Times New Roman" w:cs="Times New Roman"/>
          <w:sz w:val="28"/>
          <w:szCs w:val="28"/>
          <w:lang w:val="en-US"/>
        </w:rPr>
        <w:t>counsel</w:t>
      </w:r>
      <w:proofErr w:type="gramEnd"/>
      <w:r w:rsidRPr="00A11B13">
        <w:rPr>
          <w:rFonts w:ascii="Times New Roman" w:hAnsi="Times New Roman" w:cs="Times New Roman"/>
          <w:sz w:val="28"/>
          <w:szCs w:val="28"/>
          <w:lang w:val="en-US"/>
        </w:rPr>
        <w:t xml:space="preserve"> are aware of the value of moving this matter forward, whether it be through mediation or the court process.  If mediation is unsuccessful, and there are difficulties taking the next steps in the court process, either counsel may apply for the appointment of a case management judge pursuant to </w:t>
      </w:r>
      <w:r w:rsidR="00EA0CF4">
        <w:rPr>
          <w:rFonts w:ascii="Times New Roman" w:hAnsi="Times New Roman" w:cs="Times New Roman"/>
          <w:sz w:val="28"/>
          <w:szCs w:val="28"/>
          <w:lang w:val="en-US"/>
        </w:rPr>
        <w:t>r</w:t>
      </w:r>
      <w:r w:rsidRPr="00A11B13">
        <w:rPr>
          <w:rFonts w:ascii="Times New Roman" w:hAnsi="Times New Roman" w:cs="Times New Roman"/>
          <w:sz w:val="28"/>
          <w:szCs w:val="28"/>
          <w:lang w:val="en-US"/>
        </w:rPr>
        <w:t xml:space="preserve">ule 283 or avail themselves of the other procedures available in the </w:t>
      </w:r>
      <w:r w:rsidRPr="00A11B13">
        <w:rPr>
          <w:rFonts w:ascii="Times New Roman" w:hAnsi="Times New Roman" w:cs="Times New Roman"/>
          <w:i/>
          <w:iCs/>
          <w:sz w:val="28"/>
          <w:szCs w:val="28"/>
          <w:lang w:val="en-US"/>
        </w:rPr>
        <w:t>Rules of the Supreme Court of the Northwest Territories</w:t>
      </w:r>
      <w:r w:rsidRPr="00A11B13">
        <w:rPr>
          <w:rFonts w:ascii="Times New Roman" w:hAnsi="Times New Roman" w:cs="Times New Roman"/>
          <w:sz w:val="28"/>
          <w:szCs w:val="28"/>
          <w:lang w:val="en-US"/>
        </w:rPr>
        <w:t xml:space="preserve"> to move matters forward.</w:t>
      </w:r>
    </w:p>
    <w:p w14:paraId="525FB247" w14:textId="1E70246E" w:rsidR="00A11B13" w:rsidRPr="00EF4B63" w:rsidRDefault="00A11B13" w:rsidP="00EF4B63">
      <w:pPr>
        <w:pStyle w:val="ListParagraph"/>
        <w:numPr>
          <w:ilvl w:val="0"/>
          <w:numId w:val="16"/>
        </w:numPr>
        <w:spacing w:after="240" w:line="240" w:lineRule="auto"/>
        <w:ind w:left="0" w:firstLine="0"/>
        <w:contextualSpacing w:val="0"/>
        <w:jc w:val="both"/>
        <w:rPr>
          <w:rFonts w:ascii="Times New Roman" w:hAnsi="Times New Roman" w:cs="Times New Roman"/>
          <w:sz w:val="28"/>
          <w:szCs w:val="28"/>
          <w:lang w:val="en-US"/>
        </w:rPr>
      </w:pPr>
      <w:r w:rsidRPr="00A11B13">
        <w:rPr>
          <w:rFonts w:ascii="Times New Roman" w:hAnsi="Times New Roman" w:cs="Times New Roman"/>
          <w:sz w:val="28"/>
          <w:szCs w:val="28"/>
          <w:lang w:val="en-US"/>
        </w:rPr>
        <w:t>As Redcliff was successful in defending this application, Redcliff is entitled to party and party costs</w:t>
      </w:r>
      <w:r w:rsidR="00D34B7B">
        <w:rPr>
          <w:rFonts w:ascii="Times New Roman" w:hAnsi="Times New Roman" w:cs="Times New Roman"/>
          <w:sz w:val="28"/>
          <w:szCs w:val="28"/>
          <w:lang w:val="en-US"/>
        </w:rPr>
        <w:t xml:space="preserve"> of this application. </w:t>
      </w:r>
      <w:r w:rsidR="00786EE6">
        <w:rPr>
          <w:rFonts w:ascii="Times New Roman" w:hAnsi="Times New Roman" w:cs="Times New Roman"/>
          <w:sz w:val="28"/>
          <w:szCs w:val="28"/>
          <w:lang w:val="en-US"/>
        </w:rPr>
        <w:t xml:space="preserve"> I thank both counsel for their excellent and focused submissions. </w:t>
      </w:r>
    </w:p>
    <w:p w14:paraId="4D79F253" w14:textId="77777777" w:rsidR="00E2041F" w:rsidRDefault="00E2041F" w:rsidP="00E2041F">
      <w:pPr>
        <w:spacing w:after="0" w:line="240" w:lineRule="auto"/>
        <w:rPr>
          <w:rFonts w:ascii="Times New Roman" w:hAnsi="Times New Roman" w:cs="Times New Roman"/>
          <w:sz w:val="28"/>
          <w:szCs w:val="28"/>
        </w:rPr>
      </w:pP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p>
    <w:p w14:paraId="13A07660" w14:textId="77777777" w:rsidR="003832AC" w:rsidRDefault="003832AC" w:rsidP="00E2041F">
      <w:pPr>
        <w:spacing w:after="0" w:line="240" w:lineRule="auto"/>
        <w:rPr>
          <w:rFonts w:ascii="Times New Roman" w:hAnsi="Times New Roman" w:cs="Times New Roman"/>
          <w:sz w:val="28"/>
          <w:szCs w:val="28"/>
        </w:rPr>
      </w:pPr>
    </w:p>
    <w:p w14:paraId="6265ACE8" w14:textId="77777777" w:rsidR="003832AC" w:rsidRDefault="003832AC" w:rsidP="00E2041F">
      <w:pPr>
        <w:spacing w:after="0" w:line="240" w:lineRule="auto"/>
        <w:rPr>
          <w:rFonts w:ascii="Times New Roman" w:hAnsi="Times New Roman" w:cs="Times New Roman"/>
          <w:sz w:val="28"/>
          <w:szCs w:val="28"/>
        </w:rPr>
      </w:pPr>
    </w:p>
    <w:p w14:paraId="15424F4C" w14:textId="06ABEE76" w:rsidR="00A11B13" w:rsidRPr="005D30F0" w:rsidRDefault="005D30F0" w:rsidP="000447EE">
      <w:pPr>
        <w:spacing w:after="0" w:line="240" w:lineRule="auto"/>
        <w:ind w:left="5760"/>
        <w:rPr>
          <w:rFonts w:ascii="Times New Roman" w:hAnsi="Times New Roman" w:cs="Times New Roman"/>
          <w:sz w:val="28"/>
          <w:szCs w:val="28"/>
          <w:u w:val="single"/>
        </w:rPr>
      </w:pPr>
      <w:r>
        <w:rPr>
          <w:rFonts w:ascii="Times New Roman" w:hAnsi="Times New Roman" w:cs="Times New Roman"/>
          <w:sz w:val="28"/>
          <w:szCs w:val="28"/>
          <w:u w:val="single"/>
        </w:rPr>
        <w:t>“S.M. MacPherson”</w:t>
      </w:r>
    </w:p>
    <w:p w14:paraId="5A52289A" w14:textId="64311655" w:rsidR="00E2041F" w:rsidRPr="00010595" w:rsidRDefault="009B500F" w:rsidP="00E2041F">
      <w:pPr>
        <w:spacing w:after="0" w:line="240" w:lineRule="auto"/>
        <w:ind w:left="5040" w:firstLine="720"/>
        <w:rPr>
          <w:rFonts w:ascii="Times New Roman" w:hAnsi="Times New Roman" w:cs="Times New Roman"/>
          <w:sz w:val="28"/>
          <w:szCs w:val="28"/>
        </w:rPr>
      </w:pPr>
      <w:r>
        <w:rPr>
          <w:rFonts w:ascii="Times New Roman" w:hAnsi="Times New Roman" w:cs="Times New Roman"/>
          <w:sz w:val="28"/>
          <w:szCs w:val="28"/>
        </w:rPr>
        <w:t>S.M. MacPherson</w:t>
      </w:r>
    </w:p>
    <w:p w14:paraId="1CEC7C9B" w14:textId="77777777" w:rsidR="00E2041F" w:rsidRPr="00010595" w:rsidRDefault="00E2041F" w:rsidP="00E2041F">
      <w:pPr>
        <w:spacing w:after="0" w:line="240" w:lineRule="auto"/>
        <w:rPr>
          <w:rFonts w:ascii="Times New Roman" w:hAnsi="Times New Roman" w:cs="Times New Roman"/>
          <w:sz w:val="28"/>
          <w:szCs w:val="28"/>
        </w:rPr>
      </w:pP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t>JSC</w:t>
      </w:r>
    </w:p>
    <w:p w14:paraId="377505EC" w14:textId="77777777" w:rsidR="00E2041F" w:rsidRPr="00010595" w:rsidRDefault="00E2041F" w:rsidP="00E2041F">
      <w:pPr>
        <w:spacing w:after="0" w:line="240" w:lineRule="auto"/>
        <w:rPr>
          <w:rFonts w:ascii="Times New Roman" w:hAnsi="Times New Roman" w:cs="Times New Roman"/>
          <w:sz w:val="28"/>
          <w:szCs w:val="28"/>
        </w:rPr>
      </w:pPr>
      <w:r w:rsidRPr="00010595">
        <w:rPr>
          <w:rFonts w:ascii="Times New Roman" w:hAnsi="Times New Roman" w:cs="Times New Roman"/>
          <w:sz w:val="28"/>
          <w:szCs w:val="28"/>
        </w:rPr>
        <w:t xml:space="preserve"> </w:t>
      </w:r>
    </w:p>
    <w:p w14:paraId="1F7110BE" w14:textId="77777777" w:rsidR="00E2041F" w:rsidRPr="00010595" w:rsidRDefault="00E2041F" w:rsidP="00E2041F">
      <w:pPr>
        <w:spacing w:after="0" w:line="240" w:lineRule="auto"/>
        <w:rPr>
          <w:rFonts w:ascii="Times New Roman" w:hAnsi="Times New Roman" w:cs="Times New Roman"/>
          <w:sz w:val="28"/>
          <w:szCs w:val="28"/>
        </w:rPr>
      </w:pPr>
      <w:r w:rsidRPr="00010595">
        <w:rPr>
          <w:rFonts w:ascii="Times New Roman" w:hAnsi="Times New Roman" w:cs="Times New Roman"/>
          <w:sz w:val="28"/>
          <w:szCs w:val="28"/>
        </w:rPr>
        <w:t>D</w:t>
      </w:r>
      <w:r w:rsidRPr="00010595">
        <w:rPr>
          <w:rFonts w:ascii="Times New Roman" w:hAnsi="Times New Roman"/>
          <w:sz w:val="28"/>
          <w:szCs w:val="28"/>
        </w:rPr>
        <w:t xml:space="preserve">ated in Yellowknife, NT </w:t>
      </w:r>
      <w:proofErr w:type="gramStart"/>
      <w:r w:rsidRPr="00010595">
        <w:rPr>
          <w:rFonts w:ascii="Times New Roman" w:hAnsi="Times New Roman"/>
          <w:sz w:val="28"/>
          <w:szCs w:val="28"/>
        </w:rPr>
        <w:t>this</w:t>
      </w:r>
      <w:proofErr w:type="gramEnd"/>
      <w:r w:rsidRPr="00010595">
        <w:rPr>
          <w:rFonts w:ascii="Times New Roman" w:hAnsi="Times New Roman"/>
          <w:sz w:val="28"/>
          <w:szCs w:val="28"/>
        </w:rPr>
        <w:t xml:space="preserve"> </w:t>
      </w:r>
    </w:p>
    <w:p w14:paraId="4F9C12FA" w14:textId="5D75B430" w:rsidR="00E2041F" w:rsidRDefault="00050BBD" w:rsidP="00E2041F">
      <w:pPr>
        <w:pStyle w:val="ListParagraph"/>
        <w:ind w:left="0"/>
        <w:rPr>
          <w:rFonts w:ascii="Times New Roman" w:hAnsi="Times New Roman"/>
          <w:sz w:val="28"/>
          <w:szCs w:val="28"/>
        </w:rPr>
      </w:pPr>
      <w:r>
        <w:rPr>
          <w:rFonts w:ascii="Times New Roman" w:hAnsi="Times New Roman"/>
          <w:sz w:val="28"/>
          <w:szCs w:val="28"/>
        </w:rPr>
        <w:t>1</w:t>
      </w:r>
      <w:proofErr w:type="gramStart"/>
      <w:r w:rsidRPr="00050BBD">
        <w:rPr>
          <w:rFonts w:ascii="Times New Roman" w:hAnsi="Times New Roman"/>
          <w:sz w:val="28"/>
          <w:szCs w:val="28"/>
          <w:vertAlign w:val="superscript"/>
        </w:rPr>
        <w:t>st</w:t>
      </w:r>
      <w:r>
        <w:rPr>
          <w:rFonts w:ascii="Times New Roman" w:hAnsi="Times New Roman"/>
          <w:sz w:val="28"/>
          <w:szCs w:val="28"/>
        </w:rPr>
        <w:t xml:space="preserve"> </w:t>
      </w:r>
      <w:r w:rsidR="0019462F">
        <w:rPr>
          <w:rFonts w:ascii="Times New Roman" w:hAnsi="Times New Roman"/>
          <w:sz w:val="28"/>
          <w:szCs w:val="28"/>
        </w:rPr>
        <w:t xml:space="preserve"> </w:t>
      </w:r>
      <w:r w:rsidR="00E2041F" w:rsidRPr="00010595">
        <w:rPr>
          <w:rFonts w:ascii="Times New Roman" w:hAnsi="Times New Roman"/>
          <w:sz w:val="28"/>
          <w:szCs w:val="28"/>
        </w:rPr>
        <w:t>day</w:t>
      </w:r>
      <w:proofErr w:type="gramEnd"/>
      <w:r w:rsidR="00E2041F" w:rsidRPr="00010595">
        <w:rPr>
          <w:rFonts w:ascii="Times New Roman" w:hAnsi="Times New Roman"/>
          <w:sz w:val="28"/>
          <w:szCs w:val="28"/>
        </w:rPr>
        <w:t xml:space="preserve"> of </w:t>
      </w:r>
      <w:r>
        <w:rPr>
          <w:rFonts w:ascii="Times New Roman" w:hAnsi="Times New Roman"/>
          <w:sz w:val="28"/>
          <w:szCs w:val="28"/>
        </w:rPr>
        <w:t>August</w:t>
      </w:r>
      <w:r w:rsidR="00E2041F" w:rsidRPr="00010595">
        <w:rPr>
          <w:rFonts w:ascii="Times New Roman" w:hAnsi="Times New Roman"/>
          <w:sz w:val="28"/>
          <w:szCs w:val="28"/>
        </w:rPr>
        <w:t>, 20</w:t>
      </w:r>
      <w:r w:rsidR="00E2041F">
        <w:rPr>
          <w:rFonts w:ascii="Times New Roman" w:hAnsi="Times New Roman"/>
          <w:sz w:val="28"/>
          <w:szCs w:val="28"/>
        </w:rPr>
        <w:t>2</w:t>
      </w:r>
      <w:r w:rsidR="009B500F">
        <w:rPr>
          <w:rFonts w:ascii="Times New Roman" w:hAnsi="Times New Roman"/>
          <w:sz w:val="28"/>
          <w:szCs w:val="28"/>
        </w:rPr>
        <w:t>4</w:t>
      </w:r>
    </w:p>
    <w:p w14:paraId="3190E560" w14:textId="77777777" w:rsidR="00E2041F" w:rsidRDefault="00E2041F" w:rsidP="00E2041F">
      <w:pPr>
        <w:pStyle w:val="ListParagraph"/>
        <w:ind w:left="0"/>
        <w:rPr>
          <w:rFonts w:ascii="Times New Roman" w:hAnsi="Times New Roman"/>
          <w:sz w:val="28"/>
          <w:szCs w:val="28"/>
        </w:rPr>
      </w:pPr>
    </w:p>
    <w:p w14:paraId="5D82E368" w14:textId="62D630E2" w:rsidR="00F052E4" w:rsidRPr="00010595" w:rsidRDefault="00F052E4" w:rsidP="00F052E4">
      <w:pPr>
        <w:tabs>
          <w:tab w:val="left" w:pos="-1440"/>
        </w:tabs>
        <w:spacing w:after="0" w:line="240" w:lineRule="auto"/>
        <w:rPr>
          <w:rFonts w:ascii="Times New Roman" w:hAnsi="Times New Roman"/>
          <w:sz w:val="28"/>
          <w:szCs w:val="28"/>
        </w:rPr>
      </w:pPr>
    </w:p>
    <w:p w14:paraId="015AE5E0" w14:textId="77777777" w:rsidR="00F052E4" w:rsidRDefault="00F052E4" w:rsidP="00F052E4">
      <w:pPr>
        <w:spacing w:after="0" w:line="240" w:lineRule="auto"/>
        <w:rPr>
          <w:rFonts w:ascii="Times New Roman" w:hAnsi="Times New Roman"/>
          <w:sz w:val="28"/>
          <w:szCs w:val="28"/>
        </w:rPr>
      </w:pPr>
      <w:r>
        <w:rPr>
          <w:rFonts w:ascii="Times New Roman" w:hAnsi="Times New Roman"/>
          <w:sz w:val="28"/>
          <w:szCs w:val="28"/>
        </w:rPr>
        <w:t xml:space="preserve">Counsel for the Plaintiff: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Jon Rossall, KC</w:t>
      </w:r>
    </w:p>
    <w:p w14:paraId="173174BB" w14:textId="77777777" w:rsidR="00F052E4" w:rsidRDefault="00F052E4" w:rsidP="00F052E4">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Eri</w:t>
      </w:r>
      <w:r w:rsidRPr="00522AB3">
        <w:rPr>
          <w:rFonts w:ascii="Times New Roman" w:hAnsi="Times New Roman"/>
          <w:sz w:val="28"/>
          <w:szCs w:val="28"/>
        </w:rPr>
        <w:t>k</w:t>
      </w:r>
      <w:r>
        <w:rPr>
          <w:rFonts w:ascii="Times New Roman" w:hAnsi="Times New Roman"/>
          <w:sz w:val="28"/>
          <w:szCs w:val="28"/>
        </w:rPr>
        <w:t xml:space="preserve"> Holmstrom</w:t>
      </w:r>
    </w:p>
    <w:p w14:paraId="5F57DFCE" w14:textId="77777777" w:rsidR="00F052E4" w:rsidRDefault="00F052E4" w:rsidP="00F052E4">
      <w:pPr>
        <w:spacing w:after="0" w:line="240" w:lineRule="auto"/>
        <w:rPr>
          <w:rFonts w:ascii="Times New Roman" w:hAnsi="Times New Roman"/>
          <w:sz w:val="28"/>
          <w:szCs w:val="28"/>
        </w:rPr>
      </w:pPr>
    </w:p>
    <w:p w14:paraId="630FAE68" w14:textId="71351750" w:rsidR="00F052E4" w:rsidRDefault="00F052E4" w:rsidP="00F052E4">
      <w:pPr>
        <w:pStyle w:val="ListParagraph"/>
        <w:ind w:left="0"/>
        <w:rPr>
          <w:rFonts w:ascii="Times New Roman" w:hAnsi="Times New Roman"/>
          <w:sz w:val="28"/>
          <w:szCs w:val="28"/>
        </w:rPr>
      </w:pPr>
      <w:r>
        <w:rPr>
          <w:rFonts w:ascii="Times New Roman" w:hAnsi="Times New Roman"/>
          <w:sz w:val="28"/>
          <w:szCs w:val="28"/>
        </w:rPr>
        <w:t>Counsel for the Defendant: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Kent T. West</w:t>
      </w:r>
    </w:p>
    <w:p w14:paraId="5D1F8F3F" w14:textId="77777777" w:rsidR="00F052E4" w:rsidRDefault="00F052E4" w:rsidP="00E2041F">
      <w:pPr>
        <w:pStyle w:val="ListParagraph"/>
        <w:ind w:left="0"/>
        <w:rPr>
          <w:rFonts w:ascii="Times New Roman" w:hAnsi="Times New Roman"/>
          <w:sz w:val="28"/>
          <w:szCs w:val="28"/>
        </w:rPr>
      </w:pPr>
    </w:p>
    <w:p w14:paraId="5F217D03" w14:textId="77777777" w:rsidR="00F052E4" w:rsidRDefault="00F052E4" w:rsidP="00E2041F">
      <w:pPr>
        <w:pStyle w:val="ListParagraph"/>
        <w:ind w:left="0"/>
        <w:rPr>
          <w:rFonts w:ascii="Times New Roman" w:hAnsi="Times New Roman"/>
          <w:sz w:val="28"/>
          <w:szCs w:val="28"/>
        </w:rPr>
      </w:pPr>
    </w:p>
    <w:p w14:paraId="0128AB73" w14:textId="43289A31" w:rsidR="00D861E9" w:rsidRPr="00AD3FC0" w:rsidRDefault="00D861E9" w:rsidP="00D861E9">
      <w:pPr>
        <w:spacing w:after="160" w:line="259" w:lineRule="auto"/>
        <w:jc w:val="center"/>
        <w:rPr>
          <w:rFonts w:eastAsia="Calibri"/>
          <w:b/>
          <w:sz w:val="28"/>
          <w:szCs w:val="28"/>
          <w:lang w:eastAsia="en-US"/>
        </w:rPr>
      </w:pPr>
      <w:r w:rsidRPr="00AD3FC0">
        <w:rPr>
          <w:rFonts w:eastAsia="Calibri"/>
          <w:b/>
          <w:sz w:val="28"/>
          <w:szCs w:val="28"/>
          <w:lang w:eastAsia="en-US"/>
        </w:rPr>
        <w:t xml:space="preserve">Corrigendum </w:t>
      </w:r>
      <w:r w:rsidR="00123A5F">
        <w:rPr>
          <w:rFonts w:eastAsia="Calibri"/>
          <w:b/>
          <w:sz w:val="28"/>
          <w:szCs w:val="28"/>
          <w:lang w:eastAsia="en-US"/>
        </w:rPr>
        <w:t>of the Memorandum of Judgment</w:t>
      </w:r>
    </w:p>
    <w:p w14:paraId="10461A78" w14:textId="77777777" w:rsidR="00D861E9" w:rsidRPr="00AD3FC0" w:rsidRDefault="00D861E9" w:rsidP="00D861E9">
      <w:pPr>
        <w:spacing w:after="160" w:line="259" w:lineRule="auto"/>
        <w:jc w:val="center"/>
        <w:rPr>
          <w:rFonts w:eastAsia="Calibri"/>
          <w:b/>
          <w:sz w:val="28"/>
          <w:szCs w:val="28"/>
          <w:lang w:eastAsia="en-US"/>
        </w:rPr>
      </w:pPr>
      <w:r w:rsidRPr="00AD3FC0">
        <w:rPr>
          <w:rFonts w:eastAsia="Calibri"/>
          <w:b/>
          <w:sz w:val="28"/>
          <w:szCs w:val="28"/>
          <w:lang w:eastAsia="en-US"/>
        </w:rPr>
        <w:t>Of</w:t>
      </w:r>
    </w:p>
    <w:p w14:paraId="6C723034" w14:textId="77777777" w:rsidR="00D861E9" w:rsidRPr="00AD3FC0" w:rsidRDefault="00D861E9" w:rsidP="00D861E9">
      <w:pPr>
        <w:spacing w:after="160" w:line="259" w:lineRule="auto"/>
        <w:jc w:val="center"/>
        <w:rPr>
          <w:rFonts w:eastAsia="Calibri"/>
          <w:b/>
          <w:sz w:val="28"/>
          <w:szCs w:val="28"/>
          <w:lang w:eastAsia="en-US"/>
        </w:rPr>
      </w:pPr>
      <w:r w:rsidRPr="00AD3FC0">
        <w:rPr>
          <w:rFonts w:eastAsia="Calibri"/>
          <w:b/>
          <w:sz w:val="28"/>
          <w:szCs w:val="28"/>
          <w:lang w:eastAsia="en-US"/>
        </w:rPr>
        <w:t xml:space="preserve">The Honourable Justice </w:t>
      </w:r>
      <w:r>
        <w:rPr>
          <w:rFonts w:eastAsia="Calibri"/>
          <w:b/>
          <w:sz w:val="28"/>
          <w:szCs w:val="28"/>
          <w:lang w:eastAsia="en-US"/>
        </w:rPr>
        <w:t>S.M. MacPherson</w:t>
      </w:r>
    </w:p>
    <w:p w14:paraId="73B03296" w14:textId="77777777" w:rsidR="00D861E9" w:rsidRPr="00AD3FC0" w:rsidRDefault="00D861E9" w:rsidP="00D861E9">
      <w:pPr>
        <w:spacing w:after="160" w:line="259" w:lineRule="auto"/>
        <w:jc w:val="center"/>
        <w:rPr>
          <w:rFonts w:eastAsia="Calibri"/>
          <w:b/>
          <w:sz w:val="28"/>
          <w:szCs w:val="28"/>
          <w:lang w:eastAsia="en-US"/>
        </w:rPr>
      </w:pPr>
    </w:p>
    <w:p w14:paraId="4991981B" w14:textId="05734080" w:rsidR="00D861E9" w:rsidRPr="00AD3FC0" w:rsidRDefault="00D861E9" w:rsidP="00D861E9">
      <w:pPr>
        <w:numPr>
          <w:ilvl w:val="0"/>
          <w:numId w:val="18"/>
        </w:numPr>
        <w:spacing w:after="160" w:line="259" w:lineRule="auto"/>
        <w:contextualSpacing/>
        <w:rPr>
          <w:rFonts w:eastAsia="Calibri"/>
          <w:sz w:val="28"/>
          <w:szCs w:val="28"/>
          <w:lang w:eastAsia="en-US"/>
        </w:rPr>
      </w:pPr>
      <w:r w:rsidRPr="00AD3FC0">
        <w:rPr>
          <w:rFonts w:eastAsia="Calibri"/>
          <w:sz w:val="28"/>
          <w:szCs w:val="28"/>
          <w:lang w:eastAsia="en-US"/>
        </w:rPr>
        <w:t xml:space="preserve">An error occurred </w:t>
      </w:r>
      <w:r w:rsidR="00123A5F">
        <w:rPr>
          <w:rFonts w:eastAsia="Calibri"/>
          <w:sz w:val="28"/>
          <w:szCs w:val="28"/>
          <w:lang w:eastAsia="en-US"/>
        </w:rPr>
        <w:t>on Page 7</w:t>
      </w:r>
      <w:r w:rsidR="00725DFE">
        <w:rPr>
          <w:rFonts w:eastAsia="Calibri"/>
          <w:sz w:val="28"/>
          <w:szCs w:val="28"/>
          <w:lang w:eastAsia="en-US"/>
        </w:rPr>
        <w:t xml:space="preserve"> </w:t>
      </w:r>
      <w:r w:rsidR="0028050D">
        <w:rPr>
          <w:rFonts w:eastAsia="Calibri"/>
          <w:sz w:val="28"/>
          <w:szCs w:val="28"/>
          <w:lang w:eastAsia="en-US"/>
        </w:rPr>
        <w:t>at</w:t>
      </w:r>
      <w:r w:rsidR="00725DFE">
        <w:rPr>
          <w:rFonts w:eastAsia="Calibri"/>
          <w:sz w:val="28"/>
          <w:szCs w:val="28"/>
          <w:lang w:eastAsia="en-US"/>
        </w:rPr>
        <w:t xml:space="preserve"> Counsel for the Plaintiff</w:t>
      </w:r>
      <w:r w:rsidR="00123A5F">
        <w:rPr>
          <w:rFonts w:eastAsia="Calibri"/>
          <w:sz w:val="28"/>
          <w:szCs w:val="28"/>
          <w:lang w:eastAsia="en-US"/>
        </w:rPr>
        <w:t>:</w:t>
      </w:r>
    </w:p>
    <w:p w14:paraId="71852823" w14:textId="77777777" w:rsidR="00D861E9" w:rsidRPr="00AD3FC0" w:rsidRDefault="00D861E9" w:rsidP="00D861E9">
      <w:pPr>
        <w:spacing w:after="160" w:line="259" w:lineRule="auto"/>
        <w:ind w:left="720"/>
        <w:contextualSpacing/>
        <w:rPr>
          <w:rFonts w:eastAsia="Calibri"/>
          <w:sz w:val="28"/>
          <w:szCs w:val="28"/>
          <w:lang w:eastAsia="en-US"/>
        </w:rPr>
      </w:pPr>
    </w:p>
    <w:p w14:paraId="1C61A8E0" w14:textId="140E1163" w:rsidR="00D861E9" w:rsidRPr="00AD3FC0" w:rsidRDefault="00725DFE" w:rsidP="00D861E9">
      <w:pPr>
        <w:spacing w:after="160" w:line="259" w:lineRule="auto"/>
        <w:ind w:left="720"/>
        <w:contextualSpacing/>
        <w:rPr>
          <w:rFonts w:eastAsia="Calibri"/>
          <w:sz w:val="28"/>
          <w:szCs w:val="28"/>
          <w:lang w:eastAsia="en-US"/>
        </w:rPr>
      </w:pPr>
      <w:r>
        <w:rPr>
          <w:rFonts w:eastAsia="Calibri"/>
          <w:sz w:val="28"/>
          <w:szCs w:val="28"/>
          <w:lang w:eastAsia="en-US"/>
        </w:rPr>
        <w:t xml:space="preserve">Counsel for the </w:t>
      </w:r>
      <w:proofErr w:type="gramStart"/>
      <w:r>
        <w:rPr>
          <w:rFonts w:eastAsia="Calibri"/>
          <w:sz w:val="28"/>
          <w:szCs w:val="28"/>
          <w:lang w:eastAsia="en-US"/>
        </w:rPr>
        <w:t>Plaintiff</w:t>
      </w:r>
      <w:r w:rsidR="00F7310F">
        <w:rPr>
          <w:rFonts w:eastAsia="Calibri"/>
          <w:sz w:val="28"/>
          <w:szCs w:val="28"/>
          <w:lang w:eastAsia="en-US"/>
        </w:rPr>
        <w:t>:</w:t>
      </w:r>
      <w:proofErr w:type="gramEnd"/>
      <w:r w:rsidR="00F7310F">
        <w:rPr>
          <w:rFonts w:eastAsia="Calibri"/>
          <w:sz w:val="28"/>
          <w:szCs w:val="28"/>
          <w:lang w:eastAsia="en-US"/>
        </w:rPr>
        <w:t xml:space="preserve">  reads Eric Holmstrom</w:t>
      </w:r>
      <w:r w:rsidR="00D861E9" w:rsidRPr="00AD3FC0">
        <w:rPr>
          <w:rFonts w:eastAsia="Calibri"/>
          <w:sz w:val="28"/>
          <w:szCs w:val="28"/>
          <w:lang w:eastAsia="en-US"/>
        </w:rPr>
        <w:t>:</w:t>
      </w:r>
    </w:p>
    <w:p w14:paraId="7131E8A9" w14:textId="77777777" w:rsidR="00D861E9" w:rsidRPr="00AD3FC0" w:rsidRDefault="00D861E9" w:rsidP="00F7310F">
      <w:pPr>
        <w:spacing w:after="160" w:line="259" w:lineRule="auto"/>
        <w:contextualSpacing/>
        <w:rPr>
          <w:rFonts w:eastAsia="Calibri"/>
          <w:sz w:val="28"/>
          <w:szCs w:val="28"/>
          <w:lang w:eastAsia="en-US"/>
        </w:rPr>
      </w:pPr>
    </w:p>
    <w:p w14:paraId="22B786FE" w14:textId="337D6ED0" w:rsidR="00D861E9" w:rsidRDefault="00F7310F" w:rsidP="00D861E9">
      <w:pPr>
        <w:spacing w:after="160" w:line="259" w:lineRule="auto"/>
        <w:ind w:left="720"/>
        <w:contextualSpacing/>
        <w:rPr>
          <w:rFonts w:eastAsia="Calibri"/>
          <w:sz w:val="28"/>
          <w:szCs w:val="28"/>
          <w:lang w:eastAsia="en-US"/>
        </w:rPr>
      </w:pPr>
      <w:r>
        <w:rPr>
          <w:rFonts w:eastAsia="Calibri"/>
          <w:sz w:val="28"/>
          <w:szCs w:val="28"/>
          <w:lang w:eastAsia="en-US"/>
        </w:rPr>
        <w:t>Counsel for the Plaintiff</w:t>
      </w:r>
      <w:r w:rsidR="00D00951">
        <w:rPr>
          <w:rFonts w:eastAsia="Calibri"/>
          <w:sz w:val="28"/>
          <w:szCs w:val="28"/>
          <w:lang w:eastAsia="en-US"/>
        </w:rPr>
        <w:t xml:space="preserve">: </w:t>
      </w:r>
      <w:r>
        <w:rPr>
          <w:rFonts w:eastAsia="Calibri"/>
          <w:sz w:val="28"/>
          <w:szCs w:val="28"/>
          <w:lang w:eastAsia="en-US"/>
        </w:rPr>
        <w:t xml:space="preserve"> </w:t>
      </w:r>
      <w:r w:rsidR="00D861E9" w:rsidRPr="00AD3FC0">
        <w:rPr>
          <w:rFonts w:eastAsia="Calibri"/>
          <w:sz w:val="28"/>
          <w:szCs w:val="28"/>
          <w:lang w:eastAsia="en-US"/>
        </w:rPr>
        <w:t>has been corrected to read:</w:t>
      </w:r>
    </w:p>
    <w:p w14:paraId="66A9B9F8" w14:textId="77777777" w:rsidR="00F7310F" w:rsidRDefault="00F7310F" w:rsidP="00D861E9">
      <w:pPr>
        <w:spacing w:after="160" w:line="259" w:lineRule="auto"/>
        <w:ind w:left="720"/>
        <w:contextualSpacing/>
        <w:rPr>
          <w:rFonts w:eastAsia="Calibri"/>
          <w:sz w:val="28"/>
          <w:szCs w:val="28"/>
          <w:lang w:eastAsia="en-US"/>
        </w:rPr>
      </w:pPr>
    </w:p>
    <w:p w14:paraId="39965A90" w14:textId="34DD37E5" w:rsidR="00B233DF" w:rsidRDefault="00B233DF" w:rsidP="00D861E9">
      <w:pPr>
        <w:spacing w:after="160" w:line="259" w:lineRule="auto"/>
        <w:ind w:left="720"/>
        <w:contextualSpacing/>
        <w:rPr>
          <w:rFonts w:eastAsia="Calibri"/>
          <w:sz w:val="28"/>
          <w:szCs w:val="28"/>
          <w:lang w:eastAsia="en-US"/>
        </w:rPr>
      </w:pPr>
      <w:r>
        <w:rPr>
          <w:rFonts w:eastAsia="Calibri"/>
          <w:sz w:val="28"/>
          <w:szCs w:val="28"/>
          <w:lang w:eastAsia="en-US"/>
        </w:rPr>
        <w:t>Eri</w:t>
      </w:r>
      <w:r w:rsidRPr="00734F21">
        <w:rPr>
          <w:rFonts w:eastAsia="Calibri"/>
          <w:b/>
          <w:bCs/>
          <w:sz w:val="28"/>
          <w:szCs w:val="28"/>
          <w:u w:val="single"/>
          <w:lang w:eastAsia="en-US"/>
        </w:rPr>
        <w:t>k</w:t>
      </w:r>
      <w:r>
        <w:rPr>
          <w:rFonts w:eastAsia="Calibri"/>
          <w:sz w:val="28"/>
          <w:szCs w:val="28"/>
          <w:lang w:eastAsia="en-US"/>
        </w:rPr>
        <w:t xml:space="preserve"> Holmstrom</w:t>
      </w:r>
    </w:p>
    <w:p w14:paraId="713FFAAB" w14:textId="77777777" w:rsidR="00D861E9" w:rsidRPr="00AD3FC0" w:rsidRDefault="00D861E9" w:rsidP="00D861E9">
      <w:pPr>
        <w:spacing w:after="160" w:line="259" w:lineRule="auto"/>
        <w:ind w:left="720"/>
        <w:contextualSpacing/>
        <w:rPr>
          <w:rFonts w:eastAsia="Calibri"/>
          <w:sz w:val="28"/>
          <w:szCs w:val="28"/>
          <w:lang w:eastAsia="en-US"/>
        </w:rPr>
      </w:pPr>
    </w:p>
    <w:p w14:paraId="3E8067FC" w14:textId="77777777" w:rsidR="00D861E9" w:rsidRPr="00AD3FC0" w:rsidRDefault="00D861E9" w:rsidP="00D861E9">
      <w:pPr>
        <w:numPr>
          <w:ilvl w:val="0"/>
          <w:numId w:val="18"/>
        </w:numPr>
        <w:spacing w:after="160" w:line="259" w:lineRule="auto"/>
        <w:contextualSpacing/>
        <w:rPr>
          <w:rFonts w:eastAsia="Calibri"/>
          <w:sz w:val="28"/>
          <w:szCs w:val="28"/>
          <w:lang w:eastAsia="en-US"/>
        </w:rPr>
      </w:pPr>
      <w:r w:rsidRPr="00AD3FC0">
        <w:rPr>
          <w:rFonts w:eastAsia="Calibri"/>
          <w:sz w:val="28"/>
          <w:szCs w:val="28"/>
          <w:lang w:eastAsia="en-US"/>
        </w:rPr>
        <w:t>The citation has been amended to read:</w:t>
      </w:r>
    </w:p>
    <w:p w14:paraId="5F21FDBF" w14:textId="77777777" w:rsidR="00D861E9" w:rsidRPr="00AD3FC0" w:rsidRDefault="00D861E9" w:rsidP="00D861E9">
      <w:pPr>
        <w:spacing w:after="160" w:line="259" w:lineRule="auto"/>
        <w:ind w:left="720"/>
        <w:contextualSpacing/>
        <w:rPr>
          <w:rFonts w:eastAsia="Calibri"/>
          <w:sz w:val="28"/>
          <w:szCs w:val="28"/>
          <w:lang w:eastAsia="en-US"/>
        </w:rPr>
      </w:pPr>
    </w:p>
    <w:p w14:paraId="36106200" w14:textId="3FDBD775" w:rsidR="00D861E9" w:rsidRPr="00AD3FC0" w:rsidRDefault="00734F21" w:rsidP="00D861E9">
      <w:pPr>
        <w:spacing w:after="160" w:line="259" w:lineRule="auto"/>
        <w:ind w:left="720"/>
        <w:contextualSpacing/>
        <w:rPr>
          <w:rFonts w:eastAsia="Calibri"/>
          <w:sz w:val="28"/>
          <w:szCs w:val="28"/>
          <w:lang w:eastAsia="en-US"/>
        </w:rPr>
      </w:pPr>
      <w:r>
        <w:rPr>
          <w:rFonts w:eastAsia="Calibri"/>
          <w:i/>
          <w:sz w:val="28"/>
          <w:szCs w:val="28"/>
          <w:lang w:eastAsia="en-US"/>
        </w:rPr>
        <w:t xml:space="preserve">Redcliff Developments Ltd v </w:t>
      </w:r>
      <w:proofErr w:type="spellStart"/>
      <w:r>
        <w:rPr>
          <w:rFonts w:eastAsia="Calibri"/>
          <w:i/>
          <w:sz w:val="28"/>
          <w:szCs w:val="28"/>
          <w:lang w:eastAsia="en-US"/>
        </w:rPr>
        <w:t>Maskwa</w:t>
      </w:r>
      <w:proofErr w:type="spellEnd"/>
      <w:r>
        <w:rPr>
          <w:rFonts w:eastAsia="Calibri"/>
          <w:i/>
          <w:sz w:val="28"/>
          <w:szCs w:val="28"/>
          <w:lang w:eastAsia="en-US"/>
        </w:rPr>
        <w:t xml:space="preserve"> Engineering Ltd, 2024 NWTSC 40</w:t>
      </w:r>
      <w:r w:rsidR="00D861E9" w:rsidRPr="00902211">
        <w:rPr>
          <w:rFonts w:eastAsia="Calibri"/>
          <w:b/>
          <w:bCs/>
          <w:sz w:val="28"/>
          <w:szCs w:val="28"/>
          <w:u w:val="single"/>
          <w:lang w:eastAsia="en-US"/>
        </w:rPr>
        <w:t xml:space="preserve">.cor </w:t>
      </w:r>
      <w:proofErr w:type="gramStart"/>
      <w:r w:rsidR="00D861E9" w:rsidRPr="00902211">
        <w:rPr>
          <w:rFonts w:eastAsia="Calibri"/>
          <w:b/>
          <w:bCs/>
          <w:sz w:val="28"/>
          <w:szCs w:val="28"/>
          <w:u w:val="single"/>
          <w:lang w:eastAsia="en-US"/>
        </w:rPr>
        <w:t>1</w:t>
      </w:r>
      <w:proofErr w:type="gramEnd"/>
    </w:p>
    <w:p w14:paraId="2D8C7D22" w14:textId="77777777" w:rsidR="00D861E9" w:rsidRPr="00AD3FC0" w:rsidRDefault="00D861E9" w:rsidP="00D861E9">
      <w:pPr>
        <w:spacing w:after="160" w:line="259" w:lineRule="auto"/>
        <w:contextualSpacing/>
        <w:rPr>
          <w:rFonts w:eastAsia="Calibri"/>
          <w:sz w:val="28"/>
          <w:szCs w:val="28"/>
          <w:lang w:eastAsia="en-US"/>
        </w:rPr>
      </w:pPr>
    </w:p>
    <w:p w14:paraId="01A940BF" w14:textId="77777777" w:rsidR="00D861E9" w:rsidRDefault="00D861E9" w:rsidP="00D861E9">
      <w:pPr>
        <w:spacing w:after="160" w:line="259" w:lineRule="auto"/>
        <w:ind w:left="720"/>
        <w:contextualSpacing/>
        <w:rPr>
          <w:rFonts w:eastAsia="Calibri"/>
          <w:sz w:val="28"/>
          <w:szCs w:val="28"/>
          <w:lang w:eastAsia="en-US"/>
        </w:rPr>
      </w:pPr>
      <w:r w:rsidRPr="00AD3FC0">
        <w:rPr>
          <w:rFonts w:eastAsia="Calibri"/>
          <w:sz w:val="28"/>
          <w:szCs w:val="28"/>
          <w:lang w:eastAsia="en-US"/>
        </w:rPr>
        <w:t>(The changes to the text of the document are highlighted and underlin</w:t>
      </w:r>
      <w:r>
        <w:rPr>
          <w:rFonts w:eastAsia="Calibri"/>
          <w:sz w:val="28"/>
          <w:szCs w:val="28"/>
          <w:lang w:eastAsia="en-US"/>
        </w:rPr>
        <w:t>ed)</w:t>
      </w:r>
    </w:p>
    <w:p w14:paraId="19F78E10" w14:textId="77777777" w:rsidR="00F052E4" w:rsidRDefault="00F052E4" w:rsidP="00E2041F">
      <w:pPr>
        <w:pStyle w:val="ListParagraph"/>
        <w:ind w:left="0"/>
        <w:rPr>
          <w:rFonts w:ascii="Times New Roman" w:hAnsi="Times New Roman"/>
          <w:sz w:val="28"/>
          <w:szCs w:val="28"/>
        </w:rPr>
      </w:pPr>
    </w:p>
    <w:p w14:paraId="62582901" w14:textId="77777777" w:rsidR="00F052E4" w:rsidRDefault="00F052E4" w:rsidP="00E2041F">
      <w:pPr>
        <w:pStyle w:val="ListParagraph"/>
        <w:ind w:left="0"/>
        <w:rPr>
          <w:rFonts w:ascii="Times New Roman" w:hAnsi="Times New Roman"/>
          <w:sz w:val="28"/>
          <w:szCs w:val="28"/>
        </w:rPr>
      </w:pPr>
    </w:p>
    <w:p w14:paraId="4621B5D3" w14:textId="77777777" w:rsidR="00F052E4" w:rsidRDefault="00F052E4" w:rsidP="00E2041F">
      <w:pPr>
        <w:pStyle w:val="ListParagraph"/>
        <w:ind w:left="0"/>
        <w:rPr>
          <w:rFonts w:ascii="Times New Roman" w:hAnsi="Times New Roman"/>
          <w:sz w:val="28"/>
          <w:szCs w:val="28"/>
        </w:rPr>
      </w:pPr>
    </w:p>
    <w:p w14:paraId="472B4C49" w14:textId="77777777" w:rsidR="00F052E4" w:rsidRDefault="00F052E4" w:rsidP="00E2041F">
      <w:pPr>
        <w:pStyle w:val="ListParagraph"/>
        <w:ind w:left="0"/>
        <w:rPr>
          <w:rFonts w:ascii="Times New Roman" w:hAnsi="Times New Roman"/>
          <w:sz w:val="28"/>
          <w:szCs w:val="28"/>
        </w:rPr>
      </w:pPr>
    </w:p>
    <w:p w14:paraId="3C6B26EE" w14:textId="4A28568A" w:rsidR="00E2041F" w:rsidRPr="00010595" w:rsidRDefault="00E2041F" w:rsidP="00192B6A">
      <w:pPr>
        <w:rPr>
          <w:rFonts w:ascii="Times New Roman" w:hAnsi="Times New Roman"/>
          <w:sz w:val="28"/>
          <w:szCs w:val="28"/>
        </w:rPr>
        <w:sectPr w:rsidR="00E2041F" w:rsidRPr="00010595" w:rsidSect="009F56D8">
          <w:headerReference w:type="default" r:id="rId11"/>
          <w:pgSz w:w="12240" w:h="15840"/>
          <w:pgMar w:top="1440" w:right="1440" w:bottom="1440" w:left="1440" w:header="720" w:footer="720" w:gutter="0"/>
          <w:cols w:space="720"/>
          <w:titlePg/>
          <w:docGrid w:linePitch="360"/>
        </w:sectPr>
      </w:pPr>
    </w:p>
    <w:p w14:paraId="4D8B596F" w14:textId="77777777" w:rsidR="00E2041F" w:rsidRPr="00010595" w:rsidRDefault="00E2041F" w:rsidP="00E2041F">
      <w:pPr>
        <w:rPr>
          <w:rFonts w:ascii="Times New Roman" w:hAnsi="Times New Roman" w:cs="Times New Roman"/>
          <w:sz w:val="28"/>
          <w:szCs w:val="28"/>
        </w:rPr>
      </w:pPr>
    </w:p>
    <w:tbl>
      <w:tblPr>
        <w:tblpPr w:leftFromText="180" w:rightFromText="180" w:vertAnchor="page" w:horzAnchor="page" w:tblpX="5326" w:tblpY="1996"/>
        <w:tblW w:w="648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6480"/>
      </w:tblGrid>
      <w:tr w:rsidR="00E2041F" w:rsidRPr="00010595" w14:paraId="3B0BC894" w14:textId="77777777" w:rsidTr="00476B53">
        <w:tc>
          <w:tcPr>
            <w:tcW w:w="6480" w:type="dxa"/>
            <w:shd w:val="clear" w:color="auto" w:fill="auto"/>
          </w:tcPr>
          <w:p w14:paraId="15091F71" w14:textId="77777777" w:rsidR="00E2041F" w:rsidRPr="00010595" w:rsidRDefault="00E2041F" w:rsidP="00476B53">
            <w:pPr>
              <w:spacing w:after="0" w:line="240" w:lineRule="auto"/>
              <w:jc w:val="right"/>
              <w:rPr>
                <w:rFonts w:ascii="Times New Roman" w:hAnsi="Times New Roman"/>
                <w:sz w:val="28"/>
                <w:szCs w:val="28"/>
              </w:rPr>
            </w:pPr>
          </w:p>
          <w:p w14:paraId="1A07DF3C" w14:textId="0DC127EB" w:rsidR="00E2041F" w:rsidRPr="00010595" w:rsidRDefault="00E2041F" w:rsidP="00476B53">
            <w:pPr>
              <w:spacing w:after="0" w:line="240" w:lineRule="auto"/>
              <w:jc w:val="right"/>
              <w:rPr>
                <w:rFonts w:ascii="Times New Roman" w:hAnsi="Times New Roman"/>
                <w:sz w:val="28"/>
                <w:szCs w:val="28"/>
              </w:rPr>
            </w:pPr>
            <w:r w:rsidRPr="00010595">
              <w:rPr>
                <w:rFonts w:ascii="Times New Roman" w:hAnsi="Times New Roman"/>
                <w:sz w:val="28"/>
                <w:szCs w:val="28"/>
              </w:rPr>
              <w:t>S-1-</w:t>
            </w:r>
            <w:r w:rsidR="00AC098A">
              <w:rPr>
                <w:rFonts w:ascii="Times New Roman" w:hAnsi="Times New Roman"/>
                <w:sz w:val="28"/>
                <w:szCs w:val="28"/>
              </w:rPr>
              <w:t>CV</w:t>
            </w:r>
            <w:r w:rsidRPr="00010595">
              <w:rPr>
                <w:rFonts w:ascii="Times New Roman" w:hAnsi="Times New Roman"/>
                <w:sz w:val="28"/>
                <w:szCs w:val="28"/>
              </w:rPr>
              <w:t>-20</w:t>
            </w:r>
            <w:r w:rsidR="00AC098A">
              <w:rPr>
                <w:rFonts w:ascii="Times New Roman" w:hAnsi="Times New Roman"/>
                <w:sz w:val="28"/>
                <w:szCs w:val="28"/>
              </w:rPr>
              <w:t>14</w:t>
            </w:r>
            <w:r w:rsidRPr="00010595">
              <w:rPr>
                <w:rFonts w:ascii="Times New Roman" w:hAnsi="Times New Roman"/>
                <w:sz w:val="28"/>
                <w:szCs w:val="28"/>
              </w:rPr>
              <w:t xml:space="preserve"> 000</w:t>
            </w:r>
            <w:r w:rsidR="00307E03">
              <w:rPr>
                <w:rFonts w:ascii="Times New Roman" w:hAnsi="Times New Roman"/>
                <w:sz w:val="28"/>
                <w:szCs w:val="28"/>
              </w:rPr>
              <w:t xml:space="preserve"> </w:t>
            </w:r>
            <w:r>
              <w:rPr>
                <w:rFonts w:ascii="Times New Roman" w:hAnsi="Times New Roman"/>
                <w:sz w:val="28"/>
                <w:szCs w:val="28"/>
              </w:rPr>
              <w:t>1</w:t>
            </w:r>
            <w:r w:rsidR="00AC098A">
              <w:rPr>
                <w:rFonts w:ascii="Times New Roman" w:hAnsi="Times New Roman"/>
                <w:sz w:val="28"/>
                <w:szCs w:val="28"/>
              </w:rPr>
              <w:t>00</w:t>
            </w:r>
          </w:p>
        </w:tc>
      </w:tr>
      <w:tr w:rsidR="00E2041F" w:rsidRPr="00010595" w14:paraId="116CF567" w14:textId="77777777" w:rsidTr="00476B53">
        <w:tc>
          <w:tcPr>
            <w:tcW w:w="6480" w:type="dxa"/>
            <w:shd w:val="clear" w:color="auto" w:fill="auto"/>
          </w:tcPr>
          <w:p w14:paraId="4E1AB00E" w14:textId="77777777" w:rsidR="00E2041F" w:rsidRPr="00010595" w:rsidRDefault="00E2041F" w:rsidP="00476B53">
            <w:pPr>
              <w:tabs>
                <w:tab w:val="center" w:pos="2784"/>
              </w:tabs>
              <w:spacing w:after="0" w:line="240" w:lineRule="auto"/>
              <w:jc w:val="center"/>
              <w:rPr>
                <w:rFonts w:ascii="Times New Roman" w:hAnsi="Times New Roman"/>
                <w:b/>
                <w:bCs/>
                <w:sz w:val="28"/>
                <w:szCs w:val="28"/>
              </w:rPr>
            </w:pPr>
          </w:p>
          <w:p w14:paraId="70E0DE34" w14:textId="77777777" w:rsidR="00E2041F" w:rsidRPr="00010595" w:rsidRDefault="00E2041F" w:rsidP="00476B53">
            <w:pPr>
              <w:tabs>
                <w:tab w:val="center" w:pos="2784"/>
              </w:tabs>
              <w:spacing w:after="0" w:line="240" w:lineRule="auto"/>
              <w:jc w:val="center"/>
              <w:rPr>
                <w:rFonts w:ascii="Times New Roman" w:hAnsi="Times New Roman"/>
                <w:b/>
                <w:bCs/>
                <w:sz w:val="28"/>
                <w:szCs w:val="28"/>
              </w:rPr>
            </w:pPr>
            <w:r w:rsidRPr="00010595">
              <w:rPr>
                <w:rFonts w:ascii="Times New Roman" w:hAnsi="Times New Roman"/>
                <w:b/>
                <w:bCs/>
                <w:sz w:val="28"/>
                <w:szCs w:val="28"/>
              </w:rPr>
              <w:t>IN THE SUPREME COURT OF THE</w:t>
            </w:r>
          </w:p>
          <w:p w14:paraId="7DB957EA" w14:textId="77777777" w:rsidR="00E2041F" w:rsidRPr="00010595" w:rsidRDefault="00E2041F" w:rsidP="00476B53">
            <w:pPr>
              <w:tabs>
                <w:tab w:val="center" w:pos="2784"/>
                <w:tab w:val="left" w:pos="4740"/>
              </w:tabs>
              <w:spacing w:after="0" w:line="240" w:lineRule="auto"/>
              <w:jc w:val="center"/>
              <w:rPr>
                <w:rFonts w:ascii="Times New Roman" w:hAnsi="Times New Roman"/>
                <w:b/>
                <w:bCs/>
                <w:sz w:val="28"/>
                <w:szCs w:val="28"/>
              </w:rPr>
            </w:pPr>
            <w:r w:rsidRPr="00010595">
              <w:rPr>
                <w:rFonts w:ascii="Times New Roman" w:hAnsi="Times New Roman"/>
                <w:b/>
                <w:bCs/>
                <w:sz w:val="28"/>
                <w:szCs w:val="28"/>
              </w:rPr>
              <w:t>NORTHWEST TERRITORIES</w:t>
            </w:r>
          </w:p>
          <w:p w14:paraId="4A6EA2EB" w14:textId="77777777" w:rsidR="00E2041F" w:rsidRPr="00010595" w:rsidRDefault="00E2041F" w:rsidP="00476B53">
            <w:pPr>
              <w:pStyle w:val="NoSpacing"/>
              <w:rPr>
                <w:rFonts w:ascii="Times New Roman" w:hAnsi="Times New Roman"/>
                <w:sz w:val="28"/>
                <w:szCs w:val="28"/>
                <w:lang w:val="en-CA"/>
              </w:rPr>
            </w:pPr>
          </w:p>
        </w:tc>
      </w:tr>
      <w:tr w:rsidR="00E2041F" w:rsidRPr="00010595" w14:paraId="1CE3218E" w14:textId="77777777" w:rsidTr="00476B53">
        <w:tc>
          <w:tcPr>
            <w:tcW w:w="6480" w:type="dxa"/>
            <w:shd w:val="clear" w:color="auto" w:fill="auto"/>
          </w:tcPr>
          <w:p w14:paraId="1C0F36B4" w14:textId="77777777" w:rsidR="00E2041F" w:rsidRPr="00010595" w:rsidRDefault="00E2041F" w:rsidP="00476B53">
            <w:pPr>
              <w:spacing w:after="0" w:line="240" w:lineRule="auto"/>
              <w:rPr>
                <w:rFonts w:ascii="Times New Roman" w:hAnsi="Times New Roman"/>
                <w:sz w:val="28"/>
                <w:szCs w:val="28"/>
              </w:rPr>
            </w:pPr>
          </w:p>
          <w:p w14:paraId="0EB25968" w14:textId="77777777" w:rsidR="00E2041F" w:rsidRDefault="00E2041F" w:rsidP="00476B53">
            <w:pPr>
              <w:spacing w:line="240" w:lineRule="auto"/>
              <w:rPr>
                <w:rFonts w:ascii="Times New Roman" w:hAnsi="Times New Roman" w:cs="Times New Roman"/>
                <w:b/>
                <w:sz w:val="28"/>
                <w:szCs w:val="28"/>
              </w:rPr>
            </w:pPr>
            <w:r w:rsidRPr="00010595">
              <w:rPr>
                <w:rFonts w:ascii="Times New Roman" w:hAnsi="Times New Roman" w:cs="Times New Roman"/>
                <w:b/>
                <w:sz w:val="28"/>
                <w:szCs w:val="28"/>
              </w:rPr>
              <w:t>BETWEEN</w:t>
            </w:r>
          </w:p>
          <w:p w14:paraId="6B1C9F3B" w14:textId="5CD32B40" w:rsidR="00E2041F" w:rsidRPr="00B04BAE" w:rsidRDefault="00AC098A" w:rsidP="00476B53">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REDCLIFF DEVELOPMENTS LTD.</w:t>
            </w:r>
          </w:p>
          <w:p w14:paraId="441579F8" w14:textId="55CFEF1C" w:rsidR="00E2041F" w:rsidRPr="00010595" w:rsidRDefault="00AC098A" w:rsidP="00476B53">
            <w:pPr>
              <w:spacing w:line="240" w:lineRule="auto"/>
              <w:jc w:val="right"/>
              <w:rPr>
                <w:rFonts w:ascii="Times New Roman" w:hAnsi="Times New Roman" w:cs="Times New Roman"/>
                <w:sz w:val="28"/>
                <w:szCs w:val="28"/>
              </w:rPr>
            </w:pPr>
            <w:r>
              <w:rPr>
                <w:rFonts w:ascii="Times New Roman" w:hAnsi="Times New Roman" w:cs="Times New Roman"/>
                <w:sz w:val="28"/>
                <w:szCs w:val="28"/>
              </w:rPr>
              <w:t>Plaintiff</w:t>
            </w:r>
          </w:p>
          <w:p w14:paraId="06F4E95A" w14:textId="77777777" w:rsidR="00E2041F" w:rsidRDefault="00E2041F" w:rsidP="00476B53">
            <w:pPr>
              <w:spacing w:line="240" w:lineRule="auto"/>
              <w:jc w:val="center"/>
              <w:rPr>
                <w:rFonts w:ascii="Times New Roman" w:hAnsi="Times New Roman" w:cs="Times New Roman"/>
                <w:sz w:val="28"/>
                <w:szCs w:val="28"/>
              </w:rPr>
            </w:pPr>
            <w:r w:rsidRPr="00010595">
              <w:rPr>
                <w:rFonts w:ascii="Times New Roman" w:hAnsi="Times New Roman" w:cs="Times New Roman"/>
                <w:sz w:val="28"/>
                <w:szCs w:val="28"/>
              </w:rPr>
              <w:t>-and-</w:t>
            </w:r>
          </w:p>
          <w:p w14:paraId="7CA8D564" w14:textId="77777777" w:rsidR="00E2041F" w:rsidRDefault="00E2041F" w:rsidP="00476B53">
            <w:pPr>
              <w:spacing w:line="240" w:lineRule="auto"/>
              <w:jc w:val="center"/>
              <w:rPr>
                <w:rFonts w:ascii="Times New Roman" w:hAnsi="Times New Roman" w:cs="Times New Roman"/>
                <w:sz w:val="28"/>
                <w:szCs w:val="28"/>
              </w:rPr>
            </w:pPr>
          </w:p>
          <w:p w14:paraId="740F6A44" w14:textId="61C180D8" w:rsidR="00E2041F" w:rsidRPr="00010595" w:rsidRDefault="00AC098A" w:rsidP="00476B53">
            <w:pPr>
              <w:spacing w:line="240" w:lineRule="auto"/>
              <w:jc w:val="center"/>
              <w:rPr>
                <w:rFonts w:ascii="Times New Roman" w:hAnsi="Times New Roman" w:cs="Times New Roman"/>
                <w:sz w:val="28"/>
                <w:szCs w:val="28"/>
              </w:rPr>
            </w:pPr>
            <w:r>
              <w:rPr>
                <w:rFonts w:ascii="Times New Roman" w:hAnsi="Times New Roman" w:cs="Times New Roman"/>
                <w:sz w:val="28"/>
                <w:szCs w:val="28"/>
              </w:rPr>
              <w:t>MASKWA ENGINEERING LTD.</w:t>
            </w:r>
          </w:p>
          <w:p w14:paraId="0E6CA62C" w14:textId="1BF86D7F" w:rsidR="00E2041F" w:rsidRPr="00010595" w:rsidRDefault="008478F2" w:rsidP="00476B53">
            <w:pPr>
              <w:spacing w:line="240" w:lineRule="auto"/>
              <w:jc w:val="right"/>
              <w:rPr>
                <w:rFonts w:ascii="Times New Roman" w:hAnsi="Times New Roman" w:cs="Times New Roman"/>
                <w:sz w:val="28"/>
                <w:szCs w:val="28"/>
              </w:rPr>
            </w:pPr>
            <w:r>
              <w:rPr>
                <w:rFonts w:ascii="Times New Roman" w:hAnsi="Times New Roman" w:cs="Times New Roman"/>
                <w:sz w:val="28"/>
                <w:szCs w:val="28"/>
              </w:rPr>
              <w:t>Defendant</w:t>
            </w:r>
          </w:p>
          <w:p w14:paraId="2FF7C878" w14:textId="77777777" w:rsidR="00476B53" w:rsidRDefault="00476B53" w:rsidP="001335A7">
            <w:pPr>
              <w:tabs>
                <w:tab w:val="left" w:pos="720"/>
                <w:tab w:val="left" w:pos="1452"/>
                <w:tab w:val="left" w:pos="2392"/>
              </w:tabs>
              <w:spacing w:after="0" w:line="240" w:lineRule="auto"/>
              <w:rPr>
                <w:rFonts w:ascii="Times New Roman" w:hAnsi="Times New Roman"/>
                <w:sz w:val="28"/>
                <w:szCs w:val="28"/>
              </w:rPr>
            </w:pPr>
          </w:p>
          <w:tbl>
            <w:tblPr>
              <w:tblpPr w:leftFromText="180" w:rightFromText="180" w:vertAnchor="text" w:horzAnchor="margin" w:tblpY="42"/>
              <w:tblW w:w="0" w:type="auto"/>
              <w:tblCellMar>
                <w:left w:w="154" w:type="dxa"/>
                <w:right w:w="154" w:type="dxa"/>
              </w:tblCellMar>
              <w:tblLook w:val="0000" w:firstRow="0" w:lastRow="0" w:firstColumn="0" w:lastColumn="0" w:noHBand="0" w:noVBand="0"/>
            </w:tblPr>
            <w:tblGrid>
              <w:gridCol w:w="5689"/>
            </w:tblGrid>
            <w:tr w:rsidR="00B825B8" w14:paraId="0B448B4C" w14:textId="77777777" w:rsidTr="00B825B8">
              <w:trPr>
                <w:cantSplit/>
              </w:trPr>
              <w:tc>
                <w:tcPr>
                  <w:tcW w:w="5689" w:type="dxa"/>
                  <w:tcBorders>
                    <w:top w:val="thinThickSmallGap" w:sz="36" w:space="0" w:color="000000"/>
                    <w:left w:val="thinThickSmallGap" w:sz="36" w:space="0" w:color="000000"/>
                    <w:bottom w:val="thickThinSmallGap" w:sz="36" w:space="0" w:color="000000"/>
                    <w:right w:val="thickThinSmallGap" w:sz="36" w:space="0" w:color="000000"/>
                  </w:tcBorders>
                </w:tcPr>
                <w:p w14:paraId="1635066F" w14:textId="77777777" w:rsidR="00B825B8" w:rsidRDefault="00B825B8" w:rsidP="00B825B8">
                  <w:pPr>
                    <w:spacing w:before="78" w:after="34"/>
                    <w:jc w:val="both"/>
                  </w:pPr>
                  <w:r w:rsidRPr="00FC18D6">
                    <w:rPr>
                      <w:b/>
                      <w:bCs/>
                      <w:lang w:val="en-GB"/>
                    </w:rPr>
                    <w:t>Corrected</w:t>
                  </w:r>
                  <w:r w:rsidRPr="00FC18D6">
                    <w:rPr>
                      <w:lang w:val="en-GB"/>
                    </w:rPr>
                    <w:t xml:space="preserve">: A corrigendum was issued on </w:t>
                  </w:r>
                  <w:r>
                    <w:rPr>
                      <w:lang w:val="en-GB"/>
                    </w:rPr>
                    <w:t>August 2</w:t>
                  </w:r>
                  <w:r w:rsidRPr="00FC18D6">
                    <w:rPr>
                      <w:lang w:val="en-GB"/>
                    </w:rPr>
                    <w:t>, 202</w:t>
                  </w:r>
                  <w:r>
                    <w:rPr>
                      <w:lang w:val="en-GB"/>
                    </w:rPr>
                    <w:t>4</w:t>
                  </w:r>
                  <w:r w:rsidRPr="00FC18D6">
                    <w:rPr>
                      <w:lang w:val="en-GB"/>
                    </w:rPr>
                    <w:t>; the correction ha</w:t>
                  </w:r>
                  <w:r>
                    <w:rPr>
                      <w:lang w:val="en-GB"/>
                    </w:rPr>
                    <w:t>s</w:t>
                  </w:r>
                  <w:r w:rsidRPr="00FC18D6">
                    <w:rPr>
                      <w:lang w:val="en-GB"/>
                    </w:rPr>
                    <w:t xml:space="preserve"> been made to the text and the corrigendum is appended to this </w:t>
                  </w:r>
                  <w:r>
                    <w:rPr>
                      <w:lang w:val="en-GB"/>
                    </w:rPr>
                    <w:t>Memorandum of Judgment</w:t>
                  </w:r>
                  <w:r w:rsidRPr="00FC18D6">
                    <w:rPr>
                      <w:lang w:val="en-GB"/>
                    </w:rPr>
                    <w:t>.</w:t>
                  </w:r>
                </w:p>
              </w:tc>
            </w:tr>
          </w:tbl>
          <w:p w14:paraId="61695395" w14:textId="77777777" w:rsidR="00476B53" w:rsidRDefault="00476B53" w:rsidP="001335A7">
            <w:pPr>
              <w:tabs>
                <w:tab w:val="left" w:pos="720"/>
                <w:tab w:val="left" w:pos="1452"/>
                <w:tab w:val="left" w:pos="2392"/>
              </w:tabs>
              <w:spacing w:after="0" w:line="240" w:lineRule="auto"/>
              <w:rPr>
                <w:rFonts w:ascii="Times New Roman" w:hAnsi="Times New Roman"/>
                <w:sz w:val="28"/>
                <w:szCs w:val="28"/>
              </w:rPr>
            </w:pPr>
          </w:p>
          <w:p w14:paraId="13B33E40" w14:textId="20ACCA48" w:rsidR="00476B53" w:rsidRDefault="00570C42" w:rsidP="00476B53">
            <w:pPr>
              <w:tabs>
                <w:tab w:val="left" w:pos="720"/>
                <w:tab w:val="left" w:pos="1452"/>
                <w:tab w:val="left" w:pos="2392"/>
              </w:tabs>
              <w:spacing w:after="0" w:line="240" w:lineRule="auto"/>
              <w:rPr>
                <w:rFonts w:ascii="Times New Roman" w:hAnsi="Times New Roman"/>
                <w:sz w:val="28"/>
                <w:szCs w:val="28"/>
              </w:rPr>
            </w:pPr>
            <w:r>
              <w:rPr>
                <w:rFonts w:ascii="Times New Roman" w:hAnsi="Times New Roman"/>
                <w:sz w:val="28"/>
                <w:szCs w:val="28"/>
              </w:rPr>
              <w:t xml:space="preserve">                MEMORANDUM OF JUDGMENT</w:t>
            </w:r>
          </w:p>
          <w:p w14:paraId="5116DAF0" w14:textId="77777777" w:rsidR="00476B53" w:rsidRPr="00010595" w:rsidRDefault="00476B53" w:rsidP="00476B53">
            <w:pPr>
              <w:tabs>
                <w:tab w:val="left" w:pos="720"/>
                <w:tab w:val="left" w:pos="1452"/>
                <w:tab w:val="left" w:pos="2392"/>
              </w:tabs>
              <w:spacing w:after="0" w:line="240" w:lineRule="auto"/>
              <w:rPr>
                <w:rFonts w:ascii="Times New Roman" w:hAnsi="Times New Roman"/>
                <w:sz w:val="28"/>
                <w:szCs w:val="28"/>
              </w:rPr>
            </w:pPr>
          </w:p>
          <w:p w14:paraId="319ADB7D" w14:textId="77777777" w:rsidR="00E2041F" w:rsidRPr="00010595" w:rsidRDefault="00E2041F" w:rsidP="00476B53">
            <w:pPr>
              <w:spacing w:after="0" w:line="240" w:lineRule="auto"/>
              <w:rPr>
                <w:rFonts w:ascii="Times New Roman" w:hAnsi="Times New Roman"/>
                <w:sz w:val="28"/>
                <w:szCs w:val="28"/>
              </w:rPr>
            </w:pPr>
          </w:p>
        </w:tc>
      </w:tr>
    </w:tbl>
    <w:tbl>
      <w:tblPr>
        <w:tblpPr w:leftFromText="180" w:rightFromText="180" w:vertAnchor="page" w:horzAnchor="page" w:tblpX="5506" w:tblpY="2041"/>
        <w:tblW w:w="648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6480"/>
      </w:tblGrid>
      <w:tr w:rsidR="00E2041F" w:rsidRPr="00010595" w14:paraId="1F621BA0" w14:textId="77777777" w:rsidTr="00B825B8">
        <w:tc>
          <w:tcPr>
            <w:tcW w:w="6480" w:type="dxa"/>
            <w:shd w:val="clear" w:color="auto" w:fill="auto"/>
          </w:tcPr>
          <w:p w14:paraId="508B0194" w14:textId="77777777" w:rsidR="00E2041F" w:rsidRDefault="00E2041F" w:rsidP="00B825B8">
            <w:pPr>
              <w:tabs>
                <w:tab w:val="left" w:pos="720"/>
                <w:tab w:val="left" w:pos="1452"/>
                <w:tab w:val="left" w:pos="2392"/>
              </w:tabs>
              <w:spacing w:after="0" w:line="240" w:lineRule="auto"/>
              <w:jc w:val="center"/>
              <w:rPr>
                <w:rFonts w:ascii="Times New Roman" w:hAnsi="Times New Roman"/>
                <w:sz w:val="28"/>
                <w:szCs w:val="28"/>
              </w:rPr>
            </w:pPr>
          </w:p>
          <w:p w14:paraId="3C8BB454"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698E1C32"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29336455"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25F3C5DF"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15C32236"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0D0FAFE2"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1BA2127C"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6450327A"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5B4F670E"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53658251"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147125D7"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580174D5"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56F19FEE"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76D0A1FC"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75EA0F7A"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2A3555D0"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7130F252" w14:textId="77777777" w:rsidR="00B825B8" w:rsidRDefault="00B825B8" w:rsidP="00B825B8">
            <w:pPr>
              <w:tabs>
                <w:tab w:val="left" w:pos="720"/>
                <w:tab w:val="left" w:pos="1452"/>
                <w:tab w:val="left" w:pos="2392"/>
              </w:tabs>
              <w:spacing w:after="0" w:line="240" w:lineRule="auto"/>
              <w:jc w:val="center"/>
              <w:rPr>
                <w:rFonts w:ascii="Times New Roman" w:hAnsi="Times New Roman"/>
                <w:sz w:val="28"/>
                <w:szCs w:val="28"/>
              </w:rPr>
            </w:pPr>
          </w:p>
          <w:p w14:paraId="52BC5DAA" w14:textId="77777777" w:rsidR="00E2041F" w:rsidRPr="00010595" w:rsidRDefault="00E2041F" w:rsidP="008C4726">
            <w:pPr>
              <w:tabs>
                <w:tab w:val="left" w:pos="720"/>
                <w:tab w:val="left" w:pos="1452"/>
                <w:tab w:val="left" w:pos="2392"/>
              </w:tabs>
              <w:spacing w:after="0" w:line="240" w:lineRule="auto"/>
              <w:rPr>
                <w:rFonts w:ascii="Times New Roman" w:hAnsi="Times New Roman"/>
                <w:sz w:val="28"/>
                <w:szCs w:val="28"/>
              </w:rPr>
            </w:pPr>
          </w:p>
        </w:tc>
      </w:tr>
    </w:tbl>
    <w:p w14:paraId="11CA8CF0" w14:textId="77777777" w:rsidR="00E2041F" w:rsidRPr="00010595" w:rsidRDefault="00E2041F" w:rsidP="00E2041F">
      <w:pPr>
        <w:spacing w:line="240" w:lineRule="auto"/>
        <w:rPr>
          <w:rFonts w:ascii="Times New Roman" w:hAnsi="Times New Roman" w:cs="Times New Roman"/>
          <w:sz w:val="28"/>
          <w:szCs w:val="28"/>
        </w:rPr>
      </w:pPr>
    </w:p>
    <w:p w14:paraId="0E101728" w14:textId="77777777" w:rsidR="000812FA" w:rsidRPr="0032647A" w:rsidRDefault="000812FA" w:rsidP="00B02D3A">
      <w:pPr>
        <w:spacing w:after="0" w:line="240" w:lineRule="auto"/>
        <w:rPr>
          <w:rFonts w:ascii="Times New Roman" w:hAnsi="Times New Roman" w:cs="Times New Roman"/>
          <w:sz w:val="28"/>
          <w:szCs w:val="28"/>
          <w:u w:val="single"/>
        </w:rPr>
      </w:pPr>
    </w:p>
    <w:sectPr w:rsidR="000812FA" w:rsidRPr="0032647A" w:rsidSect="009F56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517F" w14:textId="77777777" w:rsidR="003933AA" w:rsidRDefault="003933AA" w:rsidP="005B5B19">
      <w:pPr>
        <w:spacing w:after="0" w:line="240" w:lineRule="auto"/>
      </w:pPr>
      <w:r>
        <w:separator/>
      </w:r>
    </w:p>
  </w:endnote>
  <w:endnote w:type="continuationSeparator" w:id="0">
    <w:p w14:paraId="17E7D774" w14:textId="77777777" w:rsidR="003933AA" w:rsidRDefault="003933AA"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C602" w14:textId="77777777" w:rsidR="003933AA" w:rsidRDefault="003933AA" w:rsidP="005B5B19">
      <w:pPr>
        <w:spacing w:after="0" w:line="240" w:lineRule="auto"/>
      </w:pPr>
      <w:r>
        <w:separator/>
      </w:r>
    </w:p>
  </w:footnote>
  <w:footnote w:type="continuationSeparator" w:id="0">
    <w:p w14:paraId="7386A1BB" w14:textId="77777777" w:rsidR="003933AA" w:rsidRDefault="003933AA" w:rsidP="005B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DEC7" w14:textId="13FD64DE" w:rsidR="00E2041F" w:rsidRPr="00A800CD" w:rsidRDefault="00E2041F" w:rsidP="00A800CD">
    <w:pPr>
      <w:pStyle w:val="Header"/>
      <w:tabs>
        <w:tab w:val="left" w:pos="69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800CD">
      <w:rPr>
        <w:rFonts w:ascii="Times New Roman" w:hAnsi="Times New Roman" w:cs="Times New Roman"/>
      </w:rPr>
      <w:t xml:space="preserve">Page </w:t>
    </w:r>
    <w:sdt>
      <w:sdtPr>
        <w:rPr>
          <w:rFonts w:ascii="Times New Roman" w:hAnsi="Times New Roman" w:cs="Times New Roman"/>
        </w:rPr>
        <w:id w:val="318934988"/>
        <w:docPartObj>
          <w:docPartGallery w:val="Page Numbers (Top of Page)"/>
          <w:docPartUnique/>
        </w:docPartObj>
      </w:sdtPr>
      <w:sdtEndPr>
        <w:rPr>
          <w:noProof/>
        </w:rPr>
      </w:sdtEndPr>
      <w:sdtContent>
        <w:r w:rsidRPr="00A800CD">
          <w:rPr>
            <w:rFonts w:ascii="Times New Roman" w:hAnsi="Times New Roman" w:cs="Times New Roman"/>
          </w:rPr>
          <w:fldChar w:fldCharType="begin"/>
        </w:r>
        <w:r w:rsidRPr="00A800CD">
          <w:rPr>
            <w:rFonts w:ascii="Times New Roman" w:hAnsi="Times New Roman" w:cs="Times New Roman"/>
          </w:rPr>
          <w:instrText xml:space="preserve"> PAGE   \* MERGEFORMAT </w:instrText>
        </w:r>
        <w:r w:rsidRPr="00A800CD">
          <w:rPr>
            <w:rFonts w:ascii="Times New Roman" w:hAnsi="Times New Roman" w:cs="Times New Roman"/>
          </w:rPr>
          <w:fldChar w:fldCharType="separate"/>
        </w:r>
        <w:r>
          <w:rPr>
            <w:rFonts w:ascii="Times New Roman" w:hAnsi="Times New Roman" w:cs="Times New Roman"/>
            <w:noProof/>
          </w:rPr>
          <w:t>11</w:t>
        </w:r>
        <w:r w:rsidRPr="00A800CD">
          <w:rPr>
            <w:rFonts w:ascii="Times New Roman" w:hAnsi="Times New Roman" w:cs="Times New Roman"/>
            <w:noProof/>
          </w:rPr>
          <w:fldChar w:fldCharType="end"/>
        </w:r>
      </w:sdtContent>
    </w:sdt>
  </w:p>
  <w:p w14:paraId="34497274" w14:textId="77777777" w:rsidR="00E2041F" w:rsidRDefault="00E20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66AB4"/>
    <w:multiLevelType w:val="hybridMultilevel"/>
    <w:tmpl w:val="57E2D7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710F2"/>
    <w:multiLevelType w:val="multilevel"/>
    <w:tmpl w:val="867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15E23"/>
    <w:multiLevelType w:val="hybridMultilevel"/>
    <w:tmpl w:val="AEE644BA"/>
    <w:lvl w:ilvl="0" w:tplc="9940D420">
      <w:start w:val="1"/>
      <w:numFmt w:val="decimal"/>
      <w:lvlText w:val="[%1]"/>
      <w:lvlJc w:val="left"/>
      <w:pPr>
        <w:ind w:left="720" w:hanging="360"/>
      </w:pPr>
      <w:rPr>
        <w:rFonts w:ascii="Times New Roman" w:hAnsi="Times New Roman" w:hint="default"/>
        <w:b w:val="0"/>
        <w:i w:val="0"/>
        <w:sz w:val="28"/>
      </w:rPr>
    </w:lvl>
    <w:lvl w:ilvl="1" w:tplc="04090019">
      <w:start w:val="1"/>
      <w:numFmt w:val="lowerLetter"/>
      <w:lvlText w:val="%2."/>
      <w:lvlJc w:val="left"/>
      <w:pPr>
        <w:ind w:left="1440" w:hanging="360"/>
      </w:pPr>
    </w:lvl>
    <w:lvl w:ilvl="2" w:tplc="BE50814E">
      <w:start w:val="14"/>
      <w:numFmt w:val="bullet"/>
      <w:lvlText w:val=""/>
      <w:lvlJc w:val="left"/>
      <w:pPr>
        <w:ind w:left="2340" w:hanging="360"/>
      </w:pPr>
      <w:rPr>
        <w:rFonts w:ascii="Symbol" w:eastAsiaTheme="minorHAnsi" w:hAnsi="Symbol" w:cs="Times New Roman" w:hint="default"/>
      </w:rPr>
    </w:lvl>
    <w:lvl w:ilvl="3" w:tplc="5504DCB4">
      <w:start w:val="1"/>
      <w:numFmt w:val="lowerRoman"/>
      <w:lvlText w:val="(%4)"/>
      <w:lvlJc w:val="left"/>
      <w:pPr>
        <w:ind w:left="3240" w:hanging="720"/>
      </w:pPr>
      <w:rPr>
        <w:rFonts w:hint="default"/>
      </w:rPr>
    </w:lvl>
    <w:lvl w:ilvl="4" w:tplc="007CD754">
      <w:start w:val="1"/>
      <w:numFmt w:val="lowerLetter"/>
      <w:lvlText w:val="(%5)"/>
      <w:lvlJc w:val="left"/>
      <w:pPr>
        <w:ind w:left="3600" w:hanging="360"/>
      </w:pPr>
      <w:rPr>
        <w:rFonts w:hint="default"/>
        <w:i/>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F70A09"/>
    <w:multiLevelType w:val="hybridMultilevel"/>
    <w:tmpl w:val="3AE01BD4"/>
    <w:lvl w:ilvl="0" w:tplc="059C944E">
      <w:start w:val="1"/>
      <w:numFmt w:val="decimal"/>
      <w:lvlText w:val="[%1]"/>
      <w:lvlJc w:val="left"/>
      <w:pPr>
        <w:ind w:left="0" w:firstLine="0"/>
      </w:pPr>
      <w:rPr>
        <w:rFonts w:ascii="Times New Roman" w:hAnsi="Times New Roman" w:hint="default"/>
        <w:b w:val="0"/>
        <w:i w:val="0"/>
        <w:sz w:val="28"/>
      </w:rPr>
    </w:lvl>
    <w:lvl w:ilvl="1" w:tplc="8220A9CC">
      <w:start w:val="1"/>
      <w:numFmt w:val="lowerLetter"/>
      <w:lvlText w:val="(%2)"/>
      <w:lvlJc w:val="left"/>
      <w:pPr>
        <w:ind w:left="2452" w:hanging="360"/>
      </w:pPr>
      <w:rPr>
        <w:rFonts w:hint="default"/>
        <w:b w:val="0"/>
        <w:i w:val="0"/>
      </w:rPr>
    </w:lvl>
    <w:lvl w:ilvl="2" w:tplc="5CB8676A">
      <w:start w:val="1"/>
      <w:numFmt w:val="lowerRoman"/>
      <w:lvlText w:val="%3."/>
      <w:lvlJc w:val="right"/>
      <w:pPr>
        <w:ind w:left="2160" w:hanging="180"/>
      </w:pPr>
      <w:rPr>
        <w:rFonts w:hint="default"/>
        <w:b w:val="0"/>
        <w:i w:val="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AE5701"/>
    <w:multiLevelType w:val="hybridMultilevel"/>
    <w:tmpl w:val="6DB0665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BC0979"/>
    <w:multiLevelType w:val="hybridMultilevel"/>
    <w:tmpl w:val="3612B882"/>
    <w:lvl w:ilvl="0" w:tplc="80607DD0">
      <w:start w:val="1"/>
      <w:numFmt w:val="lowerLetter"/>
      <w:lvlText w:val="(%1)"/>
      <w:lvlJc w:val="left"/>
      <w:pPr>
        <w:ind w:left="2452" w:hanging="360"/>
      </w:pPr>
      <w:rPr>
        <w:rFonts w:hint="default"/>
        <w:b w:val="0"/>
      </w:rPr>
    </w:lvl>
    <w:lvl w:ilvl="1" w:tplc="10090019" w:tentative="1">
      <w:start w:val="1"/>
      <w:numFmt w:val="lowerLetter"/>
      <w:lvlText w:val="%2."/>
      <w:lvlJc w:val="left"/>
      <w:pPr>
        <w:ind w:left="3172" w:hanging="360"/>
      </w:pPr>
    </w:lvl>
    <w:lvl w:ilvl="2" w:tplc="1009001B" w:tentative="1">
      <w:start w:val="1"/>
      <w:numFmt w:val="lowerRoman"/>
      <w:lvlText w:val="%3."/>
      <w:lvlJc w:val="right"/>
      <w:pPr>
        <w:ind w:left="3892" w:hanging="180"/>
      </w:pPr>
    </w:lvl>
    <w:lvl w:ilvl="3" w:tplc="1009000F" w:tentative="1">
      <w:start w:val="1"/>
      <w:numFmt w:val="decimal"/>
      <w:lvlText w:val="%4."/>
      <w:lvlJc w:val="left"/>
      <w:pPr>
        <w:ind w:left="4612" w:hanging="360"/>
      </w:pPr>
    </w:lvl>
    <w:lvl w:ilvl="4" w:tplc="10090019" w:tentative="1">
      <w:start w:val="1"/>
      <w:numFmt w:val="lowerLetter"/>
      <w:lvlText w:val="%5."/>
      <w:lvlJc w:val="left"/>
      <w:pPr>
        <w:ind w:left="5332" w:hanging="360"/>
      </w:pPr>
    </w:lvl>
    <w:lvl w:ilvl="5" w:tplc="1009001B" w:tentative="1">
      <w:start w:val="1"/>
      <w:numFmt w:val="lowerRoman"/>
      <w:lvlText w:val="%6."/>
      <w:lvlJc w:val="right"/>
      <w:pPr>
        <w:ind w:left="6052" w:hanging="180"/>
      </w:pPr>
    </w:lvl>
    <w:lvl w:ilvl="6" w:tplc="1009000F" w:tentative="1">
      <w:start w:val="1"/>
      <w:numFmt w:val="decimal"/>
      <w:lvlText w:val="%7."/>
      <w:lvlJc w:val="left"/>
      <w:pPr>
        <w:ind w:left="6772" w:hanging="360"/>
      </w:pPr>
    </w:lvl>
    <w:lvl w:ilvl="7" w:tplc="10090019" w:tentative="1">
      <w:start w:val="1"/>
      <w:numFmt w:val="lowerLetter"/>
      <w:lvlText w:val="%8."/>
      <w:lvlJc w:val="left"/>
      <w:pPr>
        <w:ind w:left="7492" w:hanging="360"/>
      </w:pPr>
    </w:lvl>
    <w:lvl w:ilvl="8" w:tplc="1009001B" w:tentative="1">
      <w:start w:val="1"/>
      <w:numFmt w:val="lowerRoman"/>
      <w:lvlText w:val="%9."/>
      <w:lvlJc w:val="right"/>
      <w:pPr>
        <w:ind w:left="8212" w:hanging="180"/>
      </w:pPr>
    </w:lvl>
  </w:abstractNum>
  <w:abstractNum w:abstractNumId="14"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053191167">
    <w:abstractNumId w:val="11"/>
  </w:num>
  <w:num w:numId="2" w16cid:durableId="193427483">
    <w:abstractNumId w:val="15"/>
  </w:num>
  <w:num w:numId="3" w16cid:durableId="661861371">
    <w:abstractNumId w:val="5"/>
  </w:num>
  <w:num w:numId="4" w16cid:durableId="177545819">
    <w:abstractNumId w:val="0"/>
  </w:num>
  <w:num w:numId="5" w16cid:durableId="1363752465">
    <w:abstractNumId w:val="17"/>
  </w:num>
  <w:num w:numId="6" w16cid:durableId="1512184665">
    <w:abstractNumId w:val="3"/>
  </w:num>
  <w:num w:numId="7" w16cid:durableId="500699762">
    <w:abstractNumId w:val="4"/>
  </w:num>
  <w:num w:numId="8" w16cid:durableId="1381981786">
    <w:abstractNumId w:val="2"/>
  </w:num>
  <w:num w:numId="9" w16cid:durableId="1306206311">
    <w:abstractNumId w:val="12"/>
  </w:num>
  <w:num w:numId="10" w16cid:durableId="1348096889">
    <w:abstractNumId w:val="9"/>
  </w:num>
  <w:num w:numId="11" w16cid:durableId="1736974453">
    <w:abstractNumId w:val="16"/>
  </w:num>
  <w:num w:numId="12" w16cid:durableId="1224680662">
    <w:abstractNumId w:val="8"/>
  </w:num>
  <w:num w:numId="13" w16cid:durableId="468858763">
    <w:abstractNumId w:val="14"/>
  </w:num>
  <w:num w:numId="14" w16cid:durableId="538780882">
    <w:abstractNumId w:val="6"/>
  </w:num>
  <w:num w:numId="15" w16cid:durableId="433132585">
    <w:abstractNumId w:val="13"/>
  </w:num>
  <w:num w:numId="16" w16cid:durableId="1499730518">
    <w:abstractNumId w:val="7"/>
  </w:num>
  <w:num w:numId="17" w16cid:durableId="1775830997">
    <w:abstractNumId w:val="10"/>
  </w:num>
  <w:num w:numId="18" w16cid:durableId="1231034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43"/>
    <w:rsid w:val="0000296C"/>
    <w:rsid w:val="00003873"/>
    <w:rsid w:val="00003AA7"/>
    <w:rsid w:val="0000537B"/>
    <w:rsid w:val="00005ED8"/>
    <w:rsid w:val="000111E8"/>
    <w:rsid w:val="000163A5"/>
    <w:rsid w:val="00016516"/>
    <w:rsid w:val="0001699C"/>
    <w:rsid w:val="0003058F"/>
    <w:rsid w:val="000325D7"/>
    <w:rsid w:val="00033891"/>
    <w:rsid w:val="00037228"/>
    <w:rsid w:val="000447EE"/>
    <w:rsid w:val="000459B9"/>
    <w:rsid w:val="00047643"/>
    <w:rsid w:val="00050BBD"/>
    <w:rsid w:val="00051EEA"/>
    <w:rsid w:val="00056613"/>
    <w:rsid w:val="0005687C"/>
    <w:rsid w:val="0006126C"/>
    <w:rsid w:val="0006292F"/>
    <w:rsid w:val="00063A67"/>
    <w:rsid w:val="000721C3"/>
    <w:rsid w:val="00073A80"/>
    <w:rsid w:val="000812FA"/>
    <w:rsid w:val="000819B8"/>
    <w:rsid w:val="00086370"/>
    <w:rsid w:val="00086E43"/>
    <w:rsid w:val="0009120D"/>
    <w:rsid w:val="00091B08"/>
    <w:rsid w:val="000934F6"/>
    <w:rsid w:val="00095E1D"/>
    <w:rsid w:val="000A02B6"/>
    <w:rsid w:val="000A12F9"/>
    <w:rsid w:val="000A231B"/>
    <w:rsid w:val="000A35CC"/>
    <w:rsid w:val="000A4BA1"/>
    <w:rsid w:val="000A4E9A"/>
    <w:rsid w:val="000A56EB"/>
    <w:rsid w:val="000A6862"/>
    <w:rsid w:val="000A6A09"/>
    <w:rsid w:val="000B0C62"/>
    <w:rsid w:val="000B7240"/>
    <w:rsid w:val="000C1FD4"/>
    <w:rsid w:val="000C342C"/>
    <w:rsid w:val="000C4C1E"/>
    <w:rsid w:val="000C6AAE"/>
    <w:rsid w:val="000D209A"/>
    <w:rsid w:val="000D5EF5"/>
    <w:rsid w:val="000D6738"/>
    <w:rsid w:val="000E5036"/>
    <w:rsid w:val="000E6F1A"/>
    <w:rsid w:val="000E6F59"/>
    <w:rsid w:val="000F02DC"/>
    <w:rsid w:val="000F53DB"/>
    <w:rsid w:val="001034F9"/>
    <w:rsid w:val="001110E6"/>
    <w:rsid w:val="00111456"/>
    <w:rsid w:val="0011270C"/>
    <w:rsid w:val="00113940"/>
    <w:rsid w:val="00115FB8"/>
    <w:rsid w:val="00116025"/>
    <w:rsid w:val="00120506"/>
    <w:rsid w:val="00120D0E"/>
    <w:rsid w:val="00121C8A"/>
    <w:rsid w:val="00123A5F"/>
    <w:rsid w:val="00123BC9"/>
    <w:rsid w:val="00127C1A"/>
    <w:rsid w:val="001335A7"/>
    <w:rsid w:val="00140E44"/>
    <w:rsid w:val="00142877"/>
    <w:rsid w:val="00150FFA"/>
    <w:rsid w:val="00151793"/>
    <w:rsid w:val="00151875"/>
    <w:rsid w:val="00154197"/>
    <w:rsid w:val="001605F6"/>
    <w:rsid w:val="0016194C"/>
    <w:rsid w:val="00163335"/>
    <w:rsid w:val="00163F1B"/>
    <w:rsid w:val="00173A9B"/>
    <w:rsid w:val="00174F45"/>
    <w:rsid w:val="00182532"/>
    <w:rsid w:val="00187A9C"/>
    <w:rsid w:val="001922F6"/>
    <w:rsid w:val="00192604"/>
    <w:rsid w:val="00192B6A"/>
    <w:rsid w:val="0019462F"/>
    <w:rsid w:val="00194B2E"/>
    <w:rsid w:val="00196AD1"/>
    <w:rsid w:val="0019730E"/>
    <w:rsid w:val="00197B31"/>
    <w:rsid w:val="00197EC4"/>
    <w:rsid w:val="001A3CE0"/>
    <w:rsid w:val="001A5618"/>
    <w:rsid w:val="001A59B1"/>
    <w:rsid w:val="001B0874"/>
    <w:rsid w:val="001B26B5"/>
    <w:rsid w:val="001B341D"/>
    <w:rsid w:val="001B584E"/>
    <w:rsid w:val="001B7074"/>
    <w:rsid w:val="001C1DCF"/>
    <w:rsid w:val="001C302A"/>
    <w:rsid w:val="001C39F0"/>
    <w:rsid w:val="001D4724"/>
    <w:rsid w:val="001D4836"/>
    <w:rsid w:val="001D4D84"/>
    <w:rsid w:val="001E0F8F"/>
    <w:rsid w:val="001E5790"/>
    <w:rsid w:val="001E6F60"/>
    <w:rsid w:val="001F1918"/>
    <w:rsid w:val="001F5970"/>
    <w:rsid w:val="002007C2"/>
    <w:rsid w:val="00202CCF"/>
    <w:rsid w:val="00205A56"/>
    <w:rsid w:val="00214121"/>
    <w:rsid w:val="002158FD"/>
    <w:rsid w:val="00217F4E"/>
    <w:rsid w:val="002204C3"/>
    <w:rsid w:val="002221E1"/>
    <w:rsid w:val="00222F5D"/>
    <w:rsid w:val="00225142"/>
    <w:rsid w:val="002275CA"/>
    <w:rsid w:val="00231225"/>
    <w:rsid w:val="00231B65"/>
    <w:rsid w:val="0023323D"/>
    <w:rsid w:val="0023366A"/>
    <w:rsid w:val="002374BA"/>
    <w:rsid w:val="00241342"/>
    <w:rsid w:val="002418FD"/>
    <w:rsid w:val="002444CC"/>
    <w:rsid w:val="00245F9B"/>
    <w:rsid w:val="002473E7"/>
    <w:rsid w:val="00247C09"/>
    <w:rsid w:val="00247E33"/>
    <w:rsid w:val="00254265"/>
    <w:rsid w:val="002543E7"/>
    <w:rsid w:val="00262681"/>
    <w:rsid w:val="00265274"/>
    <w:rsid w:val="00265CE3"/>
    <w:rsid w:val="002754A9"/>
    <w:rsid w:val="00277274"/>
    <w:rsid w:val="002772BE"/>
    <w:rsid w:val="002776FD"/>
    <w:rsid w:val="0028050D"/>
    <w:rsid w:val="00281021"/>
    <w:rsid w:val="00282AE4"/>
    <w:rsid w:val="0028426F"/>
    <w:rsid w:val="0028462E"/>
    <w:rsid w:val="00285F86"/>
    <w:rsid w:val="00291189"/>
    <w:rsid w:val="002A3B3C"/>
    <w:rsid w:val="002A3D09"/>
    <w:rsid w:val="002A52A5"/>
    <w:rsid w:val="002A5F39"/>
    <w:rsid w:val="002B08ED"/>
    <w:rsid w:val="002B2908"/>
    <w:rsid w:val="002B5C72"/>
    <w:rsid w:val="002C24A7"/>
    <w:rsid w:val="002C33DB"/>
    <w:rsid w:val="002C3B7B"/>
    <w:rsid w:val="002C3C4A"/>
    <w:rsid w:val="002C4422"/>
    <w:rsid w:val="002C7EF1"/>
    <w:rsid w:val="002D0476"/>
    <w:rsid w:val="002D59FA"/>
    <w:rsid w:val="002E0124"/>
    <w:rsid w:val="002E0C9D"/>
    <w:rsid w:val="002E125E"/>
    <w:rsid w:val="002E137C"/>
    <w:rsid w:val="002E18CB"/>
    <w:rsid w:val="002E5AAB"/>
    <w:rsid w:val="002E6F4B"/>
    <w:rsid w:val="002F0F80"/>
    <w:rsid w:val="002F2158"/>
    <w:rsid w:val="002F21F4"/>
    <w:rsid w:val="003002D9"/>
    <w:rsid w:val="0030192B"/>
    <w:rsid w:val="0030334C"/>
    <w:rsid w:val="00305F65"/>
    <w:rsid w:val="0030613C"/>
    <w:rsid w:val="003079CA"/>
    <w:rsid w:val="00307E03"/>
    <w:rsid w:val="003138DE"/>
    <w:rsid w:val="00313E77"/>
    <w:rsid w:val="00317AFC"/>
    <w:rsid w:val="00320F7F"/>
    <w:rsid w:val="00321151"/>
    <w:rsid w:val="00321645"/>
    <w:rsid w:val="00322117"/>
    <w:rsid w:val="0032298A"/>
    <w:rsid w:val="00323DE9"/>
    <w:rsid w:val="0032647A"/>
    <w:rsid w:val="00336493"/>
    <w:rsid w:val="003418C3"/>
    <w:rsid w:val="00346A4C"/>
    <w:rsid w:val="0035061B"/>
    <w:rsid w:val="003508A4"/>
    <w:rsid w:val="003508FB"/>
    <w:rsid w:val="00351639"/>
    <w:rsid w:val="00355365"/>
    <w:rsid w:val="00364F1F"/>
    <w:rsid w:val="003707C5"/>
    <w:rsid w:val="0037441E"/>
    <w:rsid w:val="00375A2E"/>
    <w:rsid w:val="0037750F"/>
    <w:rsid w:val="003802D4"/>
    <w:rsid w:val="003832AC"/>
    <w:rsid w:val="003842F8"/>
    <w:rsid w:val="0039061A"/>
    <w:rsid w:val="00392581"/>
    <w:rsid w:val="003933AA"/>
    <w:rsid w:val="00394B6F"/>
    <w:rsid w:val="0039753C"/>
    <w:rsid w:val="003A0ABD"/>
    <w:rsid w:val="003A3FAF"/>
    <w:rsid w:val="003A5F27"/>
    <w:rsid w:val="003A739D"/>
    <w:rsid w:val="003B0153"/>
    <w:rsid w:val="003B045A"/>
    <w:rsid w:val="003B2013"/>
    <w:rsid w:val="003B2F62"/>
    <w:rsid w:val="003C2C86"/>
    <w:rsid w:val="003C334D"/>
    <w:rsid w:val="003C41EB"/>
    <w:rsid w:val="003D3E8C"/>
    <w:rsid w:val="003D7BD8"/>
    <w:rsid w:val="003E3282"/>
    <w:rsid w:val="003E4303"/>
    <w:rsid w:val="003F2B8B"/>
    <w:rsid w:val="003F4DFA"/>
    <w:rsid w:val="00401281"/>
    <w:rsid w:val="00402145"/>
    <w:rsid w:val="00403A79"/>
    <w:rsid w:val="004045E5"/>
    <w:rsid w:val="004148D3"/>
    <w:rsid w:val="004149DD"/>
    <w:rsid w:val="004175F8"/>
    <w:rsid w:val="00423626"/>
    <w:rsid w:val="004246EE"/>
    <w:rsid w:val="00426B06"/>
    <w:rsid w:val="00430BA2"/>
    <w:rsid w:val="00433402"/>
    <w:rsid w:val="004334BA"/>
    <w:rsid w:val="00435FD5"/>
    <w:rsid w:val="00436C74"/>
    <w:rsid w:val="004525BE"/>
    <w:rsid w:val="00453DF9"/>
    <w:rsid w:val="00455003"/>
    <w:rsid w:val="00457F9C"/>
    <w:rsid w:val="004615CD"/>
    <w:rsid w:val="0046366D"/>
    <w:rsid w:val="00463D5E"/>
    <w:rsid w:val="00466B42"/>
    <w:rsid w:val="004729A8"/>
    <w:rsid w:val="004731CC"/>
    <w:rsid w:val="00476B53"/>
    <w:rsid w:val="00481216"/>
    <w:rsid w:val="00481F3E"/>
    <w:rsid w:val="00484A1D"/>
    <w:rsid w:val="00486563"/>
    <w:rsid w:val="00486F4A"/>
    <w:rsid w:val="00491147"/>
    <w:rsid w:val="00491EA3"/>
    <w:rsid w:val="00493EAC"/>
    <w:rsid w:val="00495CE4"/>
    <w:rsid w:val="00496827"/>
    <w:rsid w:val="004A0FC4"/>
    <w:rsid w:val="004A4909"/>
    <w:rsid w:val="004B1ED2"/>
    <w:rsid w:val="004B3B26"/>
    <w:rsid w:val="004B5E1C"/>
    <w:rsid w:val="004C34C5"/>
    <w:rsid w:val="004C3E7C"/>
    <w:rsid w:val="004C63C3"/>
    <w:rsid w:val="004C68F7"/>
    <w:rsid w:val="004D1019"/>
    <w:rsid w:val="004D130F"/>
    <w:rsid w:val="004D13E4"/>
    <w:rsid w:val="004D40DE"/>
    <w:rsid w:val="004D4140"/>
    <w:rsid w:val="004D53AF"/>
    <w:rsid w:val="004D5C89"/>
    <w:rsid w:val="004D5EB4"/>
    <w:rsid w:val="004D67C4"/>
    <w:rsid w:val="004E2A67"/>
    <w:rsid w:val="004E325D"/>
    <w:rsid w:val="004E3513"/>
    <w:rsid w:val="004E5E43"/>
    <w:rsid w:val="004E61E0"/>
    <w:rsid w:val="004E639C"/>
    <w:rsid w:val="004E6B62"/>
    <w:rsid w:val="004F0138"/>
    <w:rsid w:val="004F104E"/>
    <w:rsid w:val="004F225C"/>
    <w:rsid w:val="004F2DD2"/>
    <w:rsid w:val="004F343F"/>
    <w:rsid w:val="00501407"/>
    <w:rsid w:val="00502D5C"/>
    <w:rsid w:val="00504845"/>
    <w:rsid w:val="005050C9"/>
    <w:rsid w:val="00512C5E"/>
    <w:rsid w:val="005162D4"/>
    <w:rsid w:val="00516537"/>
    <w:rsid w:val="00516860"/>
    <w:rsid w:val="00517B88"/>
    <w:rsid w:val="0052082B"/>
    <w:rsid w:val="00522AB3"/>
    <w:rsid w:val="0052414C"/>
    <w:rsid w:val="005247E4"/>
    <w:rsid w:val="0053255E"/>
    <w:rsid w:val="00533F06"/>
    <w:rsid w:val="0053438C"/>
    <w:rsid w:val="005349E0"/>
    <w:rsid w:val="00541FD0"/>
    <w:rsid w:val="00544805"/>
    <w:rsid w:val="00552D62"/>
    <w:rsid w:val="005544ED"/>
    <w:rsid w:val="00556775"/>
    <w:rsid w:val="00561E0E"/>
    <w:rsid w:val="005648E2"/>
    <w:rsid w:val="00565CA5"/>
    <w:rsid w:val="00566AAE"/>
    <w:rsid w:val="00570C42"/>
    <w:rsid w:val="00574C4A"/>
    <w:rsid w:val="00576651"/>
    <w:rsid w:val="005846D0"/>
    <w:rsid w:val="00585638"/>
    <w:rsid w:val="00585759"/>
    <w:rsid w:val="00587A42"/>
    <w:rsid w:val="00591C55"/>
    <w:rsid w:val="00592C8D"/>
    <w:rsid w:val="0059712B"/>
    <w:rsid w:val="00597C1F"/>
    <w:rsid w:val="005A3040"/>
    <w:rsid w:val="005A56A8"/>
    <w:rsid w:val="005A63FA"/>
    <w:rsid w:val="005B3F05"/>
    <w:rsid w:val="005B5B19"/>
    <w:rsid w:val="005B751A"/>
    <w:rsid w:val="005B79DB"/>
    <w:rsid w:val="005B7D9C"/>
    <w:rsid w:val="005C0040"/>
    <w:rsid w:val="005C2354"/>
    <w:rsid w:val="005C4149"/>
    <w:rsid w:val="005C5401"/>
    <w:rsid w:val="005C56F2"/>
    <w:rsid w:val="005D02D5"/>
    <w:rsid w:val="005D1500"/>
    <w:rsid w:val="005D1B2E"/>
    <w:rsid w:val="005D29AE"/>
    <w:rsid w:val="005D30F0"/>
    <w:rsid w:val="005E18EF"/>
    <w:rsid w:val="005E23A0"/>
    <w:rsid w:val="005E6DB2"/>
    <w:rsid w:val="005E6FCA"/>
    <w:rsid w:val="005E76CB"/>
    <w:rsid w:val="005F0F06"/>
    <w:rsid w:val="005F1A42"/>
    <w:rsid w:val="005F323C"/>
    <w:rsid w:val="005F524C"/>
    <w:rsid w:val="005F60CD"/>
    <w:rsid w:val="006000F5"/>
    <w:rsid w:val="00601BAB"/>
    <w:rsid w:val="006153F5"/>
    <w:rsid w:val="00615CA0"/>
    <w:rsid w:val="0061691C"/>
    <w:rsid w:val="0061723A"/>
    <w:rsid w:val="006208BB"/>
    <w:rsid w:val="00621291"/>
    <w:rsid w:val="0062213B"/>
    <w:rsid w:val="00631C79"/>
    <w:rsid w:val="00633915"/>
    <w:rsid w:val="0063439C"/>
    <w:rsid w:val="006344EB"/>
    <w:rsid w:val="0063479F"/>
    <w:rsid w:val="0063651C"/>
    <w:rsid w:val="00637E44"/>
    <w:rsid w:val="006438DB"/>
    <w:rsid w:val="0064572E"/>
    <w:rsid w:val="00646D11"/>
    <w:rsid w:val="00647978"/>
    <w:rsid w:val="0065425A"/>
    <w:rsid w:val="00655798"/>
    <w:rsid w:val="00655FAD"/>
    <w:rsid w:val="00656F66"/>
    <w:rsid w:val="00661187"/>
    <w:rsid w:val="00664C40"/>
    <w:rsid w:val="00671409"/>
    <w:rsid w:val="00671FE3"/>
    <w:rsid w:val="00672DB0"/>
    <w:rsid w:val="00672E16"/>
    <w:rsid w:val="0067424F"/>
    <w:rsid w:val="00674955"/>
    <w:rsid w:val="006768CA"/>
    <w:rsid w:val="0067716E"/>
    <w:rsid w:val="00681EFE"/>
    <w:rsid w:val="0068538C"/>
    <w:rsid w:val="00690C60"/>
    <w:rsid w:val="0069153C"/>
    <w:rsid w:val="006A5EAA"/>
    <w:rsid w:val="006A7F51"/>
    <w:rsid w:val="006B0A0B"/>
    <w:rsid w:val="006B67F2"/>
    <w:rsid w:val="006C0366"/>
    <w:rsid w:val="006C4F77"/>
    <w:rsid w:val="006C5D68"/>
    <w:rsid w:val="006D28E5"/>
    <w:rsid w:val="006D2EC2"/>
    <w:rsid w:val="006D47CD"/>
    <w:rsid w:val="006D49A3"/>
    <w:rsid w:val="006E0998"/>
    <w:rsid w:val="006E0A28"/>
    <w:rsid w:val="006E2A6C"/>
    <w:rsid w:val="006F3327"/>
    <w:rsid w:val="006F3351"/>
    <w:rsid w:val="006F5AB0"/>
    <w:rsid w:val="007010E1"/>
    <w:rsid w:val="00705B32"/>
    <w:rsid w:val="00705DF1"/>
    <w:rsid w:val="00705EBE"/>
    <w:rsid w:val="00706CC8"/>
    <w:rsid w:val="00707EAE"/>
    <w:rsid w:val="00710684"/>
    <w:rsid w:val="007110A3"/>
    <w:rsid w:val="00711308"/>
    <w:rsid w:val="00714B27"/>
    <w:rsid w:val="0071622C"/>
    <w:rsid w:val="007172DF"/>
    <w:rsid w:val="0072338A"/>
    <w:rsid w:val="00725DFE"/>
    <w:rsid w:val="00726402"/>
    <w:rsid w:val="00726916"/>
    <w:rsid w:val="007300D6"/>
    <w:rsid w:val="007310F1"/>
    <w:rsid w:val="00734F21"/>
    <w:rsid w:val="00740178"/>
    <w:rsid w:val="007404D1"/>
    <w:rsid w:val="00740811"/>
    <w:rsid w:val="00740C7D"/>
    <w:rsid w:val="00742329"/>
    <w:rsid w:val="00745A79"/>
    <w:rsid w:val="00746381"/>
    <w:rsid w:val="00747962"/>
    <w:rsid w:val="0075028C"/>
    <w:rsid w:val="00751EB7"/>
    <w:rsid w:val="007532DE"/>
    <w:rsid w:val="00754A3B"/>
    <w:rsid w:val="00755193"/>
    <w:rsid w:val="00755781"/>
    <w:rsid w:val="0076058B"/>
    <w:rsid w:val="00761B94"/>
    <w:rsid w:val="0076501D"/>
    <w:rsid w:val="007715F6"/>
    <w:rsid w:val="00776BB9"/>
    <w:rsid w:val="007777E0"/>
    <w:rsid w:val="00777B6B"/>
    <w:rsid w:val="00782CBC"/>
    <w:rsid w:val="0078455D"/>
    <w:rsid w:val="00786EE6"/>
    <w:rsid w:val="00791D5A"/>
    <w:rsid w:val="00791D5D"/>
    <w:rsid w:val="007A0E63"/>
    <w:rsid w:val="007A3C2B"/>
    <w:rsid w:val="007A6539"/>
    <w:rsid w:val="007A7726"/>
    <w:rsid w:val="007B03B7"/>
    <w:rsid w:val="007B29A0"/>
    <w:rsid w:val="007B5A95"/>
    <w:rsid w:val="007B64F1"/>
    <w:rsid w:val="007B6556"/>
    <w:rsid w:val="007B7F2E"/>
    <w:rsid w:val="007C0444"/>
    <w:rsid w:val="007C0A87"/>
    <w:rsid w:val="007C2FA2"/>
    <w:rsid w:val="007C4D52"/>
    <w:rsid w:val="007D09B2"/>
    <w:rsid w:val="007D1BC7"/>
    <w:rsid w:val="007D68BB"/>
    <w:rsid w:val="007E09EE"/>
    <w:rsid w:val="007E1037"/>
    <w:rsid w:val="007E1728"/>
    <w:rsid w:val="007E30B3"/>
    <w:rsid w:val="007E4421"/>
    <w:rsid w:val="007E4F2C"/>
    <w:rsid w:val="007E583B"/>
    <w:rsid w:val="007E6275"/>
    <w:rsid w:val="007F013F"/>
    <w:rsid w:val="007F317F"/>
    <w:rsid w:val="007F38AA"/>
    <w:rsid w:val="007F5365"/>
    <w:rsid w:val="007F6C6B"/>
    <w:rsid w:val="007F7D76"/>
    <w:rsid w:val="00800E4C"/>
    <w:rsid w:val="00810A57"/>
    <w:rsid w:val="00811637"/>
    <w:rsid w:val="0081188A"/>
    <w:rsid w:val="00811AF5"/>
    <w:rsid w:val="008254AB"/>
    <w:rsid w:val="008262A5"/>
    <w:rsid w:val="008328B0"/>
    <w:rsid w:val="00832DAE"/>
    <w:rsid w:val="00835705"/>
    <w:rsid w:val="008365DB"/>
    <w:rsid w:val="0083708C"/>
    <w:rsid w:val="008402AF"/>
    <w:rsid w:val="00842734"/>
    <w:rsid w:val="008478F2"/>
    <w:rsid w:val="008502E6"/>
    <w:rsid w:val="00850C10"/>
    <w:rsid w:val="0085198B"/>
    <w:rsid w:val="00852397"/>
    <w:rsid w:val="00853007"/>
    <w:rsid w:val="008575FD"/>
    <w:rsid w:val="0086152E"/>
    <w:rsid w:val="0086621F"/>
    <w:rsid w:val="00866B24"/>
    <w:rsid w:val="0086719F"/>
    <w:rsid w:val="0086725D"/>
    <w:rsid w:val="00873123"/>
    <w:rsid w:val="00875CDC"/>
    <w:rsid w:val="00880C2D"/>
    <w:rsid w:val="008833B4"/>
    <w:rsid w:val="00891020"/>
    <w:rsid w:val="00895A80"/>
    <w:rsid w:val="00896674"/>
    <w:rsid w:val="008A0420"/>
    <w:rsid w:val="008A427D"/>
    <w:rsid w:val="008B658D"/>
    <w:rsid w:val="008C09DB"/>
    <w:rsid w:val="008C13D3"/>
    <w:rsid w:val="008C140F"/>
    <w:rsid w:val="008C25D4"/>
    <w:rsid w:val="008C4726"/>
    <w:rsid w:val="008C4E6D"/>
    <w:rsid w:val="008C5F97"/>
    <w:rsid w:val="008D0E57"/>
    <w:rsid w:val="008D10C7"/>
    <w:rsid w:val="008D3C41"/>
    <w:rsid w:val="008E3DBD"/>
    <w:rsid w:val="008E57C1"/>
    <w:rsid w:val="008E59B9"/>
    <w:rsid w:val="008E70FE"/>
    <w:rsid w:val="008F2152"/>
    <w:rsid w:val="008F4009"/>
    <w:rsid w:val="008F443A"/>
    <w:rsid w:val="008F5409"/>
    <w:rsid w:val="008F59A0"/>
    <w:rsid w:val="008F71FF"/>
    <w:rsid w:val="00902323"/>
    <w:rsid w:val="00902630"/>
    <w:rsid w:val="00903DCB"/>
    <w:rsid w:val="009050BC"/>
    <w:rsid w:val="00907724"/>
    <w:rsid w:val="00911A99"/>
    <w:rsid w:val="00915447"/>
    <w:rsid w:val="00926B8E"/>
    <w:rsid w:val="00934591"/>
    <w:rsid w:val="0093491A"/>
    <w:rsid w:val="00936C80"/>
    <w:rsid w:val="009465C8"/>
    <w:rsid w:val="00950CBA"/>
    <w:rsid w:val="00960ADF"/>
    <w:rsid w:val="00962DC3"/>
    <w:rsid w:val="00965039"/>
    <w:rsid w:val="00966D78"/>
    <w:rsid w:val="00967D4E"/>
    <w:rsid w:val="00974606"/>
    <w:rsid w:val="009801CD"/>
    <w:rsid w:val="00984D40"/>
    <w:rsid w:val="00984EF9"/>
    <w:rsid w:val="00987D86"/>
    <w:rsid w:val="009906BB"/>
    <w:rsid w:val="00992149"/>
    <w:rsid w:val="00992B74"/>
    <w:rsid w:val="009965F2"/>
    <w:rsid w:val="00997336"/>
    <w:rsid w:val="009A4F8E"/>
    <w:rsid w:val="009A7BE9"/>
    <w:rsid w:val="009B1B34"/>
    <w:rsid w:val="009B4901"/>
    <w:rsid w:val="009B500F"/>
    <w:rsid w:val="009C0BD3"/>
    <w:rsid w:val="009C2CC4"/>
    <w:rsid w:val="009C2FED"/>
    <w:rsid w:val="009C474B"/>
    <w:rsid w:val="009C63B5"/>
    <w:rsid w:val="009D0F11"/>
    <w:rsid w:val="009D3496"/>
    <w:rsid w:val="009D4019"/>
    <w:rsid w:val="009D4C53"/>
    <w:rsid w:val="009D4E86"/>
    <w:rsid w:val="009D4EF2"/>
    <w:rsid w:val="009D5D7C"/>
    <w:rsid w:val="009E0091"/>
    <w:rsid w:val="009E024A"/>
    <w:rsid w:val="009E123C"/>
    <w:rsid w:val="009E2BA1"/>
    <w:rsid w:val="009E7FCA"/>
    <w:rsid w:val="009F0E0D"/>
    <w:rsid w:val="009F3445"/>
    <w:rsid w:val="009F4270"/>
    <w:rsid w:val="009F7B1B"/>
    <w:rsid w:val="00A01796"/>
    <w:rsid w:val="00A01BD9"/>
    <w:rsid w:val="00A02702"/>
    <w:rsid w:val="00A02877"/>
    <w:rsid w:val="00A0319F"/>
    <w:rsid w:val="00A047BB"/>
    <w:rsid w:val="00A06F57"/>
    <w:rsid w:val="00A108DB"/>
    <w:rsid w:val="00A11B13"/>
    <w:rsid w:val="00A14573"/>
    <w:rsid w:val="00A1517B"/>
    <w:rsid w:val="00A16020"/>
    <w:rsid w:val="00A171BF"/>
    <w:rsid w:val="00A2019A"/>
    <w:rsid w:val="00A26C2A"/>
    <w:rsid w:val="00A31C02"/>
    <w:rsid w:val="00A32370"/>
    <w:rsid w:val="00A3263B"/>
    <w:rsid w:val="00A3395A"/>
    <w:rsid w:val="00A3422D"/>
    <w:rsid w:val="00A344E8"/>
    <w:rsid w:val="00A35325"/>
    <w:rsid w:val="00A441B5"/>
    <w:rsid w:val="00A46835"/>
    <w:rsid w:val="00A46DED"/>
    <w:rsid w:val="00A5423E"/>
    <w:rsid w:val="00A55495"/>
    <w:rsid w:val="00A62A47"/>
    <w:rsid w:val="00A72D7E"/>
    <w:rsid w:val="00A76496"/>
    <w:rsid w:val="00A82C88"/>
    <w:rsid w:val="00A83F84"/>
    <w:rsid w:val="00A84262"/>
    <w:rsid w:val="00A84D6A"/>
    <w:rsid w:val="00A87A90"/>
    <w:rsid w:val="00A91150"/>
    <w:rsid w:val="00A930F3"/>
    <w:rsid w:val="00A93723"/>
    <w:rsid w:val="00AA084A"/>
    <w:rsid w:val="00AA0941"/>
    <w:rsid w:val="00AA1633"/>
    <w:rsid w:val="00AA234A"/>
    <w:rsid w:val="00AB1107"/>
    <w:rsid w:val="00AB1856"/>
    <w:rsid w:val="00AB1CCA"/>
    <w:rsid w:val="00AB2D4D"/>
    <w:rsid w:val="00AC098A"/>
    <w:rsid w:val="00AC48E2"/>
    <w:rsid w:val="00AD27EF"/>
    <w:rsid w:val="00AD5D39"/>
    <w:rsid w:val="00AE295A"/>
    <w:rsid w:val="00AE5F6F"/>
    <w:rsid w:val="00AE63A9"/>
    <w:rsid w:val="00AE709E"/>
    <w:rsid w:val="00AE7992"/>
    <w:rsid w:val="00AF0289"/>
    <w:rsid w:val="00AF18B9"/>
    <w:rsid w:val="00AF25E1"/>
    <w:rsid w:val="00AF41A1"/>
    <w:rsid w:val="00B00C24"/>
    <w:rsid w:val="00B0128B"/>
    <w:rsid w:val="00B02019"/>
    <w:rsid w:val="00B02950"/>
    <w:rsid w:val="00B02D3A"/>
    <w:rsid w:val="00B0529C"/>
    <w:rsid w:val="00B073EF"/>
    <w:rsid w:val="00B10ABF"/>
    <w:rsid w:val="00B11B6B"/>
    <w:rsid w:val="00B12557"/>
    <w:rsid w:val="00B12C2C"/>
    <w:rsid w:val="00B20AD9"/>
    <w:rsid w:val="00B233DF"/>
    <w:rsid w:val="00B371F0"/>
    <w:rsid w:val="00B44B5C"/>
    <w:rsid w:val="00B474B5"/>
    <w:rsid w:val="00B512D6"/>
    <w:rsid w:val="00B5240C"/>
    <w:rsid w:val="00B63D42"/>
    <w:rsid w:val="00B64ADE"/>
    <w:rsid w:val="00B66339"/>
    <w:rsid w:val="00B7051E"/>
    <w:rsid w:val="00B749DE"/>
    <w:rsid w:val="00B7552C"/>
    <w:rsid w:val="00B755B3"/>
    <w:rsid w:val="00B825B8"/>
    <w:rsid w:val="00B83834"/>
    <w:rsid w:val="00B84CCB"/>
    <w:rsid w:val="00B86106"/>
    <w:rsid w:val="00B87C3D"/>
    <w:rsid w:val="00B9399C"/>
    <w:rsid w:val="00B93A15"/>
    <w:rsid w:val="00B94F8E"/>
    <w:rsid w:val="00BA0902"/>
    <w:rsid w:val="00BA1BB1"/>
    <w:rsid w:val="00BA1FBD"/>
    <w:rsid w:val="00BA23B7"/>
    <w:rsid w:val="00BA2F80"/>
    <w:rsid w:val="00BB22F5"/>
    <w:rsid w:val="00BB3B24"/>
    <w:rsid w:val="00BB42AD"/>
    <w:rsid w:val="00BC1C16"/>
    <w:rsid w:val="00BC21F2"/>
    <w:rsid w:val="00BC2410"/>
    <w:rsid w:val="00BC24C0"/>
    <w:rsid w:val="00BC697B"/>
    <w:rsid w:val="00BC71F7"/>
    <w:rsid w:val="00BD1AF8"/>
    <w:rsid w:val="00BD42F1"/>
    <w:rsid w:val="00BD4DEC"/>
    <w:rsid w:val="00BD5206"/>
    <w:rsid w:val="00BD6B48"/>
    <w:rsid w:val="00BD77A7"/>
    <w:rsid w:val="00BD781C"/>
    <w:rsid w:val="00BE72A2"/>
    <w:rsid w:val="00BF48CD"/>
    <w:rsid w:val="00BF4CF3"/>
    <w:rsid w:val="00BF5E87"/>
    <w:rsid w:val="00C00616"/>
    <w:rsid w:val="00C0143C"/>
    <w:rsid w:val="00C0180B"/>
    <w:rsid w:val="00C01A2C"/>
    <w:rsid w:val="00C027BB"/>
    <w:rsid w:val="00C0357B"/>
    <w:rsid w:val="00C048D0"/>
    <w:rsid w:val="00C069A5"/>
    <w:rsid w:val="00C06FA0"/>
    <w:rsid w:val="00C267C7"/>
    <w:rsid w:val="00C27A81"/>
    <w:rsid w:val="00C33BC6"/>
    <w:rsid w:val="00C33D6E"/>
    <w:rsid w:val="00C35F65"/>
    <w:rsid w:val="00C378E9"/>
    <w:rsid w:val="00C40EA9"/>
    <w:rsid w:val="00C41BCF"/>
    <w:rsid w:val="00C476DC"/>
    <w:rsid w:val="00C52BC6"/>
    <w:rsid w:val="00C52F2E"/>
    <w:rsid w:val="00C52F4C"/>
    <w:rsid w:val="00C54BBF"/>
    <w:rsid w:val="00C54DDF"/>
    <w:rsid w:val="00C551BB"/>
    <w:rsid w:val="00C6661B"/>
    <w:rsid w:val="00C67A50"/>
    <w:rsid w:val="00C72AB7"/>
    <w:rsid w:val="00C734E0"/>
    <w:rsid w:val="00C746F4"/>
    <w:rsid w:val="00C75600"/>
    <w:rsid w:val="00C77B24"/>
    <w:rsid w:val="00C80131"/>
    <w:rsid w:val="00C84F51"/>
    <w:rsid w:val="00C85173"/>
    <w:rsid w:val="00C85393"/>
    <w:rsid w:val="00C857E4"/>
    <w:rsid w:val="00C949E1"/>
    <w:rsid w:val="00C94D6C"/>
    <w:rsid w:val="00C96274"/>
    <w:rsid w:val="00C965B0"/>
    <w:rsid w:val="00C97CBE"/>
    <w:rsid w:val="00CA05D7"/>
    <w:rsid w:val="00CA073D"/>
    <w:rsid w:val="00CA135F"/>
    <w:rsid w:val="00CA2E58"/>
    <w:rsid w:val="00CA3E84"/>
    <w:rsid w:val="00CA5478"/>
    <w:rsid w:val="00CA6C5D"/>
    <w:rsid w:val="00CA6E70"/>
    <w:rsid w:val="00CB5164"/>
    <w:rsid w:val="00CB595D"/>
    <w:rsid w:val="00CB6D4F"/>
    <w:rsid w:val="00CC1646"/>
    <w:rsid w:val="00CC240D"/>
    <w:rsid w:val="00CC641A"/>
    <w:rsid w:val="00CD5892"/>
    <w:rsid w:val="00CD6525"/>
    <w:rsid w:val="00CD7AA5"/>
    <w:rsid w:val="00CE051B"/>
    <w:rsid w:val="00CE0DD6"/>
    <w:rsid w:val="00CE296F"/>
    <w:rsid w:val="00CE3238"/>
    <w:rsid w:val="00CE5FC6"/>
    <w:rsid w:val="00CE64D5"/>
    <w:rsid w:val="00CF0E79"/>
    <w:rsid w:val="00CF192C"/>
    <w:rsid w:val="00CF4BE8"/>
    <w:rsid w:val="00CF555C"/>
    <w:rsid w:val="00CF6E55"/>
    <w:rsid w:val="00CF78BE"/>
    <w:rsid w:val="00D00951"/>
    <w:rsid w:val="00D03657"/>
    <w:rsid w:val="00D10211"/>
    <w:rsid w:val="00D1137A"/>
    <w:rsid w:val="00D1162C"/>
    <w:rsid w:val="00D12662"/>
    <w:rsid w:val="00D1359A"/>
    <w:rsid w:val="00D140D6"/>
    <w:rsid w:val="00D14C0A"/>
    <w:rsid w:val="00D162A0"/>
    <w:rsid w:val="00D26580"/>
    <w:rsid w:val="00D27502"/>
    <w:rsid w:val="00D30A00"/>
    <w:rsid w:val="00D3307E"/>
    <w:rsid w:val="00D343ED"/>
    <w:rsid w:val="00D34B7B"/>
    <w:rsid w:val="00D355A5"/>
    <w:rsid w:val="00D37409"/>
    <w:rsid w:val="00D44A2B"/>
    <w:rsid w:val="00D525CF"/>
    <w:rsid w:val="00D5420A"/>
    <w:rsid w:val="00D60A59"/>
    <w:rsid w:val="00D60C68"/>
    <w:rsid w:val="00D66295"/>
    <w:rsid w:val="00D72211"/>
    <w:rsid w:val="00D824A6"/>
    <w:rsid w:val="00D824C4"/>
    <w:rsid w:val="00D82A2B"/>
    <w:rsid w:val="00D861E9"/>
    <w:rsid w:val="00D87BCB"/>
    <w:rsid w:val="00D91211"/>
    <w:rsid w:val="00D94DFA"/>
    <w:rsid w:val="00DB0246"/>
    <w:rsid w:val="00DB3988"/>
    <w:rsid w:val="00DC03AD"/>
    <w:rsid w:val="00DC35F0"/>
    <w:rsid w:val="00DC3905"/>
    <w:rsid w:val="00DC3A93"/>
    <w:rsid w:val="00DC5E5E"/>
    <w:rsid w:val="00DC61E7"/>
    <w:rsid w:val="00DD1131"/>
    <w:rsid w:val="00DD17D6"/>
    <w:rsid w:val="00DD33DA"/>
    <w:rsid w:val="00DE1000"/>
    <w:rsid w:val="00DE4290"/>
    <w:rsid w:val="00DE7A7C"/>
    <w:rsid w:val="00DF22B3"/>
    <w:rsid w:val="00DF3589"/>
    <w:rsid w:val="00DF53C6"/>
    <w:rsid w:val="00DF5A8D"/>
    <w:rsid w:val="00DF7538"/>
    <w:rsid w:val="00DF7CAF"/>
    <w:rsid w:val="00E03A6A"/>
    <w:rsid w:val="00E03E38"/>
    <w:rsid w:val="00E06BD3"/>
    <w:rsid w:val="00E07BD5"/>
    <w:rsid w:val="00E10120"/>
    <w:rsid w:val="00E20149"/>
    <w:rsid w:val="00E2041F"/>
    <w:rsid w:val="00E23354"/>
    <w:rsid w:val="00E26DE5"/>
    <w:rsid w:val="00E3181A"/>
    <w:rsid w:val="00E34945"/>
    <w:rsid w:val="00E35A5E"/>
    <w:rsid w:val="00E36B65"/>
    <w:rsid w:val="00E4208F"/>
    <w:rsid w:val="00E476D2"/>
    <w:rsid w:val="00E51C98"/>
    <w:rsid w:val="00E528A5"/>
    <w:rsid w:val="00E53595"/>
    <w:rsid w:val="00E623D9"/>
    <w:rsid w:val="00E627A4"/>
    <w:rsid w:val="00E628BE"/>
    <w:rsid w:val="00E64052"/>
    <w:rsid w:val="00E6601E"/>
    <w:rsid w:val="00E663EB"/>
    <w:rsid w:val="00E67A30"/>
    <w:rsid w:val="00E67B31"/>
    <w:rsid w:val="00E67DE6"/>
    <w:rsid w:val="00E71A55"/>
    <w:rsid w:val="00E74416"/>
    <w:rsid w:val="00E7506A"/>
    <w:rsid w:val="00E76CA2"/>
    <w:rsid w:val="00E779B8"/>
    <w:rsid w:val="00E80975"/>
    <w:rsid w:val="00E81BBF"/>
    <w:rsid w:val="00E84201"/>
    <w:rsid w:val="00E84929"/>
    <w:rsid w:val="00E84D47"/>
    <w:rsid w:val="00E85B67"/>
    <w:rsid w:val="00E86DD6"/>
    <w:rsid w:val="00E91C24"/>
    <w:rsid w:val="00E951CC"/>
    <w:rsid w:val="00EA0CF4"/>
    <w:rsid w:val="00EA14A2"/>
    <w:rsid w:val="00EA15D9"/>
    <w:rsid w:val="00EA29ED"/>
    <w:rsid w:val="00EA5FBC"/>
    <w:rsid w:val="00EB1F08"/>
    <w:rsid w:val="00EB6CBA"/>
    <w:rsid w:val="00EC03ED"/>
    <w:rsid w:val="00EC19C0"/>
    <w:rsid w:val="00EC19C3"/>
    <w:rsid w:val="00EC2722"/>
    <w:rsid w:val="00EC3025"/>
    <w:rsid w:val="00EC37BD"/>
    <w:rsid w:val="00EC40D6"/>
    <w:rsid w:val="00EC4591"/>
    <w:rsid w:val="00EC47EE"/>
    <w:rsid w:val="00EC5737"/>
    <w:rsid w:val="00EC66BD"/>
    <w:rsid w:val="00ED094F"/>
    <w:rsid w:val="00ED1BA8"/>
    <w:rsid w:val="00ED54A1"/>
    <w:rsid w:val="00ED5A66"/>
    <w:rsid w:val="00ED6BFF"/>
    <w:rsid w:val="00EE0193"/>
    <w:rsid w:val="00EE4071"/>
    <w:rsid w:val="00EE5882"/>
    <w:rsid w:val="00EE71E2"/>
    <w:rsid w:val="00EF0A98"/>
    <w:rsid w:val="00EF2C40"/>
    <w:rsid w:val="00EF36FE"/>
    <w:rsid w:val="00EF4985"/>
    <w:rsid w:val="00EF4B63"/>
    <w:rsid w:val="00EF7C65"/>
    <w:rsid w:val="00EF7D32"/>
    <w:rsid w:val="00F00013"/>
    <w:rsid w:val="00F025C7"/>
    <w:rsid w:val="00F052E4"/>
    <w:rsid w:val="00F06301"/>
    <w:rsid w:val="00F06858"/>
    <w:rsid w:val="00F0758D"/>
    <w:rsid w:val="00F10C9C"/>
    <w:rsid w:val="00F12F3B"/>
    <w:rsid w:val="00F13365"/>
    <w:rsid w:val="00F143C7"/>
    <w:rsid w:val="00F17261"/>
    <w:rsid w:val="00F207AB"/>
    <w:rsid w:val="00F208AA"/>
    <w:rsid w:val="00F2092B"/>
    <w:rsid w:val="00F222AC"/>
    <w:rsid w:val="00F22C79"/>
    <w:rsid w:val="00F23975"/>
    <w:rsid w:val="00F24DAC"/>
    <w:rsid w:val="00F2765D"/>
    <w:rsid w:val="00F34A25"/>
    <w:rsid w:val="00F36D5D"/>
    <w:rsid w:val="00F36E3D"/>
    <w:rsid w:val="00F4016B"/>
    <w:rsid w:val="00F4061F"/>
    <w:rsid w:val="00F40D00"/>
    <w:rsid w:val="00F45E3D"/>
    <w:rsid w:val="00F4704B"/>
    <w:rsid w:val="00F542E0"/>
    <w:rsid w:val="00F572D5"/>
    <w:rsid w:val="00F704E9"/>
    <w:rsid w:val="00F7310F"/>
    <w:rsid w:val="00F73216"/>
    <w:rsid w:val="00F7359F"/>
    <w:rsid w:val="00F742FB"/>
    <w:rsid w:val="00F85B81"/>
    <w:rsid w:val="00F87489"/>
    <w:rsid w:val="00F905D5"/>
    <w:rsid w:val="00F92D4A"/>
    <w:rsid w:val="00FA1C22"/>
    <w:rsid w:val="00FA3E16"/>
    <w:rsid w:val="00FA57F8"/>
    <w:rsid w:val="00FB1199"/>
    <w:rsid w:val="00FB16FF"/>
    <w:rsid w:val="00FB6755"/>
    <w:rsid w:val="00FB7392"/>
    <w:rsid w:val="00FC02D4"/>
    <w:rsid w:val="00FC1608"/>
    <w:rsid w:val="00FC2466"/>
    <w:rsid w:val="00FC2E6B"/>
    <w:rsid w:val="00FC3DA0"/>
    <w:rsid w:val="00FC7D31"/>
    <w:rsid w:val="00FD1128"/>
    <w:rsid w:val="00FD25D7"/>
    <w:rsid w:val="00FD4EAC"/>
    <w:rsid w:val="00FD5F42"/>
    <w:rsid w:val="00FE0012"/>
    <w:rsid w:val="00FE1DDD"/>
    <w:rsid w:val="00FE282E"/>
    <w:rsid w:val="00FF6F79"/>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BE506"/>
  <w15:docId w15:val="{0ED840AA-9938-4DA2-AC06-F092F510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canliisubsection">
    <w:name w:val="canlii_subsection"/>
    <w:basedOn w:val="DefaultParagraphFont"/>
    <w:rsid w:val="003F4DFA"/>
  </w:style>
  <w:style w:type="paragraph" w:customStyle="1" w:styleId="subsection">
    <w:name w:val="subsection"/>
    <w:basedOn w:val="Normal"/>
    <w:rsid w:val="00217F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17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wlabel">
    <w:name w:val="lawlabel"/>
    <w:basedOn w:val="DefaultParagraphFont"/>
    <w:rsid w:val="00217F4E"/>
  </w:style>
  <w:style w:type="paragraph" w:styleId="HTMLPreformatted">
    <w:name w:val="HTML Preformatted"/>
    <w:basedOn w:val="Normal"/>
    <w:link w:val="HTMLPreformattedChar"/>
    <w:uiPriority w:val="99"/>
    <w:unhideWhenUsed/>
    <w:rsid w:val="0023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74BA"/>
    <w:rPr>
      <w:rFonts w:ascii="Courier New" w:eastAsia="Times New Roman" w:hAnsi="Courier New" w:cs="Courier New"/>
      <w:sz w:val="20"/>
      <w:szCs w:val="20"/>
    </w:rPr>
  </w:style>
  <w:style w:type="paragraph" w:customStyle="1" w:styleId="headingnumber">
    <w:name w:val="headingnumber"/>
    <w:basedOn w:val="Normal"/>
    <w:rsid w:val="0077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tion">
    <w:name w:val="indentation"/>
    <w:basedOn w:val="Normal"/>
    <w:rsid w:val="009D0F1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2041F"/>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E2041F"/>
    <w:rPr>
      <w:rFonts w:eastAsiaTheme="minorHAnsi"/>
      <w:sz w:val="20"/>
      <w:szCs w:val="20"/>
      <w:lang w:val="en-US" w:eastAsia="en-US"/>
    </w:rPr>
  </w:style>
  <w:style w:type="character" w:styleId="Emphasis">
    <w:name w:val="Emphasis"/>
    <w:basedOn w:val="DefaultParagraphFont"/>
    <w:uiPriority w:val="20"/>
    <w:qFormat/>
    <w:rsid w:val="00E2041F"/>
    <w:rPr>
      <w:i/>
      <w:iCs/>
    </w:rPr>
  </w:style>
  <w:style w:type="paragraph" w:customStyle="1" w:styleId="paranondepar-altn">
    <w:name w:val="paranondepar-altn"/>
    <w:basedOn w:val="Normal"/>
    <w:rsid w:val="00E2041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034F9"/>
    <w:pPr>
      <w:spacing w:after="0" w:line="240" w:lineRule="auto"/>
    </w:pPr>
  </w:style>
  <w:style w:type="character" w:styleId="CommentReference">
    <w:name w:val="annotation reference"/>
    <w:basedOn w:val="DefaultParagraphFont"/>
    <w:uiPriority w:val="99"/>
    <w:semiHidden/>
    <w:unhideWhenUsed/>
    <w:rsid w:val="00491147"/>
    <w:rPr>
      <w:sz w:val="16"/>
      <w:szCs w:val="16"/>
    </w:rPr>
  </w:style>
  <w:style w:type="paragraph" w:styleId="CommentText">
    <w:name w:val="annotation text"/>
    <w:basedOn w:val="Normal"/>
    <w:link w:val="CommentTextChar"/>
    <w:uiPriority w:val="99"/>
    <w:unhideWhenUsed/>
    <w:rsid w:val="00491147"/>
    <w:pPr>
      <w:spacing w:line="240" w:lineRule="auto"/>
    </w:pPr>
    <w:rPr>
      <w:sz w:val="20"/>
      <w:szCs w:val="20"/>
    </w:rPr>
  </w:style>
  <w:style w:type="character" w:customStyle="1" w:styleId="CommentTextChar">
    <w:name w:val="Comment Text Char"/>
    <w:basedOn w:val="DefaultParagraphFont"/>
    <w:link w:val="CommentText"/>
    <w:uiPriority w:val="99"/>
    <w:rsid w:val="00491147"/>
    <w:rPr>
      <w:sz w:val="20"/>
      <w:szCs w:val="20"/>
    </w:rPr>
  </w:style>
  <w:style w:type="paragraph" w:styleId="CommentSubject">
    <w:name w:val="annotation subject"/>
    <w:basedOn w:val="CommentText"/>
    <w:next w:val="CommentText"/>
    <w:link w:val="CommentSubjectChar"/>
    <w:uiPriority w:val="99"/>
    <w:semiHidden/>
    <w:unhideWhenUsed/>
    <w:rsid w:val="00491147"/>
    <w:rPr>
      <w:b/>
      <w:bCs/>
    </w:rPr>
  </w:style>
  <w:style w:type="character" w:customStyle="1" w:styleId="CommentSubjectChar">
    <w:name w:val="Comment Subject Char"/>
    <w:basedOn w:val="CommentTextChar"/>
    <w:link w:val="CommentSubject"/>
    <w:uiPriority w:val="99"/>
    <w:semiHidden/>
    <w:rsid w:val="00491147"/>
    <w:rPr>
      <w:b/>
      <w:bCs/>
      <w:sz w:val="20"/>
      <w:szCs w:val="20"/>
    </w:rPr>
  </w:style>
  <w:style w:type="character" w:styleId="UnresolvedMention">
    <w:name w:val="Unresolved Mention"/>
    <w:basedOn w:val="DefaultParagraphFont"/>
    <w:uiPriority w:val="99"/>
    <w:semiHidden/>
    <w:unhideWhenUsed/>
    <w:rsid w:val="00491147"/>
    <w:rPr>
      <w:color w:val="605E5C"/>
      <w:shd w:val="clear" w:color="auto" w:fill="E1DFDD"/>
    </w:rPr>
  </w:style>
  <w:style w:type="character" w:styleId="FootnoteReference">
    <w:name w:val="footnote reference"/>
    <w:basedOn w:val="DefaultParagraphFont"/>
    <w:uiPriority w:val="99"/>
    <w:semiHidden/>
    <w:unhideWhenUsed/>
    <w:rsid w:val="00EA0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112291160">
      <w:bodyDiv w:val="1"/>
      <w:marLeft w:val="0"/>
      <w:marRight w:val="0"/>
      <w:marTop w:val="0"/>
      <w:marBottom w:val="0"/>
      <w:divBdr>
        <w:top w:val="none" w:sz="0" w:space="0" w:color="auto"/>
        <w:left w:val="none" w:sz="0" w:space="0" w:color="auto"/>
        <w:bottom w:val="none" w:sz="0" w:space="0" w:color="auto"/>
        <w:right w:val="none" w:sz="0" w:space="0" w:color="auto"/>
      </w:divBdr>
    </w:div>
    <w:div w:id="256212584">
      <w:bodyDiv w:val="1"/>
      <w:marLeft w:val="0"/>
      <w:marRight w:val="0"/>
      <w:marTop w:val="0"/>
      <w:marBottom w:val="0"/>
      <w:divBdr>
        <w:top w:val="none" w:sz="0" w:space="0" w:color="auto"/>
        <w:left w:val="none" w:sz="0" w:space="0" w:color="auto"/>
        <w:bottom w:val="none" w:sz="0" w:space="0" w:color="auto"/>
        <w:right w:val="none" w:sz="0" w:space="0" w:color="auto"/>
      </w:divBdr>
    </w:div>
    <w:div w:id="684409078">
      <w:bodyDiv w:val="1"/>
      <w:marLeft w:val="0"/>
      <w:marRight w:val="0"/>
      <w:marTop w:val="0"/>
      <w:marBottom w:val="0"/>
      <w:divBdr>
        <w:top w:val="none" w:sz="0" w:space="0" w:color="auto"/>
        <w:left w:val="none" w:sz="0" w:space="0" w:color="auto"/>
        <w:bottom w:val="none" w:sz="0" w:space="0" w:color="auto"/>
        <w:right w:val="none" w:sz="0" w:space="0" w:color="auto"/>
      </w:divBdr>
    </w:div>
    <w:div w:id="728310122">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070878C79D4408E9B8E13FB885CC9" ma:contentTypeVersion="13" ma:contentTypeDescription="Create a new document." ma:contentTypeScope="" ma:versionID="0545214912202ea9cad6915f7e236ae1">
  <xsd:schema xmlns:xsd="http://www.w3.org/2001/XMLSchema" xmlns:xs="http://www.w3.org/2001/XMLSchema" xmlns:p="http://schemas.microsoft.com/office/2006/metadata/properties" xmlns:ns2="83bc3cd8-da25-40f9-958f-c13e000bdc16" xmlns:ns3="375bca7b-c53c-4fd7-b0ac-aee1bc09b69d" targetNamespace="http://schemas.microsoft.com/office/2006/metadata/properties" ma:root="true" ma:fieldsID="02f104b277bf8dce45b091df63b15985" ns2:_="" ns3:_="">
    <xsd:import namespace="83bc3cd8-da25-40f9-958f-c13e000bdc16"/>
    <xsd:import namespace="375bca7b-c53c-4fd7-b0ac-aee1bc09b6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c3cd8-da25-40f9-958f-c13e000bd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4da1b9-cdce-4e3f-b20e-ce27030b6d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5bca7b-c53c-4fd7-b0ac-aee1bc09b6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fb148d-7269-48d9-b175-b5edecdd02a7}" ma:internalName="TaxCatchAll" ma:showField="CatchAllData" ma:web="375bca7b-c53c-4fd7-b0ac-aee1bc09b6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bc3cd8-da25-40f9-958f-c13e000bdc16">
      <Terms xmlns="http://schemas.microsoft.com/office/infopath/2007/PartnerControls"/>
    </lcf76f155ced4ddcb4097134ff3c332f>
    <TaxCatchAll xmlns="375bca7b-c53c-4fd7-b0ac-aee1bc09b6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AB923-8F99-4AED-B025-8444A9B0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c3cd8-da25-40f9-958f-c13e000bdc16"/>
    <ds:schemaRef ds:uri="375bca7b-c53c-4fd7-b0ac-aee1bc09b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A9DC1-9FB2-4E7B-8610-5B34AE8C6EF5}">
  <ds:schemaRefs>
    <ds:schemaRef ds:uri="http://schemas.openxmlformats.org/officeDocument/2006/bibliography"/>
  </ds:schemaRefs>
</ds:datastoreItem>
</file>

<file path=customXml/itemProps3.xml><?xml version="1.0" encoding="utf-8"?>
<ds:datastoreItem xmlns:ds="http://schemas.openxmlformats.org/officeDocument/2006/customXml" ds:itemID="{FEB87BA9-A30F-479C-833C-28B748474B86}">
  <ds:schemaRefs>
    <ds:schemaRef ds:uri="http://schemas.microsoft.com/office/2006/metadata/properties"/>
    <ds:schemaRef ds:uri="http://schemas.microsoft.com/office/infopath/2007/PartnerControls"/>
    <ds:schemaRef ds:uri="83bc3cd8-da25-40f9-958f-c13e000bdc16"/>
    <ds:schemaRef ds:uri="375bca7b-c53c-4fd7-b0ac-aee1bc09b69d"/>
  </ds:schemaRefs>
</ds:datastoreItem>
</file>

<file path=customXml/itemProps4.xml><?xml version="1.0" encoding="utf-8"?>
<ds:datastoreItem xmlns:ds="http://schemas.openxmlformats.org/officeDocument/2006/customXml" ds:itemID="{BF20B7D5-412A-4781-B5AE-B1D8FF6D0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2593</Words>
  <Characters>14785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Tyler Vibert</cp:lastModifiedBy>
  <cp:revision>2</cp:revision>
  <cp:lastPrinted>2024-08-07T19:25:00Z</cp:lastPrinted>
  <dcterms:created xsi:type="dcterms:W3CDTF">2024-08-07T19:43:00Z</dcterms:created>
  <dcterms:modified xsi:type="dcterms:W3CDTF">2024-08-07T19:43:00Z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0x010100598070878C79D4408E9B8E13FB885CC9</vt:lpwstr>
  </property>
  <property fmtid="{D5CDD505-2E9C-101B-9397-08002B2CF9AE}" pid="3" name="Order">
    <vt:r8>2261200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2024-06-21T00:31:07Z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619a88ff-cb67-4298-9781-66cc0cc776f1</vt:lpwstr>
  </property>
  <property fmtid="{D5CDD505-2E9C-101B-9397-08002B2CF9AE}" pid="10" name="MSIP_Label_defa4170-0d19-0005-0004-bc88714345d2_ActionId">
    <vt:lpwstr>eff537a4-8ad8-4cbf-a7d2-f197261807cf</vt:lpwstr>
  </property>
  <property fmtid="{D5CDD505-2E9C-101B-9397-08002B2CF9AE}" pid="11" name="MSIP_Label_defa4170-0d19-0005-0004-bc88714345d2_ContentBits">
    <vt:lpwstr>0</vt:lpwstr>
  </property>
</Properties>
</file>