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9D63" w14:textId="30353372" w:rsidR="00774DF0" w:rsidRDefault="00FC59F1" w:rsidP="00037ED0">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Kruezi</w:t>
      </w:r>
      <w:proofErr w:type="spellEnd"/>
      <w:r>
        <w:rPr>
          <w:rFonts w:ascii="Times New Roman" w:hAnsi="Times New Roman" w:cs="Times New Roman"/>
          <w:i/>
          <w:sz w:val="24"/>
          <w:szCs w:val="24"/>
        </w:rPr>
        <w:t xml:space="preserve"> v Aviva Insurance Company of Canada</w:t>
      </w:r>
      <w:r w:rsidR="005576B8">
        <w:rPr>
          <w:rFonts w:ascii="Times New Roman" w:hAnsi="Times New Roman" w:cs="Times New Roman"/>
          <w:i/>
          <w:sz w:val="24"/>
          <w:szCs w:val="24"/>
        </w:rPr>
        <w:t>,</w:t>
      </w:r>
      <w:r w:rsidR="00774DF0">
        <w:rPr>
          <w:rFonts w:ascii="Times New Roman" w:hAnsi="Times New Roman" w:cs="Times New Roman"/>
          <w:i/>
          <w:sz w:val="24"/>
          <w:szCs w:val="24"/>
        </w:rPr>
        <w:t xml:space="preserve"> </w:t>
      </w:r>
      <w:r w:rsidR="00774DF0">
        <w:rPr>
          <w:rFonts w:ascii="Times New Roman" w:hAnsi="Times New Roman" w:cs="Times New Roman"/>
          <w:iCs/>
          <w:sz w:val="24"/>
          <w:szCs w:val="24"/>
        </w:rPr>
        <w:t>20</w:t>
      </w:r>
      <w:r w:rsidR="00C102A8" w:rsidRPr="00C102A8">
        <w:rPr>
          <w:rFonts w:ascii="Times New Roman" w:hAnsi="Times New Roman" w:cs="Times New Roman"/>
          <w:iCs/>
          <w:sz w:val="24"/>
          <w:szCs w:val="24"/>
        </w:rPr>
        <w:t>24</w:t>
      </w:r>
      <w:r w:rsidR="00037ED0" w:rsidRPr="00037ED0">
        <w:rPr>
          <w:rFonts w:ascii="Times New Roman" w:hAnsi="Times New Roman" w:cs="Times New Roman"/>
          <w:sz w:val="24"/>
          <w:szCs w:val="24"/>
        </w:rPr>
        <w:t xml:space="preserve"> NWTSC </w:t>
      </w:r>
      <w:proofErr w:type="gramStart"/>
      <w:r w:rsidR="00FC74B3">
        <w:rPr>
          <w:rFonts w:ascii="Times New Roman" w:hAnsi="Times New Roman" w:cs="Times New Roman"/>
          <w:sz w:val="24"/>
          <w:szCs w:val="24"/>
        </w:rPr>
        <w:t>20</w:t>
      </w:r>
      <w:r w:rsidR="00F14CC7">
        <w:rPr>
          <w:rFonts w:ascii="Times New Roman" w:hAnsi="Times New Roman" w:cs="Times New Roman"/>
          <w:sz w:val="24"/>
          <w:szCs w:val="24"/>
        </w:rPr>
        <w:t>.cor</w:t>
      </w:r>
      <w:proofErr w:type="gramEnd"/>
      <w:r w:rsidR="00F14CC7">
        <w:rPr>
          <w:rFonts w:ascii="Times New Roman" w:hAnsi="Times New Roman" w:cs="Times New Roman"/>
          <w:sz w:val="24"/>
          <w:szCs w:val="24"/>
        </w:rPr>
        <w:t>1</w:t>
      </w:r>
    </w:p>
    <w:p w14:paraId="10FC8E65" w14:textId="090DDD16" w:rsidR="00F14CC7" w:rsidRPr="00037ED0" w:rsidRDefault="00F14CC7" w:rsidP="00037ED0">
      <w:pPr>
        <w:spacing w:after="0" w:line="240" w:lineRule="auto"/>
        <w:rPr>
          <w:rFonts w:ascii="Times New Roman" w:hAnsi="Times New Roman" w:cs="Times New Roman"/>
          <w:sz w:val="24"/>
          <w:szCs w:val="24"/>
        </w:rPr>
      </w:pPr>
    </w:p>
    <w:p w14:paraId="08898FA7" w14:textId="67B9BD93" w:rsidR="00F14CC7" w:rsidRDefault="00EE2795" w:rsidP="002D4A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Date Corrigendum Filed: 2024 </w:t>
      </w:r>
      <w:r w:rsidR="00323C17">
        <w:rPr>
          <w:rFonts w:ascii="Times New Roman" w:hAnsi="Times New Roman" w:cs="Times New Roman"/>
          <w:sz w:val="28"/>
          <w:szCs w:val="28"/>
        </w:rPr>
        <w:t>04 26</w:t>
      </w:r>
    </w:p>
    <w:p w14:paraId="17DE350B" w14:textId="278BB838" w:rsidR="00B94F8E" w:rsidRDefault="001922F6" w:rsidP="002D4A93">
      <w:pPr>
        <w:spacing w:after="0" w:line="240" w:lineRule="auto"/>
        <w:jc w:val="right"/>
        <w:rPr>
          <w:rFonts w:ascii="Times New Roman" w:hAnsi="Times New Roman" w:cs="Times New Roman"/>
          <w:sz w:val="28"/>
          <w:szCs w:val="28"/>
        </w:rPr>
      </w:pPr>
      <w:r w:rsidRPr="0063768D">
        <w:rPr>
          <w:rFonts w:ascii="Times New Roman" w:hAnsi="Times New Roman" w:cs="Times New Roman"/>
          <w:sz w:val="28"/>
          <w:szCs w:val="28"/>
        </w:rPr>
        <w:fldChar w:fldCharType="begin"/>
      </w:r>
      <w:r w:rsidR="00B94F8E" w:rsidRPr="0063768D">
        <w:rPr>
          <w:rFonts w:ascii="Times New Roman" w:hAnsi="Times New Roman" w:cs="Times New Roman"/>
          <w:sz w:val="28"/>
          <w:szCs w:val="28"/>
        </w:rPr>
        <w:instrText xml:space="preserve"> SEQ CHAPTER \h \r 1</w:instrText>
      </w:r>
      <w:r w:rsidRPr="0063768D">
        <w:rPr>
          <w:rFonts w:ascii="Times New Roman" w:hAnsi="Times New Roman" w:cs="Times New Roman"/>
          <w:sz w:val="28"/>
          <w:szCs w:val="28"/>
        </w:rPr>
        <w:fldChar w:fldCharType="end"/>
      </w:r>
      <w:r w:rsidR="00B94F8E" w:rsidRPr="0063768D">
        <w:rPr>
          <w:rFonts w:ascii="Times New Roman" w:hAnsi="Times New Roman" w:cs="Times New Roman"/>
          <w:sz w:val="28"/>
          <w:szCs w:val="28"/>
        </w:rPr>
        <w:t xml:space="preserve">Date: </w:t>
      </w:r>
      <w:bookmarkStart w:id="0" w:name="1"/>
      <w:bookmarkEnd w:id="0"/>
      <w:r w:rsidR="00B94F8E" w:rsidRPr="0063768D">
        <w:rPr>
          <w:rFonts w:ascii="Times New Roman" w:hAnsi="Times New Roman" w:cs="Times New Roman"/>
          <w:sz w:val="28"/>
          <w:szCs w:val="28"/>
        </w:rPr>
        <w:t xml:space="preserve"> 20</w:t>
      </w:r>
      <w:r w:rsidR="002B1870" w:rsidRPr="0063768D">
        <w:rPr>
          <w:rFonts w:ascii="Times New Roman" w:hAnsi="Times New Roman" w:cs="Times New Roman"/>
          <w:sz w:val="28"/>
          <w:szCs w:val="28"/>
        </w:rPr>
        <w:t>2</w:t>
      </w:r>
      <w:r w:rsidR="006846D6">
        <w:rPr>
          <w:rFonts w:ascii="Times New Roman" w:hAnsi="Times New Roman" w:cs="Times New Roman"/>
          <w:sz w:val="28"/>
          <w:szCs w:val="28"/>
        </w:rPr>
        <w:t>4</w:t>
      </w:r>
      <w:r w:rsidR="00B94F8E" w:rsidRPr="0063768D">
        <w:rPr>
          <w:rFonts w:ascii="Times New Roman" w:hAnsi="Times New Roman" w:cs="Times New Roman"/>
          <w:sz w:val="28"/>
          <w:szCs w:val="28"/>
        </w:rPr>
        <w:t xml:space="preserve"> </w:t>
      </w:r>
      <w:r w:rsidR="006846D6">
        <w:rPr>
          <w:rFonts w:ascii="Times New Roman" w:hAnsi="Times New Roman" w:cs="Times New Roman"/>
          <w:sz w:val="28"/>
          <w:szCs w:val="28"/>
        </w:rPr>
        <w:t>0</w:t>
      </w:r>
      <w:r w:rsidR="00FC59F1">
        <w:rPr>
          <w:rFonts w:ascii="Times New Roman" w:hAnsi="Times New Roman" w:cs="Times New Roman"/>
          <w:sz w:val="28"/>
          <w:szCs w:val="28"/>
        </w:rPr>
        <w:t>4</w:t>
      </w:r>
      <w:r w:rsidR="002B1870" w:rsidRPr="0063768D">
        <w:rPr>
          <w:rFonts w:ascii="Times New Roman" w:hAnsi="Times New Roman" w:cs="Times New Roman"/>
          <w:sz w:val="28"/>
          <w:szCs w:val="28"/>
        </w:rPr>
        <w:t xml:space="preserve"> </w:t>
      </w:r>
      <w:r w:rsidR="00FC74B3">
        <w:rPr>
          <w:rFonts w:ascii="Times New Roman" w:hAnsi="Times New Roman" w:cs="Times New Roman"/>
          <w:sz w:val="28"/>
          <w:szCs w:val="28"/>
        </w:rPr>
        <w:t>2</w:t>
      </w:r>
      <w:r w:rsidR="00830356">
        <w:rPr>
          <w:rFonts w:ascii="Times New Roman" w:hAnsi="Times New Roman" w:cs="Times New Roman"/>
          <w:sz w:val="28"/>
          <w:szCs w:val="28"/>
        </w:rPr>
        <w:t>5</w:t>
      </w:r>
    </w:p>
    <w:p w14:paraId="3E209B53" w14:textId="553C6C12" w:rsidR="002D4A93" w:rsidRPr="0063768D" w:rsidRDefault="002D4A93" w:rsidP="002D4A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S-1-CV 20</w:t>
      </w:r>
      <w:r w:rsidR="00FC59F1">
        <w:rPr>
          <w:rFonts w:ascii="Times New Roman" w:hAnsi="Times New Roman" w:cs="Times New Roman"/>
          <w:sz w:val="28"/>
          <w:szCs w:val="28"/>
        </w:rPr>
        <w:t>16</w:t>
      </w:r>
      <w:r w:rsidR="006846D6">
        <w:rPr>
          <w:rFonts w:ascii="Times New Roman" w:hAnsi="Times New Roman" w:cs="Times New Roman"/>
          <w:sz w:val="28"/>
          <w:szCs w:val="28"/>
        </w:rPr>
        <w:t xml:space="preserve"> 000 </w:t>
      </w:r>
      <w:r w:rsidR="00FC59F1">
        <w:rPr>
          <w:rFonts w:ascii="Times New Roman" w:hAnsi="Times New Roman" w:cs="Times New Roman"/>
          <w:sz w:val="28"/>
          <w:szCs w:val="28"/>
        </w:rPr>
        <w:t>209</w:t>
      </w:r>
    </w:p>
    <w:p w14:paraId="17DE350D" w14:textId="77777777" w:rsidR="00194D52" w:rsidRPr="0063768D" w:rsidRDefault="00194D52" w:rsidP="002D4A93">
      <w:pPr>
        <w:spacing w:after="0" w:line="240" w:lineRule="auto"/>
        <w:jc w:val="right"/>
        <w:rPr>
          <w:rFonts w:ascii="Times New Roman" w:hAnsi="Times New Roman" w:cs="Times New Roman"/>
          <w:sz w:val="28"/>
          <w:szCs w:val="28"/>
        </w:rPr>
      </w:pPr>
    </w:p>
    <w:p w14:paraId="1724497B" w14:textId="3641FFD6" w:rsidR="002F3480" w:rsidRPr="000532FA" w:rsidRDefault="0063768D" w:rsidP="000532FA">
      <w:pPr>
        <w:spacing w:line="240" w:lineRule="auto"/>
        <w:jc w:val="center"/>
        <w:rPr>
          <w:rFonts w:ascii="Times New Roman" w:hAnsi="Times New Roman" w:cs="Times New Roman"/>
          <w:b/>
          <w:bCs/>
          <w:sz w:val="28"/>
          <w:szCs w:val="28"/>
        </w:rPr>
      </w:pPr>
      <w:r w:rsidRPr="002F3480">
        <w:rPr>
          <w:rFonts w:ascii="Times New Roman" w:hAnsi="Times New Roman" w:cs="Times New Roman"/>
          <w:b/>
          <w:bCs/>
          <w:sz w:val="28"/>
          <w:szCs w:val="28"/>
        </w:rPr>
        <w:t>IN THE SUPREME COURT OF THE NORTHWEST TERRITORIES</w:t>
      </w:r>
    </w:p>
    <w:p w14:paraId="5C272079" w14:textId="7BC030FD" w:rsidR="0063768D" w:rsidRDefault="0063768D" w:rsidP="002D4A93">
      <w:pPr>
        <w:spacing w:line="240" w:lineRule="auto"/>
        <w:rPr>
          <w:rFonts w:ascii="Times New Roman" w:hAnsi="Times New Roman" w:cs="Times New Roman"/>
          <w:sz w:val="28"/>
          <w:szCs w:val="28"/>
        </w:rPr>
      </w:pPr>
      <w:r w:rsidRPr="00830356">
        <w:rPr>
          <w:rFonts w:ascii="Times New Roman" w:hAnsi="Times New Roman" w:cs="Times New Roman"/>
          <w:b/>
          <w:bCs/>
          <w:sz w:val="28"/>
          <w:szCs w:val="28"/>
        </w:rPr>
        <w:t>BETWEEN</w:t>
      </w:r>
      <w:r w:rsidRPr="0063768D">
        <w:rPr>
          <w:rFonts w:ascii="Times New Roman" w:hAnsi="Times New Roman" w:cs="Times New Roman"/>
          <w:sz w:val="28"/>
          <w:szCs w:val="28"/>
        </w:rPr>
        <w:t>:</w:t>
      </w:r>
    </w:p>
    <w:p w14:paraId="210F6A0E" w14:textId="77777777" w:rsidR="008D533F" w:rsidRDefault="00FC59F1" w:rsidP="008D533F">
      <w:pPr>
        <w:spacing w:line="240" w:lineRule="auto"/>
        <w:jc w:val="center"/>
        <w:rPr>
          <w:rFonts w:ascii="Times New Roman" w:hAnsi="Times New Roman" w:cs="Times New Roman"/>
          <w:sz w:val="28"/>
          <w:szCs w:val="28"/>
        </w:rPr>
      </w:pPr>
      <w:r>
        <w:rPr>
          <w:rFonts w:ascii="Times New Roman" w:hAnsi="Times New Roman" w:cs="Times New Roman"/>
          <w:sz w:val="28"/>
          <w:szCs w:val="28"/>
        </w:rPr>
        <w:t>RAY KRUEZI</w:t>
      </w:r>
    </w:p>
    <w:p w14:paraId="65D56542" w14:textId="29F11716" w:rsidR="008D533F" w:rsidRPr="008D533F" w:rsidRDefault="00FC59F1" w:rsidP="008D533F">
      <w:pPr>
        <w:spacing w:line="240" w:lineRule="auto"/>
        <w:jc w:val="right"/>
        <w:rPr>
          <w:rFonts w:ascii="Times New Roman" w:hAnsi="Times New Roman" w:cs="Times New Roman"/>
          <w:sz w:val="28"/>
          <w:szCs w:val="28"/>
        </w:rPr>
      </w:pPr>
      <w:r>
        <w:rPr>
          <w:rFonts w:ascii="Times New Roman" w:eastAsia="Calibri" w:hAnsi="Times New Roman" w:cs="Times New Roman"/>
          <w:sz w:val="28"/>
          <w:szCs w:val="28"/>
        </w:rPr>
        <w:t>Plaintiff</w:t>
      </w:r>
      <w:r w:rsidR="00924C15">
        <w:rPr>
          <w:rFonts w:ascii="Times New Roman" w:eastAsia="Calibri" w:hAnsi="Times New Roman" w:cs="Times New Roman"/>
          <w:sz w:val="28"/>
          <w:szCs w:val="28"/>
        </w:rPr>
        <w:t xml:space="preserve"> </w:t>
      </w:r>
      <w:r w:rsidR="00AF5210">
        <w:rPr>
          <w:rFonts w:ascii="Times New Roman" w:eastAsia="Calibri" w:hAnsi="Times New Roman" w:cs="Times New Roman"/>
          <w:sz w:val="28"/>
          <w:szCs w:val="28"/>
        </w:rPr>
        <w:t>(</w:t>
      </w:r>
      <w:r w:rsidR="00924C15">
        <w:rPr>
          <w:rFonts w:ascii="Times New Roman" w:eastAsia="Calibri" w:hAnsi="Times New Roman" w:cs="Times New Roman"/>
          <w:sz w:val="28"/>
          <w:szCs w:val="28"/>
        </w:rPr>
        <w:t>Respondent</w:t>
      </w:r>
      <w:r w:rsidR="00AF5210">
        <w:rPr>
          <w:rFonts w:ascii="Times New Roman" w:eastAsia="Calibri" w:hAnsi="Times New Roman" w:cs="Times New Roman"/>
          <w:sz w:val="28"/>
          <w:szCs w:val="28"/>
        </w:rPr>
        <w:t>)</w:t>
      </w:r>
    </w:p>
    <w:p w14:paraId="4B1A81BA" w14:textId="1E7E1416" w:rsidR="00933F7D" w:rsidRDefault="00394C45" w:rsidP="008D533F">
      <w:pPr>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-and-</w:t>
      </w:r>
    </w:p>
    <w:p w14:paraId="68BEAC0D" w14:textId="7DA9B3DB" w:rsidR="00774DF0" w:rsidRPr="00774DF0" w:rsidRDefault="00C22DDE" w:rsidP="00394C45">
      <w:pPr>
        <w:jc w:val="center"/>
        <w:rPr>
          <w:rFonts w:ascii="Times New Roman" w:eastAsia="Calibri" w:hAnsi="Times New Roman" w:cs="Times New Roman"/>
          <w:i/>
          <w:iCs/>
          <w:sz w:val="28"/>
          <w:szCs w:val="28"/>
        </w:rPr>
      </w:pPr>
      <w:r>
        <w:rPr>
          <w:rFonts w:ascii="Times New Roman" w:eastAsia="Calibri" w:hAnsi="Times New Roman" w:cs="Times New Roman"/>
          <w:sz w:val="28"/>
          <w:szCs w:val="28"/>
        </w:rPr>
        <w:t>AVIVA INSURANCE COMPANY OF CANADA</w:t>
      </w:r>
    </w:p>
    <w:p w14:paraId="1BFC3AA4" w14:textId="447577B8" w:rsidR="00404711" w:rsidRDefault="00C22DDE" w:rsidP="00404711">
      <w:pPr>
        <w:jc w:val="right"/>
        <w:rPr>
          <w:rFonts w:ascii="Times New Roman" w:eastAsia="Calibri" w:hAnsi="Times New Roman" w:cs="Times New Roman"/>
          <w:sz w:val="28"/>
          <w:szCs w:val="28"/>
        </w:rPr>
      </w:pPr>
      <w:r>
        <w:rPr>
          <w:rFonts w:ascii="Times New Roman" w:eastAsia="Calibri" w:hAnsi="Times New Roman" w:cs="Times New Roman"/>
          <w:sz w:val="28"/>
          <w:szCs w:val="28"/>
        </w:rPr>
        <w:t>Defendant</w:t>
      </w:r>
      <w:r w:rsidR="00924C15">
        <w:rPr>
          <w:rFonts w:ascii="Times New Roman" w:eastAsia="Calibri" w:hAnsi="Times New Roman" w:cs="Times New Roman"/>
          <w:sz w:val="28"/>
          <w:szCs w:val="28"/>
        </w:rPr>
        <w:t xml:space="preserve"> </w:t>
      </w:r>
      <w:r w:rsidR="00AF5210">
        <w:rPr>
          <w:rFonts w:ascii="Times New Roman" w:eastAsia="Calibri" w:hAnsi="Times New Roman" w:cs="Times New Roman"/>
          <w:sz w:val="28"/>
          <w:szCs w:val="28"/>
        </w:rPr>
        <w:t>(</w:t>
      </w:r>
      <w:r w:rsidR="00494421">
        <w:rPr>
          <w:rFonts w:ascii="Times New Roman" w:eastAsia="Calibri" w:hAnsi="Times New Roman" w:cs="Times New Roman"/>
          <w:sz w:val="28"/>
          <w:szCs w:val="28"/>
        </w:rPr>
        <w:t>Applicant</w:t>
      </w:r>
      <w:r w:rsidR="00AF5210">
        <w:rPr>
          <w:rFonts w:ascii="Times New Roman" w:eastAsia="Calibri" w:hAnsi="Times New Roman" w:cs="Times New Roman"/>
          <w:sz w:val="28"/>
          <w:szCs w:val="28"/>
        </w:rPr>
        <w:t>)</w:t>
      </w:r>
    </w:p>
    <w:p w14:paraId="79267923" w14:textId="77777777" w:rsidR="00404711" w:rsidRPr="00404711" w:rsidRDefault="00404711" w:rsidP="00404711">
      <w:pPr>
        <w:jc w:val="right"/>
        <w:rPr>
          <w:rFonts w:ascii="Times New Roman" w:eastAsia="Calibri" w:hAnsi="Times New Roman" w:cs="Times New Roman"/>
          <w:sz w:val="28"/>
          <w:szCs w:val="28"/>
        </w:rPr>
      </w:pPr>
    </w:p>
    <w:tbl>
      <w:tblPr>
        <w:tblW w:w="0" w:type="auto"/>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left w:w="264" w:type="dxa"/>
          <w:right w:w="264" w:type="dxa"/>
        </w:tblCellMar>
        <w:tblLook w:val="0000" w:firstRow="0" w:lastRow="0" w:firstColumn="0" w:lastColumn="0" w:noHBand="0" w:noVBand="0"/>
      </w:tblPr>
      <w:tblGrid>
        <w:gridCol w:w="6718"/>
      </w:tblGrid>
      <w:tr w:rsidR="00404711" w14:paraId="7666BB19" w14:textId="77777777" w:rsidTr="00B5179F">
        <w:trPr>
          <w:trHeight w:val="833"/>
          <w:jc w:val="center"/>
        </w:trPr>
        <w:tc>
          <w:tcPr>
            <w:tcW w:w="6718" w:type="dxa"/>
          </w:tcPr>
          <w:p w14:paraId="36625BC1" w14:textId="77777777" w:rsidR="00404711" w:rsidRPr="004B2809" w:rsidRDefault="00404711" w:rsidP="00404711">
            <w:pPr>
              <w:spacing w:after="144"/>
              <w:jc w:val="both"/>
              <w:rPr>
                <w:rFonts w:ascii="Times New Roman" w:hAnsi="Times New Roman" w:cs="Times New Roman"/>
                <w:lang w:val="en-GB"/>
              </w:rPr>
            </w:pPr>
            <w:r w:rsidRPr="004B2809">
              <w:rPr>
                <w:rFonts w:ascii="Times New Roman" w:hAnsi="Times New Roman" w:cs="Times New Roman"/>
                <w:b/>
                <w:bCs/>
                <w:lang w:val="en-GB"/>
              </w:rPr>
              <w:t>Corrected judgment</w:t>
            </w:r>
            <w:r w:rsidRPr="004B2809">
              <w:rPr>
                <w:rFonts w:ascii="Times New Roman" w:hAnsi="Times New Roman" w:cs="Times New Roman"/>
                <w:lang w:val="en-GB"/>
              </w:rPr>
              <w:t>: A corrigendum was issued on April 26, 2024; the corrections have been made to the text and the corrigendum is appended to this judgment.</w:t>
            </w:r>
          </w:p>
        </w:tc>
      </w:tr>
    </w:tbl>
    <w:p w14:paraId="0FB48274" w14:textId="77777777" w:rsidR="00881BDF" w:rsidRDefault="00881BDF" w:rsidP="00323C17">
      <w:pPr>
        <w:spacing w:after="0" w:line="240" w:lineRule="auto"/>
        <w:rPr>
          <w:rFonts w:ascii="Times New Roman" w:hAnsi="Times New Roman" w:cs="Times New Roman"/>
          <w:b/>
          <w:sz w:val="28"/>
          <w:szCs w:val="28"/>
        </w:rPr>
      </w:pPr>
    </w:p>
    <w:p w14:paraId="3897A2D0" w14:textId="77777777" w:rsidR="00323C17" w:rsidRDefault="00323C17" w:rsidP="00234BC2">
      <w:pPr>
        <w:spacing w:after="0" w:line="240" w:lineRule="auto"/>
        <w:jc w:val="center"/>
        <w:rPr>
          <w:rFonts w:ascii="Times New Roman" w:hAnsi="Times New Roman" w:cs="Times New Roman"/>
          <w:b/>
          <w:sz w:val="28"/>
          <w:szCs w:val="28"/>
        </w:rPr>
      </w:pPr>
    </w:p>
    <w:p w14:paraId="341E988E" w14:textId="7FBAB3FB" w:rsidR="00933F7D" w:rsidRDefault="00234BC2" w:rsidP="00234B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MEMORANDUM OF JUDGMENT</w:t>
      </w:r>
    </w:p>
    <w:p w14:paraId="62D7049E" w14:textId="77777777" w:rsidR="00A47A18" w:rsidRDefault="00A47A18" w:rsidP="00234BC2">
      <w:pPr>
        <w:spacing w:after="0" w:line="240" w:lineRule="auto"/>
        <w:jc w:val="center"/>
        <w:rPr>
          <w:rFonts w:ascii="Times New Roman" w:hAnsi="Times New Roman" w:cs="Times New Roman"/>
          <w:b/>
          <w:sz w:val="28"/>
          <w:szCs w:val="28"/>
        </w:rPr>
      </w:pPr>
    </w:p>
    <w:p w14:paraId="398CB4ED" w14:textId="1DF98E91" w:rsidR="00A47A18" w:rsidRDefault="00A47A18" w:rsidP="00234B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Application for Summary Judgment</w:t>
      </w:r>
    </w:p>
    <w:p w14:paraId="0DD10BC7" w14:textId="7DA17D55" w:rsidR="00A47A18" w:rsidRDefault="00A47A18" w:rsidP="00A47A18">
      <w:pPr>
        <w:spacing w:after="0" w:line="240" w:lineRule="auto"/>
        <w:rPr>
          <w:rFonts w:ascii="Times New Roman" w:hAnsi="Times New Roman" w:cs="Times New Roman"/>
          <w:b/>
          <w:sz w:val="28"/>
          <w:szCs w:val="28"/>
        </w:rPr>
      </w:pPr>
    </w:p>
    <w:p w14:paraId="116B365B" w14:textId="77777777" w:rsidR="008D533F" w:rsidRDefault="008D533F" w:rsidP="00234BC2">
      <w:pPr>
        <w:spacing w:after="0" w:line="240" w:lineRule="auto"/>
        <w:jc w:val="center"/>
        <w:rPr>
          <w:rFonts w:ascii="Times New Roman" w:hAnsi="Times New Roman" w:cs="Times New Roman"/>
          <w:b/>
          <w:sz w:val="28"/>
          <w:szCs w:val="28"/>
        </w:rPr>
      </w:pPr>
    </w:p>
    <w:p w14:paraId="012DF934" w14:textId="110E8B9F" w:rsidR="008F34C2" w:rsidRDefault="000223D5" w:rsidP="008F34C2">
      <w:pPr>
        <w:pStyle w:val="ListParagraph"/>
        <w:spacing w:after="0" w:line="240" w:lineRule="auto"/>
        <w:ind w:left="0"/>
        <w:contextualSpacing w:val="0"/>
        <w:jc w:val="both"/>
        <w:rPr>
          <w:rFonts w:ascii="Times New Roman" w:hAnsi="Times New Roman" w:cs="Times New Roman"/>
          <w:b/>
          <w:sz w:val="28"/>
          <w:szCs w:val="28"/>
        </w:rPr>
      </w:pPr>
      <w:r w:rsidRPr="000223D5">
        <w:rPr>
          <w:rFonts w:ascii="Times New Roman" w:hAnsi="Times New Roman" w:cs="Times New Roman"/>
          <w:b/>
          <w:sz w:val="28"/>
          <w:szCs w:val="28"/>
        </w:rPr>
        <w:t>BACKGROUND</w:t>
      </w:r>
    </w:p>
    <w:p w14:paraId="78F26F6A" w14:textId="77777777" w:rsidR="008D533F" w:rsidRPr="008F34C2" w:rsidRDefault="008D533F" w:rsidP="008F34C2">
      <w:pPr>
        <w:pStyle w:val="ListParagraph"/>
        <w:spacing w:after="0" w:line="240" w:lineRule="auto"/>
        <w:ind w:left="0"/>
        <w:contextualSpacing w:val="0"/>
        <w:jc w:val="both"/>
        <w:rPr>
          <w:rFonts w:ascii="Times New Roman" w:hAnsi="Times New Roman" w:cs="Times New Roman"/>
          <w:b/>
          <w:sz w:val="28"/>
          <w:szCs w:val="28"/>
        </w:rPr>
      </w:pPr>
    </w:p>
    <w:p w14:paraId="29734575" w14:textId="4C216081" w:rsidR="008F34C2" w:rsidRDefault="008F34C2" w:rsidP="008F34C2">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The respondent/plaintiff (the “respondent”) owned a property (the “property”) and rented it to tenants (the “tenants”). </w:t>
      </w:r>
      <w:r>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Due to non-payment by the tenants, natural gas and water services to the property were halted. </w:t>
      </w:r>
      <w:r>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respondent issued an eviction </w:t>
      </w:r>
      <w:proofErr w:type="gramStart"/>
      <w:r w:rsidRPr="008F34C2">
        <w:rPr>
          <w:rFonts w:ascii="Times New Roman" w:hAnsi="Times New Roman" w:cs="Times New Roman"/>
          <w:bCs/>
          <w:sz w:val="28"/>
          <w:szCs w:val="28"/>
        </w:rPr>
        <w:t>notice</w:t>
      </w:r>
      <w:proofErr w:type="gramEnd"/>
      <w:r w:rsidRPr="008F34C2">
        <w:rPr>
          <w:rFonts w:ascii="Times New Roman" w:hAnsi="Times New Roman" w:cs="Times New Roman"/>
          <w:bCs/>
          <w:sz w:val="28"/>
          <w:szCs w:val="28"/>
        </w:rPr>
        <w:t xml:space="preserve"> and the tenants vacated the property on or about Aug 31, 2015</w:t>
      </w:r>
      <w:r>
        <w:rPr>
          <w:rFonts w:ascii="Times New Roman" w:hAnsi="Times New Roman" w:cs="Times New Roman"/>
          <w:bCs/>
          <w:sz w:val="28"/>
          <w:szCs w:val="28"/>
        </w:rPr>
        <w:t xml:space="preserve">.  </w:t>
      </w:r>
      <w:r w:rsidRPr="008F34C2">
        <w:rPr>
          <w:rFonts w:ascii="Times New Roman" w:hAnsi="Times New Roman" w:cs="Times New Roman"/>
          <w:bCs/>
          <w:sz w:val="28"/>
          <w:szCs w:val="28"/>
        </w:rPr>
        <w:t>From Au</w:t>
      </w:r>
      <w:r>
        <w:rPr>
          <w:rFonts w:ascii="Times New Roman" w:hAnsi="Times New Roman" w:cs="Times New Roman"/>
          <w:bCs/>
          <w:sz w:val="28"/>
          <w:szCs w:val="28"/>
        </w:rPr>
        <w:t xml:space="preserve">gust </w:t>
      </w:r>
      <w:r w:rsidRPr="008F34C2">
        <w:rPr>
          <w:rFonts w:ascii="Times New Roman" w:hAnsi="Times New Roman" w:cs="Times New Roman"/>
          <w:bCs/>
          <w:sz w:val="28"/>
          <w:szCs w:val="28"/>
        </w:rPr>
        <w:t>31 to Sept</w:t>
      </w:r>
      <w:r>
        <w:rPr>
          <w:rFonts w:ascii="Times New Roman" w:hAnsi="Times New Roman" w:cs="Times New Roman"/>
          <w:bCs/>
          <w:sz w:val="28"/>
          <w:szCs w:val="28"/>
        </w:rPr>
        <w:t>ember</w:t>
      </w:r>
      <w:r w:rsidR="00436750">
        <w:rPr>
          <w:rFonts w:ascii="Times New Roman" w:hAnsi="Times New Roman" w:cs="Times New Roman"/>
          <w:bCs/>
          <w:sz w:val="28"/>
          <w:szCs w:val="28"/>
        </w:rPr>
        <w:t xml:space="preserve"> </w:t>
      </w:r>
      <w:r w:rsidRPr="008F34C2">
        <w:rPr>
          <w:rFonts w:ascii="Times New Roman" w:hAnsi="Times New Roman" w:cs="Times New Roman"/>
          <w:bCs/>
          <w:sz w:val="28"/>
          <w:szCs w:val="28"/>
        </w:rPr>
        <w:t>19</w:t>
      </w:r>
      <w:r w:rsidR="00A96439">
        <w:rPr>
          <w:rFonts w:ascii="Times New Roman" w:hAnsi="Times New Roman" w:cs="Times New Roman"/>
          <w:bCs/>
          <w:sz w:val="28"/>
          <w:szCs w:val="28"/>
        </w:rPr>
        <w:t xml:space="preserve">, </w:t>
      </w:r>
      <w:proofErr w:type="gramStart"/>
      <w:r w:rsidR="00A96439">
        <w:rPr>
          <w:rFonts w:ascii="Times New Roman" w:hAnsi="Times New Roman" w:cs="Times New Roman"/>
          <w:bCs/>
          <w:sz w:val="28"/>
          <w:szCs w:val="28"/>
        </w:rPr>
        <w:t>2015</w:t>
      </w:r>
      <w:proofErr w:type="gramEnd"/>
      <w:r w:rsidR="00A96439">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no one resided in the property, but the respondent regularly attended at the property to perform maintenance and repairs. </w:t>
      </w:r>
      <w:r>
        <w:rPr>
          <w:rFonts w:ascii="Times New Roman" w:hAnsi="Times New Roman" w:cs="Times New Roman"/>
          <w:bCs/>
          <w:sz w:val="28"/>
          <w:szCs w:val="28"/>
        </w:rPr>
        <w:t xml:space="preserve"> </w:t>
      </w:r>
      <w:r w:rsidR="00A96439">
        <w:rPr>
          <w:rFonts w:ascii="Times New Roman" w:hAnsi="Times New Roman" w:cs="Times New Roman"/>
          <w:bCs/>
          <w:sz w:val="28"/>
          <w:szCs w:val="28"/>
        </w:rPr>
        <w:t>T</w:t>
      </w:r>
      <w:r w:rsidRPr="008F34C2">
        <w:rPr>
          <w:rFonts w:ascii="Times New Roman" w:hAnsi="Times New Roman" w:cs="Times New Roman"/>
          <w:bCs/>
          <w:sz w:val="28"/>
          <w:szCs w:val="28"/>
        </w:rPr>
        <w:t>he respondent met with a prospective tenant.</w:t>
      </w:r>
      <w:r>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 They agreed on a monthly rental amount but did not immediately prepare a lease.</w:t>
      </w:r>
      <w:r>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 The respondent continued to attend at the </w:t>
      </w:r>
      <w:r w:rsidRPr="008F34C2">
        <w:rPr>
          <w:rFonts w:ascii="Times New Roman" w:hAnsi="Times New Roman" w:cs="Times New Roman"/>
          <w:bCs/>
          <w:sz w:val="28"/>
          <w:szCs w:val="28"/>
        </w:rPr>
        <w:lastRenderedPageBreak/>
        <w:t>property to conduct repairs.</w:t>
      </w:r>
      <w:r>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 On occasion he slept overnight at the property. </w:t>
      </w:r>
      <w:r>
        <w:rPr>
          <w:rFonts w:ascii="Times New Roman" w:hAnsi="Times New Roman" w:cs="Times New Roman"/>
          <w:bCs/>
          <w:sz w:val="28"/>
          <w:szCs w:val="28"/>
        </w:rPr>
        <w:t xml:space="preserve"> </w:t>
      </w:r>
      <w:r w:rsidRPr="008F34C2">
        <w:rPr>
          <w:rFonts w:ascii="Times New Roman" w:hAnsi="Times New Roman" w:cs="Times New Roman"/>
          <w:bCs/>
          <w:sz w:val="28"/>
          <w:szCs w:val="28"/>
        </w:rPr>
        <w:t>On Sept</w:t>
      </w:r>
      <w:r>
        <w:rPr>
          <w:rFonts w:ascii="Times New Roman" w:hAnsi="Times New Roman" w:cs="Times New Roman"/>
          <w:bCs/>
          <w:sz w:val="28"/>
          <w:szCs w:val="28"/>
        </w:rPr>
        <w:t>ember</w:t>
      </w:r>
      <w:r w:rsidRPr="008F34C2">
        <w:rPr>
          <w:rFonts w:ascii="Times New Roman" w:hAnsi="Times New Roman" w:cs="Times New Roman"/>
          <w:bCs/>
          <w:sz w:val="28"/>
          <w:szCs w:val="28"/>
        </w:rPr>
        <w:t xml:space="preserve"> 9</w:t>
      </w:r>
      <w:r w:rsidR="006D455C">
        <w:rPr>
          <w:rFonts w:ascii="Times New Roman" w:hAnsi="Times New Roman" w:cs="Times New Roman"/>
          <w:bCs/>
          <w:sz w:val="28"/>
          <w:szCs w:val="28"/>
        </w:rPr>
        <w:t xml:space="preserve">, </w:t>
      </w:r>
      <w:proofErr w:type="gramStart"/>
      <w:r w:rsidR="006D455C">
        <w:rPr>
          <w:rFonts w:ascii="Times New Roman" w:hAnsi="Times New Roman" w:cs="Times New Roman"/>
          <w:bCs/>
          <w:sz w:val="28"/>
          <w:szCs w:val="28"/>
        </w:rPr>
        <w:t>2015</w:t>
      </w:r>
      <w:proofErr w:type="gramEnd"/>
      <w:r w:rsidR="00AF5210">
        <w:rPr>
          <w:rFonts w:ascii="Times New Roman" w:hAnsi="Times New Roman" w:cs="Times New Roman"/>
          <w:bCs/>
          <w:sz w:val="28"/>
          <w:szCs w:val="28"/>
        </w:rPr>
        <w:t xml:space="preserve"> t</w:t>
      </w:r>
      <w:r w:rsidRPr="008F34C2">
        <w:rPr>
          <w:rFonts w:ascii="Times New Roman" w:hAnsi="Times New Roman" w:cs="Times New Roman"/>
          <w:bCs/>
          <w:sz w:val="28"/>
          <w:szCs w:val="28"/>
        </w:rPr>
        <w:t xml:space="preserve">he respondent paid the water and natural gas arrears and reconnected these services. </w:t>
      </w:r>
      <w:r w:rsidR="00AF5210">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On Sept 19, 2015, the property was damaged by fire. </w:t>
      </w:r>
    </w:p>
    <w:p w14:paraId="23801737" w14:textId="77777777" w:rsidR="00AF5210" w:rsidRPr="008F34C2" w:rsidRDefault="00AF5210" w:rsidP="00AF5210">
      <w:pPr>
        <w:pStyle w:val="ListParagraph"/>
        <w:spacing w:after="0" w:line="240" w:lineRule="auto"/>
        <w:ind w:left="0"/>
        <w:jc w:val="both"/>
        <w:rPr>
          <w:rFonts w:ascii="Times New Roman" w:hAnsi="Times New Roman" w:cs="Times New Roman"/>
          <w:bCs/>
          <w:sz w:val="28"/>
          <w:szCs w:val="28"/>
        </w:rPr>
      </w:pPr>
    </w:p>
    <w:p w14:paraId="463C670E" w14:textId="31164F61" w:rsidR="008F34C2" w:rsidRDefault="008F34C2" w:rsidP="008F34C2">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Following the fire, the applicant/defendant, (the “applicant”) insurer retained a third party to investigate the cause of the fire. </w:t>
      </w:r>
      <w:r w:rsidR="00AF5210">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third-party investigator produced a report of their findings (the “report”). </w:t>
      </w:r>
      <w:r w:rsidR="00AF5210">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report does not </w:t>
      </w:r>
      <w:r w:rsidR="00A47A18">
        <w:rPr>
          <w:rFonts w:ascii="Times New Roman" w:hAnsi="Times New Roman" w:cs="Times New Roman"/>
          <w:bCs/>
          <w:sz w:val="28"/>
          <w:szCs w:val="28"/>
        </w:rPr>
        <w:t>conclusively</w:t>
      </w:r>
      <w:r w:rsidR="00334B02">
        <w:rPr>
          <w:rFonts w:ascii="Times New Roman" w:hAnsi="Times New Roman" w:cs="Times New Roman"/>
          <w:bCs/>
          <w:sz w:val="28"/>
          <w:szCs w:val="28"/>
        </w:rPr>
        <w:t xml:space="preserve"> </w:t>
      </w:r>
      <w:r w:rsidRPr="008F34C2">
        <w:rPr>
          <w:rFonts w:ascii="Times New Roman" w:hAnsi="Times New Roman" w:cs="Times New Roman"/>
          <w:bCs/>
          <w:sz w:val="28"/>
          <w:szCs w:val="28"/>
        </w:rPr>
        <w:t>determine the origin of the fire.</w:t>
      </w:r>
    </w:p>
    <w:p w14:paraId="01087E3F" w14:textId="77777777" w:rsidR="008D533F" w:rsidRPr="008F34C2" w:rsidRDefault="008D533F" w:rsidP="008D533F">
      <w:pPr>
        <w:pStyle w:val="ListParagraph"/>
        <w:spacing w:after="0" w:line="240" w:lineRule="auto"/>
        <w:ind w:left="0"/>
        <w:jc w:val="both"/>
        <w:rPr>
          <w:rFonts w:ascii="Times New Roman" w:hAnsi="Times New Roman" w:cs="Times New Roman"/>
          <w:bCs/>
          <w:sz w:val="28"/>
          <w:szCs w:val="28"/>
        </w:rPr>
      </w:pPr>
    </w:p>
    <w:p w14:paraId="164A5DDA" w14:textId="61BBF210" w:rsidR="008F34C2" w:rsidRDefault="008F34C2" w:rsidP="008F34C2">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The respondent</w:t>
      </w:r>
      <w:r w:rsidR="0011443B">
        <w:rPr>
          <w:rFonts w:ascii="Times New Roman" w:hAnsi="Times New Roman" w:cs="Times New Roman"/>
          <w:bCs/>
          <w:sz w:val="28"/>
          <w:szCs w:val="28"/>
        </w:rPr>
        <w:t>/plaintiff</w:t>
      </w:r>
      <w:r w:rsidRPr="008F34C2">
        <w:rPr>
          <w:rFonts w:ascii="Times New Roman" w:hAnsi="Times New Roman" w:cs="Times New Roman"/>
          <w:bCs/>
          <w:sz w:val="28"/>
          <w:szCs w:val="28"/>
        </w:rPr>
        <w:t xml:space="preserve"> holds a comprehensive homeowners insurance policy (the “policy”) with the applicant and sought indemnification for losses suffered because of the fire. </w:t>
      </w:r>
      <w:r w:rsidR="00AF5210">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applicant denied the </w:t>
      </w:r>
      <w:r w:rsidRPr="0011443B">
        <w:rPr>
          <w:rFonts w:ascii="Times New Roman" w:hAnsi="Times New Roman" w:cs="Times New Roman"/>
          <w:bCs/>
          <w:sz w:val="28"/>
          <w:szCs w:val="28"/>
        </w:rPr>
        <w:t>respondent</w:t>
      </w:r>
      <w:r w:rsidRPr="008F34C2">
        <w:rPr>
          <w:rFonts w:ascii="Times New Roman" w:hAnsi="Times New Roman" w:cs="Times New Roman"/>
          <w:bCs/>
          <w:sz w:val="28"/>
          <w:szCs w:val="28"/>
        </w:rPr>
        <w:t>’s claim on the basis it was excluded from coverage under two exclusions in the policy</w:t>
      </w:r>
      <w:r w:rsidR="00AF5210">
        <w:rPr>
          <w:rFonts w:ascii="Times New Roman" w:hAnsi="Times New Roman" w:cs="Times New Roman"/>
          <w:bCs/>
          <w:sz w:val="28"/>
          <w:szCs w:val="28"/>
        </w:rPr>
        <w:t xml:space="preserve">: </w:t>
      </w:r>
      <w:r w:rsidRPr="008F34C2">
        <w:rPr>
          <w:rFonts w:ascii="Times New Roman" w:hAnsi="Times New Roman" w:cs="Times New Roman"/>
          <w:bCs/>
          <w:sz w:val="28"/>
          <w:szCs w:val="28"/>
        </w:rPr>
        <w:t>(i) the fire causing damage to the property was the result of vandalism or a malicious act</w:t>
      </w:r>
      <w:r w:rsidR="00AF5210">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and (ii) occurred while the property was “vacant”. </w:t>
      </w:r>
      <w:r w:rsidR="00AF5210">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respondent </w:t>
      </w:r>
      <w:r w:rsidR="00364CB3">
        <w:rPr>
          <w:rFonts w:ascii="Times New Roman" w:hAnsi="Times New Roman" w:cs="Times New Roman"/>
          <w:bCs/>
          <w:sz w:val="28"/>
          <w:szCs w:val="28"/>
        </w:rPr>
        <w:t>commenced</w:t>
      </w:r>
      <w:r w:rsidRPr="008F34C2">
        <w:rPr>
          <w:rFonts w:ascii="Times New Roman" w:hAnsi="Times New Roman" w:cs="Times New Roman"/>
          <w:bCs/>
          <w:sz w:val="28"/>
          <w:szCs w:val="28"/>
        </w:rPr>
        <w:t xml:space="preserve"> an action</w:t>
      </w:r>
      <w:r w:rsidR="00364CB3">
        <w:rPr>
          <w:rFonts w:ascii="Times New Roman" w:hAnsi="Times New Roman" w:cs="Times New Roman"/>
          <w:bCs/>
          <w:sz w:val="28"/>
          <w:szCs w:val="28"/>
        </w:rPr>
        <w:t>,</w:t>
      </w:r>
      <w:r w:rsidRPr="008F34C2">
        <w:rPr>
          <w:rFonts w:ascii="Times New Roman" w:hAnsi="Times New Roman" w:cs="Times New Roman"/>
          <w:bCs/>
          <w:sz w:val="28"/>
          <w:szCs w:val="28"/>
        </w:rPr>
        <w:t xml:space="preserve"> countering that it is not reasonable to conclude the fire was the result of vandalism or malicious acts, </w:t>
      </w:r>
      <w:proofErr w:type="gramStart"/>
      <w:r w:rsidRPr="008F34C2">
        <w:rPr>
          <w:rFonts w:ascii="Times New Roman" w:hAnsi="Times New Roman" w:cs="Times New Roman"/>
          <w:bCs/>
          <w:sz w:val="28"/>
          <w:szCs w:val="28"/>
        </w:rPr>
        <w:t>and also</w:t>
      </w:r>
      <w:proofErr w:type="gramEnd"/>
      <w:r w:rsidRPr="008F34C2">
        <w:rPr>
          <w:rFonts w:ascii="Times New Roman" w:hAnsi="Times New Roman" w:cs="Times New Roman"/>
          <w:bCs/>
          <w:sz w:val="28"/>
          <w:szCs w:val="28"/>
        </w:rPr>
        <w:t xml:space="preserve"> not reasonable to conclude that the property was vacant; thus, the exclusions do not apply to prevent coverage. </w:t>
      </w:r>
      <w:r w:rsidR="00AF5210">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applicant seeks summary dismissal of the claim of the respondent under </w:t>
      </w:r>
      <w:proofErr w:type="spellStart"/>
      <w:r w:rsidRPr="008F34C2">
        <w:rPr>
          <w:rFonts w:ascii="Times New Roman" w:hAnsi="Times New Roman" w:cs="Times New Roman"/>
          <w:bCs/>
          <w:sz w:val="28"/>
          <w:szCs w:val="28"/>
        </w:rPr>
        <w:t>rr</w:t>
      </w:r>
      <w:proofErr w:type="spellEnd"/>
      <w:r w:rsidRPr="008F34C2">
        <w:rPr>
          <w:rFonts w:ascii="Times New Roman" w:hAnsi="Times New Roman" w:cs="Times New Roman"/>
          <w:bCs/>
          <w:sz w:val="28"/>
          <w:szCs w:val="28"/>
        </w:rPr>
        <w:t xml:space="preserve"> 175 and 176 of the </w:t>
      </w:r>
      <w:hyperlink r:id="rId11" w:history="1">
        <w:r w:rsidRPr="008F34C2">
          <w:rPr>
            <w:rStyle w:val="Hyperlink"/>
            <w:rFonts w:ascii="Times New Roman" w:hAnsi="Times New Roman" w:cs="Times New Roman"/>
            <w:bCs/>
            <w:i/>
            <w:iCs/>
            <w:sz w:val="28"/>
            <w:szCs w:val="28"/>
          </w:rPr>
          <w:t>Rules of the Supreme Court of the Northwest Territories,</w:t>
        </w:r>
        <w:r w:rsidRPr="008F34C2">
          <w:rPr>
            <w:rStyle w:val="Hyperlink"/>
            <w:rFonts w:ascii="Times New Roman" w:hAnsi="Times New Roman" w:cs="Times New Roman"/>
            <w:bCs/>
            <w:sz w:val="28"/>
            <w:szCs w:val="28"/>
          </w:rPr>
          <w:t xml:space="preserve"> NWT Reg 010-96</w:t>
        </w:r>
      </w:hyperlink>
      <w:r w:rsidRPr="008F34C2">
        <w:rPr>
          <w:rFonts w:ascii="Times New Roman" w:hAnsi="Times New Roman" w:cs="Times New Roman"/>
          <w:bCs/>
          <w:sz w:val="28"/>
          <w:szCs w:val="28"/>
        </w:rPr>
        <w:t xml:space="preserve">. </w:t>
      </w:r>
      <w:r w:rsidR="00AF5210">
        <w:rPr>
          <w:rFonts w:ascii="Times New Roman" w:hAnsi="Times New Roman" w:cs="Times New Roman"/>
          <w:bCs/>
          <w:sz w:val="28"/>
          <w:szCs w:val="28"/>
        </w:rPr>
        <w:t xml:space="preserve"> </w:t>
      </w:r>
      <w:r w:rsidRPr="008F34C2">
        <w:rPr>
          <w:rFonts w:ascii="Times New Roman" w:hAnsi="Times New Roman" w:cs="Times New Roman"/>
          <w:bCs/>
          <w:sz w:val="28"/>
          <w:szCs w:val="28"/>
        </w:rPr>
        <w:t>Each party seeks costs.</w:t>
      </w:r>
    </w:p>
    <w:p w14:paraId="1AA2D7DE" w14:textId="77777777" w:rsidR="00AF5210" w:rsidRPr="008F34C2" w:rsidRDefault="00AF5210" w:rsidP="00AF5210">
      <w:pPr>
        <w:pStyle w:val="ListParagraph"/>
        <w:spacing w:after="0" w:line="240" w:lineRule="auto"/>
        <w:ind w:left="0"/>
        <w:jc w:val="both"/>
        <w:rPr>
          <w:rFonts w:ascii="Times New Roman" w:hAnsi="Times New Roman" w:cs="Times New Roman"/>
          <w:bCs/>
          <w:sz w:val="28"/>
          <w:szCs w:val="28"/>
        </w:rPr>
      </w:pPr>
    </w:p>
    <w:p w14:paraId="3DFF3EE6" w14:textId="7B7BB393" w:rsidR="008F34C2" w:rsidRDefault="008F34C2" w:rsidP="008F34C2">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Both parties have agreed that this application is to be determinative of the action. </w:t>
      </w:r>
      <w:r w:rsidR="00B04018">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In this sense, this application is more in the nature of a mini trial rather than a plea for summary judgment. </w:t>
      </w:r>
      <w:r w:rsidR="00B04018">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Were this not so, I would have decided that the threshold for summary judgment was not met. </w:t>
      </w:r>
      <w:r w:rsidR="00B04018">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Given the nonconclusive report on the cause of the fire, it is not possible to infer the cause and thus not possible to find there is no genuine issue requiring trial. </w:t>
      </w:r>
      <w:r w:rsidR="00B04018">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It is not obvious that the </w:t>
      </w:r>
      <w:r w:rsidR="00B04018">
        <w:rPr>
          <w:rFonts w:ascii="Times New Roman" w:hAnsi="Times New Roman" w:cs="Times New Roman"/>
          <w:bCs/>
          <w:sz w:val="28"/>
          <w:szCs w:val="28"/>
        </w:rPr>
        <w:t>r</w:t>
      </w:r>
      <w:r w:rsidRPr="008F34C2">
        <w:rPr>
          <w:rFonts w:ascii="Times New Roman" w:hAnsi="Times New Roman" w:cs="Times New Roman"/>
          <w:bCs/>
          <w:sz w:val="28"/>
          <w:szCs w:val="28"/>
        </w:rPr>
        <w:t>espondent’s claim would have no chance of success if this were to proceed to trial.</w:t>
      </w:r>
    </w:p>
    <w:p w14:paraId="48646650" w14:textId="77777777" w:rsidR="00B04018" w:rsidRPr="008F34C2" w:rsidRDefault="00B04018" w:rsidP="00B04018">
      <w:pPr>
        <w:pStyle w:val="ListParagraph"/>
        <w:spacing w:after="0" w:line="240" w:lineRule="auto"/>
        <w:ind w:left="0"/>
        <w:jc w:val="both"/>
        <w:rPr>
          <w:rFonts w:ascii="Times New Roman" w:hAnsi="Times New Roman" w:cs="Times New Roman"/>
          <w:bCs/>
          <w:sz w:val="28"/>
          <w:szCs w:val="28"/>
        </w:rPr>
      </w:pPr>
    </w:p>
    <w:p w14:paraId="4EB5EC79" w14:textId="77777777" w:rsidR="00B04018" w:rsidRDefault="00B04018" w:rsidP="00B04018">
      <w:pPr>
        <w:pStyle w:val="ListParagraph"/>
        <w:spacing w:after="0" w:line="240" w:lineRule="auto"/>
        <w:ind w:left="0"/>
        <w:jc w:val="both"/>
        <w:rPr>
          <w:rFonts w:ascii="Times New Roman" w:hAnsi="Times New Roman" w:cs="Times New Roman"/>
          <w:b/>
          <w:sz w:val="28"/>
          <w:szCs w:val="28"/>
        </w:rPr>
      </w:pPr>
      <w:r w:rsidRPr="008F34C2">
        <w:rPr>
          <w:rFonts w:ascii="Times New Roman" w:hAnsi="Times New Roman" w:cs="Times New Roman"/>
          <w:b/>
          <w:sz w:val="28"/>
          <w:szCs w:val="28"/>
        </w:rPr>
        <w:t>I</w:t>
      </w:r>
      <w:r>
        <w:rPr>
          <w:rFonts w:ascii="Times New Roman" w:hAnsi="Times New Roman" w:cs="Times New Roman"/>
          <w:b/>
          <w:sz w:val="28"/>
          <w:szCs w:val="28"/>
        </w:rPr>
        <w:t>SSUES</w:t>
      </w:r>
    </w:p>
    <w:p w14:paraId="0480CD07" w14:textId="543401E9" w:rsidR="00B04018" w:rsidRPr="00BE41F7" w:rsidRDefault="00B04018" w:rsidP="00BE41F7">
      <w:pPr>
        <w:spacing w:after="0"/>
        <w:jc w:val="both"/>
        <w:rPr>
          <w:rFonts w:ascii="Times New Roman" w:hAnsi="Times New Roman" w:cs="Times New Roman"/>
          <w:bCs/>
          <w:sz w:val="28"/>
          <w:szCs w:val="28"/>
        </w:rPr>
      </w:pPr>
    </w:p>
    <w:p w14:paraId="1747793C" w14:textId="5D53FC39" w:rsidR="00BE41F7" w:rsidRDefault="00BE41F7" w:rsidP="00BE41F7">
      <w:pPr>
        <w:pStyle w:val="ListParagraph"/>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1.  Which party bears the burden and what is the standard of proof?  </w:t>
      </w:r>
    </w:p>
    <w:p w14:paraId="5C4646CE" w14:textId="5882FE20" w:rsidR="00B04018" w:rsidRPr="008F34C2" w:rsidRDefault="00BE41F7" w:rsidP="00BE41F7">
      <w:pPr>
        <w:pStyle w:val="ListParagraph"/>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B04018" w:rsidRPr="008F34C2">
        <w:rPr>
          <w:rFonts w:ascii="Times New Roman" w:hAnsi="Times New Roman" w:cs="Times New Roman"/>
          <w:bCs/>
          <w:sz w:val="28"/>
          <w:szCs w:val="28"/>
        </w:rPr>
        <w:t xml:space="preserve">Whether this an appropriate case for summary </w:t>
      </w:r>
      <w:proofErr w:type="gramStart"/>
      <w:r w:rsidR="00B04018" w:rsidRPr="008F34C2">
        <w:rPr>
          <w:rFonts w:ascii="Times New Roman" w:hAnsi="Times New Roman" w:cs="Times New Roman"/>
          <w:bCs/>
          <w:sz w:val="28"/>
          <w:szCs w:val="28"/>
        </w:rPr>
        <w:t>judgment</w:t>
      </w:r>
      <w:r>
        <w:rPr>
          <w:rFonts w:ascii="Times New Roman" w:hAnsi="Times New Roman" w:cs="Times New Roman"/>
          <w:bCs/>
          <w:sz w:val="28"/>
          <w:szCs w:val="28"/>
        </w:rPr>
        <w:t>;</w:t>
      </w:r>
      <w:proofErr w:type="gramEnd"/>
    </w:p>
    <w:p w14:paraId="0F172EB2" w14:textId="345BE71F" w:rsidR="00B04018" w:rsidRPr="008F34C2" w:rsidRDefault="00BE41F7" w:rsidP="00BE41F7">
      <w:pPr>
        <w:pStyle w:val="ListParagraph"/>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B04018" w:rsidRPr="008F34C2">
        <w:rPr>
          <w:rFonts w:ascii="Times New Roman" w:hAnsi="Times New Roman" w:cs="Times New Roman"/>
          <w:bCs/>
          <w:sz w:val="28"/>
          <w:szCs w:val="28"/>
        </w:rPr>
        <w:t xml:space="preserve">Whether the property was “vacant” as defined in the </w:t>
      </w:r>
      <w:proofErr w:type="gramStart"/>
      <w:r w:rsidR="00B04018" w:rsidRPr="008F34C2">
        <w:rPr>
          <w:rFonts w:ascii="Times New Roman" w:hAnsi="Times New Roman" w:cs="Times New Roman"/>
          <w:bCs/>
          <w:sz w:val="28"/>
          <w:szCs w:val="28"/>
        </w:rPr>
        <w:t>policy</w:t>
      </w:r>
      <w:r>
        <w:rPr>
          <w:rFonts w:ascii="Times New Roman" w:hAnsi="Times New Roman" w:cs="Times New Roman"/>
          <w:bCs/>
          <w:sz w:val="28"/>
          <w:szCs w:val="28"/>
        </w:rPr>
        <w:t>;</w:t>
      </w:r>
      <w:proofErr w:type="gramEnd"/>
    </w:p>
    <w:p w14:paraId="07671EAF" w14:textId="44BE4D67" w:rsidR="00B04018" w:rsidRPr="008F34C2" w:rsidRDefault="00BE41F7" w:rsidP="00BE41F7">
      <w:pPr>
        <w:pStyle w:val="ListParagraph"/>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B04018" w:rsidRPr="008F34C2">
        <w:rPr>
          <w:rFonts w:ascii="Times New Roman" w:hAnsi="Times New Roman" w:cs="Times New Roman"/>
          <w:bCs/>
          <w:sz w:val="28"/>
          <w:szCs w:val="28"/>
        </w:rPr>
        <w:t xml:space="preserve">Whether the respondent’s losses are excluded from </w:t>
      </w:r>
      <w:proofErr w:type="gramStart"/>
      <w:r w:rsidR="00B04018" w:rsidRPr="008F34C2">
        <w:rPr>
          <w:rFonts w:ascii="Times New Roman" w:hAnsi="Times New Roman" w:cs="Times New Roman"/>
          <w:bCs/>
          <w:sz w:val="28"/>
          <w:szCs w:val="28"/>
        </w:rPr>
        <w:t>coverage</w:t>
      </w:r>
      <w:r>
        <w:rPr>
          <w:rFonts w:ascii="Times New Roman" w:hAnsi="Times New Roman" w:cs="Times New Roman"/>
          <w:bCs/>
          <w:sz w:val="28"/>
          <w:szCs w:val="28"/>
        </w:rPr>
        <w:t>;</w:t>
      </w:r>
      <w:proofErr w:type="gramEnd"/>
    </w:p>
    <w:p w14:paraId="1A10E602" w14:textId="3E3D2DE9" w:rsidR="00B04018" w:rsidRPr="008F34C2" w:rsidRDefault="00BE41F7" w:rsidP="00BE41F7">
      <w:pPr>
        <w:pStyle w:val="ListParagraph"/>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B04018" w:rsidRPr="008F34C2">
        <w:rPr>
          <w:rFonts w:ascii="Times New Roman" w:hAnsi="Times New Roman" w:cs="Times New Roman"/>
          <w:bCs/>
          <w:sz w:val="28"/>
          <w:szCs w:val="28"/>
        </w:rPr>
        <w:t>Whether the property was vacant for 30 consecutive days</w:t>
      </w:r>
      <w:r>
        <w:rPr>
          <w:rFonts w:ascii="Times New Roman" w:hAnsi="Times New Roman" w:cs="Times New Roman"/>
          <w:bCs/>
          <w:sz w:val="28"/>
          <w:szCs w:val="28"/>
        </w:rPr>
        <w:t>; and</w:t>
      </w:r>
    </w:p>
    <w:p w14:paraId="1554AAAE" w14:textId="4C1709A1" w:rsidR="00B04018" w:rsidRPr="008F34C2" w:rsidRDefault="00BE41F7" w:rsidP="00BE41F7">
      <w:pPr>
        <w:pStyle w:val="ListParagraph"/>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B04018" w:rsidRPr="008F34C2">
        <w:rPr>
          <w:rFonts w:ascii="Times New Roman" w:hAnsi="Times New Roman" w:cs="Times New Roman"/>
          <w:bCs/>
          <w:sz w:val="28"/>
          <w:szCs w:val="28"/>
        </w:rPr>
        <w:t>Whether the loss occurred through “vandalism or malicious acts”</w:t>
      </w:r>
      <w:r>
        <w:rPr>
          <w:rFonts w:ascii="Times New Roman" w:hAnsi="Times New Roman" w:cs="Times New Roman"/>
          <w:bCs/>
          <w:sz w:val="28"/>
          <w:szCs w:val="28"/>
        </w:rPr>
        <w:t>.</w:t>
      </w:r>
    </w:p>
    <w:p w14:paraId="445E4DCC" w14:textId="77777777" w:rsidR="00B04018" w:rsidRDefault="00B04018" w:rsidP="00B04018">
      <w:pPr>
        <w:pStyle w:val="ListParagraph"/>
        <w:spacing w:line="240" w:lineRule="auto"/>
        <w:ind w:left="0"/>
        <w:jc w:val="both"/>
        <w:rPr>
          <w:rFonts w:ascii="Times New Roman" w:hAnsi="Times New Roman" w:cs="Times New Roman"/>
          <w:bCs/>
          <w:sz w:val="28"/>
          <w:szCs w:val="28"/>
        </w:rPr>
      </w:pPr>
    </w:p>
    <w:p w14:paraId="579D8DE5" w14:textId="77777777" w:rsidR="002870C2" w:rsidRDefault="002870C2" w:rsidP="00B04018">
      <w:pPr>
        <w:pStyle w:val="ListParagraph"/>
        <w:spacing w:line="240" w:lineRule="auto"/>
        <w:ind w:left="0"/>
        <w:jc w:val="both"/>
        <w:rPr>
          <w:rFonts w:ascii="Times New Roman" w:hAnsi="Times New Roman" w:cs="Times New Roman"/>
          <w:bCs/>
          <w:sz w:val="28"/>
          <w:szCs w:val="28"/>
        </w:rPr>
      </w:pPr>
    </w:p>
    <w:p w14:paraId="6C4D0F56" w14:textId="00F9651A" w:rsidR="00B04018" w:rsidRDefault="00B04018" w:rsidP="00B04018">
      <w:pPr>
        <w:pStyle w:val="ListParagraph"/>
        <w:spacing w:line="240" w:lineRule="auto"/>
        <w:ind w:left="0"/>
        <w:jc w:val="both"/>
        <w:rPr>
          <w:rFonts w:ascii="Times New Roman" w:hAnsi="Times New Roman" w:cs="Times New Roman"/>
          <w:b/>
          <w:sz w:val="28"/>
          <w:szCs w:val="28"/>
          <w:u w:val="single"/>
        </w:rPr>
      </w:pPr>
      <w:r w:rsidRPr="008F34C2">
        <w:rPr>
          <w:rFonts w:ascii="Times New Roman" w:hAnsi="Times New Roman" w:cs="Times New Roman"/>
          <w:b/>
          <w:sz w:val="28"/>
          <w:szCs w:val="28"/>
        </w:rPr>
        <w:lastRenderedPageBreak/>
        <w:t xml:space="preserve">Issue 1 </w:t>
      </w:r>
      <w:r w:rsidRPr="008F34C2">
        <w:rPr>
          <w:rFonts w:ascii="Times New Roman" w:hAnsi="Times New Roman" w:cs="Times New Roman"/>
          <w:b/>
          <w:sz w:val="28"/>
          <w:szCs w:val="28"/>
        </w:rPr>
        <w:tab/>
      </w:r>
      <w:r w:rsidRPr="008F34C2">
        <w:rPr>
          <w:rFonts w:ascii="Times New Roman" w:hAnsi="Times New Roman" w:cs="Times New Roman"/>
          <w:b/>
          <w:sz w:val="28"/>
          <w:szCs w:val="28"/>
          <w:u w:val="single"/>
        </w:rPr>
        <w:t xml:space="preserve">Burden </w:t>
      </w:r>
      <w:r w:rsidR="00436750">
        <w:rPr>
          <w:rFonts w:ascii="Times New Roman" w:hAnsi="Times New Roman" w:cs="Times New Roman"/>
          <w:b/>
          <w:sz w:val="28"/>
          <w:szCs w:val="28"/>
          <w:u w:val="single"/>
        </w:rPr>
        <w:t>and</w:t>
      </w:r>
      <w:r w:rsidRPr="008F34C2">
        <w:rPr>
          <w:rFonts w:ascii="Times New Roman" w:hAnsi="Times New Roman" w:cs="Times New Roman"/>
          <w:b/>
          <w:sz w:val="28"/>
          <w:szCs w:val="28"/>
          <w:u w:val="single"/>
        </w:rPr>
        <w:t xml:space="preserve"> Standard of Proof</w:t>
      </w:r>
    </w:p>
    <w:p w14:paraId="55CA1618" w14:textId="77777777" w:rsidR="00B04018" w:rsidRPr="00B04018" w:rsidRDefault="00B04018" w:rsidP="00B04018">
      <w:pPr>
        <w:pStyle w:val="ListParagraph"/>
        <w:spacing w:line="240" w:lineRule="auto"/>
        <w:ind w:left="0"/>
        <w:jc w:val="both"/>
        <w:rPr>
          <w:rFonts w:ascii="Times New Roman" w:hAnsi="Times New Roman" w:cs="Times New Roman"/>
          <w:b/>
          <w:i/>
          <w:iCs/>
          <w:sz w:val="28"/>
          <w:szCs w:val="28"/>
          <w:u w:val="single"/>
        </w:rPr>
      </w:pPr>
    </w:p>
    <w:p w14:paraId="0519CF10" w14:textId="7AA8457F" w:rsidR="00234BC2" w:rsidRPr="008F34C2" w:rsidRDefault="008F34C2" w:rsidP="00BE41F7">
      <w:pPr>
        <w:pStyle w:val="ListParagraph"/>
        <w:numPr>
          <w:ilvl w:val="0"/>
          <w:numId w:val="10"/>
        </w:numPr>
        <w:spacing w:after="0" w:line="240" w:lineRule="auto"/>
        <w:jc w:val="both"/>
        <w:rPr>
          <w:rFonts w:ascii="Times New Roman" w:hAnsi="Times New Roman" w:cs="Times New Roman"/>
          <w:bCs/>
          <w:sz w:val="28"/>
          <w:szCs w:val="28"/>
          <w:u w:val="single"/>
        </w:rPr>
      </w:pPr>
      <w:r w:rsidRPr="008F34C2">
        <w:rPr>
          <w:rFonts w:ascii="Times New Roman" w:hAnsi="Times New Roman" w:cs="Times New Roman"/>
          <w:bCs/>
          <w:sz w:val="28"/>
          <w:szCs w:val="28"/>
        </w:rPr>
        <w:t>Generally, the onus is on the insured to prove that the claim falls within coverage.</w:t>
      </w:r>
      <w:r w:rsidRPr="008F34C2">
        <w:rPr>
          <w:rFonts w:ascii="Times New Roman" w:hAnsi="Times New Roman" w:cs="Times New Roman"/>
          <w:bCs/>
          <w:sz w:val="28"/>
          <w:szCs w:val="28"/>
          <w:vertAlign w:val="superscript"/>
        </w:rPr>
        <w:footnoteReference w:id="2"/>
      </w:r>
      <w:r w:rsidRPr="008F34C2">
        <w:rPr>
          <w:rFonts w:ascii="Times New Roman" w:hAnsi="Times New Roman" w:cs="Times New Roman"/>
          <w:bCs/>
          <w:sz w:val="28"/>
          <w:szCs w:val="28"/>
        </w:rPr>
        <w:t xml:space="preserve"> </w:t>
      </w:r>
      <w:r w:rsidR="00234BC2" w:rsidRPr="00234BC2">
        <w:rPr>
          <w:rFonts w:ascii="Times New Roman" w:hAnsi="Times New Roman" w:cs="Times New Roman"/>
          <w:bCs/>
          <w:sz w:val="28"/>
          <w:szCs w:val="28"/>
        </w:rPr>
        <w:t xml:space="preserve"> </w:t>
      </w:r>
      <w:r w:rsidRPr="008F34C2">
        <w:rPr>
          <w:rFonts w:ascii="Times New Roman" w:hAnsi="Times New Roman" w:cs="Times New Roman"/>
          <w:bCs/>
          <w:sz w:val="28"/>
          <w:szCs w:val="28"/>
        </w:rPr>
        <w:t>Once the insured establishes that the loss falls within coverage, the onus shifts to the insurer to show that an exclusion applies.</w:t>
      </w:r>
      <w:r w:rsidRPr="008F34C2">
        <w:rPr>
          <w:rFonts w:ascii="Times New Roman" w:hAnsi="Times New Roman" w:cs="Times New Roman"/>
          <w:bCs/>
          <w:sz w:val="28"/>
          <w:szCs w:val="28"/>
          <w:vertAlign w:val="superscript"/>
        </w:rPr>
        <w:footnoteReference w:id="3"/>
      </w:r>
      <w:r w:rsidRPr="008F34C2">
        <w:rPr>
          <w:rFonts w:ascii="Times New Roman" w:hAnsi="Times New Roman" w:cs="Times New Roman"/>
          <w:bCs/>
          <w:sz w:val="28"/>
          <w:szCs w:val="28"/>
        </w:rPr>
        <w:t xml:space="preserve"> </w:t>
      </w:r>
      <w:r w:rsidR="00234BC2" w:rsidRPr="00234BC2">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Exclusions are constructed </w:t>
      </w:r>
      <w:r w:rsidR="00234BC2" w:rsidRPr="00234BC2">
        <w:rPr>
          <w:rFonts w:ascii="Times New Roman" w:hAnsi="Times New Roman" w:cs="Times New Roman"/>
          <w:bCs/>
          <w:sz w:val="28"/>
          <w:szCs w:val="28"/>
        </w:rPr>
        <w:t xml:space="preserve"> </w:t>
      </w:r>
      <w:r w:rsidR="00234BC2" w:rsidRPr="008F34C2">
        <w:rPr>
          <w:rFonts w:ascii="Times New Roman" w:hAnsi="Times New Roman" w:cs="Times New Roman"/>
          <w:bCs/>
          <w:sz w:val="28"/>
          <w:szCs w:val="28"/>
        </w:rPr>
        <w:t>narrowly and, in the event of ambiguity, are construed against the insurer.</w:t>
      </w:r>
      <w:r w:rsidR="00234BC2" w:rsidRPr="008F34C2">
        <w:rPr>
          <w:rFonts w:ascii="Times New Roman" w:hAnsi="Times New Roman" w:cs="Times New Roman"/>
          <w:bCs/>
          <w:sz w:val="28"/>
          <w:szCs w:val="28"/>
          <w:vertAlign w:val="superscript"/>
        </w:rPr>
        <w:footnoteReference w:id="4"/>
      </w:r>
      <w:r w:rsidR="00234BC2" w:rsidRPr="008F34C2">
        <w:rPr>
          <w:rFonts w:ascii="Times New Roman" w:hAnsi="Times New Roman" w:cs="Times New Roman"/>
          <w:bCs/>
          <w:sz w:val="28"/>
          <w:szCs w:val="28"/>
        </w:rPr>
        <w:t xml:space="preserve"> </w:t>
      </w:r>
      <w:r w:rsidR="00436750">
        <w:rPr>
          <w:rFonts w:ascii="Times New Roman" w:hAnsi="Times New Roman" w:cs="Times New Roman"/>
          <w:bCs/>
          <w:sz w:val="28"/>
          <w:szCs w:val="28"/>
        </w:rPr>
        <w:t xml:space="preserve"> </w:t>
      </w:r>
      <w:r w:rsidR="00234BC2" w:rsidRPr="008F34C2">
        <w:rPr>
          <w:rFonts w:ascii="Times New Roman" w:hAnsi="Times New Roman" w:cs="Times New Roman"/>
          <w:bCs/>
          <w:sz w:val="28"/>
          <w:szCs w:val="28"/>
        </w:rPr>
        <w:t>As this is a civil matter, the standard of proof is on a balance of probabilities.</w:t>
      </w:r>
      <w:r w:rsidR="00234BC2" w:rsidRPr="008F34C2">
        <w:rPr>
          <w:rFonts w:ascii="Times New Roman" w:hAnsi="Times New Roman" w:cs="Times New Roman"/>
          <w:bCs/>
          <w:sz w:val="28"/>
          <w:szCs w:val="28"/>
          <w:vertAlign w:val="superscript"/>
        </w:rPr>
        <w:footnoteReference w:id="5"/>
      </w:r>
      <w:r w:rsidR="00234BC2" w:rsidRPr="008F34C2">
        <w:rPr>
          <w:rFonts w:ascii="Times New Roman" w:hAnsi="Times New Roman" w:cs="Times New Roman"/>
          <w:bCs/>
          <w:sz w:val="28"/>
          <w:szCs w:val="28"/>
        </w:rPr>
        <w:t xml:space="preserve"> </w:t>
      </w:r>
    </w:p>
    <w:p w14:paraId="2B71F310" w14:textId="4A2945B2" w:rsidR="00234BC2" w:rsidRPr="00234BC2" w:rsidRDefault="00234BC2" w:rsidP="00234BC2">
      <w:pPr>
        <w:pStyle w:val="ListParagraph"/>
        <w:spacing w:after="0" w:line="240" w:lineRule="auto"/>
        <w:ind w:left="0"/>
        <w:contextualSpacing w:val="0"/>
        <w:jc w:val="both"/>
        <w:rPr>
          <w:rFonts w:ascii="Times New Roman" w:hAnsi="Times New Roman" w:cs="Times New Roman"/>
          <w:bCs/>
          <w:sz w:val="28"/>
          <w:szCs w:val="28"/>
        </w:rPr>
      </w:pPr>
    </w:p>
    <w:p w14:paraId="44DFC4EE" w14:textId="5C820982" w:rsidR="008F34C2" w:rsidRPr="008F34C2" w:rsidRDefault="00234BC2" w:rsidP="00234BC2">
      <w:pPr>
        <w:pStyle w:val="ListParagraph"/>
        <w:spacing w:line="240" w:lineRule="auto"/>
        <w:ind w:left="0"/>
        <w:jc w:val="both"/>
        <w:rPr>
          <w:rFonts w:ascii="Times New Roman" w:hAnsi="Times New Roman" w:cs="Times New Roman"/>
          <w:b/>
          <w:sz w:val="28"/>
          <w:szCs w:val="28"/>
        </w:rPr>
      </w:pPr>
      <w:r w:rsidRPr="00234BC2">
        <w:rPr>
          <w:rFonts w:ascii="Times New Roman" w:hAnsi="Times New Roman" w:cs="Times New Roman"/>
          <w:b/>
          <w:sz w:val="28"/>
          <w:szCs w:val="28"/>
        </w:rPr>
        <w:t>I</w:t>
      </w:r>
      <w:r w:rsidR="008F34C2" w:rsidRPr="008F34C2">
        <w:rPr>
          <w:rFonts w:ascii="Times New Roman" w:hAnsi="Times New Roman" w:cs="Times New Roman"/>
          <w:b/>
          <w:sz w:val="28"/>
          <w:szCs w:val="28"/>
        </w:rPr>
        <w:t>ssue 2</w:t>
      </w:r>
      <w:r w:rsidR="008F34C2" w:rsidRPr="008F34C2">
        <w:rPr>
          <w:rFonts w:ascii="Times New Roman" w:hAnsi="Times New Roman" w:cs="Times New Roman"/>
          <w:b/>
          <w:sz w:val="28"/>
          <w:szCs w:val="28"/>
        </w:rPr>
        <w:tab/>
      </w:r>
      <w:r w:rsidR="008F34C2" w:rsidRPr="008F34C2">
        <w:rPr>
          <w:rFonts w:ascii="Times New Roman" w:hAnsi="Times New Roman" w:cs="Times New Roman"/>
          <w:b/>
          <w:sz w:val="28"/>
          <w:szCs w:val="28"/>
          <w:u w:val="single"/>
        </w:rPr>
        <w:t xml:space="preserve">Is this an appropriate case for summary </w:t>
      </w:r>
      <w:proofErr w:type="gramStart"/>
      <w:r w:rsidR="008F34C2" w:rsidRPr="008F34C2">
        <w:rPr>
          <w:rFonts w:ascii="Times New Roman" w:hAnsi="Times New Roman" w:cs="Times New Roman"/>
          <w:b/>
          <w:sz w:val="28"/>
          <w:szCs w:val="28"/>
          <w:u w:val="single"/>
        </w:rPr>
        <w:t>judgment</w:t>
      </w:r>
      <w:proofErr w:type="gramEnd"/>
    </w:p>
    <w:p w14:paraId="5792B168" w14:textId="77777777" w:rsidR="008F34C2" w:rsidRPr="008F34C2" w:rsidRDefault="008F34C2" w:rsidP="00234BC2">
      <w:pPr>
        <w:pStyle w:val="ListParagraph"/>
        <w:spacing w:after="0" w:line="240" w:lineRule="auto"/>
        <w:ind w:left="0"/>
        <w:jc w:val="both"/>
        <w:rPr>
          <w:rFonts w:ascii="Times New Roman" w:hAnsi="Times New Roman" w:cs="Times New Roman"/>
          <w:bCs/>
          <w:sz w:val="28"/>
          <w:szCs w:val="28"/>
          <w:u w:val="single"/>
        </w:rPr>
      </w:pPr>
    </w:p>
    <w:p w14:paraId="31ACBF8B" w14:textId="7AC11498"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Whether or not a case is suitable for summary dismissal is typically a threshold issue. </w:t>
      </w:r>
      <w:r w:rsidR="00234BC2">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parties agree that summary judgment is not only appropriate, but that I should treat this application as dispositive of the action. </w:t>
      </w:r>
      <w:r w:rsidR="00234BC2">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There is no other evidence expected to be adduced and the parties have no desire to take the matter to a trial beyond this application. </w:t>
      </w:r>
      <w:r w:rsidR="00234BC2">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As such, this is essentially a mini trial to be decided </w:t>
      </w:r>
      <w:proofErr w:type="gramStart"/>
      <w:r w:rsidRPr="008F34C2">
        <w:rPr>
          <w:rFonts w:ascii="Times New Roman" w:hAnsi="Times New Roman" w:cs="Times New Roman"/>
          <w:bCs/>
          <w:sz w:val="28"/>
          <w:szCs w:val="28"/>
        </w:rPr>
        <w:t>on the basis of</w:t>
      </w:r>
      <w:proofErr w:type="gramEnd"/>
      <w:r w:rsidRPr="008F34C2">
        <w:rPr>
          <w:rFonts w:ascii="Times New Roman" w:hAnsi="Times New Roman" w:cs="Times New Roman"/>
          <w:bCs/>
          <w:sz w:val="28"/>
          <w:szCs w:val="28"/>
        </w:rPr>
        <w:t xml:space="preserve"> affidavit and documentary evidence. </w:t>
      </w:r>
      <w:r w:rsidR="00234BC2">
        <w:rPr>
          <w:rFonts w:ascii="Times New Roman" w:hAnsi="Times New Roman" w:cs="Times New Roman"/>
          <w:bCs/>
          <w:sz w:val="28"/>
          <w:szCs w:val="28"/>
        </w:rPr>
        <w:t xml:space="preserve"> </w:t>
      </w:r>
      <w:r w:rsidRPr="008F34C2">
        <w:rPr>
          <w:rFonts w:ascii="Times New Roman" w:hAnsi="Times New Roman" w:cs="Times New Roman"/>
          <w:bCs/>
          <w:sz w:val="28"/>
          <w:szCs w:val="28"/>
        </w:rPr>
        <w:t>I have decided the matter accordingly.</w:t>
      </w:r>
    </w:p>
    <w:p w14:paraId="20593C1B" w14:textId="77777777" w:rsidR="00234BC2" w:rsidRPr="008F34C2" w:rsidRDefault="00234BC2" w:rsidP="00234BC2">
      <w:pPr>
        <w:pStyle w:val="ListParagraph"/>
        <w:spacing w:after="0" w:line="240" w:lineRule="auto"/>
        <w:ind w:left="0"/>
        <w:jc w:val="both"/>
        <w:rPr>
          <w:rFonts w:ascii="Times New Roman" w:hAnsi="Times New Roman" w:cs="Times New Roman"/>
          <w:bCs/>
          <w:sz w:val="28"/>
          <w:szCs w:val="28"/>
        </w:rPr>
      </w:pPr>
    </w:p>
    <w:p w14:paraId="4B3D0C64" w14:textId="77777777"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To resolve this matter via summary judgment, the issues must be sufficiently </w:t>
      </w:r>
      <w:proofErr w:type="gramStart"/>
      <w:r w:rsidRPr="008F34C2">
        <w:rPr>
          <w:rFonts w:ascii="Times New Roman" w:hAnsi="Times New Roman" w:cs="Times New Roman"/>
          <w:bCs/>
          <w:sz w:val="28"/>
          <w:szCs w:val="28"/>
        </w:rPr>
        <w:t>focused</w:t>
      </w:r>
      <w:proofErr w:type="gramEnd"/>
      <w:r w:rsidRPr="008F34C2">
        <w:rPr>
          <w:rFonts w:ascii="Times New Roman" w:hAnsi="Times New Roman" w:cs="Times New Roman"/>
          <w:bCs/>
          <w:sz w:val="28"/>
          <w:szCs w:val="28"/>
        </w:rPr>
        <w:t xml:space="preserve"> and the material sufficiently detailed to enable the court to:</w:t>
      </w:r>
    </w:p>
    <w:p w14:paraId="7F0E86B3" w14:textId="77777777" w:rsidR="00234BC2" w:rsidRPr="008F34C2" w:rsidRDefault="00234BC2" w:rsidP="00234BC2">
      <w:pPr>
        <w:pStyle w:val="ListParagraph"/>
        <w:spacing w:after="0" w:line="240" w:lineRule="auto"/>
        <w:ind w:left="0"/>
        <w:jc w:val="both"/>
        <w:rPr>
          <w:rFonts w:ascii="Times New Roman" w:hAnsi="Times New Roman" w:cs="Times New Roman"/>
          <w:bCs/>
          <w:sz w:val="28"/>
          <w:szCs w:val="28"/>
        </w:rPr>
      </w:pPr>
    </w:p>
    <w:p w14:paraId="00112A74" w14:textId="3CDE974A" w:rsidR="008F34C2" w:rsidRPr="008F34C2" w:rsidRDefault="008F34C2" w:rsidP="00BE41F7">
      <w:pPr>
        <w:pStyle w:val="ListParagraph"/>
        <w:spacing w:after="0" w:line="240" w:lineRule="auto"/>
        <w:ind w:left="284"/>
        <w:jc w:val="both"/>
        <w:rPr>
          <w:rFonts w:ascii="Times New Roman" w:hAnsi="Times New Roman" w:cs="Times New Roman"/>
          <w:bCs/>
          <w:sz w:val="28"/>
          <w:szCs w:val="28"/>
        </w:rPr>
      </w:pPr>
      <w:r w:rsidRPr="008F34C2">
        <w:rPr>
          <w:rFonts w:ascii="Times New Roman" w:hAnsi="Times New Roman" w:cs="Times New Roman"/>
          <w:bCs/>
          <w:sz w:val="28"/>
          <w:szCs w:val="28"/>
        </w:rPr>
        <w:t>(1)</w:t>
      </w:r>
      <w:r w:rsidR="00BE41F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Make the necessary findings of </w:t>
      </w:r>
      <w:proofErr w:type="gramStart"/>
      <w:r w:rsidRPr="008F34C2">
        <w:rPr>
          <w:rFonts w:ascii="Times New Roman" w:hAnsi="Times New Roman" w:cs="Times New Roman"/>
          <w:bCs/>
          <w:sz w:val="28"/>
          <w:szCs w:val="28"/>
        </w:rPr>
        <w:t>fact;</w:t>
      </w:r>
      <w:proofErr w:type="gramEnd"/>
    </w:p>
    <w:p w14:paraId="2D965A9D" w14:textId="1BA2B4D0" w:rsidR="008F34C2" w:rsidRPr="008F34C2" w:rsidRDefault="008F34C2" w:rsidP="00BE41F7">
      <w:pPr>
        <w:pStyle w:val="ListParagraph"/>
        <w:spacing w:after="0" w:line="240" w:lineRule="auto"/>
        <w:ind w:left="284"/>
        <w:jc w:val="both"/>
        <w:rPr>
          <w:rFonts w:ascii="Times New Roman" w:hAnsi="Times New Roman" w:cs="Times New Roman"/>
          <w:bCs/>
          <w:sz w:val="28"/>
          <w:szCs w:val="28"/>
        </w:rPr>
      </w:pPr>
      <w:r w:rsidRPr="008F34C2">
        <w:rPr>
          <w:rFonts w:ascii="Times New Roman" w:hAnsi="Times New Roman" w:cs="Times New Roman"/>
          <w:bCs/>
          <w:sz w:val="28"/>
          <w:szCs w:val="28"/>
        </w:rPr>
        <w:t>(2)</w:t>
      </w:r>
      <w:r w:rsidR="00BE41F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Apply the law to the </w:t>
      </w:r>
      <w:proofErr w:type="gramStart"/>
      <w:r w:rsidRPr="008F34C2">
        <w:rPr>
          <w:rFonts w:ascii="Times New Roman" w:hAnsi="Times New Roman" w:cs="Times New Roman"/>
          <w:bCs/>
          <w:sz w:val="28"/>
          <w:szCs w:val="28"/>
        </w:rPr>
        <w:t>facts;</w:t>
      </w:r>
      <w:proofErr w:type="gramEnd"/>
    </w:p>
    <w:p w14:paraId="7C1F14E5" w14:textId="6C394E52" w:rsidR="008F34C2" w:rsidRPr="008F34C2" w:rsidRDefault="008F34C2" w:rsidP="00BE41F7">
      <w:pPr>
        <w:pStyle w:val="ListParagraph"/>
        <w:spacing w:after="0"/>
        <w:ind w:left="284"/>
        <w:contextualSpacing w:val="0"/>
        <w:jc w:val="both"/>
        <w:rPr>
          <w:rFonts w:ascii="Times New Roman" w:hAnsi="Times New Roman" w:cs="Times New Roman"/>
          <w:bCs/>
          <w:sz w:val="28"/>
          <w:szCs w:val="28"/>
        </w:rPr>
      </w:pPr>
      <w:r w:rsidRPr="008F34C2">
        <w:rPr>
          <w:rFonts w:ascii="Times New Roman" w:hAnsi="Times New Roman" w:cs="Times New Roman"/>
          <w:bCs/>
          <w:sz w:val="28"/>
          <w:szCs w:val="28"/>
        </w:rPr>
        <w:t>(3)</w:t>
      </w:r>
      <w:r w:rsidR="00BE41F7">
        <w:rPr>
          <w:rFonts w:ascii="Times New Roman" w:hAnsi="Times New Roman" w:cs="Times New Roman"/>
          <w:bCs/>
          <w:sz w:val="28"/>
          <w:szCs w:val="28"/>
        </w:rPr>
        <w:t xml:space="preserve">  </w:t>
      </w:r>
      <w:r w:rsidRPr="008F34C2">
        <w:rPr>
          <w:rFonts w:ascii="Times New Roman" w:hAnsi="Times New Roman" w:cs="Times New Roman"/>
          <w:bCs/>
          <w:sz w:val="28"/>
          <w:szCs w:val="28"/>
        </w:rPr>
        <w:t>Conclude that summary judgment is a proportionate and more expeditious and less expensive means to achieve a just result between the parties; and</w:t>
      </w:r>
    </w:p>
    <w:p w14:paraId="53C21255" w14:textId="77FBB70B" w:rsidR="008F34C2" w:rsidRPr="008F34C2" w:rsidRDefault="008F34C2" w:rsidP="00BE41F7">
      <w:pPr>
        <w:pStyle w:val="ListParagraph"/>
        <w:spacing w:after="0"/>
        <w:ind w:left="284"/>
        <w:contextualSpacing w:val="0"/>
        <w:jc w:val="both"/>
        <w:rPr>
          <w:rFonts w:ascii="Times New Roman" w:hAnsi="Times New Roman" w:cs="Times New Roman"/>
          <w:bCs/>
          <w:sz w:val="28"/>
          <w:szCs w:val="28"/>
        </w:rPr>
      </w:pPr>
      <w:r w:rsidRPr="008F34C2">
        <w:rPr>
          <w:rFonts w:ascii="Times New Roman" w:hAnsi="Times New Roman" w:cs="Times New Roman"/>
          <w:bCs/>
          <w:sz w:val="28"/>
          <w:szCs w:val="28"/>
        </w:rPr>
        <w:t>(4)</w:t>
      </w:r>
      <w:r w:rsidR="00BE41F7">
        <w:rPr>
          <w:rFonts w:ascii="Times New Roman" w:hAnsi="Times New Roman" w:cs="Times New Roman"/>
          <w:bCs/>
          <w:sz w:val="28"/>
          <w:szCs w:val="28"/>
        </w:rPr>
        <w:t xml:space="preserve">  </w:t>
      </w:r>
      <w:r w:rsidRPr="008F34C2">
        <w:rPr>
          <w:rFonts w:ascii="Times New Roman" w:hAnsi="Times New Roman" w:cs="Times New Roman"/>
          <w:bCs/>
          <w:sz w:val="28"/>
          <w:szCs w:val="28"/>
        </w:rPr>
        <w:t>Determine there is no genuine issue requiring a trial.</w:t>
      </w:r>
      <w:r w:rsidRPr="008F34C2">
        <w:rPr>
          <w:rFonts w:ascii="Times New Roman" w:hAnsi="Times New Roman" w:cs="Times New Roman"/>
          <w:bCs/>
          <w:sz w:val="28"/>
          <w:szCs w:val="28"/>
          <w:vertAlign w:val="superscript"/>
        </w:rPr>
        <w:footnoteReference w:id="6"/>
      </w:r>
    </w:p>
    <w:p w14:paraId="5746376C" w14:textId="77777777" w:rsidR="008F34C2" w:rsidRPr="008F34C2" w:rsidRDefault="008F34C2" w:rsidP="00234BC2">
      <w:pPr>
        <w:pStyle w:val="ListParagraph"/>
        <w:spacing w:after="0" w:line="240" w:lineRule="auto"/>
        <w:ind w:left="0"/>
        <w:contextualSpacing w:val="0"/>
        <w:jc w:val="both"/>
        <w:rPr>
          <w:rFonts w:ascii="Times New Roman" w:hAnsi="Times New Roman" w:cs="Times New Roman"/>
          <w:bCs/>
          <w:sz w:val="28"/>
          <w:szCs w:val="28"/>
        </w:rPr>
      </w:pPr>
    </w:p>
    <w:p w14:paraId="494D4522" w14:textId="57F505C1" w:rsidR="00234BC2" w:rsidRPr="002870C2" w:rsidRDefault="008F34C2" w:rsidP="00234BC2">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In my view, the record is sufficient to enable a determination</w:t>
      </w:r>
      <w:r w:rsidR="00185B15">
        <w:rPr>
          <w:rFonts w:ascii="Times New Roman" w:hAnsi="Times New Roman" w:cs="Times New Roman"/>
          <w:bCs/>
          <w:sz w:val="28"/>
          <w:szCs w:val="28"/>
        </w:rPr>
        <w:t xml:space="preserve"> that</w:t>
      </w:r>
      <w:r w:rsidRPr="008F34C2">
        <w:rPr>
          <w:rFonts w:ascii="Times New Roman" w:hAnsi="Times New Roman" w:cs="Times New Roman"/>
          <w:bCs/>
          <w:sz w:val="28"/>
          <w:szCs w:val="28"/>
        </w:rPr>
        <w:t xml:space="preserve"> there is a genuine issue requiring a trial regarding whether the second exclusion relating to vandalism and malicious acts applies. </w:t>
      </w:r>
      <w:r w:rsidR="00234BC2">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I am, however, given the position of the parties, confident that a fair and just determination on the merits can be reached based solely on the evidence before me. </w:t>
      </w:r>
    </w:p>
    <w:p w14:paraId="28AB6A37" w14:textId="77777777" w:rsidR="008F34C2" w:rsidRPr="008F34C2" w:rsidRDefault="008F34C2" w:rsidP="00234BC2">
      <w:pPr>
        <w:pStyle w:val="ListParagraph"/>
        <w:spacing w:line="240" w:lineRule="auto"/>
        <w:ind w:left="0"/>
        <w:jc w:val="both"/>
        <w:rPr>
          <w:rFonts w:ascii="Times New Roman" w:hAnsi="Times New Roman" w:cs="Times New Roman"/>
          <w:b/>
          <w:sz w:val="28"/>
          <w:szCs w:val="28"/>
        </w:rPr>
      </w:pPr>
      <w:r w:rsidRPr="008F34C2">
        <w:rPr>
          <w:rFonts w:ascii="Times New Roman" w:hAnsi="Times New Roman" w:cs="Times New Roman"/>
          <w:b/>
          <w:sz w:val="28"/>
          <w:szCs w:val="28"/>
        </w:rPr>
        <w:lastRenderedPageBreak/>
        <w:t>Issue 3</w:t>
      </w:r>
      <w:r w:rsidRPr="008F34C2">
        <w:rPr>
          <w:rFonts w:ascii="Times New Roman" w:hAnsi="Times New Roman" w:cs="Times New Roman"/>
          <w:b/>
          <w:sz w:val="28"/>
          <w:szCs w:val="28"/>
        </w:rPr>
        <w:tab/>
      </w:r>
      <w:r w:rsidRPr="008F34C2">
        <w:rPr>
          <w:rFonts w:ascii="Times New Roman" w:hAnsi="Times New Roman" w:cs="Times New Roman"/>
          <w:b/>
          <w:sz w:val="28"/>
          <w:szCs w:val="28"/>
          <w:u w:val="single"/>
        </w:rPr>
        <w:t>Whether the property was “</w:t>
      </w:r>
      <w:proofErr w:type="gramStart"/>
      <w:r w:rsidRPr="008F34C2">
        <w:rPr>
          <w:rFonts w:ascii="Times New Roman" w:hAnsi="Times New Roman" w:cs="Times New Roman"/>
          <w:b/>
          <w:sz w:val="28"/>
          <w:szCs w:val="28"/>
          <w:u w:val="single"/>
        </w:rPr>
        <w:t>vacant</w:t>
      </w:r>
      <w:proofErr w:type="gramEnd"/>
      <w:r w:rsidRPr="008F34C2">
        <w:rPr>
          <w:rFonts w:ascii="Times New Roman" w:hAnsi="Times New Roman" w:cs="Times New Roman"/>
          <w:b/>
          <w:sz w:val="28"/>
          <w:szCs w:val="28"/>
          <w:u w:val="single"/>
        </w:rPr>
        <w:t xml:space="preserve">” </w:t>
      </w:r>
    </w:p>
    <w:p w14:paraId="53168CA2" w14:textId="77777777" w:rsidR="008F34C2" w:rsidRPr="008F34C2" w:rsidRDefault="008F34C2" w:rsidP="00234BC2">
      <w:pPr>
        <w:pStyle w:val="ListParagraph"/>
        <w:spacing w:after="0" w:line="240" w:lineRule="auto"/>
        <w:ind w:left="0"/>
        <w:jc w:val="both"/>
        <w:rPr>
          <w:rFonts w:ascii="Times New Roman" w:hAnsi="Times New Roman" w:cs="Times New Roman"/>
          <w:bCs/>
          <w:sz w:val="28"/>
          <w:szCs w:val="28"/>
        </w:rPr>
      </w:pPr>
    </w:p>
    <w:p w14:paraId="231DF5B9" w14:textId="247F1C0A"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In determining whether the home was “vacant”, as per the insurance policy term, the court will examine the circumstances and take a commonsense approach.</w:t>
      </w:r>
      <w:r w:rsidRPr="008F34C2">
        <w:rPr>
          <w:rFonts w:ascii="Times New Roman" w:hAnsi="Times New Roman" w:cs="Times New Roman"/>
          <w:bCs/>
          <w:sz w:val="28"/>
          <w:szCs w:val="28"/>
          <w:vertAlign w:val="superscript"/>
        </w:rPr>
        <w:footnoteReference w:id="7"/>
      </w:r>
      <w:r w:rsidRPr="008F34C2">
        <w:rPr>
          <w:rFonts w:ascii="Times New Roman" w:hAnsi="Times New Roman" w:cs="Times New Roman"/>
          <w:bCs/>
          <w:sz w:val="28"/>
          <w:szCs w:val="28"/>
        </w:rPr>
        <w:t xml:space="preserve"> </w:t>
      </w:r>
      <w:r w:rsidR="00436750">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There is a difference between a property being vacant versus being unoccupied, which has been judicially considered. </w:t>
      </w:r>
      <w:r w:rsidR="00234BC2">
        <w:rPr>
          <w:rFonts w:ascii="Times New Roman" w:hAnsi="Times New Roman" w:cs="Times New Roman"/>
          <w:bCs/>
          <w:sz w:val="28"/>
          <w:szCs w:val="28"/>
        </w:rPr>
        <w:t xml:space="preserve"> </w:t>
      </w:r>
      <w:r w:rsidRPr="008F34C2">
        <w:rPr>
          <w:rFonts w:ascii="Times New Roman" w:hAnsi="Times New Roman" w:cs="Times New Roman"/>
          <w:bCs/>
          <w:sz w:val="28"/>
          <w:szCs w:val="28"/>
        </w:rPr>
        <w:t>A dwelling is “‘occupied’ while it is dwelt in, and unoccupied when no person is dwelling therein”.</w:t>
      </w:r>
      <w:r w:rsidRPr="008F34C2">
        <w:rPr>
          <w:rFonts w:ascii="Times New Roman" w:hAnsi="Times New Roman" w:cs="Times New Roman"/>
          <w:bCs/>
          <w:sz w:val="28"/>
          <w:szCs w:val="28"/>
          <w:vertAlign w:val="superscript"/>
        </w:rPr>
        <w:footnoteReference w:id="8"/>
      </w:r>
      <w:r w:rsidRPr="008F34C2">
        <w:rPr>
          <w:rFonts w:ascii="Times New Roman" w:hAnsi="Times New Roman" w:cs="Times New Roman"/>
          <w:bCs/>
          <w:sz w:val="28"/>
          <w:szCs w:val="28"/>
        </w:rPr>
        <w:t xml:space="preserv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In the context of interpreting exclusionary clauses, “vacant” is not synonymous with “unoccupied”.</w:t>
      </w:r>
      <w:r w:rsidRPr="008F34C2">
        <w:rPr>
          <w:rFonts w:ascii="Times New Roman" w:hAnsi="Times New Roman" w:cs="Times New Roman"/>
          <w:bCs/>
          <w:sz w:val="28"/>
          <w:szCs w:val="28"/>
          <w:vertAlign w:val="superscript"/>
        </w:rPr>
        <w:footnoteReference w:id="9"/>
      </w:r>
      <w:r w:rsidRPr="008F34C2">
        <w:rPr>
          <w:rFonts w:ascii="Times New Roman" w:hAnsi="Times New Roman" w:cs="Times New Roman"/>
          <w:bCs/>
          <w:sz w:val="28"/>
          <w:szCs w:val="28"/>
        </w:rPr>
        <w:t xml:space="preserv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In determining whether a dwelling is “vacant”, reference must be had to all the surrounding circumstances, including the presence of chattels and the intentions and actions of the policyholder.</w:t>
      </w:r>
      <w:r w:rsidRPr="008F34C2">
        <w:rPr>
          <w:rFonts w:ascii="Times New Roman" w:hAnsi="Times New Roman" w:cs="Times New Roman"/>
          <w:bCs/>
          <w:sz w:val="28"/>
          <w:szCs w:val="28"/>
          <w:vertAlign w:val="superscript"/>
        </w:rPr>
        <w:footnoteReference w:id="10"/>
      </w:r>
    </w:p>
    <w:p w14:paraId="62F0D40E" w14:textId="77777777" w:rsidR="00436B8D" w:rsidRPr="008F34C2" w:rsidRDefault="00436B8D" w:rsidP="00436B8D">
      <w:pPr>
        <w:pStyle w:val="ListParagraph"/>
        <w:spacing w:after="0" w:line="240" w:lineRule="auto"/>
        <w:ind w:left="0"/>
        <w:jc w:val="both"/>
        <w:rPr>
          <w:rFonts w:ascii="Times New Roman" w:hAnsi="Times New Roman" w:cs="Times New Roman"/>
          <w:bCs/>
          <w:sz w:val="28"/>
          <w:szCs w:val="28"/>
        </w:rPr>
      </w:pPr>
    </w:p>
    <w:p w14:paraId="5FA4C391" w14:textId="77777777" w:rsidR="00436B8D" w:rsidRDefault="00436B8D"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The Policy defines “vacant” as:</w:t>
      </w:r>
    </w:p>
    <w:p w14:paraId="5149BB11" w14:textId="77777777" w:rsidR="00436B8D" w:rsidRDefault="00436B8D" w:rsidP="00436B8D">
      <w:pPr>
        <w:pStyle w:val="ListParagraph"/>
        <w:spacing w:after="0" w:line="240" w:lineRule="auto"/>
        <w:ind w:left="0"/>
        <w:jc w:val="both"/>
        <w:rPr>
          <w:rFonts w:ascii="Times New Roman" w:hAnsi="Times New Roman" w:cs="Times New Roman"/>
          <w:bCs/>
          <w:sz w:val="28"/>
          <w:szCs w:val="28"/>
        </w:rPr>
      </w:pPr>
    </w:p>
    <w:p w14:paraId="44302390" w14:textId="2BAF89B9" w:rsidR="00436B8D" w:rsidRPr="00BE41F7" w:rsidRDefault="008F34C2" w:rsidP="00BE41F7">
      <w:pPr>
        <w:pStyle w:val="ListParagraph"/>
        <w:spacing w:after="0" w:line="240" w:lineRule="auto"/>
        <w:ind w:left="567" w:right="567"/>
        <w:jc w:val="both"/>
        <w:rPr>
          <w:rFonts w:ascii="Times New Roman" w:hAnsi="Times New Roman" w:cs="Times New Roman"/>
          <w:bCs/>
          <w:sz w:val="24"/>
          <w:szCs w:val="24"/>
        </w:rPr>
      </w:pPr>
      <w:r w:rsidRPr="008F34C2">
        <w:rPr>
          <w:rFonts w:ascii="Times New Roman" w:hAnsi="Times New Roman" w:cs="Times New Roman"/>
          <w:bCs/>
          <w:sz w:val="24"/>
          <w:szCs w:val="24"/>
        </w:rPr>
        <w:t xml:space="preserve">“Vacant” refers to the circumstances </w:t>
      </w:r>
      <w:proofErr w:type="gramStart"/>
      <w:r w:rsidRPr="008F34C2">
        <w:rPr>
          <w:rFonts w:ascii="Times New Roman" w:hAnsi="Times New Roman" w:cs="Times New Roman"/>
          <w:bCs/>
          <w:sz w:val="24"/>
          <w:szCs w:val="24"/>
        </w:rPr>
        <w:t>where</w:t>
      </w:r>
      <w:proofErr w:type="gramEnd"/>
      <w:r w:rsidRPr="008F34C2">
        <w:rPr>
          <w:rFonts w:ascii="Times New Roman" w:hAnsi="Times New Roman" w:cs="Times New Roman"/>
          <w:bCs/>
          <w:sz w:val="24"/>
          <w:szCs w:val="24"/>
        </w:rPr>
        <w:t>, regardless of the presence of furnishings:</w:t>
      </w:r>
    </w:p>
    <w:p w14:paraId="46487B49" w14:textId="39199FEC" w:rsidR="00436B8D" w:rsidRPr="00BE41F7" w:rsidRDefault="00436B8D" w:rsidP="00BE41F7">
      <w:pPr>
        <w:pStyle w:val="ListParagraph"/>
        <w:spacing w:after="0"/>
        <w:ind w:left="567" w:right="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8F34C2" w:rsidRPr="008F34C2">
        <w:rPr>
          <w:rFonts w:ascii="Times New Roman" w:hAnsi="Times New Roman" w:cs="Times New Roman"/>
          <w:bCs/>
          <w:sz w:val="24"/>
          <w:szCs w:val="24"/>
        </w:rPr>
        <w:t>All occupants have moved out with no intention of returning and no new occupant has taken up residence; or</w:t>
      </w:r>
    </w:p>
    <w:p w14:paraId="7AAC94F5" w14:textId="05D13770" w:rsidR="008F34C2" w:rsidRPr="008F34C2" w:rsidRDefault="00436B8D" w:rsidP="00BE41F7">
      <w:pPr>
        <w:pStyle w:val="ListParagraph"/>
        <w:spacing w:after="0"/>
        <w:ind w:left="567" w:right="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8F34C2" w:rsidRPr="008F34C2">
        <w:rPr>
          <w:rFonts w:ascii="Times New Roman" w:hAnsi="Times New Roman" w:cs="Times New Roman"/>
          <w:bCs/>
          <w:sz w:val="24"/>
          <w:szCs w:val="24"/>
        </w:rPr>
        <w:t>In the case of a newly constructed dwelling, no occupant has yet taken up residence.</w:t>
      </w:r>
    </w:p>
    <w:p w14:paraId="49DB7270" w14:textId="77777777" w:rsidR="008F34C2" w:rsidRPr="008F34C2" w:rsidRDefault="008F34C2" w:rsidP="00436B8D">
      <w:pPr>
        <w:pStyle w:val="ListParagraph"/>
        <w:spacing w:after="0" w:line="240" w:lineRule="auto"/>
        <w:ind w:left="0"/>
        <w:contextualSpacing w:val="0"/>
        <w:jc w:val="both"/>
        <w:rPr>
          <w:rFonts w:ascii="Times New Roman" w:hAnsi="Times New Roman" w:cs="Times New Roman"/>
          <w:bCs/>
          <w:i/>
          <w:iCs/>
          <w:sz w:val="28"/>
          <w:szCs w:val="28"/>
          <w:u w:val="single"/>
        </w:rPr>
      </w:pPr>
    </w:p>
    <w:p w14:paraId="02C22136" w14:textId="7A837C93" w:rsidR="008F34C2" w:rsidRP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The applicant notes the threshold issue is whether the Property was “vacant” at the time of the fire.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There is no dispute the prior tenant left the property and was not going to return.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No new tenant had been secured or taken up residence in the property.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The Applicant asserts the property was clearly “vacant” as defined in the policy, and when a policy defines a term, care must be taken not to substitute a judicial definition for the one chosen by the contracting parties.</w:t>
      </w:r>
      <w:r w:rsidRPr="008F34C2">
        <w:rPr>
          <w:rFonts w:ascii="Times New Roman" w:hAnsi="Times New Roman" w:cs="Times New Roman"/>
          <w:bCs/>
          <w:sz w:val="28"/>
          <w:szCs w:val="28"/>
          <w:vertAlign w:val="superscript"/>
        </w:rPr>
        <w:footnoteReference w:id="11"/>
      </w:r>
      <w:r w:rsidRPr="008F34C2">
        <w:rPr>
          <w:rFonts w:ascii="Times New Roman" w:hAnsi="Times New Roman" w:cs="Times New Roman"/>
          <w:bCs/>
          <w:sz w:val="28"/>
          <w:szCs w:val="28"/>
        </w:rPr>
        <w:t xml:space="preserv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Further, to periodically “check in” on a place does not mean it is not vacant or that there is occupancy.</w:t>
      </w:r>
      <w:r w:rsidRPr="008F34C2">
        <w:rPr>
          <w:rFonts w:ascii="Times New Roman" w:hAnsi="Times New Roman" w:cs="Times New Roman"/>
          <w:bCs/>
          <w:sz w:val="28"/>
          <w:szCs w:val="28"/>
          <w:vertAlign w:val="superscript"/>
        </w:rPr>
        <w:footnoteReference w:id="12"/>
      </w:r>
      <w:r w:rsidRPr="008F34C2">
        <w:rPr>
          <w:rFonts w:ascii="Times New Roman" w:hAnsi="Times New Roman" w:cs="Times New Roman"/>
          <w:bCs/>
          <w:sz w:val="28"/>
          <w:szCs w:val="28"/>
        </w:rPr>
        <w:t xml:space="preserv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applicant submits that on the date of the fire all occupants had moved out of the property, the respondent resided elsewhere, and no new tenant had moved in to take up residence.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As a result, the applicant submits the property was “vacant”. </w:t>
      </w:r>
    </w:p>
    <w:p w14:paraId="6C80C505" w14:textId="77777777" w:rsidR="008F34C2" w:rsidRPr="008F34C2" w:rsidRDefault="008F34C2" w:rsidP="00436B8D">
      <w:pPr>
        <w:pStyle w:val="ListParagraph"/>
        <w:spacing w:after="0" w:line="240" w:lineRule="auto"/>
        <w:ind w:left="0"/>
        <w:contextualSpacing w:val="0"/>
        <w:jc w:val="both"/>
        <w:rPr>
          <w:rFonts w:ascii="Times New Roman" w:hAnsi="Times New Roman" w:cs="Times New Roman"/>
          <w:bCs/>
          <w:sz w:val="28"/>
          <w:szCs w:val="28"/>
        </w:rPr>
      </w:pPr>
    </w:p>
    <w:p w14:paraId="231337B3" w14:textId="55549296" w:rsidR="008F34C2" w:rsidRP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Citing cases from Alberta, the respondent advances the proposition that the exclusion clause “must be construed in a reasonable manner so as to afford proper protection to both parties rather than give it a meaning that would mislead the </w:t>
      </w:r>
      <w:r w:rsidRPr="008F34C2">
        <w:rPr>
          <w:rFonts w:ascii="Times New Roman" w:hAnsi="Times New Roman" w:cs="Times New Roman"/>
          <w:bCs/>
          <w:sz w:val="28"/>
          <w:szCs w:val="28"/>
        </w:rPr>
        <w:lastRenderedPageBreak/>
        <w:t>insured.”</w:t>
      </w:r>
      <w:r w:rsidRPr="008F34C2">
        <w:rPr>
          <w:rFonts w:ascii="Times New Roman" w:hAnsi="Times New Roman" w:cs="Times New Roman"/>
          <w:bCs/>
          <w:sz w:val="28"/>
          <w:szCs w:val="28"/>
          <w:vertAlign w:val="superscript"/>
        </w:rPr>
        <w:footnoteReference w:id="13"/>
      </w:r>
      <w:r w:rsidRPr="008F34C2">
        <w:rPr>
          <w:rFonts w:ascii="Times New Roman" w:hAnsi="Times New Roman" w:cs="Times New Roman"/>
          <w:bCs/>
          <w:sz w:val="28"/>
          <w:szCs w:val="28"/>
        </w:rPr>
        <w:t xml:space="preserv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respondent also asserts the New Brunswick decision, </w:t>
      </w:r>
      <w:r w:rsidRPr="008F34C2">
        <w:rPr>
          <w:rFonts w:ascii="Times New Roman" w:hAnsi="Times New Roman" w:cs="Times New Roman"/>
          <w:bCs/>
          <w:i/>
          <w:iCs/>
          <w:sz w:val="28"/>
          <w:szCs w:val="28"/>
        </w:rPr>
        <w:t xml:space="preserve">Richie v Sun Alliance Insurance Company, </w:t>
      </w:r>
      <w:hyperlink r:id="rId12" w:history="1">
        <w:r w:rsidRPr="008F34C2">
          <w:rPr>
            <w:rStyle w:val="Hyperlink"/>
            <w:rFonts w:ascii="Times New Roman" w:hAnsi="Times New Roman" w:cs="Times New Roman"/>
            <w:bCs/>
            <w:sz w:val="28"/>
            <w:szCs w:val="28"/>
          </w:rPr>
          <w:t>1992 CanLII 6813</w:t>
        </w:r>
      </w:hyperlink>
      <w:r w:rsidRPr="008F34C2">
        <w:rPr>
          <w:rFonts w:ascii="Times New Roman" w:hAnsi="Times New Roman" w:cs="Times New Roman"/>
          <w:bCs/>
          <w:sz w:val="28"/>
          <w:szCs w:val="28"/>
        </w:rPr>
        <w:t xml:space="preserve"> (NBKB) [</w:t>
      </w:r>
      <w:r w:rsidRPr="008F34C2">
        <w:rPr>
          <w:rFonts w:ascii="Times New Roman" w:hAnsi="Times New Roman" w:cs="Times New Roman"/>
          <w:bCs/>
          <w:i/>
          <w:iCs/>
          <w:sz w:val="28"/>
          <w:szCs w:val="28"/>
        </w:rPr>
        <w:t>Richie</w:t>
      </w:r>
      <w:r w:rsidRPr="008F34C2">
        <w:rPr>
          <w:rFonts w:ascii="Times New Roman" w:hAnsi="Times New Roman" w:cs="Times New Roman"/>
          <w:bCs/>
          <w:sz w:val="28"/>
          <w:szCs w:val="28"/>
        </w:rPr>
        <w:t>] is “on all fours” with the case at bar.</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 In </w:t>
      </w:r>
      <w:r w:rsidRPr="008F34C2">
        <w:rPr>
          <w:rFonts w:ascii="Times New Roman" w:hAnsi="Times New Roman" w:cs="Times New Roman"/>
          <w:bCs/>
          <w:i/>
          <w:iCs/>
          <w:sz w:val="28"/>
          <w:szCs w:val="28"/>
        </w:rPr>
        <w:t>Richie</w:t>
      </w:r>
      <w:r w:rsidRPr="008F34C2">
        <w:rPr>
          <w:rFonts w:ascii="Times New Roman" w:hAnsi="Times New Roman" w:cs="Times New Roman"/>
          <w:bCs/>
          <w:sz w:val="28"/>
          <w:szCs w:val="28"/>
        </w:rPr>
        <w:t xml:space="preserve"> the court held that the insured premises were not vacant in circumstances where the previous tenant had left, and the owner was endeavouring to rent the premises and had referred the matter to a real estate agent.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Daily inspections were ongoing.</w:t>
      </w:r>
      <w:r w:rsidRPr="008F34C2">
        <w:rPr>
          <w:rFonts w:ascii="Times New Roman" w:hAnsi="Times New Roman" w:cs="Times New Roman"/>
          <w:bCs/>
          <w:sz w:val="28"/>
          <w:szCs w:val="28"/>
          <w:vertAlign w:val="superscript"/>
        </w:rPr>
        <w:footnoteReference w:id="14"/>
      </w:r>
      <w:r w:rsidRPr="008F34C2">
        <w:rPr>
          <w:rFonts w:ascii="Times New Roman" w:hAnsi="Times New Roman" w:cs="Times New Roman"/>
          <w:bCs/>
          <w:sz w:val="28"/>
          <w:szCs w:val="28"/>
        </w:rPr>
        <w:t xml:space="preserv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respondent argues that, as in </w:t>
      </w:r>
      <w:r w:rsidRPr="008F34C2">
        <w:rPr>
          <w:rFonts w:ascii="Times New Roman" w:hAnsi="Times New Roman" w:cs="Times New Roman"/>
          <w:bCs/>
          <w:i/>
          <w:iCs/>
          <w:sz w:val="28"/>
          <w:szCs w:val="28"/>
        </w:rPr>
        <w:t>Richie</w:t>
      </w:r>
      <w:r w:rsidRPr="008F34C2">
        <w:rPr>
          <w:rFonts w:ascii="Times New Roman" w:hAnsi="Times New Roman" w:cs="Times New Roman"/>
          <w:bCs/>
          <w:sz w:val="28"/>
          <w:szCs w:val="28"/>
        </w:rPr>
        <w:t xml:space="preserve">, the residence was not vacant, as the respondent was attending at the property daily, occasionally stayed overnight, planned repairs, and brought tools to the property for same, had services reconnected, and intended to let to a new tenant.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All these actions demonstrate the respondent had a continuous intention to return to the property.</w:t>
      </w:r>
      <w:r w:rsidRPr="008F34C2">
        <w:rPr>
          <w:rFonts w:ascii="Times New Roman" w:hAnsi="Times New Roman" w:cs="Times New Roman"/>
          <w:bCs/>
          <w:sz w:val="28"/>
          <w:szCs w:val="28"/>
          <w:vertAlign w:val="superscript"/>
        </w:rPr>
        <w:footnoteReference w:id="15"/>
      </w:r>
      <w:r w:rsidRPr="008F34C2">
        <w:rPr>
          <w:rFonts w:ascii="Times New Roman" w:hAnsi="Times New Roman" w:cs="Times New Roman"/>
          <w:bCs/>
          <w:sz w:val="28"/>
          <w:szCs w:val="28"/>
        </w:rPr>
        <w:t xml:space="preserv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The Respondent further asserts that it would be contrary to the respondent’s reasonable expectations if the policy held with the applicant did not cover his fire loss.</w:t>
      </w:r>
    </w:p>
    <w:p w14:paraId="334C8134" w14:textId="77777777" w:rsidR="008F34C2" w:rsidRPr="008F34C2" w:rsidRDefault="008F34C2" w:rsidP="00436B8D">
      <w:pPr>
        <w:pStyle w:val="ListParagraph"/>
        <w:spacing w:after="0" w:line="240" w:lineRule="auto"/>
        <w:ind w:left="0"/>
        <w:jc w:val="both"/>
        <w:rPr>
          <w:rFonts w:ascii="Times New Roman" w:hAnsi="Times New Roman" w:cs="Times New Roman"/>
          <w:bCs/>
          <w:sz w:val="28"/>
          <w:szCs w:val="28"/>
        </w:rPr>
      </w:pPr>
    </w:p>
    <w:p w14:paraId="1905840E" w14:textId="7ACA0D95"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Whether the property was vacant per the policy definition and whether it was vacant per the policy’s exclusions are different questions.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At this juncture, the narrow question of whether the property was “vacant” per the policy definition must be answered in the affirmative.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respondent evicted a tenant who left the property on or about August 31, 2015.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decisions relied upon by the respondent involve the court seeking to define vacancy, often resulting in a distinction being drawn between vacant and unoccupied for purposes of policy interpretation.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In my view, these decisions are distinguishable in that they do not deal with policies that define the term “vacant”, unlike the present matter where the term is clearly defined.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That the respondent was seeking a new tenant and planning renovations does not change that these facts align with the policy definition of vacant in that “all occupants have moved out with no intention of returning and no new occupant has taken up residence.” </w:t>
      </w:r>
      <w:r w:rsidR="00436B8D">
        <w:rPr>
          <w:rFonts w:ascii="Times New Roman" w:hAnsi="Times New Roman" w:cs="Times New Roman"/>
          <w:bCs/>
          <w:sz w:val="28"/>
          <w:szCs w:val="28"/>
        </w:rPr>
        <w:t xml:space="preserve"> </w:t>
      </w:r>
      <w:r w:rsidRPr="008F34C2">
        <w:rPr>
          <w:rFonts w:ascii="Times New Roman" w:hAnsi="Times New Roman" w:cs="Times New Roman"/>
          <w:bCs/>
          <w:sz w:val="28"/>
          <w:szCs w:val="28"/>
        </w:rPr>
        <w:t>Thus, the property was “vacant”.</w:t>
      </w:r>
    </w:p>
    <w:p w14:paraId="7B4B5724" w14:textId="77777777" w:rsidR="00436B8D" w:rsidRPr="008F34C2" w:rsidRDefault="00436B8D" w:rsidP="00436B8D">
      <w:pPr>
        <w:pStyle w:val="ListParagraph"/>
        <w:spacing w:after="0" w:line="240" w:lineRule="auto"/>
        <w:ind w:left="0"/>
        <w:jc w:val="both"/>
        <w:rPr>
          <w:rFonts w:ascii="Times New Roman" w:hAnsi="Times New Roman" w:cs="Times New Roman"/>
          <w:bCs/>
          <w:sz w:val="28"/>
          <w:szCs w:val="28"/>
        </w:rPr>
      </w:pPr>
    </w:p>
    <w:p w14:paraId="57FA4A4F" w14:textId="5ACC8FED" w:rsidR="008F34C2" w:rsidRPr="008F34C2" w:rsidRDefault="008F34C2" w:rsidP="00436B8D">
      <w:pPr>
        <w:pStyle w:val="ListParagraph"/>
        <w:ind w:left="0"/>
        <w:contextualSpacing w:val="0"/>
        <w:jc w:val="both"/>
        <w:rPr>
          <w:rFonts w:ascii="Times New Roman" w:hAnsi="Times New Roman" w:cs="Times New Roman"/>
          <w:b/>
          <w:sz w:val="28"/>
          <w:szCs w:val="28"/>
          <w:u w:val="single"/>
        </w:rPr>
      </w:pPr>
      <w:r w:rsidRPr="008F34C2">
        <w:rPr>
          <w:rFonts w:ascii="Times New Roman" w:hAnsi="Times New Roman" w:cs="Times New Roman"/>
          <w:b/>
          <w:sz w:val="28"/>
          <w:szCs w:val="28"/>
        </w:rPr>
        <w:t xml:space="preserve">Issue 4 </w:t>
      </w:r>
      <w:r w:rsidRPr="008F34C2">
        <w:rPr>
          <w:rFonts w:ascii="Times New Roman" w:hAnsi="Times New Roman" w:cs="Times New Roman"/>
          <w:b/>
          <w:sz w:val="28"/>
          <w:szCs w:val="28"/>
        </w:rPr>
        <w:tab/>
      </w:r>
      <w:r w:rsidRPr="008F34C2">
        <w:rPr>
          <w:rFonts w:ascii="Times New Roman" w:hAnsi="Times New Roman" w:cs="Times New Roman"/>
          <w:b/>
          <w:sz w:val="28"/>
          <w:szCs w:val="28"/>
          <w:u w:val="single"/>
        </w:rPr>
        <w:t xml:space="preserve">Whether the respondent’s losses are excluded from </w:t>
      </w:r>
      <w:proofErr w:type="gramStart"/>
      <w:r w:rsidRPr="008F34C2">
        <w:rPr>
          <w:rFonts w:ascii="Times New Roman" w:hAnsi="Times New Roman" w:cs="Times New Roman"/>
          <w:b/>
          <w:sz w:val="28"/>
          <w:szCs w:val="28"/>
          <w:u w:val="single"/>
        </w:rPr>
        <w:t>coverage</w:t>
      </w:r>
      <w:proofErr w:type="gramEnd"/>
    </w:p>
    <w:p w14:paraId="3801928A" w14:textId="77777777"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The Applicant submits that the Respondent is excluded from entitlement to coverage by virtue of the Policy’s exclusions relating to loss or damage that is: </w:t>
      </w:r>
    </w:p>
    <w:p w14:paraId="2D019EDE" w14:textId="77777777" w:rsidR="00436B8D" w:rsidRPr="008F34C2" w:rsidRDefault="00436B8D" w:rsidP="00436B8D">
      <w:pPr>
        <w:pStyle w:val="ListParagraph"/>
        <w:spacing w:after="0" w:line="240" w:lineRule="auto"/>
        <w:ind w:left="0"/>
        <w:jc w:val="both"/>
        <w:rPr>
          <w:rFonts w:ascii="Times New Roman" w:hAnsi="Times New Roman" w:cs="Times New Roman"/>
          <w:bCs/>
          <w:sz w:val="28"/>
          <w:szCs w:val="28"/>
        </w:rPr>
      </w:pPr>
    </w:p>
    <w:p w14:paraId="2836AE09" w14:textId="77777777" w:rsidR="0079709E" w:rsidRPr="00436750" w:rsidRDefault="008F34C2" w:rsidP="00436750">
      <w:pPr>
        <w:pStyle w:val="ListParagraph"/>
        <w:numPr>
          <w:ilvl w:val="0"/>
          <w:numId w:val="29"/>
        </w:numPr>
        <w:spacing w:after="0" w:line="240" w:lineRule="auto"/>
        <w:ind w:left="924" w:right="567" w:hanging="357"/>
        <w:jc w:val="both"/>
        <w:rPr>
          <w:rFonts w:ascii="Times New Roman" w:hAnsi="Times New Roman" w:cs="Times New Roman"/>
          <w:bCs/>
          <w:sz w:val="24"/>
          <w:szCs w:val="24"/>
        </w:rPr>
      </w:pPr>
      <w:bookmarkStart w:id="1" w:name="_Hlk150095766"/>
      <w:r w:rsidRPr="00436750">
        <w:rPr>
          <w:rFonts w:ascii="Times New Roman" w:hAnsi="Times New Roman" w:cs="Times New Roman"/>
          <w:bCs/>
          <w:sz w:val="24"/>
          <w:szCs w:val="24"/>
        </w:rPr>
        <w:t xml:space="preserve">occurring after your dwelling has, to your knowledge, been vacant for more than 30 consecutive </w:t>
      </w:r>
      <w:proofErr w:type="gramStart"/>
      <w:r w:rsidRPr="00436750">
        <w:rPr>
          <w:rFonts w:ascii="Times New Roman" w:hAnsi="Times New Roman" w:cs="Times New Roman"/>
          <w:bCs/>
          <w:sz w:val="24"/>
          <w:szCs w:val="24"/>
        </w:rPr>
        <w:t>days;</w:t>
      </w:r>
      <w:bookmarkEnd w:id="1"/>
      <w:proofErr w:type="gramEnd"/>
    </w:p>
    <w:p w14:paraId="7F367D39" w14:textId="4F526D44" w:rsidR="008F34C2" w:rsidRPr="00436750" w:rsidRDefault="008F34C2" w:rsidP="00436750">
      <w:pPr>
        <w:pStyle w:val="ListParagraph"/>
        <w:numPr>
          <w:ilvl w:val="0"/>
          <w:numId w:val="29"/>
        </w:numPr>
        <w:spacing w:after="0" w:line="240" w:lineRule="auto"/>
        <w:ind w:left="924" w:right="567" w:hanging="357"/>
        <w:jc w:val="both"/>
        <w:rPr>
          <w:rFonts w:ascii="Times New Roman" w:hAnsi="Times New Roman" w:cs="Times New Roman"/>
          <w:bCs/>
          <w:sz w:val="24"/>
          <w:szCs w:val="24"/>
        </w:rPr>
      </w:pPr>
      <w:r w:rsidRPr="00436750">
        <w:rPr>
          <w:rFonts w:ascii="Times New Roman" w:hAnsi="Times New Roman" w:cs="Times New Roman"/>
          <w:bCs/>
          <w:sz w:val="24"/>
          <w:szCs w:val="24"/>
        </w:rPr>
        <w:lastRenderedPageBreak/>
        <w:t>caused by vandalism or malicious acts or glass breakage occurring while your dwelling is under construction or vacant even if permission for construction or vacancy has been given by us.</w:t>
      </w:r>
    </w:p>
    <w:p w14:paraId="686EE84B" w14:textId="77777777" w:rsidR="008F34C2" w:rsidRPr="008F34C2" w:rsidRDefault="008F34C2" w:rsidP="00436B8D">
      <w:pPr>
        <w:pStyle w:val="ListParagraph"/>
        <w:spacing w:after="0" w:line="240" w:lineRule="auto"/>
        <w:ind w:left="0"/>
        <w:jc w:val="both"/>
        <w:rPr>
          <w:rFonts w:ascii="Times New Roman" w:hAnsi="Times New Roman" w:cs="Times New Roman"/>
          <w:bCs/>
          <w:sz w:val="28"/>
          <w:szCs w:val="28"/>
        </w:rPr>
      </w:pPr>
    </w:p>
    <w:p w14:paraId="01D2775E" w14:textId="77777777"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To engage this exclusion, there are two distinct requirements to consider: </w:t>
      </w:r>
    </w:p>
    <w:p w14:paraId="5E199258" w14:textId="77777777" w:rsidR="00436B8D" w:rsidRPr="008F34C2" w:rsidRDefault="00436B8D" w:rsidP="00436B8D">
      <w:pPr>
        <w:pStyle w:val="ListParagraph"/>
        <w:spacing w:after="0" w:line="240" w:lineRule="auto"/>
        <w:ind w:left="0"/>
        <w:jc w:val="both"/>
        <w:rPr>
          <w:rFonts w:ascii="Times New Roman" w:hAnsi="Times New Roman" w:cs="Times New Roman"/>
          <w:bCs/>
          <w:sz w:val="28"/>
          <w:szCs w:val="28"/>
        </w:rPr>
      </w:pPr>
    </w:p>
    <w:p w14:paraId="0239F6C4" w14:textId="1471D685" w:rsidR="008F34C2" w:rsidRPr="008F34C2" w:rsidRDefault="008F34C2" w:rsidP="00090857">
      <w:pPr>
        <w:pStyle w:val="ListParagraph"/>
        <w:numPr>
          <w:ilvl w:val="0"/>
          <w:numId w:val="25"/>
        </w:numPr>
        <w:spacing w:after="0"/>
        <w:jc w:val="both"/>
        <w:rPr>
          <w:rFonts w:ascii="Times New Roman" w:hAnsi="Times New Roman" w:cs="Times New Roman"/>
          <w:bCs/>
          <w:sz w:val="28"/>
          <w:szCs w:val="28"/>
        </w:rPr>
      </w:pPr>
      <w:r w:rsidRPr="008F34C2">
        <w:rPr>
          <w:rFonts w:ascii="Times New Roman" w:hAnsi="Times New Roman" w:cs="Times New Roman"/>
          <w:bCs/>
          <w:sz w:val="28"/>
          <w:szCs w:val="28"/>
        </w:rPr>
        <w:t xml:space="preserve">the acts occurred while the dwelling was vacant; and </w:t>
      </w:r>
    </w:p>
    <w:p w14:paraId="04BC77BA" w14:textId="2BD94B07" w:rsidR="008F34C2" w:rsidRPr="008F34C2" w:rsidRDefault="00436B8D" w:rsidP="00090857">
      <w:pPr>
        <w:pStyle w:val="ListParagraph"/>
        <w:numPr>
          <w:ilvl w:val="0"/>
          <w:numId w:val="25"/>
        </w:numPr>
        <w:spacing w:after="0"/>
        <w:jc w:val="both"/>
        <w:rPr>
          <w:rFonts w:ascii="Times New Roman" w:hAnsi="Times New Roman" w:cs="Times New Roman"/>
          <w:bCs/>
          <w:sz w:val="28"/>
          <w:szCs w:val="28"/>
        </w:rPr>
      </w:pPr>
      <w:r>
        <w:rPr>
          <w:rFonts w:ascii="Times New Roman" w:hAnsi="Times New Roman" w:cs="Times New Roman"/>
          <w:bCs/>
          <w:sz w:val="28"/>
          <w:szCs w:val="28"/>
        </w:rPr>
        <w:t>l</w:t>
      </w:r>
      <w:r w:rsidR="008F34C2" w:rsidRPr="008F34C2">
        <w:rPr>
          <w:rFonts w:ascii="Times New Roman" w:hAnsi="Times New Roman" w:cs="Times New Roman"/>
          <w:bCs/>
          <w:sz w:val="28"/>
          <w:szCs w:val="28"/>
        </w:rPr>
        <w:t>oss or damage caused by vandalism or malicious acts</w:t>
      </w:r>
      <w:r w:rsidR="006C06F6">
        <w:rPr>
          <w:rFonts w:ascii="Times New Roman" w:hAnsi="Times New Roman" w:cs="Times New Roman"/>
          <w:bCs/>
          <w:sz w:val="28"/>
          <w:szCs w:val="28"/>
        </w:rPr>
        <w:t>.</w:t>
      </w:r>
    </w:p>
    <w:p w14:paraId="6CA5B338" w14:textId="77777777" w:rsidR="006C06F6" w:rsidRPr="008F34C2" w:rsidRDefault="006C06F6" w:rsidP="00090857">
      <w:pPr>
        <w:pStyle w:val="ListParagraph"/>
        <w:spacing w:after="0" w:line="240" w:lineRule="auto"/>
        <w:ind w:left="0"/>
        <w:jc w:val="both"/>
        <w:rPr>
          <w:rFonts w:ascii="Times New Roman" w:hAnsi="Times New Roman" w:cs="Times New Roman"/>
          <w:bCs/>
          <w:sz w:val="28"/>
          <w:szCs w:val="28"/>
          <w:u w:val="single"/>
        </w:rPr>
      </w:pPr>
    </w:p>
    <w:p w14:paraId="2618A785" w14:textId="77777777" w:rsidR="008F34C2" w:rsidRPr="008F34C2" w:rsidRDefault="008F34C2" w:rsidP="00090857">
      <w:pPr>
        <w:pStyle w:val="ListParagraph"/>
        <w:spacing w:line="240" w:lineRule="auto"/>
        <w:ind w:left="0"/>
        <w:jc w:val="both"/>
        <w:rPr>
          <w:rFonts w:ascii="Times New Roman" w:hAnsi="Times New Roman" w:cs="Times New Roman"/>
          <w:bCs/>
          <w:sz w:val="28"/>
          <w:szCs w:val="28"/>
          <w:u w:val="single"/>
        </w:rPr>
      </w:pPr>
      <w:r w:rsidRPr="008F34C2">
        <w:rPr>
          <w:rFonts w:ascii="Times New Roman" w:hAnsi="Times New Roman" w:cs="Times New Roman"/>
          <w:bCs/>
          <w:sz w:val="28"/>
          <w:szCs w:val="28"/>
          <w:u w:val="single"/>
        </w:rPr>
        <w:t xml:space="preserve">The First Exclusion - Whether the property was vacant for 30 consecutive </w:t>
      </w:r>
      <w:proofErr w:type="gramStart"/>
      <w:r w:rsidRPr="008F34C2">
        <w:rPr>
          <w:rFonts w:ascii="Times New Roman" w:hAnsi="Times New Roman" w:cs="Times New Roman"/>
          <w:bCs/>
          <w:sz w:val="28"/>
          <w:szCs w:val="28"/>
          <w:u w:val="single"/>
        </w:rPr>
        <w:t>days</w:t>
      </w:r>
      <w:proofErr w:type="gramEnd"/>
    </w:p>
    <w:p w14:paraId="1ADF67D8" w14:textId="4C655132" w:rsidR="008F34C2" w:rsidRPr="008F34C2" w:rsidRDefault="008F34C2" w:rsidP="00090857">
      <w:pPr>
        <w:pStyle w:val="ListParagraph"/>
        <w:spacing w:after="0" w:line="240" w:lineRule="auto"/>
        <w:ind w:left="0"/>
        <w:jc w:val="both"/>
        <w:rPr>
          <w:rFonts w:ascii="Times New Roman" w:hAnsi="Times New Roman" w:cs="Times New Roman"/>
          <w:bCs/>
          <w:i/>
          <w:iCs/>
          <w:sz w:val="28"/>
          <w:szCs w:val="28"/>
          <w:u w:val="single"/>
        </w:rPr>
      </w:pPr>
    </w:p>
    <w:p w14:paraId="079F8ABC" w14:textId="77777777"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The first exclusion applies if the loss is: </w:t>
      </w:r>
    </w:p>
    <w:p w14:paraId="50509E33" w14:textId="77777777" w:rsidR="00090857" w:rsidRPr="008F34C2" w:rsidRDefault="00090857" w:rsidP="00090857">
      <w:pPr>
        <w:pStyle w:val="ListParagraph"/>
        <w:spacing w:after="0" w:line="240" w:lineRule="auto"/>
        <w:ind w:left="0"/>
        <w:jc w:val="both"/>
        <w:rPr>
          <w:rFonts w:ascii="Times New Roman" w:hAnsi="Times New Roman" w:cs="Times New Roman"/>
          <w:bCs/>
          <w:sz w:val="28"/>
          <w:szCs w:val="28"/>
        </w:rPr>
      </w:pPr>
    </w:p>
    <w:p w14:paraId="0E9A09CB" w14:textId="77777777" w:rsidR="008F34C2" w:rsidRPr="008F34C2" w:rsidRDefault="008F34C2" w:rsidP="00090857">
      <w:pPr>
        <w:pStyle w:val="ListParagraph"/>
        <w:spacing w:after="0" w:line="240" w:lineRule="auto"/>
        <w:ind w:left="567" w:right="567"/>
        <w:jc w:val="both"/>
        <w:rPr>
          <w:rFonts w:ascii="Times New Roman" w:hAnsi="Times New Roman" w:cs="Times New Roman"/>
          <w:bCs/>
          <w:i/>
          <w:iCs/>
          <w:sz w:val="28"/>
          <w:szCs w:val="28"/>
        </w:rPr>
      </w:pPr>
      <w:r w:rsidRPr="008F34C2">
        <w:rPr>
          <w:rFonts w:ascii="Times New Roman" w:hAnsi="Times New Roman" w:cs="Times New Roman"/>
          <w:bCs/>
          <w:i/>
          <w:iCs/>
          <w:sz w:val="28"/>
          <w:szCs w:val="28"/>
        </w:rPr>
        <w:t xml:space="preserve">occurring after your dwelling has, to your knowledge, been vacant for more than 30 consecutive </w:t>
      </w:r>
      <w:proofErr w:type="gramStart"/>
      <w:r w:rsidRPr="008F34C2">
        <w:rPr>
          <w:rFonts w:ascii="Times New Roman" w:hAnsi="Times New Roman" w:cs="Times New Roman"/>
          <w:bCs/>
          <w:i/>
          <w:iCs/>
          <w:sz w:val="28"/>
          <w:szCs w:val="28"/>
        </w:rPr>
        <w:t>days</w:t>
      </w:r>
      <w:proofErr w:type="gramEnd"/>
    </w:p>
    <w:p w14:paraId="46766CC3" w14:textId="77777777" w:rsidR="008F34C2" w:rsidRPr="008F34C2" w:rsidRDefault="008F34C2" w:rsidP="00090857">
      <w:pPr>
        <w:pStyle w:val="ListParagraph"/>
        <w:spacing w:after="0" w:line="240" w:lineRule="auto"/>
        <w:ind w:left="0"/>
        <w:contextualSpacing w:val="0"/>
        <w:jc w:val="both"/>
        <w:rPr>
          <w:rFonts w:ascii="Times New Roman" w:hAnsi="Times New Roman" w:cs="Times New Roman"/>
          <w:bCs/>
          <w:sz w:val="28"/>
          <w:szCs w:val="28"/>
        </w:rPr>
      </w:pPr>
    </w:p>
    <w:p w14:paraId="483761A3" w14:textId="71413AE9" w:rsidR="008F34C2" w:rsidRPr="008F34C2" w:rsidRDefault="008F34C2" w:rsidP="00BE41F7">
      <w:pPr>
        <w:pStyle w:val="ListParagraph"/>
        <w:numPr>
          <w:ilvl w:val="0"/>
          <w:numId w:val="10"/>
        </w:numPr>
        <w:spacing w:after="0" w:line="240" w:lineRule="auto"/>
        <w:contextualSpacing w:val="0"/>
        <w:jc w:val="both"/>
        <w:rPr>
          <w:rFonts w:ascii="Times New Roman" w:hAnsi="Times New Roman" w:cs="Times New Roman"/>
          <w:bCs/>
          <w:sz w:val="28"/>
          <w:szCs w:val="28"/>
        </w:rPr>
      </w:pPr>
      <w:r w:rsidRPr="008F34C2">
        <w:rPr>
          <w:rFonts w:ascii="Times New Roman" w:hAnsi="Times New Roman" w:cs="Times New Roman"/>
          <w:bCs/>
          <w:sz w:val="28"/>
          <w:szCs w:val="28"/>
        </w:rPr>
        <w:t>There are two different types of vacancy in the policy, one which applies to vacancy generally, discussed above, and another type of vacancy exclusion which is contingent on a temporal condition of 30 days.</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 This latter exclusion is not satisfied here.</w:t>
      </w:r>
      <w:r w:rsidRPr="008F34C2">
        <w:rPr>
          <w:rFonts w:ascii="Times New Roman" w:hAnsi="Times New Roman" w:cs="Times New Roman"/>
          <w:bCs/>
          <w:sz w:val="28"/>
          <w:szCs w:val="28"/>
          <w:vertAlign w:val="superscript"/>
        </w:rPr>
        <w:footnoteReference w:id="16"/>
      </w:r>
      <w:r w:rsidRPr="008F34C2">
        <w:rPr>
          <w:rFonts w:ascii="Times New Roman" w:hAnsi="Times New Roman" w:cs="Times New Roman"/>
          <w:bCs/>
          <w:sz w:val="28"/>
          <w:szCs w:val="28"/>
        </w:rPr>
        <w:t xml:space="preserve"> </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30-day condition was not met. </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The respondent’s tenant moved out of the property on August 30, 2015.</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 The fire occurred on September 19, 2015, well within the 30-day threshold for coverage. </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As a result, the first exclusion, namely that the loss occur after the dwelling has been vacant for </w:t>
      </w:r>
      <w:r w:rsidRPr="008F34C2">
        <w:rPr>
          <w:rFonts w:ascii="Times New Roman" w:hAnsi="Times New Roman" w:cs="Times New Roman"/>
          <w:bCs/>
          <w:sz w:val="28"/>
          <w:szCs w:val="28"/>
          <w:u w:val="single"/>
        </w:rPr>
        <w:t>more than 30 consecutive days</w:t>
      </w:r>
      <w:r w:rsidRPr="008F34C2">
        <w:rPr>
          <w:rFonts w:ascii="Times New Roman" w:hAnsi="Times New Roman" w:cs="Times New Roman"/>
          <w:bCs/>
          <w:sz w:val="28"/>
          <w:szCs w:val="28"/>
        </w:rPr>
        <w:t xml:space="preserve">, does not apply. </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type of “vacancy” wholly contingent on the policy definition that does not have a temporal element is relevant to the second exclusion, discussed below. </w:t>
      </w:r>
    </w:p>
    <w:p w14:paraId="0FA97A2B" w14:textId="77777777" w:rsidR="008F34C2" w:rsidRPr="008F34C2" w:rsidRDefault="008F34C2" w:rsidP="00090857">
      <w:pPr>
        <w:pStyle w:val="ListParagraph"/>
        <w:spacing w:after="0" w:line="240" w:lineRule="auto"/>
        <w:ind w:left="0"/>
        <w:contextualSpacing w:val="0"/>
        <w:jc w:val="both"/>
        <w:rPr>
          <w:rFonts w:ascii="Times New Roman" w:hAnsi="Times New Roman" w:cs="Times New Roman"/>
          <w:bCs/>
          <w:sz w:val="28"/>
          <w:szCs w:val="28"/>
        </w:rPr>
      </w:pPr>
    </w:p>
    <w:p w14:paraId="73C06FD3" w14:textId="77777777" w:rsidR="008F34C2" w:rsidRPr="008F34C2" w:rsidRDefault="008F34C2" w:rsidP="00090857">
      <w:pPr>
        <w:pStyle w:val="ListParagraph"/>
        <w:spacing w:line="240" w:lineRule="auto"/>
        <w:ind w:left="0"/>
        <w:jc w:val="both"/>
        <w:rPr>
          <w:rFonts w:ascii="Times New Roman" w:hAnsi="Times New Roman" w:cs="Times New Roman"/>
          <w:bCs/>
          <w:sz w:val="28"/>
          <w:szCs w:val="28"/>
          <w:u w:val="single"/>
        </w:rPr>
      </w:pPr>
      <w:r w:rsidRPr="008F34C2">
        <w:rPr>
          <w:rFonts w:ascii="Times New Roman" w:hAnsi="Times New Roman" w:cs="Times New Roman"/>
          <w:bCs/>
          <w:sz w:val="28"/>
          <w:szCs w:val="28"/>
          <w:u w:val="single"/>
        </w:rPr>
        <w:t>The Second Exclusion - Did the loss occur as the result of vandalism or malicious acts?</w:t>
      </w:r>
    </w:p>
    <w:p w14:paraId="388EF84D" w14:textId="77777777" w:rsidR="008F34C2" w:rsidRPr="008F34C2" w:rsidRDefault="008F34C2" w:rsidP="00090857">
      <w:pPr>
        <w:pStyle w:val="ListParagraph"/>
        <w:spacing w:after="0"/>
        <w:ind w:left="0"/>
        <w:jc w:val="both"/>
        <w:rPr>
          <w:rFonts w:ascii="Times New Roman" w:hAnsi="Times New Roman" w:cs="Times New Roman"/>
          <w:bCs/>
          <w:sz w:val="28"/>
          <w:szCs w:val="28"/>
          <w:u w:val="single"/>
        </w:rPr>
      </w:pPr>
    </w:p>
    <w:p w14:paraId="5FD8652F" w14:textId="77777777" w:rsidR="008F34C2" w:rsidRDefault="008F34C2" w:rsidP="00BE41F7">
      <w:pPr>
        <w:pStyle w:val="ListParagraph"/>
        <w:numPr>
          <w:ilvl w:val="0"/>
          <w:numId w:val="10"/>
        </w:numPr>
        <w:spacing w:after="0"/>
        <w:jc w:val="both"/>
        <w:rPr>
          <w:rFonts w:ascii="Times New Roman" w:hAnsi="Times New Roman" w:cs="Times New Roman"/>
          <w:bCs/>
          <w:sz w:val="28"/>
          <w:szCs w:val="28"/>
        </w:rPr>
      </w:pPr>
      <w:r w:rsidRPr="008F34C2">
        <w:rPr>
          <w:rFonts w:ascii="Times New Roman" w:hAnsi="Times New Roman" w:cs="Times New Roman"/>
          <w:bCs/>
          <w:sz w:val="28"/>
          <w:szCs w:val="28"/>
        </w:rPr>
        <w:t xml:space="preserve">The second exclusion applies if the loss is: </w:t>
      </w:r>
    </w:p>
    <w:p w14:paraId="6DED5588" w14:textId="77777777" w:rsidR="00090857" w:rsidRPr="008F34C2" w:rsidRDefault="00090857" w:rsidP="00090857">
      <w:pPr>
        <w:pStyle w:val="ListParagraph"/>
        <w:spacing w:after="0"/>
        <w:ind w:left="0"/>
        <w:jc w:val="both"/>
        <w:rPr>
          <w:rFonts w:ascii="Times New Roman" w:hAnsi="Times New Roman" w:cs="Times New Roman"/>
          <w:bCs/>
          <w:sz w:val="28"/>
          <w:szCs w:val="28"/>
        </w:rPr>
      </w:pPr>
    </w:p>
    <w:p w14:paraId="0BAE934B" w14:textId="77777777" w:rsidR="008F34C2" w:rsidRPr="008F34C2" w:rsidRDefault="008F34C2" w:rsidP="00090857">
      <w:pPr>
        <w:pStyle w:val="ListParagraph"/>
        <w:spacing w:after="0"/>
        <w:ind w:left="567" w:right="567"/>
        <w:jc w:val="both"/>
        <w:rPr>
          <w:rFonts w:ascii="Times New Roman" w:hAnsi="Times New Roman" w:cs="Times New Roman"/>
          <w:bCs/>
          <w:i/>
          <w:iCs/>
          <w:sz w:val="24"/>
          <w:szCs w:val="24"/>
        </w:rPr>
      </w:pPr>
      <w:r w:rsidRPr="008F34C2">
        <w:rPr>
          <w:rFonts w:ascii="Times New Roman" w:hAnsi="Times New Roman" w:cs="Times New Roman"/>
          <w:bCs/>
          <w:i/>
          <w:iCs/>
          <w:sz w:val="24"/>
          <w:szCs w:val="24"/>
        </w:rPr>
        <w:t>caused by vandalism or malicious acts or glass breakage occurring while your dwelling is under construction or vacant even if permission for construction or vacancy has been given by us.</w:t>
      </w:r>
    </w:p>
    <w:p w14:paraId="43556835" w14:textId="77777777" w:rsidR="008F34C2" w:rsidRPr="008F34C2" w:rsidRDefault="008F34C2" w:rsidP="00090857">
      <w:pPr>
        <w:pStyle w:val="ListParagraph"/>
        <w:spacing w:after="0"/>
        <w:ind w:left="0"/>
        <w:jc w:val="both"/>
        <w:rPr>
          <w:rFonts w:ascii="Times New Roman" w:hAnsi="Times New Roman" w:cs="Times New Roman"/>
          <w:bCs/>
          <w:i/>
          <w:iCs/>
          <w:sz w:val="28"/>
          <w:szCs w:val="28"/>
        </w:rPr>
      </w:pPr>
    </w:p>
    <w:p w14:paraId="3E8B896D" w14:textId="6DBD14A1"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Unlike the meaning of vacancy being temporally restricted by the 30-day stipulation in the first exclusion the Applicant, as noted above, asserts that this </w:t>
      </w:r>
      <w:r w:rsidRPr="008F34C2">
        <w:rPr>
          <w:rFonts w:ascii="Times New Roman" w:hAnsi="Times New Roman" w:cs="Times New Roman"/>
          <w:bCs/>
          <w:sz w:val="28"/>
          <w:szCs w:val="28"/>
        </w:rPr>
        <w:lastRenderedPageBreak/>
        <w:t xml:space="preserve">exclusion has no temporal restriction. </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All that is required is that the vandalism or malicious acts occurred while the property was vacant. </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Applicant asserts that most of the Policy’s coverages remain in force despite a vacancy for up to 30 days, for certain limited risks there is no 30-day grace period. </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Those risks do not attract coverage once the property is vacant, regardless of the duration of the vacancy. </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The Applicant alleges this is a reasonable limitation on coverage, as the types of losses most likely to occur once a property is vacant do not attract coverage.</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 Further, as the policy excludes coverage for these types of losses even if permission for vacancy has been granted by the Applicant, the Policy demonstrates a clear intent to not provide coverage for a property that is subject to vandalism and/or malicious act whilst “vacant” as per the Policy’s definition. </w:t>
      </w:r>
    </w:p>
    <w:p w14:paraId="26CDB55C" w14:textId="77777777" w:rsidR="00090857" w:rsidRPr="008F34C2" w:rsidRDefault="00090857" w:rsidP="00090857">
      <w:pPr>
        <w:pStyle w:val="ListParagraph"/>
        <w:spacing w:after="0" w:line="240" w:lineRule="auto"/>
        <w:ind w:left="0"/>
        <w:jc w:val="both"/>
        <w:rPr>
          <w:rFonts w:ascii="Times New Roman" w:hAnsi="Times New Roman" w:cs="Times New Roman"/>
          <w:bCs/>
          <w:sz w:val="28"/>
          <w:szCs w:val="28"/>
        </w:rPr>
      </w:pPr>
    </w:p>
    <w:p w14:paraId="0A240214" w14:textId="3CB36097"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The only report on the fire before the court is the report prepared by Jensen Hughes Consulting. </w:t>
      </w:r>
      <w:r w:rsidR="00090857">
        <w:rPr>
          <w:rFonts w:ascii="Times New Roman" w:hAnsi="Times New Roman" w:cs="Times New Roman"/>
          <w:bCs/>
          <w:sz w:val="28"/>
          <w:szCs w:val="28"/>
        </w:rPr>
        <w:t xml:space="preserve"> </w:t>
      </w:r>
      <w:r w:rsidRPr="008F34C2">
        <w:rPr>
          <w:rFonts w:ascii="Times New Roman" w:hAnsi="Times New Roman" w:cs="Times New Roman"/>
          <w:bCs/>
          <w:sz w:val="28"/>
          <w:szCs w:val="28"/>
        </w:rPr>
        <w:t>The applicant asserts the report concludes that the fire had an incendiary origin, stating:</w:t>
      </w:r>
    </w:p>
    <w:p w14:paraId="713677D6" w14:textId="77777777" w:rsidR="00090857" w:rsidRPr="008F34C2" w:rsidRDefault="00090857" w:rsidP="00090857">
      <w:pPr>
        <w:pStyle w:val="ListParagraph"/>
        <w:spacing w:after="0" w:line="240" w:lineRule="auto"/>
        <w:ind w:left="0"/>
        <w:jc w:val="both"/>
        <w:rPr>
          <w:rFonts w:ascii="Times New Roman" w:hAnsi="Times New Roman" w:cs="Times New Roman"/>
          <w:bCs/>
          <w:sz w:val="28"/>
          <w:szCs w:val="28"/>
        </w:rPr>
      </w:pPr>
    </w:p>
    <w:p w14:paraId="227066D3" w14:textId="77777777" w:rsidR="008F34C2" w:rsidRPr="008F34C2" w:rsidRDefault="008F34C2" w:rsidP="00FE7355">
      <w:pPr>
        <w:pStyle w:val="ListParagraph"/>
        <w:spacing w:after="0" w:line="240" w:lineRule="auto"/>
        <w:ind w:left="567" w:right="567"/>
        <w:jc w:val="both"/>
        <w:rPr>
          <w:rFonts w:ascii="Times New Roman" w:hAnsi="Times New Roman" w:cs="Times New Roman"/>
          <w:bCs/>
          <w:sz w:val="24"/>
          <w:szCs w:val="24"/>
        </w:rPr>
      </w:pPr>
      <w:r w:rsidRPr="008F34C2">
        <w:rPr>
          <w:rFonts w:ascii="Times New Roman" w:hAnsi="Times New Roman" w:cs="Times New Roman"/>
          <w:bCs/>
          <w:sz w:val="24"/>
          <w:szCs w:val="24"/>
        </w:rPr>
        <w:t>An incendiary fire that is deliberately set with the intent to cause the fire to occur in an area where the fire should not be. This implies an act of deliberation whereby the fire is ignited with an incendiary device.</w:t>
      </w:r>
      <w:r w:rsidRPr="008F34C2">
        <w:rPr>
          <w:rFonts w:ascii="Times New Roman" w:hAnsi="Times New Roman" w:cs="Times New Roman"/>
          <w:bCs/>
          <w:sz w:val="24"/>
          <w:szCs w:val="24"/>
          <w:vertAlign w:val="superscript"/>
        </w:rPr>
        <w:footnoteReference w:id="17"/>
      </w:r>
    </w:p>
    <w:p w14:paraId="4D2570E9" w14:textId="77777777" w:rsidR="008F34C2" w:rsidRPr="008F34C2" w:rsidRDefault="008F34C2" w:rsidP="00090857">
      <w:pPr>
        <w:pStyle w:val="ListParagraph"/>
        <w:spacing w:after="0" w:line="240" w:lineRule="auto"/>
        <w:ind w:left="0"/>
        <w:jc w:val="both"/>
        <w:rPr>
          <w:rFonts w:ascii="Times New Roman" w:hAnsi="Times New Roman" w:cs="Times New Roman"/>
          <w:bCs/>
          <w:sz w:val="28"/>
          <w:szCs w:val="28"/>
        </w:rPr>
      </w:pPr>
    </w:p>
    <w:p w14:paraId="306986B1" w14:textId="40037E79"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The applicant further asserts that since the report is the only evidence before the court, the only conclusion the court can reach is that the fire had an incendiary origin and/or was an act of arson.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Thus, the fire must constitute an act of vandalism or a malicious act per the definition in the policy.</w:t>
      </w:r>
      <w:r w:rsidRPr="008F34C2">
        <w:rPr>
          <w:rFonts w:ascii="Times New Roman" w:hAnsi="Times New Roman" w:cs="Times New Roman"/>
          <w:bCs/>
          <w:sz w:val="28"/>
          <w:szCs w:val="28"/>
          <w:vertAlign w:val="superscript"/>
        </w:rPr>
        <w:footnoteReference w:id="18"/>
      </w:r>
    </w:p>
    <w:p w14:paraId="67BD3D6B" w14:textId="77777777" w:rsidR="00D50FAB" w:rsidRPr="008F34C2" w:rsidRDefault="00D50FAB" w:rsidP="00D50FAB">
      <w:pPr>
        <w:pStyle w:val="ListParagraph"/>
        <w:spacing w:after="0" w:line="240" w:lineRule="auto"/>
        <w:ind w:left="0"/>
        <w:jc w:val="both"/>
        <w:rPr>
          <w:rFonts w:ascii="Times New Roman" w:hAnsi="Times New Roman" w:cs="Times New Roman"/>
          <w:bCs/>
          <w:sz w:val="28"/>
          <w:szCs w:val="28"/>
        </w:rPr>
      </w:pPr>
    </w:p>
    <w:p w14:paraId="5B610B4B" w14:textId="5F8879D6"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The fire was investigated, which yielded a report in which the cause of the fire was never determined.</w:t>
      </w:r>
      <w:r w:rsidRPr="008F34C2">
        <w:rPr>
          <w:rFonts w:ascii="Times New Roman" w:hAnsi="Times New Roman" w:cs="Times New Roman"/>
          <w:bCs/>
          <w:sz w:val="28"/>
          <w:szCs w:val="28"/>
          <w:vertAlign w:val="superscript"/>
        </w:rPr>
        <w:footnoteReference w:id="19"/>
      </w:r>
      <w:r w:rsidRPr="008F34C2">
        <w:rPr>
          <w:rFonts w:ascii="Times New Roman" w:hAnsi="Times New Roman" w:cs="Times New Roman"/>
          <w:bCs/>
          <w:sz w:val="28"/>
          <w:szCs w:val="28"/>
        </w:rPr>
        <w:t xml:space="preserve"> </w:t>
      </w:r>
      <w:bookmarkStart w:id="2" w:name="_Hlk150105629"/>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applicant did not proceed with additional </w:t>
      </w:r>
      <w:bookmarkEnd w:id="2"/>
      <w:r w:rsidRPr="008F34C2">
        <w:rPr>
          <w:rFonts w:ascii="Times New Roman" w:hAnsi="Times New Roman" w:cs="Times New Roman"/>
          <w:bCs/>
          <w:sz w:val="28"/>
          <w:szCs w:val="28"/>
        </w:rPr>
        <w:t>investigation.</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 The fire being the result of an accident could not be ruled out.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The respondent acknowledges several facts in the report are consistent with an incendiary act:</w:t>
      </w:r>
    </w:p>
    <w:p w14:paraId="33B5190E" w14:textId="77777777" w:rsidR="00D50FAB" w:rsidRPr="008F34C2" w:rsidRDefault="00D50FAB" w:rsidP="00D50FAB">
      <w:pPr>
        <w:pStyle w:val="ListParagraph"/>
        <w:spacing w:after="0" w:line="240" w:lineRule="auto"/>
        <w:ind w:left="0"/>
        <w:jc w:val="both"/>
        <w:rPr>
          <w:rFonts w:ascii="Times New Roman" w:hAnsi="Times New Roman" w:cs="Times New Roman"/>
          <w:bCs/>
          <w:sz w:val="28"/>
          <w:szCs w:val="28"/>
        </w:rPr>
      </w:pPr>
    </w:p>
    <w:p w14:paraId="54B47CFE" w14:textId="77777777" w:rsidR="006C06F6" w:rsidRDefault="008F34C2" w:rsidP="006C06F6">
      <w:pPr>
        <w:pStyle w:val="ListParagraph"/>
        <w:numPr>
          <w:ilvl w:val="0"/>
          <w:numId w:val="27"/>
        </w:numPr>
        <w:spacing w:after="0"/>
        <w:jc w:val="both"/>
        <w:rPr>
          <w:rFonts w:ascii="Times New Roman" w:hAnsi="Times New Roman" w:cs="Times New Roman"/>
          <w:bCs/>
          <w:sz w:val="28"/>
          <w:szCs w:val="28"/>
        </w:rPr>
      </w:pPr>
      <w:r w:rsidRPr="008F34C2">
        <w:rPr>
          <w:rFonts w:ascii="Times New Roman" w:hAnsi="Times New Roman" w:cs="Times New Roman"/>
          <w:bCs/>
          <w:sz w:val="28"/>
          <w:szCs w:val="28"/>
        </w:rPr>
        <w:t xml:space="preserve">Removal of </w:t>
      </w:r>
      <w:proofErr w:type="gramStart"/>
      <w:r w:rsidRPr="008F34C2">
        <w:rPr>
          <w:rFonts w:ascii="Times New Roman" w:hAnsi="Times New Roman" w:cs="Times New Roman"/>
          <w:bCs/>
          <w:sz w:val="28"/>
          <w:szCs w:val="28"/>
        </w:rPr>
        <w:t>contents;</w:t>
      </w:r>
      <w:proofErr w:type="gramEnd"/>
    </w:p>
    <w:p w14:paraId="26D2A1B6" w14:textId="77777777" w:rsidR="006C06F6" w:rsidRDefault="008F34C2" w:rsidP="006C06F6">
      <w:pPr>
        <w:pStyle w:val="ListParagraph"/>
        <w:numPr>
          <w:ilvl w:val="0"/>
          <w:numId w:val="27"/>
        </w:numPr>
        <w:spacing w:after="0"/>
        <w:jc w:val="both"/>
        <w:rPr>
          <w:rFonts w:ascii="Times New Roman" w:hAnsi="Times New Roman" w:cs="Times New Roman"/>
          <w:bCs/>
          <w:sz w:val="28"/>
          <w:szCs w:val="28"/>
        </w:rPr>
      </w:pPr>
      <w:r w:rsidRPr="006C06F6">
        <w:rPr>
          <w:rFonts w:ascii="Times New Roman" w:hAnsi="Times New Roman" w:cs="Times New Roman"/>
          <w:bCs/>
          <w:sz w:val="28"/>
          <w:szCs w:val="28"/>
        </w:rPr>
        <w:t xml:space="preserve">The fire originating in remote locations with the view blocked or </w:t>
      </w:r>
      <w:proofErr w:type="gramStart"/>
      <w:r w:rsidRPr="006C06F6">
        <w:rPr>
          <w:rFonts w:ascii="Times New Roman" w:hAnsi="Times New Roman" w:cs="Times New Roman"/>
          <w:bCs/>
          <w:sz w:val="28"/>
          <w:szCs w:val="28"/>
        </w:rPr>
        <w:t>obscured;</w:t>
      </w:r>
      <w:proofErr w:type="gramEnd"/>
    </w:p>
    <w:p w14:paraId="3DC62C8E" w14:textId="77777777" w:rsidR="006C06F6" w:rsidRDefault="008F34C2" w:rsidP="006C06F6">
      <w:pPr>
        <w:pStyle w:val="ListParagraph"/>
        <w:numPr>
          <w:ilvl w:val="0"/>
          <w:numId w:val="27"/>
        </w:numPr>
        <w:spacing w:after="0"/>
        <w:jc w:val="both"/>
        <w:rPr>
          <w:rFonts w:ascii="Times New Roman" w:hAnsi="Times New Roman" w:cs="Times New Roman"/>
          <w:bCs/>
          <w:sz w:val="28"/>
          <w:szCs w:val="28"/>
        </w:rPr>
      </w:pPr>
      <w:r w:rsidRPr="006C06F6">
        <w:rPr>
          <w:rFonts w:ascii="Times New Roman" w:hAnsi="Times New Roman" w:cs="Times New Roman"/>
          <w:bCs/>
          <w:sz w:val="28"/>
          <w:szCs w:val="28"/>
        </w:rPr>
        <w:t>The fire originating near service equipment; and</w:t>
      </w:r>
    </w:p>
    <w:p w14:paraId="3DE28DE3" w14:textId="0EB6012E" w:rsidR="008F34C2" w:rsidRPr="002A5083" w:rsidRDefault="008F34C2" w:rsidP="002A5083">
      <w:pPr>
        <w:pStyle w:val="ListParagraph"/>
        <w:numPr>
          <w:ilvl w:val="0"/>
          <w:numId w:val="27"/>
        </w:numPr>
        <w:spacing w:after="0"/>
        <w:jc w:val="both"/>
        <w:rPr>
          <w:rFonts w:ascii="Times New Roman" w:hAnsi="Times New Roman" w:cs="Times New Roman"/>
          <w:bCs/>
          <w:sz w:val="28"/>
          <w:szCs w:val="28"/>
        </w:rPr>
      </w:pPr>
      <w:r w:rsidRPr="006C06F6">
        <w:rPr>
          <w:rFonts w:ascii="Times New Roman" w:hAnsi="Times New Roman" w:cs="Times New Roman"/>
          <w:bCs/>
          <w:sz w:val="28"/>
          <w:szCs w:val="28"/>
        </w:rPr>
        <w:t>Unsecured windows and doors.</w:t>
      </w:r>
      <w:r w:rsidRPr="008F34C2">
        <w:rPr>
          <w:vertAlign w:val="superscript"/>
        </w:rPr>
        <w:footnoteReference w:id="20"/>
      </w:r>
    </w:p>
    <w:p w14:paraId="376A23E5" w14:textId="3FEFF7F5"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lastRenderedPageBreak/>
        <w:t xml:space="preserve">The respondent, however, asserts that these facts are all equally </w:t>
      </w:r>
      <w:r w:rsidRPr="008F34C2">
        <w:rPr>
          <w:rFonts w:ascii="Times New Roman" w:hAnsi="Times New Roman" w:cs="Times New Roman"/>
          <w:bCs/>
          <w:i/>
          <w:iCs/>
          <w:sz w:val="28"/>
          <w:szCs w:val="28"/>
        </w:rPr>
        <w:t xml:space="preserve">inconsistent </w:t>
      </w:r>
      <w:r w:rsidRPr="008F34C2">
        <w:rPr>
          <w:rFonts w:ascii="Times New Roman" w:hAnsi="Times New Roman" w:cs="Times New Roman"/>
          <w:bCs/>
          <w:sz w:val="28"/>
          <w:szCs w:val="28"/>
        </w:rPr>
        <w:t>with an incendiary act, noting</w:t>
      </w:r>
      <w:r w:rsidR="0056770C">
        <w:rPr>
          <w:rFonts w:ascii="Times New Roman" w:hAnsi="Times New Roman" w:cs="Times New Roman"/>
          <w:bCs/>
          <w:sz w:val="28"/>
          <w:szCs w:val="28"/>
        </w:rPr>
        <w:t xml:space="preserve"> as examples that</w:t>
      </w:r>
      <w:r w:rsidRPr="008F34C2">
        <w:rPr>
          <w:rFonts w:ascii="Times New Roman" w:hAnsi="Times New Roman" w:cs="Times New Roman"/>
          <w:bCs/>
          <w:sz w:val="28"/>
          <w:szCs w:val="28"/>
        </w:rPr>
        <w:t>:</w:t>
      </w:r>
    </w:p>
    <w:p w14:paraId="3C9B6FA9" w14:textId="77777777" w:rsidR="00D50FAB" w:rsidRPr="008F34C2" w:rsidRDefault="00D50FAB" w:rsidP="00D50FAB">
      <w:pPr>
        <w:pStyle w:val="ListParagraph"/>
        <w:spacing w:after="0" w:line="240" w:lineRule="auto"/>
        <w:ind w:left="0"/>
        <w:jc w:val="both"/>
        <w:rPr>
          <w:rFonts w:ascii="Times New Roman" w:hAnsi="Times New Roman" w:cs="Times New Roman"/>
          <w:bCs/>
          <w:sz w:val="28"/>
          <w:szCs w:val="28"/>
        </w:rPr>
      </w:pPr>
    </w:p>
    <w:p w14:paraId="3BBAC7CF" w14:textId="278CC717" w:rsidR="006C06F6" w:rsidRDefault="008F34C2" w:rsidP="006C06F6">
      <w:pPr>
        <w:pStyle w:val="ListParagraph"/>
        <w:numPr>
          <w:ilvl w:val="0"/>
          <w:numId w:val="28"/>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the cover was off the furnace, which made it more likely the furnace is the source of the fire</w:t>
      </w:r>
      <w:r w:rsidR="006C06F6">
        <w:rPr>
          <w:rFonts w:ascii="Times New Roman" w:hAnsi="Times New Roman" w:cs="Times New Roman"/>
          <w:bCs/>
          <w:sz w:val="28"/>
          <w:szCs w:val="28"/>
        </w:rPr>
        <w:t>; and</w:t>
      </w:r>
    </w:p>
    <w:p w14:paraId="762F650B" w14:textId="08839A15" w:rsidR="008F34C2" w:rsidRPr="006C06F6" w:rsidRDefault="008F34C2" w:rsidP="006C06F6">
      <w:pPr>
        <w:pStyle w:val="ListParagraph"/>
        <w:numPr>
          <w:ilvl w:val="0"/>
          <w:numId w:val="28"/>
        </w:numPr>
        <w:spacing w:after="0" w:line="240" w:lineRule="auto"/>
        <w:jc w:val="both"/>
        <w:rPr>
          <w:rFonts w:ascii="Times New Roman" w:hAnsi="Times New Roman" w:cs="Times New Roman"/>
          <w:bCs/>
          <w:sz w:val="28"/>
          <w:szCs w:val="28"/>
        </w:rPr>
      </w:pPr>
      <w:r w:rsidRPr="006C06F6">
        <w:rPr>
          <w:rFonts w:ascii="Times New Roman" w:hAnsi="Times New Roman" w:cs="Times New Roman"/>
          <w:bCs/>
          <w:sz w:val="28"/>
          <w:szCs w:val="28"/>
        </w:rPr>
        <w:t xml:space="preserve">an unsecured door made it more likely that steps could be taken to put out the fire. </w:t>
      </w:r>
    </w:p>
    <w:p w14:paraId="13443EA0" w14:textId="77777777" w:rsidR="008F34C2" w:rsidRPr="008F34C2" w:rsidRDefault="008F34C2" w:rsidP="00D50FAB">
      <w:pPr>
        <w:pStyle w:val="ListParagraph"/>
        <w:spacing w:after="0"/>
        <w:ind w:left="0"/>
        <w:contextualSpacing w:val="0"/>
        <w:jc w:val="both"/>
        <w:rPr>
          <w:rFonts w:ascii="Times New Roman" w:hAnsi="Times New Roman" w:cs="Times New Roman"/>
          <w:bCs/>
          <w:sz w:val="28"/>
          <w:szCs w:val="28"/>
        </w:rPr>
      </w:pPr>
    </w:p>
    <w:p w14:paraId="3C233BB2" w14:textId="2E7A9571" w:rsidR="008F34C2" w:rsidRDefault="001315EC" w:rsidP="00BE41F7">
      <w:pPr>
        <w:pStyle w:val="ListParagraph"/>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w:t>
      </w:r>
      <w:r w:rsidR="008F34C2" w:rsidRPr="008F34C2">
        <w:rPr>
          <w:rFonts w:ascii="Times New Roman" w:hAnsi="Times New Roman" w:cs="Times New Roman"/>
          <w:bCs/>
          <w:sz w:val="28"/>
          <w:szCs w:val="28"/>
        </w:rPr>
        <w:t>hese factors, the respondent asserts, make a fire easier to put out, which is the opposite of what one would expect with an intentional act of arson.</w:t>
      </w:r>
      <w:r w:rsidR="008F34C2" w:rsidRPr="008F34C2">
        <w:rPr>
          <w:rFonts w:ascii="Times New Roman" w:hAnsi="Times New Roman" w:cs="Times New Roman"/>
          <w:bCs/>
          <w:sz w:val="28"/>
          <w:szCs w:val="28"/>
          <w:vertAlign w:val="superscript"/>
        </w:rPr>
        <w:footnoteReference w:id="21"/>
      </w:r>
    </w:p>
    <w:p w14:paraId="3F27D8EB" w14:textId="77777777" w:rsidR="00D50FAB" w:rsidRPr="008F34C2" w:rsidRDefault="00D50FAB" w:rsidP="00D50FAB">
      <w:pPr>
        <w:pStyle w:val="ListParagraph"/>
        <w:spacing w:after="0" w:line="240" w:lineRule="auto"/>
        <w:ind w:left="0"/>
        <w:jc w:val="both"/>
        <w:rPr>
          <w:rFonts w:ascii="Times New Roman" w:hAnsi="Times New Roman" w:cs="Times New Roman"/>
          <w:bCs/>
          <w:sz w:val="28"/>
          <w:szCs w:val="28"/>
        </w:rPr>
      </w:pPr>
    </w:p>
    <w:p w14:paraId="2EB5DEA7" w14:textId="45135B13" w:rsidR="008F34C2" w:rsidRP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The report notes there was no evidence of an ignition source.</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 It also posits two potential ignition sources that do not involve vandalism or malicious act(s)</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In the result, the cause of the fire remains unknown.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In the respondent’s view, any uncertainty should be resolved in favour of the respondent, as the applicant bears the burden of establishing that an exclusion applies.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In the applicant’s view, the lack of explanation for the fire should result in an inference being drawn that it was resultant of malice or vandalism.</w:t>
      </w:r>
    </w:p>
    <w:p w14:paraId="5EEF4146" w14:textId="77777777" w:rsidR="008F34C2" w:rsidRPr="008F34C2" w:rsidRDefault="008F34C2" w:rsidP="00D50FAB">
      <w:pPr>
        <w:pStyle w:val="ListParagraph"/>
        <w:spacing w:after="0" w:line="240" w:lineRule="auto"/>
        <w:ind w:left="0"/>
        <w:jc w:val="both"/>
        <w:rPr>
          <w:rFonts w:ascii="Times New Roman" w:hAnsi="Times New Roman" w:cs="Times New Roman"/>
          <w:bCs/>
          <w:i/>
          <w:iCs/>
          <w:sz w:val="28"/>
          <w:szCs w:val="28"/>
        </w:rPr>
      </w:pPr>
    </w:p>
    <w:p w14:paraId="1BA80C79" w14:textId="421630AB"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A useful discussion of the meaning of “vandalism” and “malicious acts” is found in</w:t>
      </w:r>
      <w:r w:rsidR="00D50FAB">
        <w:rPr>
          <w:rFonts w:ascii="Times New Roman" w:hAnsi="Times New Roman" w:cs="Times New Roman"/>
          <w:bCs/>
          <w:sz w:val="28"/>
          <w:szCs w:val="28"/>
        </w:rPr>
        <w:t xml:space="preserve"> </w:t>
      </w:r>
      <w:r w:rsidRPr="008F34C2">
        <w:rPr>
          <w:rFonts w:ascii="Times New Roman" w:hAnsi="Times New Roman" w:cs="Times New Roman"/>
          <w:bCs/>
          <w:i/>
          <w:iCs/>
          <w:sz w:val="28"/>
          <w:szCs w:val="28"/>
        </w:rPr>
        <w:t>Reliable Distributors Ltd v Royal</w:t>
      </w:r>
      <w:r w:rsidR="00D50FAB">
        <w:rPr>
          <w:rFonts w:ascii="Times New Roman" w:hAnsi="Times New Roman" w:cs="Times New Roman"/>
          <w:bCs/>
          <w:i/>
          <w:iCs/>
          <w:sz w:val="28"/>
          <w:szCs w:val="28"/>
        </w:rPr>
        <w:t xml:space="preserve"> </w:t>
      </w:r>
      <w:r w:rsidRPr="008F34C2">
        <w:rPr>
          <w:rFonts w:ascii="Times New Roman" w:hAnsi="Times New Roman" w:cs="Times New Roman"/>
          <w:bCs/>
          <w:i/>
          <w:iCs/>
          <w:sz w:val="28"/>
          <w:szCs w:val="28"/>
        </w:rPr>
        <w:t>Insurance</w:t>
      </w:r>
      <w:r w:rsidR="00D50FAB">
        <w:rPr>
          <w:rFonts w:ascii="Times New Roman" w:hAnsi="Times New Roman" w:cs="Times New Roman"/>
          <w:bCs/>
          <w:i/>
          <w:iCs/>
          <w:sz w:val="28"/>
          <w:szCs w:val="28"/>
        </w:rPr>
        <w:t xml:space="preserve"> </w:t>
      </w:r>
      <w:r w:rsidRPr="008F34C2">
        <w:rPr>
          <w:rFonts w:ascii="Times New Roman" w:hAnsi="Times New Roman" w:cs="Times New Roman"/>
          <w:bCs/>
          <w:i/>
          <w:iCs/>
          <w:sz w:val="28"/>
          <w:szCs w:val="28"/>
        </w:rPr>
        <w:t>Co of Canada</w:t>
      </w:r>
      <w:r w:rsidRPr="008F34C2">
        <w:rPr>
          <w:rFonts w:ascii="Times New Roman" w:hAnsi="Times New Roman" w:cs="Times New Roman"/>
          <w:bCs/>
          <w:sz w:val="28"/>
          <w:szCs w:val="28"/>
        </w:rPr>
        <w:t>,</w:t>
      </w:r>
      <w:r w:rsidR="00D50FAB">
        <w:rPr>
          <w:rFonts w:ascii="Times New Roman" w:hAnsi="Times New Roman" w:cs="Times New Roman"/>
          <w:bCs/>
          <w:sz w:val="28"/>
          <w:szCs w:val="28"/>
        </w:rPr>
        <w:t xml:space="preserve"> </w:t>
      </w:r>
      <w:hyperlink r:id="rId13" w:history="1">
        <w:r w:rsidRPr="008F34C2">
          <w:rPr>
            <w:rStyle w:val="Hyperlink"/>
            <w:rFonts w:ascii="Times New Roman" w:hAnsi="Times New Roman" w:cs="Times New Roman"/>
            <w:bCs/>
            <w:sz w:val="28"/>
            <w:szCs w:val="28"/>
          </w:rPr>
          <w:t>1986 CanLII 959 (BCCA)</w:t>
        </w:r>
      </w:hyperlink>
      <w:r w:rsidRPr="008F34C2">
        <w:rPr>
          <w:rFonts w:ascii="Times New Roman" w:hAnsi="Times New Roman" w:cs="Times New Roman"/>
          <w:bCs/>
          <w:sz w:val="28"/>
          <w:szCs w:val="28"/>
        </w:rPr>
        <w:t xml:space="preserve"> [</w:t>
      </w:r>
      <w:r w:rsidRPr="008F34C2">
        <w:rPr>
          <w:rFonts w:ascii="Times New Roman" w:hAnsi="Times New Roman" w:cs="Times New Roman"/>
          <w:bCs/>
          <w:i/>
          <w:iCs/>
          <w:sz w:val="28"/>
          <w:szCs w:val="28"/>
        </w:rPr>
        <w:t>Reliable Distributors</w:t>
      </w:r>
      <w:r w:rsidRPr="008F34C2">
        <w:rPr>
          <w:rFonts w:ascii="Times New Roman" w:hAnsi="Times New Roman" w:cs="Times New Roman"/>
          <w:bCs/>
          <w:sz w:val="28"/>
          <w:szCs w:val="28"/>
        </w:rPr>
        <w:t xml:space="preserve">] where the court concludes that vandalism includes malicious damage </w:t>
      </w:r>
      <w:r w:rsidRPr="008F34C2">
        <w:rPr>
          <w:rFonts w:ascii="Times New Roman" w:hAnsi="Times New Roman" w:cs="Times New Roman"/>
          <w:bCs/>
          <w:i/>
          <w:iCs/>
          <w:sz w:val="28"/>
          <w:szCs w:val="28"/>
        </w:rPr>
        <w:t>and</w:t>
      </w:r>
      <w:r w:rsidRPr="008F34C2">
        <w:rPr>
          <w:rFonts w:ascii="Times New Roman" w:hAnsi="Times New Roman" w:cs="Times New Roman"/>
          <w:bCs/>
          <w:sz w:val="28"/>
          <w:szCs w:val="28"/>
        </w:rPr>
        <w:t xml:space="preserve"> an element of blameworthiness or wrongful intention accompanying the destruction of property.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Malice may be inferred from the act of destruction.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The terms “vandalism” and “malicious mischief” refer to wanton or malicious acts</w:t>
      </w:r>
      <w:r w:rsidR="00D50FAB">
        <w:rPr>
          <w:rFonts w:ascii="Times New Roman" w:hAnsi="Times New Roman" w:cs="Times New Roman"/>
          <w:bCs/>
          <w:sz w:val="28"/>
          <w:szCs w:val="28"/>
        </w:rPr>
        <w:t xml:space="preserve"> </w:t>
      </w:r>
      <w:r w:rsidRPr="008F34C2">
        <w:rPr>
          <w:rFonts w:ascii="Times New Roman" w:hAnsi="Times New Roman" w:cs="Times New Roman"/>
          <w:bCs/>
          <w:i/>
          <w:iCs/>
          <w:sz w:val="28"/>
          <w:szCs w:val="28"/>
        </w:rPr>
        <w:t>intended</w:t>
      </w:r>
      <w:r w:rsidR="00D50FAB">
        <w:rPr>
          <w:rFonts w:ascii="Times New Roman" w:hAnsi="Times New Roman" w:cs="Times New Roman"/>
          <w:bCs/>
          <w:i/>
          <w:iCs/>
          <w:sz w:val="28"/>
          <w:szCs w:val="28"/>
        </w:rPr>
        <w:t xml:space="preserve"> t</w:t>
      </w:r>
      <w:r w:rsidRPr="008F34C2">
        <w:rPr>
          <w:rFonts w:ascii="Times New Roman" w:hAnsi="Times New Roman" w:cs="Times New Roman"/>
          <w:bCs/>
          <w:sz w:val="28"/>
          <w:szCs w:val="28"/>
        </w:rPr>
        <w:t>o damage or to destroy.</w:t>
      </w:r>
      <w:r w:rsidRPr="008F34C2">
        <w:rPr>
          <w:rFonts w:ascii="Times New Roman" w:hAnsi="Times New Roman" w:cs="Times New Roman"/>
          <w:bCs/>
          <w:sz w:val="28"/>
          <w:szCs w:val="28"/>
          <w:vertAlign w:val="superscript"/>
        </w:rPr>
        <w:footnoteReference w:id="22"/>
      </w:r>
      <w:r w:rsidRPr="008F34C2">
        <w:rPr>
          <w:rFonts w:ascii="Times New Roman" w:hAnsi="Times New Roman" w:cs="Times New Roman"/>
          <w:bCs/>
          <w:sz w:val="28"/>
          <w:szCs w:val="28"/>
        </w:rPr>
        <w:t xml:space="preserve">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Thus, there must be a wrongful intention accompanying the destruction of property to warrant the term “vandalism”. </w:t>
      </w:r>
    </w:p>
    <w:p w14:paraId="41F20011" w14:textId="77777777" w:rsidR="00D50FAB" w:rsidRPr="008F34C2" w:rsidRDefault="00D50FAB" w:rsidP="00D50FAB">
      <w:pPr>
        <w:pStyle w:val="ListParagraph"/>
        <w:spacing w:after="0" w:line="240" w:lineRule="auto"/>
        <w:ind w:left="0"/>
        <w:jc w:val="both"/>
        <w:rPr>
          <w:rFonts w:ascii="Times New Roman" w:hAnsi="Times New Roman" w:cs="Times New Roman"/>
          <w:bCs/>
          <w:sz w:val="28"/>
          <w:szCs w:val="28"/>
        </w:rPr>
      </w:pPr>
    </w:p>
    <w:p w14:paraId="18F342F8" w14:textId="6422779C" w:rsidR="008F34C2" w:rsidRP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In my view, the determinative issue is whether the proximate cause of the fire loss was an act of vandalism.</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A cause is proximate when it sets in motion a chain of events which, in a natural sequence, unbroken by any new cause, produces the loss which would not have otherwise occurred.</w:t>
      </w:r>
      <w:r w:rsidRPr="008F34C2">
        <w:rPr>
          <w:rFonts w:ascii="Times New Roman" w:hAnsi="Times New Roman" w:cs="Times New Roman"/>
          <w:bCs/>
          <w:sz w:val="28"/>
          <w:szCs w:val="28"/>
          <w:vertAlign w:val="superscript"/>
        </w:rPr>
        <w:footnoteReference w:id="23"/>
      </w:r>
      <w:r w:rsidRPr="008F34C2">
        <w:rPr>
          <w:rFonts w:ascii="Times New Roman" w:hAnsi="Times New Roman" w:cs="Times New Roman"/>
          <w:bCs/>
          <w:sz w:val="28"/>
          <w:szCs w:val="28"/>
        </w:rPr>
        <w:t xml:space="preserve">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parties each speculate as to the source of the fire, with the </w:t>
      </w:r>
      <w:r w:rsidR="00D50FAB">
        <w:rPr>
          <w:rFonts w:ascii="Times New Roman" w:hAnsi="Times New Roman" w:cs="Times New Roman"/>
          <w:bCs/>
          <w:sz w:val="28"/>
          <w:szCs w:val="28"/>
        </w:rPr>
        <w:t>a</w:t>
      </w:r>
      <w:r w:rsidRPr="008F34C2">
        <w:rPr>
          <w:rFonts w:ascii="Times New Roman" w:hAnsi="Times New Roman" w:cs="Times New Roman"/>
          <w:bCs/>
          <w:sz w:val="28"/>
          <w:szCs w:val="28"/>
        </w:rPr>
        <w:t xml:space="preserve">pplicant asserting that the lack of conclusive evidence as to the ignition source suggests an incendiary act that is malicious vandalism, and the </w:t>
      </w:r>
      <w:r w:rsidR="00D50FAB">
        <w:rPr>
          <w:rFonts w:ascii="Times New Roman" w:hAnsi="Times New Roman" w:cs="Times New Roman"/>
          <w:bCs/>
          <w:sz w:val="28"/>
          <w:szCs w:val="28"/>
        </w:rPr>
        <w:t>r</w:t>
      </w:r>
      <w:r w:rsidRPr="008F34C2">
        <w:rPr>
          <w:rFonts w:ascii="Times New Roman" w:hAnsi="Times New Roman" w:cs="Times New Roman"/>
          <w:bCs/>
          <w:sz w:val="28"/>
          <w:szCs w:val="28"/>
        </w:rPr>
        <w:t xml:space="preserve">espondent noting a host of factors that suggest the fire is inconsistent with a </w:t>
      </w:r>
      <w:r w:rsidRPr="008F34C2">
        <w:rPr>
          <w:rFonts w:ascii="Times New Roman" w:hAnsi="Times New Roman" w:cs="Times New Roman"/>
          <w:bCs/>
          <w:sz w:val="28"/>
          <w:szCs w:val="28"/>
        </w:rPr>
        <w:lastRenderedPageBreak/>
        <w:t xml:space="preserve">willful act.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report notes two potential ignition sources were located proximal to the damaged area within the utility room.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These include the furnace and a receptacle installed in the east wall. </w:t>
      </w:r>
      <w:r w:rsidR="00D50FAB">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But “no physical damage was observed that would indicate that the ignition of gasoline vapours by the operating furnace had occurred.” </w:t>
      </w:r>
      <w:r w:rsidR="00BA0BE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As the Applicant did not proceed with additional testing or evaluation this inconclusive report is essentially what this court is asked to rule on in relation to whether this was a malicious act of vandalism. </w:t>
      </w:r>
      <w:r w:rsidR="00BA0BE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Given the inconclusive findings of the report it is not possible to determine on a balance of probabilities the proximate cause of the fire, nor to conclude the fire resulted from an act of vandalism or malice. </w:t>
      </w:r>
      <w:r w:rsidR="00BA0BE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Though the </w:t>
      </w:r>
      <w:r w:rsidR="00BA0BED">
        <w:rPr>
          <w:rFonts w:ascii="Times New Roman" w:hAnsi="Times New Roman" w:cs="Times New Roman"/>
          <w:bCs/>
          <w:sz w:val="28"/>
          <w:szCs w:val="28"/>
        </w:rPr>
        <w:t>a</w:t>
      </w:r>
      <w:r w:rsidRPr="008F34C2">
        <w:rPr>
          <w:rFonts w:ascii="Times New Roman" w:hAnsi="Times New Roman" w:cs="Times New Roman"/>
          <w:bCs/>
          <w:sz w:val="28"/>
          <w:szCs w:val="28"/>
        </w:rPr>
        <w:t xml:space="preserve">pplicant has established the property was “vacant” as per the Policy definition, this is only one hurdle the </w:t>
      </w:r>
      <w:r w:rsidR="00BA0BED">
        <w:rPr>
          <w:rFonts w:ascii="Times New Roman" w:hAnsi="Times New Roman" w:cs="Times New Roman"/>
          <w:bCs/>
          <w:sz w:val="28"/>
          <w:szCs w:val="28"/>
        </w:rPr>
        <w:t>a</w:t>
      </w:r>
      <w:r w:rsidRPr="008F34C2">
        <w:rPr>
          <w:rFonts w:ascii="Times New Roman" w:hAnsi="Times New Roman" w:cs="Times New Roman"/>
          <w:bCs/>
          <w:sz w:val="28"/>
          <w:szCs w:val="28"/>
        </w:rPr>
        <w:t xml:space="preserve">pplicant must overcome if to claim the </w:t>
      </w:r>
      <w:r w:rsidR="00BA0BED">
        <w:rPr>
          <w:rFonts w:ascii="Times New Roman" w:hAnsi="Times New Roman" w:cs="Times New Roman"/>
          <w:bCs/>
          <w:sz w:val="28"/>
          <w:szCs w:val="28"/>
        </w:rPr>
        <w:t>r</w:t>
      </w:r>
      <w:r w:rsidRPr="008F34C2">
        <w:rPr>
          <w:rFonts w:ascii="Times New Roman" w:hAnsi="Times New Roman" w:cs="Times New Roman"/>
          <w:bCs/>
          <w:sz w:val="28"/>
          <w:szCs w:val="28"/>
        </w:rPr>
        <w:t xml:space="preserve">espondent is excluded from </w:t>
      </w:r>
      <w:r w:rsidR="00A47A18">
        <w:rPr>
          <w:rFonts w:ascii="Times New Roman" w:hAnsi="Times New Roman" w:cs="Times New Roman"/>
          <w:bCs/>
          <w:sz w:val="28"/>
          <w:szCs w:val="28"/>
        </w:rPr>
        <w:t>coverage</w:t>
      </w:r>
      <w:r w:rsidR="00334B02">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by operation of the second exclusion. </w:t>
      </w:r>
      <w:r w:rsidR="00BA0BE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second exclusion is itself the other hurdle for the </w:t>
      </w:r>
      <w:r w:rsidR="00BA0BED">
        <w:rPr>
          <w:rFonts w:ascii="Times New Roman" w:hAnsi="Times New Roman" w:cs="Times New Roman"/>
          <w:bCs/>
          <w:sz w:val="28"/>
          <w:szCs w:val="28"/>
        </w:rPr>
        <w:t>a</w:t>
      </w:r>
      <w:r w:rsidRPr="008F34C2">
        <w:rPr>
          <w:rFonts w:ascii="Times New Roman" w:hAnsi="Times New Roman" w:cs="Times New Roman"/>
          <w:bCs/>
          <w:sz w:val="28"/>
          <w:szCs w:val="28"/>
        </w:rPr>
        <w:t>pplicant, and one which it has not met its burden in establishing applies.</w:t>
      </w:r>
    </w:p>
    <w:p w14:paraId="475CE2BC" w14:textId="77777777" w:rsidR="008F34C2" w:rsidRPr="008F34C2" w:rsidRDefault="008F34C2" w:rsidP="00BA0BED">
      <w:pPr>
        <w:pStyle w:val="ListParagraph"/>
        <w:spacing w:after="0" w:line="240" w:lineRule="auto"/>
        <w:ind w:left="0"/>
        <w:jc w:val="both"/>
        <w:rPr>
          <w:rFonts w:ascii="Times New Roman" w:hAnsi="Times New Roman" w:cs="Times New Roman"/>
          <w:bCs/>
          <w:sz w:val="28"/>
          <w:szCs w:val="28"/>
        </w:rPr>
      </w:pPr>
    </w:p>
    <w:p w14:paraId="51731A71" w14:textId="77777777" w:rsidR="008F34C2" w:rsidRDefault="008F34C2" w:rsidP="00BA0BED">
      <w:pPr>
        <w:pStyle w:val="ListParagraph"/>
        <w:spacing w:line="240" w:lineRule="auto"/>
        <w:ind w:left="0"/>
        <w:rPr>
          <w:rFonts w:ascii="Times New Roman" w:hAnsi="Times New Roman" w:cs="Times New Roman"/>
          <w:b/>
          <w:sz w:val="28"/>
          <w:szCs w:val="28"/>
        </w:rPr>
      </w:pPr>
      <w:r w:rsidRPr="008F34C2">
        <w:rPr>
          <w:rFonts w:ascii="Times New Roman" w:hAnsi="Times New Roman" w:cs="Times New Roman"/>
          <w:b/>
          <w:sz w:val="28"/>
          <w:szCs w:val="28"/>
        </w:rPr>
        <w:t>Decision</w:t>
      </w:r>
    </w:p>
    <w:p w14:paraId="60E85538" w14:textId="77777777" w:rsidR="00BA0BED" w:rsidRPr="008F34C2" w:rsidRDefault="00BA0BED" w:rsidP="00BA0BED">
      <w:pPr>
        <w:pStyle w:val="ListParagraph"/>
        <w:spacing w:line="240" w:lineRule="auto"/>
        <w:ind w:left="0"/>
        <w:rPr>
          <w:rFonts w:ascii="Times New Roman" w:hAnsi="Times New Roman" w:cs="Times New Roman"/>
          <w:b/>
          <w:sz w:val="28"/>
          <w:szCs w:val="28"/>
        </w:rPr>
      </w:pPr>
    </w:p>
    <w:p w14:paraId="47CA3A37" w14:textId="7ADDE28E" w:rsidR="008F34C2"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The </w:t>
      </w:r>
      <w:r w:rsidR="00BA0BED">
        <w:rPr>
          <w:rFonts w:ascii="Times New Roman" w:hAnsi="Times New Roman" w:cs="Times New Roman"/>
          <w:bCs/>
          <w:sz w:val="28"/>
          <w:szCs w:val="28"/>
        </w:rPr>
        <w:t>a</w:t>
      </w:r>
      <w:r w:rsidRPr="008F34C2">
        <w:rPr>
          <w:rFonts w:ascii="Times New Roman" w:hAnsi="Times New Roman" w:cs="Times New Roman"/>
          <w:bCs/>
          <w:sz w:val="28"/>
          <w:szCs w:val="28"/>
        </w:rPr>
        <w:t xml:space="preserve">pplicant has the burden of proving any applicable exclusion on a balance of probabilities. </w:t>
      </w:r>
      <w:r w:rsidR="00BA0BE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Applicant has proven the property was vacant as per the definition of “vacant” in the policy. </w:t>
      </w:r>
      <w:r w:rsidR="00BA0BE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However, the Applicant has not proven either applicable exclusion. </w:t>
      </w:r>
      <w:r w:rsidR="00BA0BE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The property was not vacant for at least 30 consecutive days and there is insufficient evidence to infer the fire loss resulted from “vandalism or malicious acts”.  Mere suspicion is not enough. </w:t>
      </w:r>
      <w:r w:rsidR="00BA0BE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I cannot conclude </w:t>
      </w:r>
      <w:proofErr w:type="gramStart"/>
      <w:r w:rsidRPr="008F34C2">
        <w:rPr>
          <w:rFonts w:ascii="Times New Roman" w:hAnsi="Times New Roman" w:cs="Times New Roman"/>
          <w:bCs/>
          <w:sz w:val="28"/>
          <w:szCs w:val="28"/>
        </w:rPr>
        <w:t>on the basis of</w:t>
      </w:r>
      <w:proofErr w:type="gramEnd"/>
      <w:r w:rsidRPr="008F34C2">
        <w:rPr>
          <w:rFonts w:ascii="Times New Roman" w:hAnsi="Times New Roman" w:cs="Times New Roman"/>
          <w:bCs/>
          <w:sz w:val="28"/>
          <w:szCs w:val="28"/>
        </w:rPr>
        <w:t xml:space="preserve"> the report, which is the only evidence I have of the cause of the fire, that it was caused by either vandalism or malicious act on a balance of probabilities.</w:t>
      </w:r>
    </w:p>
    <w:p w14:paraId="73F14BDA" w14:textId="77777777" w:rsidR="00BA0BED" w:rsidRPr="008F34C2" w:rsidRDefault="00BA0BED" w:rsidP="00BA0BED">
      <w:pPr>
        <w:pStyle w:val="ListParagraph"/>
        <w:spacing w:after="0" w:line="240" w:lineRule="auto"/>
        <w:ind w:left="0"/>
        <w:jc w:val="both"/>
        <w:rPr>
          <w:rFonts w:ascii="Times New Roman" w:hAnsi="Times New Roman" w:cs="Times New Roman"/>
          <w:bCs/>
          <w:sz w:val="28"/>
          <w:szCs w:val="28"/>
        </w:rPr>
      </w:pPr>
    </w:p>
    <w:p w14:paraId="34282FAA" w14:textId="2B43CDE4" w:rsidR="008F34C2" w:rsidRPr="00A47A18" w:rsidRDefault="008F34C2" w:rsidP="00A47A18">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Given the agreement of counsel as to the </w:t>
      </w:r>
      <w:r w:rsidR="00A47A18">
        <w:rPr>
          <w:rFonts w:ascii="Times New Roman" w:hAnsi="Times New Roman" w:cs="Times New Roman"/>
          <w:bCs/>
          <w:sz w:val="28"/>
          <w:szCs w:val="28"/>
        </w:rPr>
        <w:t xml:space="preserve">expanded </w:t>
      </w:r>
      <w:r w:rsidRPr="008F34C2">
        <w:rPr>
          <w:rFonts w:ascii="Times New Roman" w:hAnsi="Times New Roman" w:cs="Times New Roman"/>
          <w:bCs/>
          <w:sz w:val="28"/>
          <w:szCs w:val="28"/>
        </w:rPr>
        <w:t xml:space="preserve">scope of this </w:t>
      </w:r>
      <w:r w:rsidR="00A47A18">
        <w:rPr>
          <w:rFonts w:ascii="Times New Roman" w:hAnsi="Times New Roman" w:cs="Times New Roman"/>
          <w:bCs/>
          <w:sz w:val="28"/>
          <w:szCs w:val="28"/>
        </w:rPr>
        <w:t>application</w:t>
      </w:r>
      <w:r w:rsidRPr="008F34C2">
        <w:rPr>
          <w:rFonts w:ascii="Times New Roman" w:hAnsi="Times New Roman" w:cs="Times New Roman"/>
          <w:bCs/>
          <w:sz w:val="28"/>
          <w:szCs w:val="28"/>
        </w:rPr>
        <w:t>, I therefor</w:t>
      </w:r>
      <w:r w:rsidR="00A47A18">
        <w:rPr>
          <w:rFonts w:ascii="Times New Roman" w:hAnsi="Times New Roman" w:cs="Times New Roman"/>
          <w:bCs/>
          <w:sz w:val="28"/>
          <w:szCs w:val="28"/>
        </w:rPr>
        <w:t>e both</w:t>
      </w:r>
      <w:r w:rsidR="00A47A18" w:rsidRPr="00A47A18">
        <w:rPr>
          <w:rFonts w:ascii="Times New Roman" w:hAnsi="Times New Roman" w:cs="Times New Roman"/>
          <w:bCs/>
          <w:sz w:val="28"/>
          <w:szCs w:val="28"/>
        </w:rPr>
        <w:t xml:space="preserve"> dismiss the application for summary judgment and find </w:t>
      </w:r>
      <w:r w:rsidRPr="00A47A18">
        <w:rPr>
          <w:rFonts w:ascii="Times New Roman" w:hAnsi="Times New Roman" w:cs="Times New Roman"/>
          <w:bCs/>
          <w:sz w:val="28"/>
          <w:szCs w:val="28"/>
        </w:rPr>
        <w:t xml:space="preserve">in favour of the respondent </w:t>
      </w:r>
      <w:proofErr w:type="spellStart"/>
      <w:r w:rsidRPr="00A47A18">
        <w:rPr>
          <w:rFonts w:ascii="Times New Roman" w:hAnsi="Times New Roman" w:cs="Times New Roman"/>
          <w:bCs/>
          <w:sz w:val="28"/>
          <w:szCs w:val="28"/>
        </w:rPr>
        <w:t>Kr</w:t>
      </w:r>
      <w:r w:rsidR="00404711">
        <w:rPr>
          <w:rFonts w:ascii="Times New Roman" w:hAnsi="Times New Roman" w:cs="Times New Roman"/>
          <w:bCs/>
          <w:sz w:val="28"/>
          <w:szCs w:val="28"/>
        </w:rPr>
        <w:t>u</w:t>
      </w:r>
      <w:r w:rsidRPr="00A47A18">
        <w:rPr>
          <w:rFonts w:ascii="Times New Roman" w:hAnsi="Times New Roman" w:cs="Times New Roman"/>
          <w:bCs/>
          <w:sz w:val="28"/>
          <w:szCs w:val="28"/>
        </w:rPr>
        <w:t>ezi</w:t>
      </w:r>
      <w:proofErr w:type="spellEnd"/>
      <w:r w:rsidRPr="00A47A18">
        <w:rPr>
          <w:rFonts w:ascii="Times New Roman" w:hAnsi="Times New Roman" w:cs="Times New Roman"/>
          <w:bCs/>
          <w:sz w:val="28"/>
          <w:szCs w:val="28"/>
        </w:rPr>
        <w:t xml:space="preserve"> in the action.</w:t>
      </w:r>
    </w:p>
    <w:p w14:paraId="5FDA6B90" w14:textId="77777777" w:rsidR="00BA0BED" w:rsidRPr="008F34C2" w:rsidRDefault="00BA0BED" w:rsidP="00BA0BED">
      <w:pPr>
        <w:pStyle w:val="ListParagraph"/>
        <w:spacing w:after="0" w:line="240" w:lineRule="auto"/>
        <w:ind w:left="0"/>
        <w:jc w:val="both"/>
        <w:rPr>
          <w:rFonts w:ascii="Times New Roman" w:hAnsi="Times New Roman" w:cs="Times New Roman"/>
          <w:bCs/>
          <w:sz w:val="28"/>
          <w:szCs w:val="28"/>
        </w:rPr>
      </w:pPr>
    </w:p>
    <w:p w14:paraId="5A5EFD6E" w14:textId="0EC08528" w:rsidR="008F34C2" w:rsidRPr="0002374D" w:rsidRDefault="008F34C2" w:rsidP="00BE41F7">
      <w:pPr>
        <w:pStyle w:val="ListParagraph"/>
        <w:numPr>
          <w:ilvl w:val="0"/>
          <w:numId w:val="10"/>
        </w:numPr>
        <w:spacing w:after="0" w:line="240" w:lineRule="auto"/>
        <w:jc w:val="both"/>
        <w:rPr>
          <w:rFonts w:ascii="Times New Roman" w:hAnsi="Times New Roman" w:cs="Times New Roman"/>
          <w:bCs/>
          <w:sz w:val="28"/>
          <w:szCs w:val="28"/>
        </w:rPr>
      </w:pPr>
      <w:r w:rsidRPr="008F34C2">
        <w:rPr>
          <w:rFonts w:ascii="Times New Roman" w:hAnsi="Times New Roman" w:cs="Times New Roman"/>
          <w:bCs/>
          <w:sz w:val="28"/>
          <w:szCs w:val="28"/>
        </w:rPr>
        <w:t xml:space="preserve">Both parties sought costs. </w:t>
      </w:r>
      <w:r w:rsidR="00BA0BED">
        <w:rPr>
          <w:rFonts w:ascii="Times New Roman" w:hAnsi="Times New Roman" w:cs="Times New Roman"/>
          <w:bCs/>
          <w:sz w:val="28"/>
          <w:szCs w:val="28"/>
        </w:rPr>
        <w:t xml:space="preserve"> </w:t>
      </w:r>
      <w:r w:rsidRPr="008F34C2">
        <w:rPr>
          <w:rFonts w:ascii="Times New Roman" w:hAnsi="Times New Roman" w:cs="Times New Roman"/>
          <w:bCs/>
          <w:sz w:val="28"/>
          <w:szCs w:val="28"/>
        </w:rPr>
        <w:t xml:space="preserve">Costs are awarded to the respondent </w:t>
      </w:r>
      <w:proofErr w:type="spellStart"/>
      <w:r w:rsidRPr="008F34C2">
        <w:rPr>
          <w:rFonts w:ascii="Times New Roman" w:hAnsi="Times New Roman" w:cs="Times New Roman"/>
          <w:bCs/>
          <w:sz w:val="28"/>
          <w:szCs w:val="28"/>
        </w:rPr>
        <w:t>Kru</w:t>
      </w:r>
      <w:r w:rsidR="00404711">
        <w:rPr>
          <w:rFonts w:ascii="Times New Roman" w:hAnsi="Times New Roman" w:cs="Times New Roman"/>
          <w:bCs/>
          <w:sz w:val="28"/>
          <w:szCs w:val="28"/>
        </w:rPr>
        <w:t>e</w:t>
      </w:r>
      <w:r w:rsidRPr="008F34C2">
        <w:rPr>
          <w:rFonts w:ascii="Times New Roman" w:hAnsi="Times New Roman" w:cs="Times New Roman"/>
          <w:bCs/>
          <w:sz w:val="28"/>
          <w:szCs w:val="28"/>
        </w:rPr>
        <w:t>zi</w:t>
      </w:r>
      <w:proofErr w:type="spellEnd"/>
      <w:r w:rsidRPr="008F34C2">
        <w:rPr>
          <w:rFonts w:ascii="Times New Roman" w:hAnsi="Times New Roman" w:cs="Times New Roman"/>
          <w:bCs/>
          <w:sz w:val="28"/>
          <w:szCs w:val="28"/>
        </w:rPr>
        <w:t xml:space="preserve"> on a party and party basis as per the regulations.</w:t>
      </w:r>
    </w:p>
    <w:p w14:paraId="17DE35A3" w14:textId="0A5C3885" w:rsidR="00CD5892" w:rsidRDefault="00CD5892" w:rsidP="0002374D">
      <w:pPr>
        <w:pStyle w:val="ListParagraph"/>
        <w:spacing w:after="0" w:line="240" w:lineRule="auto"/>
        <w:ind w:left="0"/>
        <w:contextualSpacing w:val="0"/>
        <w:jc w:val="both"/>
        <w:rPr>
          <w:rFonts w:ascii="Times New Roman" w:hAnsi="Times New Roman" w:cs="Times New Roman"/>
          <w:bCs/>
          <w:sz w:val="28"/>
          <w:szCs w:val="28"/>
        </w:rPr>
      </w:pPr>
    </w:p>
    <w:p w14:paraId="4D415734" w14:textId="77777777" w:rsidR="00830356" w:rsidRDefault="00830356" w:rsidP="0002374D">
      <w:pPr>
        <w:pStyle w:val="ListParagraph"/>
        <w:spacing w:after="0" w:line="240" w:lineRule="auto"/>
        <w:ind w:left="0"/>
        <w:contextualSpacing w:val="0"/>
        <w:jc w:val="both"/>
        <w:rPr>
          <w:rFonts w:ascii="Times New Roman" w:hAnsi="Times New Roman" w:cs="Times New Roman"/>
          <w:bCs/>
          <w:sz w:val="28"/>
          <w:szCs w:val="28"/>
        </w:rPr>
      </w:pPr>
    </w:p>
    <w:p w14:paraId="50521D10" w14:textId="77777777" w:rsidR="00830356" w:rsidRPr="0002374D" w:rsidRDefault="00830356" w:rsidP="0002374D">
      <w:pPr>
        <w:pStyle w:val="ListParagraph"/>
        <w:spacing w:after="0" w:line="240" w:lineRule="auto"/>
        <w:ind w:left="0"/>
        <w:contextualSpacing w:val="0"/>
        <w:jc w:val="both"/>
        <w:rPr>
          <w:rFonts w:ascii="Times New Roman" w:hAnsi="Times New Roman" w:cs="Times New Roman"/>
          <w:b/>
          <w:sz w:val="28"/>
          <w:szCs w:val="28"/>
        </w:rPr>
      </w:pPr>
    </w:p>
    <w:p w14:paraId="685B8928" w14:textId="10AE073D" w:rsidR="002F3480" w:rsidRPr="00E67184" w:rsidRDefault="00455003" w:rsidP="006B3C9A">
      <w:pPr>
        <w:tabs>
          <w:tab w:val="left" w:pos="720"/>
          <w:tab w:val="left" w:pos="1440"/>
          <w:tab w:val="left" w:pos="2160"/>
          <w:tab w:val="left" w:pos="2880"/>
          <w:tab w:val="left" w:pos="3600"/>
          <w:tab w:val="left" w:pos="4320"/>
          <w:tab w:val="left" w:pos="5040"/>
          <w:tab w:val="left" w:pos="5760"/>
        </w:tabs>
        <w:spacing w:after="0" w:line="240" w:lineRule="auto"/>
        <w:ind w:left="5760" w:hanging="5760"/>
        <w:jc w:val="both"/>
        <w:rPr>
          <w:rFonts w:ascii="Times New Roman" w:hAnsi="Times New Roman" w:cs="Times New Roman"/>
          <w:sz w:val="28"/>
          <w:szCs w:val="28"/>
          <w:u w:val="single"/>
        </w:rPr>
      </w:pPr>
      <w:r w:rsidRPr="006B3C9A">
        <w:rPr>
          <w:rFonts w:ascii="Times New Roman" w:hAnsi="Times New Roman" w:cs="Times New Roman"/>
          <w:sz w:val="28"/>
          <w:szCs w:val="28"/>
        </w:rPr>
        <w:fldChar w:fldCharType="begin"/>
      </w:r>
      <w:r w:rsidRPr="006B3C9A">
        <w:rPr>
          <w:rFonts w:ascii="Times New Roman" w:hAnsi="Times New Roman" w:cs="Times New Roman"/>
          <w:sz w:val="28"/>
          <w:szCs w:val="28"/>
        </w:rPr>
        <w:instrText xml:space="preserve"> SEQ CHAPTER \h \r 1</w:instrText>
      </w:r>
      <w:r w:rsidRPr="006B3C9A">
        <w:rPr>
          <w:rFonts w:ascii="Times New Roman" w:hAnsi="Times New Roman" w:cs="Times New Roman"/>
          <w:sz w:val="28"/>
          <w:szCs w:val="28"/>
        </w:rPr>
        <w:fldChar w:fldCharType="end"/>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E67184" w:rsidRPr="00E67184">
        <w:rPr>
          <w:rFonts w:ascii="Times New Roman" w:hAnsi="Times New Roman" w:cs="Times New Roman"/>
          <w:sz w:val="28"/>
          <w:szCs w:val="28"/>
          <w:u w:val="single"/>
        </w:rPr>
        <w:t>A.M. Mahar</w:t>
      </w:r>
    </w:p>
    <w:p w14:paraId="17DE35A4" w14:textId="538EA701" w:rsidR="00455003" w:rsidRPr="006B3C9A" w:rsidRDefault="002F3480" w:rsidP="006B3C9A">
      <w:pPr>
        <w:tabs>
          <w:tab w:val="left" w:pos="720"/>
          <w:tab w:val="left" w:pos="1440"/>
          <w:tab w:val="left" w:pos="2160"/>
          <w:tab w:val="left" w:pos="2880"/>
          <w:tab w:val="left" w:pos="3600"/>
          <w:tab w:val="left" w:pos="4320"/>
          <w:tab w:val="left" w:pos="5040"/>
          <w:tab w:val="left" w:pos="5760"/>
        </w:tabs>
        <w:spacing w:after="0" w:line="240" w:lineRule="auto"/>
        <w:ind w:left="5760" w:hanging="57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2374D">
        <w:rPr>
          <w:rFonts w:ascii="Times New Roman" w:hAnsi="Times New Roman" w:cs="Times New Roman"/>
          <w:sz w:val="28"/>
          <w:szCs w:val="28"/>
        </w:rPr>
        <w:t>A.M. Mahar</w:t>
      </w:r>
    </w:p>
    <w:p w14:paraId="17DE35A6" w14:textId="0B6A8FB3"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2F3480">
        <w:rPr>
          <w:rFonts w:ascii="Times New Roman" w:hAnsi="Times New Roman" w:cs="Times New Roman"/>
          <w:sz w:val="28"/>
          <w:szCs w:val="28"/>
        </w:rPr>
        <w:tab/>
      </w:r>
      <w:r w:rsidR="00723514">
        <w:rPr>
          <w:rFonts w:ascii="Times New Roman" w:hAnsi="Times New Roman" w:cs="Times New Roman"/>
          <w:sz w:val="28"/>
          <w:szCs w:val="28"/>
        </w:rPr>
        <w:t xml:space="preserve"> </w:t>
      </w:r>
      <w:r w:rsidR="00866CFD">
        <w:rPr>
          <w:rFonts w:ascii="Times New Roman" w:hAnsi="Times New Roman" w:cs="Times New Roman"/>
          <w:sz w:val="28"/>
          <w:szCs w:val="28"/>
        </w:rPr>
        <w:t xml:space="preserve">     </w:t>
      </w:r>
      <w:r w:rsidRPr="006B3C9A">
        <w:rPr>
          <w:rFonts w:ascii="Times New Roman" w:hAnsi="Times New Roman" w:cs="Times New Roman"/>
          <w:sz w:val="28"/>
          <w:szCs w:val="28"/>
        </w:rPr>
        <w:t>JSC</w:t>
      </w:r>
    </w:p>
    <w:p w14:paraId="17DE35A7" w14:textId="77777777"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 xml:space="preserve">Dated at Yellowknife, NT, </w:t>
      </w:r>
      <w:proofErr w:type="gramStart"/>
      <w:r w:rsidRPr="006B3C9A">
        <w:rPr>
          <w:rFonts w:ascii="Times New Roman" w:hAnsi="Times New Roman" w:cs="Times New Roman"/>
          <w:sz w:val="28"/>
          <w:szCs w:val="28"/>
        </w:rPr>
        <w:t>this</w:t>
      </w:r>
      <w:proofErr w:type="gramEnd"/>
    </w:p>
    <w:p w14:paraId="17DE35A8" w14:textId="46FF775A" w:rsidR="00455003" w:rsidRPr="006B3C9A" w:rsidRDefault="00FC74B3" w:rsidP="006B3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36750">
        <w:rPr>
          <w:rFonts w:ascii="Times New Roman" w:hAnsi="Times New Roman" w:cs="Times New Roman"/>
          <w:sz w:val="28"/>
          <w:szCs w:val="28"/>
        </w:rPr>
        <w:t>5</w:t>
      </w:r>
      <w:r w:rsidRPr="00FC74B3">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55003" w:rsidRPr="006B3C9A">
        <w:rPr>
          <w:rFonts w:ascii="Times New Roman" w:hAnsi="Times New Roman" w:cs="Times New Roman"/>
          <w:sz w:val="28"/>
          <w:szCs w:val="28"/>
        </w:rPr>
        <w:t>day of</w:t>
      </w:r>
      <w:r w:rsidR="00987D86" w:rsidRPr="006B3C9A">
        <w:rPr>
          <w:rFonts w:ascii="Times New Roman" w:hAnsi="Times New Roman" w:cs="Times New Roman"/>
          <w:sz w:val="28"/>
          <w:szCs w:val="28"/>
        </w:rPr>
        <w:t xml:space="preserve"> </w:t>
      </w:r>
      <w:proofErr w:type="gramStart"/>
      <w:r w:rsidR="0002374D">
        <w:rPr>
          <w:rFonts w:ascii="Times New Roman" w:hAnsi="Times New Roman" w:cs="Times New Roman"/>
          <w:sz w:val="28"/>
          <w:szCs w:val="28"/>
        </w:rPr>
        <w:t>April</w:t>
      </w:r>
      <w:r w:rsidR="00A661B6" w:rsidRPr="006B3C9A">
        <w:rPr>
          <w:rFonts w:ascii="Times New Roman" w:hAnsi="Times New Roman" w:cs="Times New Roman"/>
          <w:sz w:val="28"/>
          <w:szCs w:val="28"/>
        </w:rPr>
        <w:t>,</w:t>
      </w:r>
      <w:proofErr w:type="gramEnd"/>
      <w:r w:rsidR="00A661B6" w:rsidRPr="006B3C9A">
        <w:rPr>
          <w:rFonts w:ascii="Times New Roman" w:hAnsi="Times New Roman" w:cs="Times New Roman"/>
          <w:sz w:val="28"/>
          <w:szCs w:val="28"/>
        </w:rPr>
        <w:t xml:space="preserve"> 20</w:t>
      </w:r>
      <w:r w:rsidR="00BA6C1E">
        <w:rPr>
          <w:rFonts w:ascii="Times New Roman" w:hAnsi="Times New Roman" w:cs="Times New Roman"/>
          <w:sz w:val="28"/>
          <w:szCs w:val="28"/>
        </w:rPr>
        <w:t>24</w:t>
      </w:r>
    </w:p>
    <w:p w14:paraId="6F39D1C7" w14:textId="77777777" w:rsidR="001A34C8" w:rsidRPr="006B3C9A" w:rsidRDefault="001A34C8" w:rsidP="00FC2FEB">
      <w:pPr>
        <w:tabs>
          <w:tab w:val="left" w:pos="720"/>
          <w:tab w:val="left" w:pos="1440"/>
          <w:tab w:val="left" w:pos="2160"/>
          <w:tab w:val="left" w:pos="2880"/>
          <w:tab w:val="left" w:pos="3600"/>
        </w:tabs>
        <w:spacing w:after="0" w:line="240" w:lineRule="auto"/>
        <w:jc w:val="both"/>
        <w:rPr>
          <w:rFonts w:ascii="Times New Roman" w:hAnsi="Times New Roman" w:cs="Times New Roman"/>
          <w:sz w:val="28"/>
          <w:szCs w:val="28"/>
        </w:rPr>
      </w:pPr>
    </w:p>
    <w:p w14:paraId="17DE35AC" w14:textId="2D358A46" w:rsidR="006309EB" w:rsidRDefault="00A661B6" w:rsidP="00FC578A">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sidRPr="006B3C9A">
        <w:rPr>
          <w:rFonts w:ascii="Times New Roman" w:hAnsi="Times New Roman" w:cs="Times New Roman"/>
          <w:sz w:val="28"/>
          <w:szCs w:val="28"/>
        </w:rPr>
        <w:t xml:space="preserve">Counsel </w:t>
      </w:r>
      <w:r w:rsidR="008046A5">
        <w:rPr>
          <w:rFonts w:ascii="Times New Roman" w:hAnsi="Times New Roman" w:cs="Times New Roman"/>
          <w:sz w:val="28"/>
          <w:szCs w:val="28"/>
        </w:rPr>
        <w:t>for</w:t>
      </w:r>
      <w:r w:rsidR="00C81C50">
        <w:rPr>
          <w:rFonts w:ascii="Times New Roman" w:hAnsi="Times New Roman" w:cs="Times New Roman"/>
          <w:sz w:val="28"/>
          <w:szCs w:val="28"/>
        </w:rPr>
        <w:t xml:space="preserve"> </w:t>
      </w:r>
      <w:r w:rsidR="00275FFE">
        <w:rPr>
          <w:rFonts w:ascii="Times New Roman" w:hAnsi="Times New Roman" w:cs="Times New Roman"/>
          <w:sz w:val="28"/>
          <w:szCs w:val="28"/>
        </w:rPr>
        <w:t xml:space="preserve">the </w:t>
      </w:r>
      <w:r w:rsidR="0002374D">
        <w:rPr>
          <w:rFonts w:ascii="Times New Roman" w:hAnsi="Times New Roman" w:cs="Times New Roman"/>
          <w:bCs/>
          <w:sz w:val="28"/>
          <w:szCs w:val="28"/>
        </w:rPr>
        <w:t>Respondent (Plaintiff)</w:t>
      </w:r>
      <w:r w:rsidR="00275FFE">
        <w:rPr>
          <w:rFonts w:ascii="Times New Roman" w:hAnsi="Times New Roman" w:cs="Times New Roman"/>
          <w:bCs/>
          <w:sz w:val="28"/>
          <w:szCs w:val="28"/>
        </w:rPr>
        <w:t>:</w:t>
      </w:r>
      <w:r w:rsidR="00275FFE">
        <w:rPr>
          <w:rFonts w:ascii="Times New Roman" w:hAnsi="Times New Roman" w:cs="Times New Roman"/>
          <w:bCs/>
          <w:sz w:val="28"/>
          <w:szCs w:val="28"/>
        </w:rPr>
        <w:tab/>
      </w:r>
      <w:r w:rsidR="00275FFE">
        <w:rPr>
          <w:rFonts w:ascii="Times New Roman" w:hAnsi="Times New Roman" w:cs="Times New Roman"/>
          <w:bCs/>
          <w:sz w:val="28"/>
          <w:szCs w:val="28"/>
        </w:rPr>
        <w:tab/>
      </w:r>
      <w:r w:rsidR="00275FFE">
        <w:rPr>
          <w:rFonts w:ascii="Times New Roman" w:hAnsi="Times New Roman" w:cs="Times New Roman"/>
          <w:bCs/>
          <w:sz w:val="28"/>
          <w:szCs w:val="28"/>
        </w:rPr>
        <w:tab/>
      </w:r>
      <w:r w:rsidR="0002374D">
        <w:rPr>
          <w:rFonts w:ascii="Times New Roman" w:hAnsi="Times New Roman" w:cs="Times New Roman"/>
          <w:bCs/>
          <w:sz w:val="28"/>
          <w:szCs w:val="28"/>
        </w:rPr>
        <w:t>Teri Lynn Bougie</w:t>
      </w:r>
    </w:p>
    <w:p w14:paraId="5E56D266" w14:textId="24704022" w:rsidR="005E17BE" w:rsidRDefault="00FF1D10" w:rsidP="007D3055">
      <w:pPr>
        <w:tabs>
          <w:tab w:val="left" w:pos="720"/>
          <w:tab w:val="left" w:pos="1440"/>
          <w:tab w:val="left" w:pos="2160"/>
          <w:tab w:val="left" w:pos="2880"/>
          <w:tab w:val="left" w:pos="3510"/>
          <w:tab w:val="left" w:pos="3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7DE35AD" w14:textId="3D3E9878" w:rsidR="003943A7" w:rsidRDefault="005E17BE" w:rsidP="0002374D">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 xml:space="preserve">Counsel for </w:t>
      </w:r>
      <w:r w:rsidR="00275FFE">
        <w:rPr>
          <w:rFonts w:ascii="Times New Roman" w:hAnsi="Times New Roman" w:cs="Times New Roman"/>
          <w:sz w:val="28"/>
          <w:szCs w:val="28"/>
        </w:rPr>
        <w:t xml:space="preserve">the </w:t>
      </w:r>
      <w:r w:rsidR="0002374D">
        <w:rPr>
          <w:rFonts w:ascii="Times New Roman" w:hAnsi="Times New Roman" w:cs="Times New Roman"/>
          <w:sz w:val="28"/>
          <w:szCs w:val="28"/>
        </w:rPr>
        <w:t>Applicant (Defendant)</w:t>
      </w:r>
      <w:r w:rsidR="00275FFE">
        <w:rPr>
          <w:rFonts w:ascii="Times New Roman" w:hAnsi="Times New Roman" w:cs="Times New Roman"/>
          <w:sz w:val="28"/>
          <w:szCs w:val="28"/>
        </w:rPr>
        <w:t>:</w:t>
      </w:r>
      <w:r w:rsidR="00275FFE">
        <w:rPr>
          <w:rFonts w:ascii="Times New Roman" w:hAnsi="Times New Roman" w:cs="Times New Roman"/>
          <w:sz w:val="28"/>
          <w:szCs w:val="28"/>
        </w:rPr>
        <w:tab/>
      </w:r>
      <w:r w:rsidR="00275FFE">
        <w:rPr>
          <w:rFonts w:ascii="Times New Roman" w:hAnsi="Times New Roman" w:cs="Times New Roman"/>
          <w:sz w:val="28"/>
          <w:szCs w:val="28"/>
        </w:rPr>
        <w:tab/>
      </w:r>
      <w:r w:rsidR="00275FFE">
        <w:rPr>
          <w:rFonts w:ascii="Times New Roman" w:hAnsi="Times New Roman" w:cs="Times New Roman"/>
          <w:sz w:val="28"/>
          <w:szCs w:val="28"/>
        </w:rPr>
        <w:tab/>
      </w:r>
      <w:r w:rsidR="0002374D">
        <w:rPr>
          <w:rFonts w:ascii="Times New Roman" w:hAnsi="Times New Roman" w:cs="Times New Roman"/>
          <w:sz w:val="28"/>
          <w:szCs w:val="28"/>
        </w:rPr>
        <w:t>David P. Wedge</w:t>
      </w:r>
    </w:p>
    <w:p w14:paraId="256BF562" w14:textId="77777777" w:rsidR="003943A7" w:rsidRDefault="003943A7">
      <w:pPr>
        <w:rPr>
          <w:rFonts w:ascii="Times New Roman" w:hAnsi="Times New Roman" w:cs="Times New Roman"/>
          <w:sz w:val="28"/>
          <w:szCs w:val="28"/>
        </w:rPr>
      </w:pPr>
      <w:r>
        <w:rPr>
          <w:rFonts w:ascii="Times New Roman" w:hAnsi="Times New Roman" w:cs="Times New Roman"/>
          <w:sz w:val="28"/>
          <w:szCs w:val="28"/>
        </w:rPr>
        <w:br w:type="page"/>
      </w:r>
    </w:p>
    <w:p w14:paraId="4AF1E72D" w14:textId="77777777" w:rsidR="00DF56B9" w:rsidRDefault="00DF56B9" w:rsidP="0002374D">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68F05AEB" w14:textId="77777777" w:rsidR="0014760B" w:rsidRPr="0014760B" w:rsidRDefault="0014760B" w:rsidP="0014760B">
      <w:pPr>
        <w:tabs>
          <w:tab w:val="center" w:pos="4680"/>
        </w:tabs>
        <w:rPr>
          <w:rFonts w:ascii="Times New Roman" w:hAnsi="Times New Roman" w:cs="Times New Roman"/>
          <w:bCs/>
          <w:sz w:val="28"/>
          <w:szCs w:val="28"/>
        </w:rPr>
      </w:pPr>
    </w:p>
    <w:tbl>
      <w:tblPr>
        <w:tblStyle w:val="TableGrid"/>
        <w:tblW w:w="0" w:type="auto"/>
        <w:tblInd w:w="1548" w:type="dxa"/>
        <w:tblBorders>
          <w:left w:val="none" w:sz="0" w:space="0" w:color="auto"/>
          <w:right w:val="none" w:sz="0" w:space="0" w:color="auto"/>
        </w:tblBorders>
        <w:tblLook w:val="04A0" w:firstRow="1" w:lastRow="0" w:firstColumn="1" w:lastColumn="0" w:noHBand="0" w:noVBand="1"/>
      </w:tblPr>
      <w:tblGrid>
        <w:gridCol w:w="7200"/>
      </w:tblGrid>
      <w:tr w:rsidR="0014760B" w:rsidRPr="0014760B" w14:paraId="3B69F07A" w14:textId="77777777" w:rsidTr="00FA73BA">
        <w:tc>
          <w:tcPr>
            <w:tcW w:w="7200" w:type="dxa"/>
          </w:tcPr>
          <w:p w14:paraId="67DCE766" w14:textId="77777777" w:rsidR="0014760B" w:rsidRPr="0014760B" w:rsidRDefault="0014760B" w:rsidP="00FA73BA">
            <w:pPr>
              <w:tabs>
                <w:tab w:val="center" w:pos="4680"/>
              </w:tabs>
              <w:jc w:val="center"/>
              <w:rPr>
                <w:rFonts w:ascii="Times New Roman" w:eastAsiaTheme="minorEastAsia" w:hAnsi="Times New Roman" w:cs="Times New Roman"/>
                <w:bCs/>
                <w:sz w:val="28"/>
                <w:szCs w:val="28"/>
                <w:lang w:val="en-CA" w:eastAsia="en-CA"/>
              </w:rPr>
            </w:pPr>
          </w:p>
          <w:p w14:paraId="20A621D4" w14:textId="2B69CF86" w:rsidR="0014760B" w:rsidRPr="0014760B" w:rsidRDefault="0014760B" w:rsidP="00FA73BA">
            <w:pPr>
              <w:tabs>
                <w:tab w:val="center" w:pos="4680"/>
              </w:tabs>
              <w:jc w:val="center"/>
              <w:rPr>
                <w:rFonts w:ascii="Times New Roman" w:eastAsiaTheme="minorEastAsia" w:hAnsi="Times New Roman" w:cs="Times New Roman"/>
                <w:bCs/>
                <w:sz w:val="28"/>
                <w:szCs w:val="28"/>
                <w:lang w:val="en-CA" w:eastAsia="en-CA"/>
              </w:rPr>
            </w:pPr>
            <w:r w:rsidRPr="0014760B">
              <w:rPr>
                <w:rFonts w:ascii="Times New Roman" w:eastAsiaTheme="minorEastAsia" w:hAnsi="Times New Roman" w:cs="Times New Roman"/>
                <w:bCs/>
                <w:sz w:val="28"/>
                <w:szCs w:val="28"/>
                <w:lang w:val="en-CA" w:eastAsia="en-CA"/>
              </w:rPr>
              <w:t>Corrigendum of the</w:t>
            </w:r>
            <w:r w:rsidR="00373AEF">
              <w:rPr>
                <w:rFonts w:ascii="Times New Roman" w:eastAsiaTheme="minorEastAsia" w:hAnsi="Times New Roman" w:cs="Times New Roman"/>
                <w:bCs/>
                <w:sz w:val="28"/>
                <w:szCs w:val="28"/>
                <w:lang w:val="en-CA" w:eastAsia="en-CA"/>
              </w:rPr>
              <w:t xml:space="preserve"> Memorandum of Judgment</w:t>
            </w:r>
          </w:p>
          <w:p w14:paraId="206C7977" w14:textId="77777777" w:rsidR="0014760B" w:rsidRPr="0014760B" w:rsidRDefault="0014760B" w:rsidP="00FA73BA">
            <w:pPr>
              <w:jc w:val="center"/>
              <w:rPr>
                <w:rFonts w:ascii="Times New Roman" w:eastAsiaTheme="minorEastAsia" w:hAnsi="Times New Roman" w:cs="Times New Roman"/>
                <w:bCs/>
                <w:sz w:val="28"/>
                <w:szCs w:val="28"/>
                <w:lang w:val="en-CA" w:eastAsia="en-CA"/>
              </w:rPr>
            </w:pPr>
          </w:p>
          <w:p w14:paraId="7C7C8D96" w14:textId="77777777" w:rsidR="0014760B" w:rsidRPr="0014760B" w:rsidRDefault="0014760B" w:rsidP="00FA73BA">
            <w:pPr>
              <w:tabs>
                <w:tab w:val="center" w:pos="4680"/>
              </w:tabs>
              <w:jc w:val="center"/>
              <w:rPr>
                <w:rFonts w:ascii="Times New Roman" w:eastAsiaTheme="minorEastAsia" w:hAnsi="Times New Roman" w:cs="Times New Roman"/>
                <w:bCs/>
                <w:sz w:val="28"/>
                <w:szCs w:val="28"/>
                <w:lang w:val="en-CA" w:eastAsia="en-CA"/>
              </w:rPr>
            </w:pPr>
            <w:r w:rsidRPr="0014760B">
              <w:rPr>
                <w:rFonts w:ascii="Times New Roman" w:eastAsiaTheme="minorEastAsia" w:hAnsi="Times New Roman" w:cs="Times New Roman"/>
                <w:bCs/>
                <w:sz w:val="28"/>
                <w:szCs w:val="28"/>
                <w:lang w:val="en-CA" w:eastAsia="en-CA"/>
              </w:rPr>
              <w:t>of</w:t>
            </w:r>
          </w:p>
          <w:p w14:paraId="5150BF02" w14:textId="77777777" w:rsidR="0014760B" w:rsidRPr="0014760B" w:rsidRDefault="0014760B" w:rsidP="00FA73BA">
            <w:pPr>
              <w:jc w:val="center"/>
              <w:rPr>
                <w:rFonts w:ascii="Times New Roman" w:eastAsiaTheme="minorEastAsia" w:hAnsi="Times New Roman" w:cs="Times New Roman"/>
                <w:bCs/>
                <w:sz w:val="28"/>
                <w:szCs w:val="28"/>
                <w:lang w:val="en-CA" w:eastAsia="en-CA"/>
              </w:rPr>
            </w:pPr>
          </w:p>
          <w:p w14:paraId="21BC91F6" w14:textId="390C2F14" w:rsidR="0014760B" w:rsidRPr="0014760B" w:rsidRDefault="0014760B" w:rsidP="00FA73BA">
            <w:pPr>
              <w:tabs>
                <w:tab w:val="center" w:pos="4680"/>
              </w:tabs>
              <w:jc w:val="center"/>
              <w:rPr>
                <w:rFonts w:ascii="Times New Roman" w:eastAsiaTheme="minorEastAsia" w:hAnsi="Times New Roman" w:cs="Times New Roman"/>
                <w:bCs/>
                <w:sz w:val="28"/>
                <w:szCs w:val="28"/>
                <w:lang w:val="en-CA" w:eastAsia="en-CA"/>
              </w:rPr>
            </w:pPr>
            <w:r w:rsidRPr="0014760B">
              <w:rPr>
                <w:rFonts w:ascii="Times New Roman" w:eastAsiaTheme="minorEastAsia" w:hAnsi="Times New Roman" w:cs="Times New Roman"/>
                <w:bCs/>
                <w:sz w:val="28"/>
                <w:szCs w:val="28"/>
                <w:lang w:val="en-CA" w:eastAsia="en-CA"/>
              </w:rPr>
              <w:t xml:space="preserve">The Honourable Justice </w:t>
            </w:r>
            <w:r w:rsidR="00373AEF">
              <w:rPr>
                <w:rFonts w:ascii="Times New Roman" w:eastAsiaTheme="minorEastAsia" w:hAnsi="Times New Roman" w:cs="Times New Roman"/>
                <w:bCs/>
                <w:sz w:val="28"/>
                <w:szCs w:val="28"/>
                <w:lang w:val="en-CA" w:eastAsia="en-CA"/>
              </w:rPr>
              <w:t>A.M. Mahar</w:t>
            </w:r>
          </w:p>
          <w:p w14:paraId="5A3842DD" w14:textId="77777777" w:rsidR="0014760B" w:rsidRPr="0014760B" w:rsidRDefault="0014760B" w:rsidP="00FA73BA">
            <w:pPr>
              <w:tabs>
                <w:tab w:val="center" w:pos="4680"/>
              </w:tabs>
              <w:jc w:val="both"/>
              <w:rPr>
                <w:rFonts w:ascii="Times New Roman" w:eastAsiaTheme="minorEastAsia" w:hAnsi="Times New Roman" w:cs="Times New Roman"/>
                <w:bCs/>
                <w:sz w:val="28"/>
                <w:szCs w:val="28"/>
                <w:lang w:val="en-CA" w:eastAsia="en-CA"/>
              </w:rPr>
            </w:pPr>
          </w:p>
        </w:tc>
      </w:tr>
    </w:tbl>
    <w:p w14:paraId="6A3B4A24" w14:textId="77777777" w:rsidR="0014760B" w:rsidRPr="0014760B" w:rsidRDefault="0014760B" w:rsidP="0014760B">
      <w:pPr>
        <w:tabs>
          <w:tab w:val="center" w:pos="4680"/>
        </w:tabs>
        <w:jc w:val="both"/>
        <w:rPr>
          <w:rFonts w:ascii="Times New Roman" w:hAnsi="Times New Roman" w:cs="Times New Roman"/>
          <w:bCs/>
          <w:sz w:val="28"/>
          <w:szCs w:val="28"/>
        </w:rPr>
      </w:pPr>
    </w:p>
    <w:p w14:paraId="046B58DC" w14:textId="5B2BCFCD" w:rsidR="0014760B" w:rsidRPr="0014760B" w:rsidRDefault="0014760B" w:rsidP="00404711">
      <w:pPr>
        <w:tabs>
          <w:tab w:val="center" w:pos="4680"/>
        </w:tabs>
        <w:jc w:val="both"/>
        <w:rPr>
          <w:rFonts w:ascii="Times New Roman" w:hAnsi="Times New Roman" w:cs="Times New Roman"/>
          <w:bCs/>
          <w:sz w:val="28"/>
          <w:szCs w:val="28"/>
        </w:rPr>
      </w:pPr>
      <w:r w:rsidRPr="0014760B">
        <w:rPr>
          <w:rFonts w:ascii="Times New Roman" w:hAnsi="Times New Roman" w:cs="Times New Roman"/>
          <w:bCs/>
          <w:sz w:val="28"/>
          <w:szCs w:val="28"/>
        </w:rPr>
        <w:tab/>
      </w:r>
    </w:p>
    <w:p w14:paraId="2149FDC2" w14:textId="1ED088C1" w:rsidR="0014760B" w:rsidRPr="0014760B" w:rsidRDefault="0014760B" w:rsidP="00FA29C7">
      <w:pPr>
        <w:tabs>
          <w:tab w:val="left" w:pos="-1440"/>
        </w:tabs>
        <w:ind w:left="720" w:right="720" w:hanging="720"/>
        <w:jc w:val="both"/>
        <w:rPr>
          <w:rFonts w:ascii="Times New Roman" w:hAnsi="Times New Roman" w:cs="Times New Roman"/>
          <w:bCs/>
          <w:sz w:val="28"/>
          <w:szCs w:val="28"/>
        </w:rPr>
      </w:pPr>
      <w:r w:rsidRPr="0014760B">
        <w:rPr>
          <w:rFonts w:ascii="Times New Roman" w:hAnsi="Times New Roman" w:cs="Times New Roman"/>
          <w:bCs/>
          <w:sz w:val="28"/>
          <w:szCs w:val="28"/>
        </w:rPr>
        <w:t>1.</w:t>
      </w:r>
      <w:r w:rsidRPr="0014760B">
        <w:rPr>
          <w:rFonts w:ascii="Times New Roman" w:hAnsi="Times New Roman" w:cs="Times New Roman"/>
          <w:bCs/>
          <w:sz w:val="28"/>
          <w:szCs w:val="28"/>
        </w:rPr>
        <w:tab/>
        <w:t xml:space="preserve">An error occurred on page </w:t>
      </w:r>
      <w:r w:rsidR="00673499">
        <w:rPr>
          <w:rFonts w:ascii="Times New Roman" w:hAnsi="Times New Roman" w:cs="Times New Roman"/>
          <w:bCs/>
          <w:sz w:val="28"/>
          <w:szCs w:val="28"/>
        </w:rPr>
        <w:t>9</w:t>
      </w:r>
      <w:r w:rsidRPr="0014760B">
        <w:rPr>
          <w:rFonts w:ascii="Times New Roman" w:hAnsi="Times New Roman" w:cs="Times New Roman"/>
          <w:bCs/>
          <w:sz w:val="28"/>
          <w:szCs w:val="28"/>
        </w:rPr>
        <w:t xml:space="preserve">, </w:t>
      </w:r>
      <w:r w:rsidR="00914B1F">
        <w:rPr>
          <w:rFonts w:ascii="Times New Roman" w:hAnsi="Times New Roman" w:cs="Times New Roman"/>
          <w:bCs/>
          <w:sz w:val="28"/>
          <w:szCs w:val="28"/>
        </w:rPr>
        <w:t>at paragraphs 29 and 30 where the respondent</w:t>
      </w:r>
      <w:r w:rsidR="00790974">
        <w:rPr>
          <w:rFonts w:ascii="Times New Roman" w:hAnsi="Times New Roman" w:cs="Times New Roman"/>
          <w:bCs/>
          <w:sz w:val="28"/>
          <w:szCs w:val="28"/>
        </w:rPr>
        <w:t xml:space="preserve">’s name was misspelled as </w:t>
      </w:r>
      <w:proofErr w:type="spellStart"/>
      <w:r w:rsidR="00790974" w:rsidRPr="00404711">
        <w:rPr>
          <w:rFonts w:ascii="Times New Roman" w:hAnsi="Times New Roman" w:cs="Times New Roman"/>
          <w:b/>
          <w:sz w:val="28"/>
          <w:szCs w:val="28"/>
          <w:u w:val="single"/>
        </w:rPr>
        <w:t>Kreuzi</w:t>
      </w:r>
      <w:proofErr w:type="spellEnd"/>
      <w:r w:rsidR="00790974" w:rsidRPr="00404711">
        <w:rPr>
          <w:rFonts w:ascii="Times New Roman" w:hAnsi="Times New Roman" w:cs="Times New Roman"/>
          <w:b/>
          <w:sz w:val="28"/>
          <w:szCs w:val="28"/>
          <w:u w:val="single"/>
        </w:rPr>
        <w:t>.</w:t>
      </w:r>
      <w:r w:rsidR="00790974">
        <w:rPr>
          <w:rFonts w:ascii="Times New Roman" w:hAnsi="Times New Roman" w:cs="Times New Roman"/>
          <w:bCs/>
          <w:sz w:val="28"/>
          <w:szCs w:val="28"/>
        </w:rPr>
        <w:t xml:space="preserve">  Those instances have been corrected to read</w:t>
      </w:r>
      <w:r w:rsidR="00404711">
        <w:rPr>
          <w:rFonts w:ascii="Times New Roman" w:hAnsi="Times New Roman" w:cs="Times New Roman"/>
          <w:bCs/>
          <w:sz w:val="28"/>
          <w:szCs w:val="28"/>
        </w:rPr>
        <w:t>:</w:t>
      </w:r>
    </w:p>
    <w:p w14:paraId="2E98AE21" w14:textId="70473904" w:rsidR="0014760B" w:rsidRDefault="0014760B" w:rsidP="0014760B">
      <w:pPr>
        <w:rPr>
          <w:rFonts w:ascii="Times New Roman" w:hAnsi="Times New Roman" w:cs="Times New Roman"/>
          <w:bCs/>
          <w:sz w:val="28"/>
          <w:szCs w:val="28"/>
        </w:rPr>
      </w:pPr>
      <w:r w:rsidRPr="0014760B">
        <w:rPr>
          <w:rFonts w:ascii="Times New Roman" w:hAnsi="Times New Roman" w:cs="Times New Roman"/>
          <w:bCs/>
          <w:sz w:val="28"/>
          <w:szCs w:val="28"/>
        </w:rPr>
        <w:tab/>
      </w:r>
      <w:r w:rsidRPr="0014760B">
        <w:rPr>
          <w:rFonts w:ascii="Times New Roman" w:hAnsi="Times New Roman" w:cs="Times New Roman"/>
          <w:bCs/>
          <w:sz w:val="28"/>
          <w:szCs w:val="28"/>
        </w:rPr>
        <w:tab/>
      </w:r>
      <w:r w:rsidR="001837C5">
        <w:rPr>
          <w:rFonts w:ascii="Times New Roman" w:hAnsi="Times New Roman" w:cs="Times New Roman"/>
          <w:bCs/>
          <w:sz w:val="28"/>
          <w:szCs w:val="28"/>
        </w:rPr>
        <w:t>[29]</w:t>
      </w:r>
      <w:r w:rsidR="001837C5">
        <w:rPr>
          <w:rFonts w:ascii="Times New Roman" w:hAnsi="Times New Roman" w:cs="Times New Roman"/>
          <w:bCs/>
          <w:sz w:val="28"/>
          <w:szCs w:val="28"/>
        </w:rPr>
        <w:tab/>
        <w:t xml:space="preserve">(…) </w:t>
      </w:r>
      <w:r w:rsidR="00480456">
        <w:rPr>
          <w:rFonts w:ascii="Times New Roman" w:hAnsi="Times New Roman" w:cs="Times New Roman"/>
          <w:bCs/>
          <w:sz w:val="28"/>
          <w:szCs w:val="28"/>
        </w:rPr>
        <w:t xml:space="preserve">find in favour of the respondent </w:t>
      </w:r>
      <w:proofErr w:type="spellStart"/>
      <w:r w:rsidR="00480456" w:rsidRPr="00404711">
        <w:rPr>
          <w:rFonts w:ascii="Times New Roman" w:hAnsi="Times New Roman" w:cs="Times New Roman"/>
          <w:b/>
          <w:sz w:val="28"/>
          <w:szCs w:val="28"/>
          <w:u w:val="single"/>
        </w:rPr>
        <w:t>Kruezi</w:t>
      </w:r>
      <w:proofErr w:type="spellEnd"/>
      <w:r w:rsidR="00480456">
        <w:rPr>
          <w:rFonts w:ascii="Times New Roman" w:hAnsi="Times New Roman" w:cs="Times New Roman"/>
          <w:bCs/>
          <w:sz w:val="28"/>
          <w:szCs w:val="28"/>
        </w:rPr>
        <w:t xml:space="preserve"> in the action.</w:t>
      </w:r>
    </w:p>
    <w:p w14:paraId="1B6FDC31" w14:textId="3F662971" w:rsidR="00E8414F" w:rsidRDefault="00E8414F" w:rsidP="0014760B">
      <w:pP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And</w:t>
      </w:r>
    </w:p>
    <w:p w14:paraId="0F462C50" w14:textId="11D03361" w:rsidR="00E8414F" w:rsidRPr="0014760B" w:rsidRDefault="00E8414F" w:rsidP="00E8414F">
      <w:pPr>
        <w:ind w:left="1440" w:hanging="1440"/>
        <w:rPr>
          <w:rFonts w:ascii="Times New Roman" w:hAnsi="Times New Roman" w:cs="Times New Roman"/>
          <w:bCs/>
          <w:sz w:val="28"/>
          <w:szCs w:val="28"/>
        </w:rPr>
      </w:pPr>
      <w:r>
        <w:rPr>
          <w:rFonts w:ascii="Times New Roman" w:hAnsi="Times New Roman" w:cs="Times New Roman"/>
          <w:bCs/>
          <w:sz w:val="28"/>
          <w:szCs w:val="28"/>
        </w:rPr>
        <w:tab/>
        <w:t>[30]</w:t>
      </w:r>
      <w:r>
        <w:rPr>
          <w:rFonts w:ascii="Times New Roman" w:hAnsi="Times New Roman" w:cs="Times New Roman"/>
          <w:bCs/>
          <w:sz w:val="28"/>
          <w:szCs w:val="28"/>
        </w:rPr>
        <w:tab/>
        <w:t xml:space="preserve">(…) Costs are awarded to the respondent </w:t>
      </w:r>
      <w:proofErr w:type="spellStart"/>
      <w:r w:rsidRPr="00404711">
        <w:rPr>
          <w:rFonts w:ascii="Times New Roman" w:hAnsi="Times New Roman" w:cs="Times New Roman"/>
          <w:b/>
          <w:sz w:val="28"/>
          <w:szCs w:val="28"/>
          <w:u w:val="single"/>
        </w:rPr>
        <w:t>Kruezi</w:t>
      </w:r>
      <w:proofErr w:type="spellEnd"/>
      <w:r>
        <w:rPr>
          <w:rFonts w:ascii="Times New Roman" w:hAnsi="Times New Roman" w:cs="Times New Roman"/>
          <w:bCs/>
          <w:sz w:val="28"/>
          <w:szCs w:val="28"/>
        </w:rPr>
        <w:t xml:space="preserve"> on a party and party basis as per the regulations. </w:t>
      </w:r>
    </w:p>
    <w:p w14:paraId="325CF9BC" w14:textId="77777777" w:rsidR="0014760B" w:rsidRDefault="0014760B" w:rsidP="0014760B">
      <w:pPr>
        <w:jc w:val="both"/>
        <w:rPr>
          <w:rFonts w:ascii="Times New Roman" w:hAnsi="Times New Roman" w:cs="Times New Roman"/>
          <w:bCs/>
          <w:sz w:val="28"/>
          <w:szCs w:val="28"/>
        </w:rPr>
      </w:pPr>
    </w:p>
    <w:p w14:paraId="6E53CA39" w14:textId="77777777" w:rsidR="00FA29C7" w:rsidRPr="0014760B" w:rsidRDefault="00FA29C7" w:rsidP="0014760B">
      <w:pPr>
        <w:jc w:val="both"/>
        <w:rPr>
          <w:rFonts w:ascii="Times New Roman" w:hAnsi="Times New Roman" w:cs="Times New Roman"/>
          <w:bCs/>
          <w:sz w:val="28"/>
          <w:szCs w:val="28"/>
        </w:rPr>
      </w:pPr>
    </w:p>
    <w:p w14:paraId="06ABD424" w14:textId="033B6DAD" w:rsidR="0014760B" w:rsidRPr="0014760B" w:rsidRDefault="0014760B" w:rsidP="0014760B">
      <w:pPr>
        <w:jc w:val="both"/>
        <w:rPr>
          <w:rFonts w:ascii="Times New Roman" w:hAnsi="Times New Roman" w:cs="Times New Roman"/>
          <w:bCs/>
          <w:sz w:val="28"/>
          <w:szCs w:val="28"/>
        </w:rPr>
      </w:pPr>
      <w:r w:rsidRPr="0014760B">
        <w:rPr>
          <w:rFonts w:ascii="Times New Roman" w:hAnsi="Times New Roman" w:cs="Times New Roman"/>
          <w:bCs/>
          <w:sz w:val="28"/>
          <w:szCs w:val="28"/>
        </w:rPr>
        <w:t>2.</w:t>
      </w:r>
      <w:r w:rsidRPr="0014760B">
        <w:rPr>
          <w:rFonts w:ascii="Times New Roman" w:hAnsi="Times New Roman" w:cs="Times New Roman"/>
          <w:bCs/>
          <w:sz w:val="28"/>
          <w:szCs w:val="28"/>
        </w:rPr>
        <w:tab/>
        <w:t>The citation has been amended to read:</w:t>
      </w:r>
    </w:p>
    <w:p w14:paraId="6CDAB2CF" w14:textId="59218805" w:rsidR="002A5083" w:rsidRDefault="0014760B" w:rsidP="00695A7B">
      <w:pPr>
        <w:rPr>
          <w:rFonts w:ascii="Times New Roman" w:hAnsi="Times New Roman" w:cs="Times New Roman"/>
          <w:bCs/>
          <w:sz w:val="28"/>
          <w:szCs w:val="28"/>
        </w:rPr>
      </w:pPr>
      <w:r w:rsidRPr="0014760B">
        <w:rPr>
          <w:rFonts w:ascii="Times New Roman" w:hAnsi="Times New Roman" w:cs="Times New Roman"/>
          <w:bCs/>
          <w:sz w:val="28"/>
          <w:szCs w:val="28"/>
        </w:rPr>
        <w:tab/>
      </w:r>
      <w:proofErr w:type="spellStart"/>
      <w:r w:rsidR="00695A7B" w:rsidRPr="00695A7B">
        <w:rPr>
          <w:rFonts w:ascii="Times New Roman" w:hAnsi="Times New Roman" w:cs="Times New Roman"/>
          <w:bCs/>
          <w:i/>
          <w:iCs/>
          <w:sz w:val="28"/>
          <w:szCs w:val="28"/>
        </w:rPr>
        <w:t>Kruezi</w:t>
      </w:r>
      <w:proofErr w:type="spellEnd"/>
      <w:r w:rsidR="00695A7B" w:rsidRPr="00695A7B">
        <w:rPr>
          <w:rFonts w:ascii="Times New Roman" w:hAnsi="Times New Roman" w:cs="Times New Roman"/>
          <w:bCs/>
          <w:i/>
          <w:iCs/>
          <w:sz w:val="28"/>
          <w:szCs w:val="28"/>
        </w:rPr>
        <w:t xml:space="preserve"> v Aviva Insurance Company of Canada</w:t>
      </w:r>
      <w:r w:rsidR="00695A7B">
        <w:rPr>
          <w:rFonts w:ascii="Times New Roman" w:hAnsi="Times New Roman" w:cs="Times New Roman"/>
          <w:bCs/>
          <w:sz w:val="28"/>
          <w:szCs w:val="28"/>
        </w:rPr>
        <w:t xml:space="preserve">, 2024 NWTSC </w:t>
      </w:r>
      <w:proofErr w:type="gramStart"/>
      <w:r w:rsidR="00695A7B">
        <w:rPr>
          <w:rFonts w:ascii="Times New Roman" w:hAnsi="Times New Roman" w:cs="Times New Roman"/>
          <w:bCs/>
          <w:sz w:val="28"/>
          <w:szCs w:val="28"/>
        </w:rPr>
        <w:t>20</w:t>
      </w:r>
      <w:r w:rsidRPr="0014760B">
        <w:rPr>
          <w:rFonts w:ascii="Times New Roman" w:hAnsi="Times New Roman" w:cs="Times New Roman"/>
          <w:bCs/>
          <w:sz w:val="28"/>
          <w:szCs w:val="28"/>
        </w:rPr>
        <w:t>.cor</w:t>
      </w:r>
      <w:proofErr w:type="gramEnd"/>
      <w:r w:rsidRPr="0014760B">
        <w:rPr>
          <w:rFonts w:ascii="Times New Roman" w:hAnsi="Times New Roman" w:cs="Times New Roman"/>
          <w:bCs/>
          <w:sz w:val="28"/>
          <w:szCs w:val="28"/>
        </w:rPr>
        <w:t>1</w:t>
      </w:r>
    </w:p>
    <w:p w14:paraId="155B8E95" w14:textId="77777777" w:rsidR="00404711" w:rsidRDefault="00404711" w:rsidP="00695A7B">
      <w:pPr>
        <w:rPr>
          <w:rFonts w:ascii="Times New Roman" w:hAnsi="Times New Roman" w:cs="Times New Roman"/>
          <w:bCs/>
          <w:sz w:val="28"/>
          <w:szCs w:val="28"/>
        </w:rPr>
      </w:pPr>
    </w:p>
    <w:p w14:paraId="7A1E63C7" w14:textId="77777777" w:rsidR="00404711" w:rsidRDefault="00404711" w:rsidP="00695A7B">
      <w:pPr>
        <w:rPr>
          <w:rFonts w:ascii="Times New Roman" w:hAnsi="Times New Roman" w:cs="Times New Roman"/>
          <w:bCs/>
          <w:sz w:val="28"/>
          <w:szCs w:val="28"/>
        </w:rPr>
      </w:pPr>
    </w:p>
    <w:p w14:paraId="52C83D97" w14:textId="7479A791" w:rsidR="00404711" w:rsidRDefault="00404711" w:rsidP="00404711">
      <w:pPr>
        <w:ind w:firstLine="720"/>
        <w:rPr>
          <w:rFonts w:ascii="Times New Roman" w:hAnsi="Times New Roman" w:cs="Times New Roman"/>
          <w:bCs/>
          <w:sz w:val="28"/>
          <w:szCs w:val="28"/>
        </w:rPr>
      </w:pPr>
      <w:r>
        <w:rPr>
          <w:rFonts w:ascii="Times New Roman" w:hAnsi="Times New Roman" w:cs="Times New Roman"/>
          <w:bCs/>
          <w:sz w:val="28"/>
          <w:szCs w:val="28"/>
        </w:rPr>
        <w:t>(The changes to the text of the document are highlighted and underlined)</w:t>
      </w:r>
    </w:p>
    <w:p w14:paraId="2821AC23" w14:textId="77777777" w:rsidR="00881BDF" w:rsidRPr="00695A7B" w:rsidRDefault="00881BDF" w:rsidP="00695A7B">
      <w:pPr>
        <w:rPr>
          <w:rFonts w:ascii="Times New Roman" w:hAnsi="Times New Roman" w:cs="Times New Roman"/>
          <w:bCs/>
          <w:sz w:val="28"/>
          <w:szCs w:val="28"/>
        </w:rPr>
      </w:pPr>
    </w:p>
    <w:p w14:paraId="17DE35AE" w14:textId="77777777" w:rsidR="00707EAE" w:rsidRPr="006B3C9A" w:rsidRDefault="00707EAE" w:rsidP="006B3C9A">
      <w:pPr>
        <w:spacing w:after="0" w:line="240" w:lineRule="auto"/>
        <w:jc w:val="both"/>
        <w:rPr>
          <w:rFonts w:ascii="Times New Roman" w:hAnsi="Times New Roman" w:cs="Times New Roman"/>
          <w:sz w:val="28"/>
          <w:szCs w:val="28"/>
        </w:rPr>
        <w:sectPr w:rsidR="00707EAE" w:rsidRPr="006B3C9A" w:rsidSect="008C09DB">
          <w:headerReference w:type="default" r:id="rId14"/>
          <w:type w:val="continuous"/>
          <w:pgSz w:w="12240" w:h="15840"/>
          <w:pgMar w:top="1440" w:right="1440" w:bottom="1440" w:left="1440" w:header="720" w:footer="720" w:gutter="0"/>
          <w:cols w:space="720"/>
          <w:titlePg/>
          <w:docGrid w:linePitch="360"/>
        </w:sectPr>
      </w:pPr>
      <w:r w:rsidRPr="006B3C9A">
        <w:rPr>
          <w:rFonts w:ascii="Times New Roman" w:hAnsi="Times New Roman" w:cs="Times New Roman"/>
          <w:sz w:val="28"/>
          <w:szCs w:val="28"/>
        </w:rPr>
        <w:br w:type="page"/>
      </w:r>
    </w:p>
    <w:p w14:paraId="17DE35AF" w14:textId="77777777" w:rsidR="00707EAE" w:rsidRPr="006B3C9A" w:rsidRDefault="00707EAE" w:rsidP="006B3C9A">
      <w:pPr>
        <w:spacing w:after="0" w:line="240" w:lineRule="auto"/>
        <w:jc w:val="both"/>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084"/>
      </w:tblGrid>
      <w:tr w:rsidR="00707EAE" w:rsidRPr="006B3C9A" w14:paraId="17DE35B1" w14:textId="77777777" w:rsidTr="00B12DD7">
        <w:tc>
          <w:tcPr>
            <w:tcW w:w="6084" w:type="dxa"/>
          </w:tcPr>
          <w:p w14:paraId="75B71BC6" w14:textId="77777777" w:rsidR="00830356" w:rsidRDefault="00830356" w:rsidP="009900CE">
            <w:pPr>
              <w:jc w:val="right"/>
              <w:rPr>
                <w:rFonts w:ascii="Times New Roman" w:hAnsi="Times New Roman" w:cs="Times New Roman"/>
                <w:sz w:val="28"/>
                <w:szCs w:val="28"/>
              </w:rPr>
            </w:pPr>
          </w:p>
          <w:p w14:paraId="17DE35B0" w14:textId="1B7BC166" w:rsidR="00707EAE" w:rsidRPr="006B3C9A" w:rsidRDefault="009900CE" w:rsidP="009900CE">
            <w:pPr>
              <w:jc w:val="right"/>
              <w:rPr>
                <w:rFonts w:ascii="Times New Roman" w:hAnsi="Times New Roman" w:cs="Times New Roman"/>
                <w:sz w:val="28"/>
                <w:szCs w:val="28"/>
              </w:rPr>
            </w:pPr>
            <w:r>
              <w:rPr>
                <w:rFonts w:ascii="Times New Roman" w:hAnsi="Times New Roman" w:cs="Times New Roman"/>
                <w:sz w:val="28"/>
                <w:szCs w:val="28"/>
              </w:rPr>
              <w:t>S-1-CV 20</w:t>
            </w:r>
            <w:r w:rsidR="0002374D">
              <w:rPr>
                <w:rFonts w:ascii="Times New Roman" w:hAnsi="Times New Roman" w:cs="Times New Roman"/>
                <w:sz w:val="28"/>
                <w:szCs w:val="28"/>
              </w:rPr>
              <w:t>16-000209</w:t>
            </w:r>
          </w:p>
        </w:tc>
      </w:tr>
      <w:tr w:rsidR="00707EAE" w:rsidRPr="006B3C9A" w14:paraId="17DE35B6" w14:textId="77777777" w:rsidTr="00B12DD7">
        <w:tc>
          <w:tcPr>
            <w:tcW w:w="6084" w:type="dxa"/>
          </w:tcPr>
          <w:p w14:paraId="17DE35B2" w14:textId="77777777" w:rsidR="00707EAE" w:rsidRPr="006B3C9A" w:rsidRDefault="00707EAE" w:rsidP="001612F2">
            <w:pPr>
              <w:tabs>
                <w:tab w:val="center" w:pos="2784"/>
              </w:tabs>
              <w:jc w:val="center"/>
              <w:rPr>
                <w:rFonts w:ascii="Times New Roman" w:hAnsi="Times New Roman" w:cs="Times New Roman"/>
                <w:b/>
                <w:bCs/>
                <w:sz w:val="28"/>
                <w:szCs w:val="28"/>
                <w:lang w:val="en-GB"/>
              </w:rPr>
            </w:pPr>
          </w:p>
          <w:p w14:paraId="17DE35B3" w14:textId="77777777" w:rsidR="00707EAE" w:rsidRPr="006B3C9A" w:rsidRDefault="00707EAE" w:rsidP="001612F2">
            <w:pPr>
              <w:tabs>
                <w:tab w:val="center" w:pos="2784"/>
              </w:tabs>
              <w:jc w:val="center"/>
              <w:rPr>
                <w:rFonts w:ascii="Times New Roman" w:hAnsi="Times New Roman" w:cs="Times New Roman"/>
                <w:b/>
                <w:bCs/>
                <w:sz w:val="28"/>
                <w:szCs w:val="28"/>
                <w:lang w:val="en-GB"/>
              </w:rPr>
            </w:pPr>
            <w:r w:rsidRPr="006B3C9A">
              <w:rPr>
                <w:rFonts w:ascii="Times New Roman" w:hAnsi="Times New Roman" w:cs="Times New Roman"/>
                <w:b/>
                <w:bCs/>
                <w:sz w:val="28"/>
                <w:szCs w:val="28"/>
                <w:lang w:val="en-GB"/>
              </w:rPr>
              <w:t>IN THE SUPREME COURT OF THE</w:t>
            </w:r>
          </w:p>
          <w:p w14:paraId="17DE35B4" w14:textId="77777777" w:rsidR="00707EAE" w:rsidRPr="006B3C9A" w:rsidRDefault="00707EAE" w:rsidP="001612F2">
            <w:pPr>
              <w:tabs>
                <w:tab w:val="center" w:pos="2784"/>
                <w:tab w:val="left" w:pos="4740"/>
              </w:tabs>
              <w:jc w:val="center"/>
              <w:rPr>
                <w:rFonts w:ascii="Times New Roman" w:hAnsi="Times New Roman" w:cs="Times New Roman"/>
                <w:b/>
                <w:bCs/>
                <w:sz w:val="28"/>
                <w:szCs w:val="28"/>
                <w:lang w:val="en-GB"/>
              </w:rPr>
            </w:pPr>
            <w:r w:rsidRPr="006B3C9A">
              <w:rPr>
                <w:rFonts w:ascii="Times New Roman" w:hAnsi="Times New Roman" w:cs="Times New Roman"/>
                <w:b/>
                <w:bCs/>
                <w:sz w:val="28"/>
                <w:szCs w:val="28"/>
                <w:lang w:val="en-GB"/>
              </w:rPr>
              <w:t>NORTHWEST TERRITORIES</w:t>
            </w:r>
          </w:p>
          <w:p w14:paraId="17DE35B5" w14:textId="77777777" w:rsidR="00707EAE" w:rsidRPr="006B3C9A" w:rsidRDefault="00707EAE" w:rsidP="001612F2">
            <w:pPr>
              <w:pStyle w:val="NoSpacing"/>
              <w:jc w:val="center"/>
              <w:rPr>
                <w:rFonts w:ascii="Times New Roman" w:hAnsi="Times New Roman" w:cs="Times New Roman"/>
                <w:sz w:val="28"/>
                <w:szCs w:val="28"/>
                <w:lang w:val="en-GB"/>
              </w:rPr>
            </w:pPr>
          </w:p>
        </w:tc>
      </w:tr>
      <w:tr w:rsidR="00707EAE" w:rsidRPr="001612F2" w14:paraId="17DE35C5" w14:textId="77777777" w:rsidTr="00B12DD7">
        <w:tc>
          <w:tcPr>
            <w:tcW w:w="6084" w:type="dxa"/>
          </w:tcPr>
          <w:p w14:paraId="0EAB2704" w14:textId="77777777" w:rsidR="009900CE" w:rsidRDefault="009900CE" w:rsidP="006B3C9A">
            <w:pPr>
              <w:jc w:val="both"/>
              <w:rPr>
                <w:rFonts w:ascii="Times New Roman" w:hAnsi="Times New Roman" w:cs="Times New Roman"/>
                <w:sz w:val="28"/>
                <w:szCs w:val="28"/>
              </w:rPr>
            </w:pPr>
          </w:p>
          <w:p w14:paraId="449B73C8" w14:textId="217488A7" w:rsidR="00707EAE" w:rsidRDefault="009900CE" w:rsidP="006B3C9A">
            <w:pPr>
              <w:jc w:val="both"/>
              <w:rPr>
                <w:rFonts w:ascii="Times New Roman" w:hAnsi="Times New Roman" w:cs="Times New Roman"/>
                <w:sz w:val="28"/>
                <w:szCs w:val="28"/>
              </w:rPr>
            </w:pPr>
            <w:r>
              <w:rPr>
                <w:rFonts w:ascii="Times New Roman" w:hAnsi="Times New Roman" w:cs="Times New Roman"/>
                <w:sz w:val="28"/>
                <w:szCs w:val="28"/>
              </w:rPr>
              <w:t>BETWEEN:</w:t>
            </w:r>
          </w:p>
          <w:p w14:paraId="69EC7B5E" w14:textId="77777777" w:rsidR="00B12DD7" w:rsidRDefault="00B12DD7" w:rsidP="006B3C9A">
            <w:pPr>
              <w:jc w:val="both"/>
              <w:rPr>
                <w:rFonts w:ascii="Times New Roman" w:hAnsi="Times New Roman" w:cs="Times New Roman"/>
                <w:sz w:val="28"/>
                <w:szCs w:val="28"/>
              </w:rPr>
            </w:pPr>
          </w:p>
          <w:p w14:paraId="37E67A6E" w14:textId="77777777" w:rsidR="009900CE" w:rsidRDefault="009900CE" w:rsidP="009900CE">
            <w:pPr>
              <w:jc w:val="center"/>
              <w:rPr>
                <w:rFonts w:ascii="Times New Roman" w:hAnsi="Times New Roman" w:cs="Times New Roman"/>
                <w:sz w:val="28"/>
                <w:szCs w:val="28"/>
              </w:rPr>
            </w:pPr>
          </w:p>
          <w:p w14:paraId="091FB916" w14:textId="359F42B1" w:rsidR="009900CE" w:rsidRDefault="0002374D" w:rsidP="009900CE">
            <w:pPr>
              <w:jc w:val="center"/>
              <w:rPr>
                <w:rFonts w:ascii="Times New Roman" w:hAnsi="Times New Roman" w:cs="Times New Roman"/>
                <w:sz w:val="28"/>
                <w:szCs w:val="28"/>
              </w:rPr>
            </w:pPr>
            <w:r>
              <w:rPr>
                <w:rFonts w:ascii="Times New Roman" w:hAnsi="Times New Roman" w:cs="Times New Roman"/>
                <w:sz w:val="28"/>
                <w:szCs w:val="28"/>
              </w:rPr>
              <w:t>RAY KRUEZI</w:t>
            </w:r>
          </w:p>
          <w:p w14:paraId="11296961" w14:textId="77777777" w:rsidR="00830356" w:rsidRDefault="00830356" w:rsidP="009900CE">
            <w:pPr>
              <w:jc w:val="center"/>
              <w:rPr>
                <w:rFonts w:ascii="Times New Roman" w:hAnsi="Times New Roman" w:cs="Times New Roman"/>
                <w:sz w:val="28"/>
                <w:szCs w:val="28"/>
              </w:rPr>
            </w:pPr>
          </w:p>
          <w:p w14:paraId="210C445B" w14:textId="16305F62" w:rsidR="009900CE" w:rsidRPr="00394C45" w:rsidRDefault="0002374D" w:rsidP="009900CE">
            <w:pPr>
              <w:jc w:val="right"/>
              <w:rPr>
                <w:rFonts w:ascii="Times New Roman" w:eastAsia="Calibri" w:hAnsi="Times New Roman" w:cs="Times New Roman"/>
                <w:sz w:val="28"/>
                <w:szCs w:val="28"/>
              </w:rPr>
            </w:pPr>
            <w:r>
              <w:rPr>
                <w:rFonts w:ascii="Times New Roman" w:eastAsia="Calibri" w:hAnsi="Times New Roman" w:cs="Times New Roman"/>
                <w:sz w:val="28"/>
                <w:szCs w:val="28"/>
              </w:rPr>
              <w:t>Plaintiff (Respondent)</w:t>
            </w:r>
          </w:p>
          <w:p w14:paraId="7E5E948C" w14:textId="77777777" w:rsidR="00B12DD7" w:rsidRPr="00394C45" w:rsidRDefault="00B12DD7" w:rsidP="009900CE">
            <w:pPr>
              <w:jc w:val="right"/>
              <w:rPr>
                <w:rFonts w:ascii="Times New Roman" w:eastAsia="Calibri" w:hAnsi="Times New Roman" w:cs="Times New Roman"/>
                <w:sz w:val="28"/>
                <w:szCs w:val="28"/>
              </w:rPr>
            </w:pPr>
          </w:p>
          <w:p w14:paraId="6EA715D9" w14:textId="77777777" w:rsidR="009900CE" w:rsidRDefault="009900CE" w:rsidP="009900CE">
            <w:pPr>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-and-</w:t>
            </w:r>
          </w:p>
          <w:p w14:paraId="1AFE07EA" w14:textId="77777777" w:rsidR="009900CE" w:rsidRDefault="009900CE" w:rsidP="009900CE">
            <w:pPr>
              <w:jc w:val="center"/>
              <w:rPr>
                <w:rFonts w:ascii="Times New Roman" w:eastAsia="Calibri" w:hAnsi="Times New Roman" w:cs="Times New Roman"/>
                <w:sz w:val="28"/>
                <w:szCs w:val="28"/>
              </w:rPr>
            </w:pPr>
          </w:p>
          <w:p w14:paraId="76D9B575" w14:textId="77777777" w:rsidR="00B12DD7" w:rsidRDefault="00B12DD7" w:rsidP="009900CE">
            <w:pPr>
              <w:jc w:val="center"/>
              <w:rPr>
                <w:rFonts w:ascii="Times New Roman" w:eastAsia="Calibri" w:hAnsi="Times New Roman" w:cs="Times New Roman"/>
                <w:sz w:val="28"/>
                <w:szCs w:val="28"/>
              </w:rPr>
            </w:pPr>
          </w:p>
          <w:p w14:paraId="1E826D02" w14:textId="0C6CAA7E" w:rsidR="009900CE" w:rsidRDefault="0002374D" w:rsidP="009900CE">
            <w:pPr>
              <w:jc w:val="center"/>
              <w:rPr>
                <w:rFonts w:ascii="Times New Roman" w:eastAsia="Calibri" w:hAnsi="Times New Roman" w:cs="Times New Roman"/>
                <w:sz w:val="28"/>
                <w:szCs w:val="28"/>
              </w:rPr>
            </w:pPr>
            <w:r>
              <w:rPr>
                <w:rFonts w:ascii="Times New Roman" w:eastAsia="Calibri" w:hAnsi="Times New Roman" w:cs="Times New Roman"/>
                <w:sz w:val="28"/>
                <w:szCs w:val="28"/>
              </w:rPr>
              <w:t>AVIVA INSURANCE COMPANY OF CANADA</w:t>
            </w:r>
          </w:p>
          <w:p w14:paraId="61EF1BCC" w14:textId="77777777" w:rsidR="00830356" w:rsidRPr="0002374D" w:rsidRDefault="00830356" w:rsidP="009900CE">
            <w:pPr>
              <w:jc w:val="center"/>
              <w:rPr>
                <w:rFonts w:ascii="Times New Roman" w:eastAsia="Calibri" w:hAnsi="Times New Roman" w:cs="Times New Roman"/>
                <w:sz w:val="28"/>
                <w:szCs w:val="28"/>
              </w:rPr>
            </w:pPr>
          </w:p>
          <w:p w14:paraId="3E0F53AE" w14:textId="64EBBDBE" w:rsidR="009900CE" w:rsidRDefault="0002374D" w:rsidP="0002374D">
            <w:pPr>
              <w:jc w:val="right"/>
              <w:rPr>
                <w:rFonts w:ascii="Times New Roman" w:eastAsia="Calibri" w:hAnsi="Times New Roman" w:cs="Times New Roman"/>
                <w:sz w:val="28"/>
                <w:szCs w:val="28"/>
              </w:rPr>
            </w:pPr>
            <w:r>
              <w:rPr>
                <w:rFonts w:ascii="Times New Roman" w:eastAsia="Calibri" w:hAnsi="Times New Roman" w:cs="Times New Roman"/>
                <w:sz w:val="28"/>
                <w:szCs w:val="28"/>
              </w:rPr>
              <w:t>Defendant (Applicant)</w:t>
            </w:r>
          </w:p>
          <w:p w14:paraId="426CDEB7" w14:textId="77777777" w:rsidR="009900CE" w:rsidRDefault="009900CE" w:rsidP="006B3C9A">
            <w:pPr>
              <w:jc w:val="both"/>
              <w:rPr>
                <w:rFonts w:ascii="Times New Roman" w:hAnsi="Times New Roman" w:cs="Times New Roman"/>
                <w:sz w:val="28"/>
                <w:szCs w:val="28"/>
              </w:rPr>
            </w:pPr>
          </w:p>
          <w:p w14:paraId="79367531" w14:textId="77777777" w:rsidR="00401EAF" w:rsidRDefault="00401EAF" w:rsidP="00401EAF">
            <w:pPr>
              <w:rPr>
                <w:lang w:val="en-GB"/>
              </w:rPr>
            </w:pPr>
            <w:bookmarkStart w:id="3" w:name="_Hlk165016877"/>
          </w:p>
          <w:tbl>
            <w:tblPr>
              <w:tblW w:w="0" w:type="auto"/>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left w:w="264" w:type="dxa"/>
                <w:right w:w="264" w:type="dxa"/>
              </w:tblCellMar>
              <w:tblLook w:val="0000" w:firstRow="0" w:lastRow="0" w:firstColumn="0" w:lastColumn="0" w:noHBand="0" w:noVBand="0"/>
            </w:tblPr>
            <w:tblGrid>
              <w:gridCol w:w="5778"/>
            </w:tblGrid>
            <w:tr w:rsidR="00401EAF" w14:paraId="20A6D87E" w14:textId="77777777" w:rsidTr="00881BDF">
              <w:trPr>
                <w:trHeight w:val="833"/>
                <w:jc w:val="center"/>
              </w:trPr>
              <w:tc>
                <w:tcPr>
                  <w:tcW w:w="6718" w:type="dxa"/>
                </w:tcPr>
                <w:p w14:paraId="393AD269" w14:textId="77777777" w:rsidR="00401EAF" w:rsidRPr="004B2809" w:rsidRDefault="00401EAF" w:rsidP="00404711">
                  <w:pPr>
                    <w:framePr w:hSpace="180" w:wrap="around" w:hAnchor="margin" w:xAlign="right" w:y="510"/>
                    <w:spacing w:after="144"/>
                    <w:jc w:val="both"/>
                    <w:rPr>
                      <w:rFonts w:ascii="Times New Roman" w:hAnsi="Times New Roman" w:cs="Times New Roman"/>
                      <w:lang w:val="en-GB"/>
                    </w:rPr>
                  </w:pPr>
                  <w:bookmarkStart w:id="4" w:name="_Hlk165016799"/>
                  <w:r w:rsidRPr="004B2809">
                    <w:rPr>
                      <w:rFonts w:ascii="Times New Roman" w:hAnsi="Times New Roman" w:cs="Times New Roman"/>
                      <w:b/>
                      <w:bCs/>
                      <w:lang w:val="en-GB"/>
                    </w:rPr>
                    <w:t>Corrected judgment</w:t>
                  </w:r>
                  <w:r w:rsidRPr="004B2809">
                    <w:rPr>
                      <w:rFonts w:ascii="Times New Roman" w:hAnsi="Times New Roman" w:cs="Times New Roman"/>
                      <w:lang w:val="en-GB"/>
                    </w:rPr>
                    <w:t>: A corrigendum was issued on April 26, 2024; the corrections have been made to the text and the corrigendum is appended to this judgment.</w:t>
                  </w:r>
                </w:p>
              </w:tc>
            </w:tr>
            <w:bookmarkEnd w:id="4"/>
            <w:bookmarkEnd w:id="3"/>
          </w:tbl>
          <w:p w14:paraId="5A0A9884" w14:textId="77777777" w:rsidR="00401EAF" w:rsidRDefault="00401EAF" w:rsidP="006B3C9A">
            <w:pPr>
              <w:jc w:val="both"/>
              <w:rPr>
                <w:rFonts w:ascii="Times New Roman" w:hAnsi="Times New Roman" w:cs="Times New Roman"/>
                <w:sz w:val="28"/>
                <w:szCs w:val="28"/>
              </w:rPr>
            </w:pPr>
          </w:p>
          <w:p w14:paraId="17DE35C4" w14:textId="10E2B270" w:rsidR="009900CE" w:rsidRPr="001612F2" w:rsidRDefault="009900CE" w:rsidP="006B3C9A">
            <w:pPr>
              <w:jc w:val="both"/>
              <w:rPr>
                <w:rFonts w:ascii="Times New Roman" w:hAnsi="Times New Roman" w:cs="Times New Roman"/>
                <w:sz w:val="28"/>
                <w:szCs w:val="28"/>
              </w:rPr>
            </w:pPr>
          </w:p>
        </w:tc>
      </w:tr>
      <w:tr w:rsidR="00707EAE" w:rsidRPr="006B3C9A" w14:paraId="17DE35CA" w14:textId="77777777" w:rsidTr="00B12DD7">
        <w:tc>
          <w:tcPr>
            <w:tcW w:w="6084" w:type="dxa"/>
          </w:tcPr>
          <w:p w14:paraId="17DE35C6" w14:textId="77777777" w:rsidR="00707EAE" w:rsidRPr="006B3C9A" w:rsidRDefault="00707EAE" w:rsidP="00B12DD7">
            <w:pPr>
              <w:tabs>
                <w:tab w:val="left" w:pos="720"/>
                <w:tab w:val="left" w:pos="1452"/>
                <w:tab w:val="left" w:pos="2392"/>
              </w:tabs>
              <w:rPr>
                <w:rFonts w:ascii="Times New Roman" w:hAnsi="Times New Roman" w:cs="Times New Roman"/>
                <w:sz w:val="28"/>
                <w:szCs w:val="28"/>
                <w:lang w:val="en-GB"/>
              </w:rPr>
            </w:pPr>
          </w:p>
          <w:p w14:paraId="0C1E420D" w14:textId="55B7F35B" w:rsidR="009900CE" w:rsidRDefault="0002374D" w:rsidP="001612F2">
            <w:pPr>
              <w:tabs>
                <w:tab w:val="left" w:pos="720"/>
                <w:tab w:val="left" w:pos="1452"/>
                <w:tab w:val="left" w:pos="2392"/>
              </w:tabs>
              <w:jc w:val="center"/>
              <w:rPr>
                <w:rFonts w:ascii="Times New Roman" w:hAnsi="Times New Roman" w:cs="Times New Roman"/>
                <w:bCs/>
                <w:sz w:val="28"/>
                <w:szCs w:val="28"/>
                <w:lang w:val="en-CA"/>
              </w:rPr>
            </w:pPr>
            <w:r>
              <w:rPr>
                <w:rFonts w:ascii="Times New Roman" w:hAnsi="Times New Roman" w:cs="Times New Roman"/>
                <w:bCs/>
                <w:sz w:val="28"/>
                <w:szCs w:val="28"/>
                <w:lang w:val="en-CA"/>
              </w:rPr>
              <w:t>MEMORANDUM OF JUDGMENT</w:t>
            </w:r>
          </w:p>
          <w:p w14:paraId="17DE35C7" w14:textId="11A899BA" w:rsidR="00707EAE" w:rsidRPr="00994151" w:rsidRDefault="00994151" w:rsidP="001612F2">
            <w:pPr>
              <w:tabs>
                <w:tab w:val="left" w:pos="720"/>
                <w:tab w:val="left" w:pos="1452"/>
                <w:tab w:val="left" w:pos="2392"/>
              </w:tabs>
              <w:jc w:val="center"/>
              <w:rPr>
                <w:rFonts w:ascii="Times New Roman" w:hAnsi="Times New Roman" w:cs="Times New Roman"/>
                <w:bCs/>
                <w:sz w:val="28"/>
                <w:szCs w:val="28"/>
                <w:lang w:val="en-GB"/>
              </w:rPr>
            </w:pPr>
            <w:r w:rsidRPr="00994151">
              <w:rPr>
                <w:rFonts w:ascii="Times New Roman" w:hAnsi="Times New Roman" w:cs="Times New Roman"/>
                <w:bCs/>
                <w:sz w:val="28"/>
                <w:szCs w:val="28"/>
                <w:lang w:val="en-CA"/>
              </w:rPr>
              <w:t>OF</w:t>
            </w:r>
          </w:p>
          <w:p w14:paraId="17DE35C8" w14:textId="2694F872" w:rsidR="00707EAE" w:rsidRPr="00994151" w:rsidRDefault="00707EAE" w:rsidP="001612F2">
            <w:pPr>
              <w:tabs>
                <w:tab w:val="left" w:pos="720"/>
                <w:tab w:val="left" w:pos="1452"/>
                <w:tab w:val="left" w:pos="2392"/>
              </w:tabs>
              <w:jc w:val="center"/>
              <w:rPr>
                <w:rFonts w:ascii="Times New Roman" w:hAnsi="Times New Roman" w:cs="Times New Roman"/>
                <w:bCs/>
                <w:sz w:val="28"/>
                <w:szCs w:val="28"/>
                <w:lang w:val="en-GB"/>
              </w:rPr>
            </w:pPr>
            <w:r w:rsidRPr="00994151">
              <w:rPr>
                <w:rFonts w:ascii="Times New Roman" w:hAnsi="Times New Roman" w:cs="Times New Roman"/>
                <w:bCs/>
                <w:sz w:val="28"/>
                <w:szCs w:val="28"/>
                <w:lang w:val="en-GB"/>
              </w:rPr>
              <w:t xml:space="preserve">THE HONOURABLE JUSTICE </w:t>
            </w:r>
            <w:r w:rsidR="0002374D">
              <w:rPr>
                <w:rFonts w:ascii="Times New Roman" w:hAnsi="Times New Roman" w:cs="Times New Roman"/>
                <w:bCs/>
                <w:sz w:val="28"/>
                <w:szCs w:val="28"/>
                <w:lang w:val="en-GB"/>
              </w:rPr>
              <w:t>A.M. MAHAR</w:t>
            </w:r>
          </w:p>
          <w:p w14:paraId="17DE35C9" w14:textId="77777777" w:rsidR="00707EAE" w:rsidRPr="006B3C9A" w:rsidRDefault="00707EAE" w:rsidP="006B3C9A">
            <w:pPr>
              <w:tabs>
                <w:tab w:val="left" w:pos="720"/>
                <w:tab w:val="left" w:pos="1452"/>
                <w:tab w:val="left" w:pos="2392"/>
              </w:tabs>
              <w:jc w:val="both"/>
              <w:rPr>
                <w:rFonts w:ascii="Times New Roman" w:hAnsi="Times New Roman" w:cs="Times New Roman"/>
                <w:sz w:val="28"/>
                <w:szCs w:val="28"/>
                <w:lang w:val="en-GB"/>
              </w:rPr>
            </w:pPr>
          </w:p>
        </w:tc>
      </w:tr>
    </w:tbl>
    <w:p w14:paraId="17DE35CB" w14:textId="77777777" w:rsidR="001F5970" w:rsidRPr="006B3C9A" w:rsidRDefault="001F5970" w:rsidP="006B3C9A">
      <w:pPr>
        <w:spacing w:after="0" w:line="240" w:lineRule="auto"/>
        <w:jc w:val="both"/>
        <w:rPr>
          <w:rFonts w:ascii="Times New Roman" w:hAnsi="Times New Roman" w:cs="Times New Roman"/>
          <w:sz w:val="28"/>
          <w:szCs w:val="28"/>
        </w:rPr>
        <w:sectPr w:rsidR="001F5970" w:rsidRPr="006B3C9A" w:rsidSect="00707EAE">
          <w:pgSz w:w="12240" w:h="15840"/>
          <w:pgMar w:top="1440" w:right="810" w:bottom="1440" w:left="1440" w:header="720" w:footer="720" w:gutter="0"/>
          <w:cols w:space="720"/>
          <w:titlePg/>
          <w:docGrid w:linePitch="360"/>
        </w:sectPr>
      </w:pPr>
    </w:p>
    <w:p w14:paraId="17DE35CC" w14:textId="77777777" w:rsidR="000812FA" w:rsidRPr="006B3C9A" w:rsidRDefault="000812FA" w:rsidP="006B3C9A">
      <w:pPr>
        <w:tabs>
          <w:tab w:val="right" w:pos="4230"/>
        </w:tabs>
        <w:spacing w:after="0" w:line="240" w:lineRule="auto"/>
        <w:ind w:right="-432"/>
        <w:jc w:val="both"/>
        <w:rPr>
          <w:rFonts w:ascii="Times New Roman" w:hAnsi="Times New Roman" w:cs="Times New Roman"/>
          <w:sz w:val="28"/>
          <w:szCs w:val="28"/>
          <w:u w:val="single"/>
        </w:rPr>
      </w:pPr>
    </w:p>
    <w:p w14:paraId="17DE35CD" w14:textId="77777777" w:rsidR="006B3C9A" w:rsidRPr="006B3C9A" w:rsidRDefault="006B3C9A">
      <w:pPr>
        <w:tabs>
          <w:tab w:val="right" w:pos="4230"/>
        </w:tabs>
        <w:spacing w:after="0" w:line="240" w:lineRule="auto"/>
        <w:ind w:right="-432"/>
        <w:jc w:val="both"/>
        <w:rPr>
          <w:rFonts w:ascii="Times New Roman" w:hAnsi="Times New Roman" w:cs="Times New Roman"/>
          <w:sz w:val="28"/>
          <w:szCs w:val="28"/>
          <w:u w:val="single"/>
        </w:rPr>
      </w:pPr>
    </w:p>
    <w:sectPr w:rsidR="006B3C9A" w:rsidRPr="006B3C9A" w:rsidSect="000812FA">
      <w:headerReference w:type="default" r:id="rId15"/>
      <w:headerReference w:type="first" r:id="rId16"/>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8E64" w14:textId="77777777" w:rsidR="00424FC1" w:rsidRDefault="00424FC1" w:rsidP="005B5B19">
      <w:pPr>
        <w:spacing w:after="0" w:line="240" w:lineRule="auto"/>
      </w:pPr>
      <w:r>
        <w:separator/>
      </w:r>
    </w:p>
  </w:endnote>
  <w:endnote w:type="continuationSeparator" w:id="0">
    <w:p w14:paraId="65A59D3D" w14:textId="77777777" w:rsidR="00424FC1" w:rsidRDefault="00424FC1" w:rsidP="005B5B19">
      <w:pPr>
        <w:spacing w:after="0" w:line="240" w:lineRule="auto"/>
      </w:pPr>
      <w:r>
        <w:continuationSeparator/>
      </w:r>
    </w:p>
  </w:endnote>
  <w:endnote w:type="continuationNotice" w:id="1">
    <w:p w14:paraId="6F3BDF50" w14:textId="77777777" w:rsidR="00424FC1" w:rsidRDefault="00424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983C" w14:textId="77777777" w:rsidR="00424FC1" w:rsidRDefault="00424FC1" w:rsidP="005B5B19">
      <w:pPr>
        <w:spacing w:after="0" w:line="240" w:lineRule="auto"/>
      </w:pPr>
      <w:r>
        <w:separator/>
      </w:r>
    </w:p>
  </w:footnote>
  <w:footnote w:type="continuationSeparator" w:id="0">
    <w:p w14:paraId="42724A42" w14:textId="77777777" w:rsidR="00424FC1" w:rsidRDefault="00424FC1" w:rsidP="005B5B19">
      <w:pPr>
        <w:spacing w:after="0" w:line="240" w:lineRule="auto"/>
      </w:pPr>
      <w:r>
        <w:continuationSeparator/>
      </w:r>
    </w:p>
  </w:footnote>
  <w:footnote w:type="continuationNotice" w:id="1">
    <w:p w14:paraId="12D85DC0" w14:textId="77777777" w:rsidR="00424FC1" w:rsidRDefault="00424FC1">
      <w:pPr>
        <w:spacing w:after="0" w:line="240" w:lineRule="auto"/>
      </w:pPr>
    </w:p>
  </w:footnote>
  <w:footnote w:id="2">
    <w:p w14:paraId="7325471E" w14:textId="77777777" w:rsidR="008F34C2" w:rsidRDefault="008F34C2" w:rsidP="008F34C2">
      <w:pPr>
        <w:pStyle w:val="FootnoteText"/>
      </w:pPr>
      <w:r>
        <w:rPr>
          <w:rStyle w:val="FootnoteReference"/>
        </w:rPr>
        <w:footnoteRef/>
      </w:r>
      <w:r>
        <w:t xml:space="preserve"> </w:t>
      </w:r>
      <w:r w:rsidRPr="00FC58E8">
        <w:t xml:space="preserve">see for e.g.: </w:t>
      </w:r>
      <w:r w:rsidRPr="00FC58E8">
        <w:rPr>
          <w:i/>
          <w:iCs/>
        </w:rPr>
        <w:t>Indemnity Insurance. Co of North America</w:t>
      </w:r>
      <w:r w:rsidRPr="00FC58E8">
        <w:t> </w:t>
      </w:r>
      <w:r w:rsidRPr="00FC58E8">
        <w:rPr>
          <w:i/>
          <w:iCs/>
        </w:rPr>
        <w:t>v</w:t>
      </w:r>
      <w:r w:rsidRPr="00FC58E8">
        <w:t> </w:t>
      </w:r>
      <w:r w:rsidRPr="00FC58E8">
        <w:rPr>
          <w:i/>
          <w:iCs/>
        </w:rPr>
        <w:t>Excel Cleaning Service</w:t>
      </w:r>
      <w:r w:rsidRPr="00FC58E8">
        <w:t>, </w:t>
      </w:r>
      <w:hyperlink r:id="rId1" w:history="1">
        <w:r w:rsidRPr="00FC58E8">
          <w:rPr>
            <w:rStyle w:val="Hyperlink"/>
          </w:rPr>
          <w:t>1954 CanLII 9 (SCC)</w:t>
        </w:r>
      </w:hyperlink>
      <w:r w:rsidRPr="00FC58E8">
        <w:t>; </w:t>
      </w:r>
      <w:r w:rsidRPr="00FC58E8">
        <w:rPr>
          <w:i/>
          <w:iCs/>
        </w:rPr>
        <w:t>Progressive Homes Ltd</w:t>
      </w:r>
      <w:r w:rsidRPr="00FC58E8">
        <w:t> </w:t>
      </w:r>
      <w:r w:rsidRPr="00FC58E8">
        <w:rPr>
          <w:i/>
          <w:iCs/>
        </w:rPr>
        <w:t>v Lombard General Insurance Co of Canada</w:t>
      </w:r>
      <w:r w:rsidRPr="00FC58E8">
        <w:t>, </w:t>
      </w:r>
      <w:hyperlink r:id="rId2" w:history="1">
        <w:r w:rsidRPr="00FC58E8">
          <w:rPr>
            <w:rStyle w:val="Hyperlink"/>
          </w:rPr>
          <w:t>2010 SCC 33</w:t>
        </w:r>
      </w:hyperlink>
      <w:r>
        <w:t xml:space="preserve"> </w:t>
      </w:r>
      <w:r w:rsidRPr="00FC58E8">
        <w:t>at para </w:t>
      </w:r>
      <w:hyperlink r:id="rId3" w:anchor="par29" w:history="1">
        <w:r w:rsidRPr="00FC58E8">
          <w:rPr>
            <w:rStyle w:val="Hyperlink"/>
          </w:rPr>
          <w:t>29</w:t>
        </w:r>
      </w:hyperlink>
      <w:r w:rsidRPr="00FC58E8">
        <w:rPr>
          <w:lang w:val="en-US"/>
        </w:rPr>
        <w:t xml:space="preserve"> [</w:t>
      </w:r>
      <w:r w:rsidRPr="00FC58E8">
        <w:rPr>
          <w:i/>
          <w:iCs/>
          <w:lang w:val="en-US"/>
        </w:rPr>
        <w:t>Progressive Homes</w:t>
      </w:r>
      <w:r w:rsidRPr="00FC58E8">
        <w:rPr>
          <w:lang w:val="en-US"/>
        </w:rPr>
        <w:t>]</w:t>
      </w:r>
      <w:r w:rsidRPr="00FC58E8">
        <w:t>; </w:t>
      </w:r>
      <w:r w:rsidRPr="00FC58E8">
        <w:rPr>
          <w:i/>
          <w:iCs/>
        </w:rPr>
        <w:t xml:space="preserve">G &amp; P </w:t>
      </w:r>
      <w:proofErr w:type="spellStart"/>
      <w:r w:rsidRPr="00FC58E8">
        <w:rPr>
          <w:i/>
          <w:iCs/>
        </w:rPr>
        <w:t>Procleaners</w:t>
      </w:r>
      <w:proofErr w:type="spellEnd"/>
      <w:r w:rsidRPr="00FC58E8">
        <w:rPr>
          <w:i/>
          <w:iCs/>
        </w:rPr>
        <w:t xml:space="preserve"> and General Contractors Inc</w:t>
      </w:r>
      <w:r w:rsidRPr="00FC58E8">
        <w:t> </w:t>
      </w:r>
      <w:r w:rsidRPr="00FC58E8">
        <w:rPr>
          <w:i/>
          <w:iCs/>
        </w:rPr>
        <w:t>v</w:t>
      </w:r>
      <w:r w:rsidRPr="00FC58E8">
        <w:t> </w:t>
      </w:r>
      <w:r w:rsidRPr="00FC58E8">
        <w:rPr>
          <w:i/>
          <w:iCs/>
        </w:rPr>
        <w:t>Gore Mutual Insurance Company</w:t>
      </w:r>
      <w:r w:rsidRPr="00FC58E8">
        <w:t>, </w:t>
      </w:r>
      <w:hyperlink r:id="rId4" w:history="1">
        <w:r w:rsidRPr="00FC58E8">
          <w:rPr>
            <w:rStyle w:val="Hyperlink"/>
          </w:rPr>
          <w:t>2017 ONCA 298</w:t>
        </w:r>
      </w:hyperlink>
      <w:r w:rsidRPr="00FC58E8">
        <w:t xml:space="preserve"> at para </w:t>
      </w:r>
      <w:hyperlink r:id="rId5" w:anchor="par14" w:history="1">
        <w:r w:rsidRPr="00FC58E8">
          <w:rPr>
            <w:rStyle w:val="Hyperlink"/>
          </w:rPr>
          <w:t>14</w:t>
        </w:r>
      </w:hyperlink>
    </w:p>
  </w:footnote>
  <w:footnote w:id="3">
    <w:p w14:paraId="782649CC" w14:textId="77777777" w:rsidR="008F34C2" w:rsidRDefault="008F34C2" w:rsidP="008F34C2">
      <w:pPr>
        <w:pStyle w:val="FootnoteText"/>
      </w:pPr>
      <w:r>
        <w:rPr>
          <w:rStyle w:val="FootnoteReference"/>
        </w:rPr>
        <w:footnoteRef/>
      </w:r>
      <w:r>
        <w:t xml:space="preserve"> </w:t>
      </w:r>
      <w:r w:rsidRPr="00FC58E8">
        <w:rPr>
          <w:i/>
          <w:iCs/>
        </w:rPr>
        <w:t>Progressive Homes</w:t>
      </w:r>
      <w:r w:rsidRPr="00FC58E8">
        <w:t xml:space="preserve"> at para </w:t>
      </w:r>
      <w:hyperlink r:id="rId6" w:anchor="par51" w:history="1">
        <w:r w:rsidRPr="00FC58E8">
          <w:rPr>
            <w:rStyle w:val="Hyperlink"/>
          </w:rPr>
          <w:t>51</w:t>
        </w:r>
      </w:hyperlink>
    </w:p>
  </w:footnote>
  <w:footnote w:id="4">
    <w:p w14:paraId="2C638FF0" w14:textId="77777777" w:rsidR="00234BC2" w:rsidRPr="00E254CB" w:rsidRDefault="00234BC2" w:rsidP="00234BC2">
      <w:pPr>
        <w:pStyle w:val="FootnoteText"/>
        <w:rPr>
          <w:lang w:val="en-US"/>
        </w:rPr>
      </w:pPr>
      <w:r>
        <w:rPr>
          <w:rStyle w:val="FootnoteReference"/>
        </w:rPr>
        <w:footnoteRef/>
      </w:r>
      <w:r>
        <w:t xml:space="preserve"> Special Chambers Brief of the Applicant, </w:t>
      </w:r>
      <w:r>
        <w:rPr>
          <w:lang w:val="en-US"/>
        </w:rPr>
        <w:t>Para 22</w:t>
      </w:r>
    </w:p>
  </w:footnote>
  <w:footnote w:id="5">
    <w:p w14:paraId="4357F734" w14:textId="569B9348" w:rsidR="00234BC2" w:rsidRPr="008D533F" w:rsidRDefault="00234BC2" w:rsidP="00234BC2">
      <w:pPr>
        <w:pStyle w:val="FootnoteText"/>
      </w:pPr>
      <w:r>
        <w:rPr>
          <w:rStyle w:val="FootnoteReference"/>
        </w:rPr>
        <w:footnoteRef/>
      </w:r>
      <w:r>
        <w:t xml:space="preserve"> </w:t>
      </w:r>
      <w:proofErr w:type="spellStart"/>
      <w:r w:rsidRPr="0063472B">
        <w:rPr>
          <w:i/>
          <w:iCs/>
        </w:rPr>
        <w:t>Stefanyk</w:t>
      </w:r>
      <w:proofErr w:type="spellEnd"/>
      <w:r w:rsidRPr="0063472B">
        <w:rPr>
          <w:i/>
          <w:iCs/>
        </w:rPr>
        <w:t xml:space="preserve"> v Sobeys Capital Incorporated</w:t>
      </w:r>
      <w:r w:rsidRPr="0063472B">
        <w:t xml:space="preserve">, </w:t>
      </w:r>
      <w:hyperlink r:id="rId7" w:anchor="par14" w:history="1">
        <w:r w:rsidRPr="0063472B">
          <w:rPr>
            <w:rStyle w:val="Hyperlink"/>
          </w:rPr>
          <w:t>2018 ABCA 125 at para 14</w:t>
        </w:r>
      </w:hyperlink>
      <w:r>
        <w:t xml:space="preserve">, citing </w:t>
      </w:r>
      <w:r w:rsidRPr="0063472B">
        <w:rPr>
          <w:i/>
          <w:iCs/>
        </w:rPr>
        <w:t>F.H. v McDougall,</w:t>
      </w:r>
      <w:r w:rsidRPr="0063472B">
        <w:t xml:space="preserve"> </w:t>
      </w:r>
      <w:hyperlink r:id="rId8" w:history="1">
        <w:r w:rsidRPr="0063472B">
          <w:rPr>
            <w:rStyle w:val="Hyperlink"/>
          </w:rPr>
          <w:t>2008 SCC 53</w:t>
        </w:r>
      </w:hyperlink>
      <w:r w:rsidRPr="0063472B">
        <w:t xml:space="preserve"> at para </w:t>
      </w:r>
      <w:hyperlink r:id="rId9" w:anchor="par40" w:history="1">
        <w:r w:rsidRPr="0063472B">
          <w:rPr>
            <w:rStyle w:val="Hyperlink"/>
          </w:rPr>
          <w:t>40</w:t>
        </w:r>
      </w:hyperlink>
    </w:p>
  </w:footnote>
  <w:footnote w:id="6">
    <w:p w14:paraId="058043EB" w14:textId="15D2BE98" w:rsidR="008F34C2" w:rsidRDefault="008F34C2" w:rsidP="008F34C2">
      <w:pPr>
        <w:pStyle w:val="FootnoteText"/>
      </w:pPr>
      <w:r>
        <w:rPr>
          <w:rStyle w:val="FootnoteReference"/>
        </w:rPr>
        <w:footnoteRef/>
      </w:r>
      <w:r>
        <w:t xml:space="preserve"> </w:t>
      </w:r>
      <w:r w:rsidRPr="009B5306">
        <w:rPr>
          <w:i/>
          <w:iCs/>
        </w:rPr>
        <w:t>Auchstaetter v Evolution Homes Ltd</w:t>
      </w:r>
      <w:r w:rsidRPr="009B5306">
        <w:t>, </w:t>
      </w:r>
      <w:hyperlink r:id="rId10" w:history="1">
        <w:r w:rsidRPr="009B5306">
          <w:rPr>
            <w:rStyle w:val="Hyperlink"/>
          </w:rPr>
          <w:t>2016 SKQB 360</w:t>
        </w:r>
      </w:hyperlink>
      <w:r w:rsidRPr="009B5306">
        <w:t> at paras </w:t>
      </w:r>
      <w:hyperlink r:id="rId11" w:anchor="par4" w:history="1">
        <w:r w:rsidRPr="009B5306">
          <w:rPr>
            <w:rStyle w:val="Hyperlink"/>
          </w:rPr>
          <w:t>4 and 5</w:t>
        </w:r>
      </w:hyperlink>
    </w:p>
  </w:footnote>
  <w:footnote w:id="7">
    <w:p w14:paraId="24BA46F2" w14:textId="77777777" w:rsidR="008F34C2" w:rsidRPr="0054770D" w:rsidRDefault="008F34C2" w:rsidP="008F34C2">
      <w:pPr>
        <w:pStyle w:val="FootnoteText"/>
        <w:rPr>
          <w:lang w:val="en-US"/>
        </w:rPr>
      </w:pPr>
      <w:r>
        <w:rPr>
          <w:rStyle w:val="FootnoteReference"/>
        </w:rPr>
        <w:footnoteRef/>
      </w:r>
      <w:r>
        <w:t xml:space="preserve"> </w:t>
      </w:r>
      <w:r w:rsidRPr="0054770D">
        <w:rPr>
          <w:i/>
          <w:iCs/>
        </w:rPr>
        <w:t>Wright v Canadian Northern Shield Insurance Co.</w:t>
      </w:r>
      <w:r w:rsidRPr="0054770D">
        <w:t xml:space="preserve">, </w:t>
      </w:r>
      <w:hyperlink r:id="rId12" w:anchor="par10" w:history="1">
        <w:r w:rsidRPr="0054770D">
          <w:rPr>
            <w:rStyle w:val="Hyperlink"/>
          </w:rPr>
          <w:t xml:space="preserve">2005 BCCA 599, at para 10. </w:t>
        </w:r>
      </w:hyperlink>
      <w:r w:rsidRPr="0054770D">
        <w:t xml:space="preserve"> See also: </w:t>
      </w:r>
      <w:r w:rsidRPr="0054770D">
        <w:rPr>
          <w:i/>
          <w:iCs/>
        </w:rPr>
        <w:t>Marche v Halifax Insurance Co</w:t>
      </w:r>
      <w:r w:rsidRPr="0054770D">
        <w:t xml:space="preserve">, </w:t>
      </w:r>
      <w:hyperlink r:id="rId13" w:history="1">
        <w:r w:rsidRPr="0054770D">
          <w:rPr>
            <w:rStyle w:val="Hyperlink"/>
          </w:rPr>
          <w:t>2005 SCC 6</w:t>
        </w:r>
      </w:hyperlink>
    </w:p>
  </w:footnote>
  <w:footnote w:id="8">
    <w:p w14:paraId="19406AB6" w14:textId="77777777" w:rsidR="008F34C2" w:rsidRPr="0054770D" w:rsidRDefault="008F34C2" w:rsidP="008F34C2">
      <w:pPr>
        <w:pStyle w:val="FootnoteText"/>
        <w:rPr>
          <w:lang w:val="en-US"/>
        </w:rPr>
      </w:pPr>
      <w:r>
        <w:rPr>
          <w:rStyle w:val="FootnoteReference"/>
        </w:rPr>
        <w:footnoteRef/>
      </w:r>
      <w:r>
        <w:t xml:space="preserve"> </w:t>
      </w:r>
      <w:r w:rsidRPr="0054770D">
        <w:rPr>
          <w:i/>
          <w:iCs/>
        </w:rPr>
        <w:t xml:space="preserve">Lambert v The Wawanesa Mutual Insurance Company, </w:t>
      </w:r>
      <w:hyperlink r:id="rId14" w:history="1">
        <w:r w:rsidRPr="0054770D">
          <w:rPr>
            <w:rStyle w:val="Hyperlink"/>
          </w:rPr>
          <w:t>1945 CanLII 99 (</w:t>
        </w:r>
      </w:hyperlink>
      <w:r w:rsidRPr="0054770D">
        <w:t>ON CA)</w:t>
      </w:r>
    </w:p>
  </w:footnote>
  <w:footnote w:id="9">
    <w:p w14:paraId="574A95D1" w14:textId="77777777" w:rsidR="008F34C2" w:rsidRPr="0054770D" w:rsidRDefault="008F34C2" w:rsidP="008F34C2">
      <w:pPr>
        <w:pStyle w:val="FootnoteText"/>
        <w:rPr>
          <w:lang w:val="en-US"/>
        </w:rPr>
      </w:pPr>
      <w:r>
        <w:rPr>
          <w:rStyle w:val="FootnoteReference"/>
        </w:rPr>
        <w:footnoteRef/>
      </w:r>
      <w:r>
        <w:t xml:space="preserve"> </w:t>
      </w:r>
      <w:r w:rsidRPr="0054770D">
        <w:rPr>
          <w:i/>
          <w:iCs/>
        </w:rPr>
        <w:t>Nicoli v Liberty Mutual Insurance Co.</w:t>
      </w:r>
      <w:r w:rsidRPr="0054770D">
        <w:t xml:space="preserve">, </w:t>
      </w:r>
      <w:hyperlink r:id="rId15" w:history="1">
        <w:r w:rsidRPr="0054770D">
          <w:rPr>
            <w:rStyle w:val="Hyperlink"/>
          </w:rPr>
          <w:t>1996 CanLII 8242</w:t>
        </w:r>
      </w:hyperlink>
      <w:r w:rsidRPr="0054770D">
        <w:t xml:space="preserve"> (ON SC)</w:t>
      </w:r>
    </w:p>
  </w:footnote>
  <w:footnote w:id="10">
    <w:p w14:paraId="63625AA0" w14:textId="77777777" w:rsidR="008F34C2" w:rsidRPr="0054770D" w:rsidRDefault="008F34C2" w:rsidP="008F34C2">
      <w:pPr>
        <w:pStyle w:val="FootnoteText"/>
        <w:rPr>
          <w:lang w:val="en-US"/>
        </w:rPr>
      </w:pPr>
      <w:r>
        <w:rPr>
          <w:rStyle w:val="FootnoteReference"/>
        </w:rPr>
        <w:footnoteRef/>
      </w:r>
      <w:r>
        <w:t xml:space="preserve"> </w:t>
      </w:r>
      <w:r w:rsidRPr="0054770D">
        <w:rPr>
          <w:i/>
          <w:iCs/>
        </w:rPr>
        <w:t>Metcalfe v General Accident Assurance Co of Canada</w:t>
      </w:r>
      <w:r w:rsidRPr="0054770D">
        <w:t xml:space="preserve">, </w:t>
      </w:r>
      <w:hyperlink r:id="rId16" w:history="1">
        <w:r w:rsidRPr="0054770D">
          <w:rPr>
            <w:rStyle w:val="Hyperlink"/>
          </w:rPr>
          <w:t>1929 CanLII 415 (ON CA)</w:t>
        </w:r>
      </w:hyperlink>
    </w:p>
  </w:footnote>
  <w:footnote w:id="11">
    <w:p w14:paraId="4F3B94F3" w14:textId="77777777" w:rsidR="008F34C2" w:rsidRPr="00E24B0C" w:rsidRDefault="008F34C2" w:rsidP="008F34C2">
      <w:pPr>
        <w:pStyle w:val="FootnoteText"/>
        <w:rPr>
          <w:lang w:val="en-US"/>
        </w:rPr>
      </w:pPr>
      <w:r>
        <w:rPr>
          <w:rStyle w:val="FootnoteReference"/>
        </w:rPr>
        <w:footnoteRef/>
      </w:r>
      <w:r>
        <w:t xml:space="preserve"> </w:t>
      </w:r>
      <w:r w:rsidRPr="00E24B0C">
        <w:rPr>
          <w:i/>
          <w:iCs/>
        </w:rPr>
        <w:t>Coburn v Family Insurance Solutions</w:t>
      </w:r>
      <w:r w:rsidRPr="00E24B0C">
        <w:t xml:space="preserve">, </w:t>
      </w:r>
      <w:hyperlink r:id="rId17" w:history="1">
        <w:r w:rsidRPr="00E24B0C">
          <w:rPr>
            <w:rStyle w:val="Hyperlink"/>
          </w:rPr>
          <w:t>2014 BCCA 73</w:t>
        </w:r>
      </w:hyperlink>
      <w:r w:rsidRPr="00E24B0C">
        <w:t xml:space="preserve"> [</w:t>
      </w:r>
      <w:r w:rsidRPr="00E24B0C">
        <w:rPr>
          <w:i/>
          <w:iCs/>
        </w:rPr>
        <w:t>Coburn</w:t>
      </w:r>
      <w:r w:rsidRPr="00E24B0C">
        <w:t>]</w:t>
      </w:r>
    </w:p>
  </w:footnote>
  <w:footnote w:id="12">
    <w:p w14:paraId="3BCE0C8A" w14:textId="77777777" w:rsidR="008F34C2" w:rsidRPr="00E24B0C" w:rsidRDefault="008F34C2" w:rsidP="008F34C2">
      <w:pPr>
        <w:pStyle w:val="FootnoteText"/>
        <w:rPr>
          <w:lang w:val="en-US"/>
        </w:rPr>
      </w:pPr>
      <w:r>
        <w:rPr>
          <w:rStyle w:val="FootnoteReference"/>
        </w:rPr>
        <w:footnoteRef/>
      </w:r>
      <w:r>
        <w:t xml:space="preserve"> </w:t>
      </w:r>
      <w:r w:rsidRPr="00E24B0C">
        <w:rPr>
          <w:i/>
          <w:iCs/>
        </w:rPr>
        <w:t>Nejim v Intact Insurance Company,</w:t>
      </w:r>
      <w:r w:rsidRPr="00E24B0C">
        <w:t xml:space="preserve"> </w:t>
      </w:r>
      <w:hyperlink r:id="rId18" w:history="1">
        <w:r w:rsidRPr="00E24B0C">
          <w:rPr>
            <w:rStyle w:val="Hyperlink"/>
          </w:rPr>
          <w:t>2016 ONSC 5852</w:t>
        </w:r>
      </w:hyperlink>
      <w:r w:rsidRPr="00E24B0C">
        <w:t xml:space="preserve">, at paras </w:t>
      </w:r>
      <w:hyperlink r:id="rId19" w:anchor="par31" w:history="1">
        <w:r w:rsidRPr="00E24B0C">
          <w:rPr>
            <w:rStyle w:val="Hyperlink"/>
          </w:rPr>
          <w:t>31-32</w:t>
        </w:r>
      </w:hyperlink>
      <w:r w:rsidRPr="00E24B0C">
        <w:t>,</w:t>
      </w:r>
    </w:p>
  </w:footnote>
  <w:footnote w:id="13">
    <w:p w14:paraId="6AC3D0F0" w14:textId="77777777" w:rsidR="008F34C2" w:rsidRPr="00B601DA" w:rsidRDefault="008F34C2" w:rsidP="008F34C2">
      <w:pPr>
        <w:pStyle w:val="FootnoteText"/>
        <w:rPr>
          <w:lang w:val="en-US"/>
        </w:rPr>
      </w:pPr>
      <w:r>
        <w:rPr>
          <w:rStyle w:val="FootnoteReference"/>
        </w:rPr>
        <w:footnoteRef/>
      </w:r>
      <w:r>
        <w:t xml:space="preserve"> </w:t>
      </w:r>
      <w:r w:rsidRPr="00614B30">
        <w:t xml:space="preserve">Special Chambers Brief of the Respondent (Plaintiff) at para </w:t>
      </w:r>
      <w:r w:rsidRPr="00BA1531">
        <w:rPr>
          <w:u w:val="single"/>
        </w:rPr>
        <w:t>33</w:t>
      </w:r>
      <w:r>
        <w:t xml:space="preserve">, citing: </w:t>
      </w:r>
      <w:r w:rsidRPr="000C3D9E">
        <w:rPr>
          <w:i/>
          <w:iCs/>
        </w:rPr>
        <w:t>4081471 Canada Inc. v. Dadswell Forster Insurance Services Ltd</w:t>
      </w:r>
      <w:r w:rsidRPr="00B601DA">
        <w:t xml:space="preserve">., </w:t>
      </w:r>
      <w:hyperlink r:id="rId20" w:history="1">
        <w:r w:rsidRPr="000C3D9E">
          <w:rPr>
            <w:rStyle w:val="Hyperlink"/>
          </w:rPr>
          <w:t>2005 ABPC 60</w:t>
        </w:r>
      </w:hyperlink>
      <w:r>
        <w:t xml:space="preserve">, at para </w:t>
      </w:r>
      <w:hyperlink r:id="rId21" w:anchor="par19" w:history="1">
        <w:r w:rsidRPr="000C3D9E">
          <w:rPr>
            <w:rStyle w:val="Hyperlink"/>
          </w:rPr>
          <w:t>19</w:t>
        </w:r>
      </w:hyperlink>
      <w:r>
        <w:t xml:space="preserve">, and </w:t>
      </w:r>
      <w:r w:rsidRPr="00614B30">
        <w:rPr>
          <w:i/>
          <w:iCs/>
        </w:rPr>
        <w:t>Cody v. Beaver Insurance Company</w:t>
      </w:r>
      <w:r w:rsidRPr="00614B30">
        <w:t xml:space="preserve">, </w:t>
      </w:r>
      <w:hyperlink r:id="rId22" w:history="1">
        <w:r w:rsidRPr="00614B30">
          <w:rPr>
            <w:rStyle w:val="Hyperlink"/>
          </w:rPr>
          <w:t>1964 CanLII 511</w:t>
        </w:r>
      </w:hyperlink>
      <w:r w:rsidRPr="00614B30">
        <w:t xml:space="preserve"> (AB CA)</w:t>
      </w:r>
    </w:p>
  </w:footnote>
  <w:footnote w:id="14">
    <w:p w14:paraId="753379FA" w14:textId="77777777" w:rsidR="008F34C2" w:rsidRPr="00873950" w:rsidRDefault="008F34C2" w:rsidP="008F34C2">
      <w:pPr>
        <w:pStyle w:val="FootnoteText"/>
        <w:rPr>
          <w:lang w:val="en-US"/>
        </w:rPr>
      </w:pPr>
      <w:r>
        <w:rPr>
          <w:rStyle w:val="FootnoteReference"/>
        </w:rPr>
        <w:footnoteRef/>
      </w:r>
      <w:r>
        <w:t xml:space="preserve"> </w:t>
      </w:r>
      <w:r w:rsidRPr="00873950">
        <w:t xml:space="preserve">Special Chambers Brief of the Respondent (Plaintiff) at para </w:t>
      </w:r>
      <w:r w:rsidRPr="00873950">
        <w:rPr>
          <w:u w:val="single"/>
        </w:rPr>
        <w:t>3</w:t>
      </w:r>
      <w:r>
        <w:rPr>
          <w:u w:val="single"/>
        </w:rPr>
        <w:t>4</w:t>
      </w:r>
      <w:r w:rsidRPr="00873950">
        <w:t>,</w:t>
      </w:r>
    </w:p>
  </w:footnote>
  <w:footnote w:id="15">
    <w:p w14:paraId="52DB5026" w14:textId="77777777" w:rsidR="008F34C2" w:rsidRPr="00F67FF4" w:rsidRDefault="008F34C2" w:rsidP="008F34C2">
      <w:pPr>
        <w:pStyle w:val="FootnoteText"/>
        <w:rPr>
          <w:lang w:val="en-US"/>
        </w:rPr>
      </w:pPr>
      <w:r>
        <w:rPr>
          <w:rStyle w:val="FootnoteReference"/>
        </w:rPr>
        <w:footnoteRef/>
      </w:r>
      <w:r>
        <w:t xml:space="preserve"> </w:t>
      </w:r>
      <w:r w:rsidRPr="00644DA8">
        <w:rPr>
          <w:i/>
          <w:iCs/>
          <w:lang w:val="en-US"/>
        </w:rPr>
        <w:t>Ibid,</w:t>
      </w:r>
      <w:r>
        <w:rPr>
          <w:lang w:val="en-US"/>
        </w:rPr>
        <w:t xml:space="preserve"> para 39</w:t>
      </w:r>
    </w:p>
  </w:footnote>
  <w:footnote w:id="16">
    <w:p w14:paraId="429EA409" w14:textId="77777777" w:rsidR="008F34C2" w:rsidRPr="003261D8" w:rsidRDefault="008F34C2" w:rsidP="008F34C2">
      <w:pPr>
        <w:pStyle w:val="FootnoteText"/>
        <w:rPr>
          <w:lang w:val="en-US"/>
        </w:rPr>
      </w:pPr>
      <w:r>
        <w:rPr>
          <w:rStyle w:val="FootnoteReference"/>
        </w:rPr>
        <w:footnoteRef/>
      </w:r>
      <w:r>
        <w:t xml:space="preserve"> </w:t>
      </w:r>
      <w:r>
        <w:rPr>
          <w:lang w:val="en-US"/>
        </w:rPr>
        <w:t>See: Applicant’s Rule 391 Pre-Hearing Brief, at paras 36-38.</w:t>
      </w:r>
    </w:p>
  </w:footnote>
  <w:footnote w:id="17">
    <w:p w14:paraId="5B07CC21" w14:textId="77777777" w:rsidR="008F34C2" w:rsidRPr="005E1CD4" w:rsidRDefault="008F34C2" w:rsidP="008F34C2">
      <w:pPr>
        <w:pStyle w:val="FootnoteText"/>
        <w:rPr>
          <w:lang w:val="en-US"/>
        </w:rPr>
      </w:pPr>
      <w:r>
        <w:rPr>
          <w:rStyle w:val="FootnoteReference"/>
        </w:rPr>
        <w:footnoteRef/>
      </w:r>
      <w:r>
        <w:t xml:space="preserve"> Special Chambers </w:t>
      </w:r>
      <w:r>
        <w:rPr>
          <w:lang w:val="en-US"/>
        </w:rPr>
        <w:t xml:space="preserve">Brief of the Applicant, at para </w:t>
      </w:r>
      <w:r w:rsidRPr="00004DDF">
        <w:rPr>
          <w:u w:val="single"/>
          <w:lang w:val="en-US"/>
        </w:rPr>
        <w:t>41</w:t>
      </w:r>
      <w:r>
        <w:rPr>
          <w:lang w:val="en-US"/>
        </w:rPr>
        <w:t>, citing Affidavit of Matthew Hopley at Exhibit “B”, p. 4</w:t>
      </w:r>
    </w:p>
  </w:footnote>
  <w:footnote w:id="18">
    <w:p w14:paraId="552EE62E" w14:textId="77777777" w:rsidR="008F34C2" w:rsidRPr="003D2727" w:rsidRDefault="008F34C2" w:rsidP="008F34C2">
      <w:pPr>
        <w:pStyle w:val="FootnoteText"/>
        <w:rPr>
          <w:lang w:val="en-US"/>
        </w:rPr>
      </w:pPr>
      <w:r>
        <w:rPr>
          <w:rStyle w:val="FootnoteReference"/>
        </w:rPr>
        <w:footnoteRef/>
      </w:r>
      <w:r>
        <w:t xml:space="preserve"> </w:t>
      </w:r>
      <w:r w:rsidRPr="00A07149">
        <w:t xml:space="preserve">Special Chambers </w:t>
      </w:r>
      <w:r w:rsidRPr="00A07149">
        <w:rPr>
          <w:lang w:val="en-US"/>
        </w:rPr>
        <w:t xml:space="preserve">Brief of the </w:t>
      </w:r>
      <w:r>
        <w:rPr>
          <w:lang w:val="en-US"/>
        </w:rPr>
        <w:t>Applicant</w:t>
      </w:r>
      <w:r w:rsidRPr="00A07149">
        <w:rPr>
          <w:lang w:val="en-US"/>
        </w:rPr>
        <w:t xml:space="preserve">, at para </w:t>
      </w:r>
      <w:r w:rsidRPr="00A07149">
        <w:rPr>
          <w:u w:val="single"/>
          <w:lang w:val="en-US"/>
        </w:rPr>
        <w:t>41</w:t>
      </w:r>
      <w:r w:rsidRPr="00A07149">
        <w:rPr>
          <w:lang w:val="en-US"/>
        </w:rPr>
        <w:t>, citing</w:t>
      </w:r>
      <w:r>
        <w:rPr>
          <w:lang w:val="en-US"/>
        </w:rPr>
        <w:t xml:space="preserve"> </w:t>
      </w:r>
      <w:r w:rsidRPr="008C0793">
        <w:rPr>
          <w:lang w:val="en-US"/>
        </w:rPr>
        <w:t xml:space="preserve">Latendresse v. Co-Operators Insurance Co., </w:t>
      </w:r>
      <w:hyperlink r:id="rId23" w:history="1">
        <w:r w:rsidRPr="00093596">
          <w:rPr>
            <w:rStyle w:val="Hyperlink"/>
            <w:lang w:val="en-US"/>
          </w:rPr>
          <w:t>2004 CanLII 7071</w:t>
        </w:r>
      </w:hyperlink>
      <w:r w:rsidRPr="008C0793">
        <w:rPr>
          <w:lang w:val="en-US"/>
        </w:rPr>
        <w:t xml:space="preserve"> (ON SC)</w:t>
      </w:r>
      <w:r>
        <w:rPr>
          <w:lang w:val="en-US"/>
        </w:rPr>
        <w:t xml:space="preserve">, at para </w:t>
      </w:r>
      <w:hyperlink r:id="rId24" w:anchor="par8" w:history="1">
        <w:r w:rsidRPr="00093596">
          <w:rPr>
            <w:rStyle w:val="Hyperlink"/>
            <w:lang w:val="en-US"/>
          </w:rPr>
          <w:t>8</w:t>
        </w:r>
      </w:hyperlink>
    </w:p>
  </w:footnote>
  <w:footnote w:id="19">
    <w:p w14:paraId="03414489" w14:textId="77777777" w:rsidR="008F34C2" w:rsidRPr="00EC201B" w:rsidRDefault="008F34C2" w:rsidP="008F34C2">
      <w:pPr>
        <w:pStyle w:val="FootnoteText"/>
        <w:rPr>
          <w:lang w:val="en-US"/>
        </w:rPr>
      </w:pPr>
      <w:r>
        <w:rPr>
          <w:rStyle w:val="FootnoteReference"/>
        </w:rPr>
        <w:footnoteRef/>
      </w:r>
      <w:r>
        <w:t xml:space="preserve"> </w:t>
      </w:r>
      <w:r w:rsidRPr="00EC201B">
        <w:t xml:space="preserve">Special Chambers </w:t>
      </w:r>
      <w:r w:rsidRPr="00EC201B">
        <w:rPr>
          <w:lang w:val="en-US"/>
        </w:rPr>
        <w:t xml:space="preserve">Brief of the </w:t>
      </w:r>
      <w:r>
        <w:rPr>
          <w:lang w:val="en-US"/>
        </w:rPr>
        <w:t>Applicant</w:t>
      </w:r>
      <w:r w:rsidRPr="00EC201B">
        <w:rPr>
          <w:lang w:val="en-US"/>
        </w:rPr>
        <w:t xml:space="preserve">, at para </w:t>
      </w:r>
      <w:r w:rsidRPr="00EC201B">
        <w:rPr>
          <w:u w:val="single"/>
          <w:lang w:val="en-US"/>
        </w:rPr>
        <w:t>4</w:t>
      </w:r>
      <w:r>
        <w:rPr>
          <w:u w:val="single"/>
          <w:lang w:val="en-US"/>
        </w:rPr>
        <w:t>3</w:t>
      </w:r>
      <w:r>
        <w:rPr>
          <w:lang w:val="en-US"/>
        </w:rPr>
        <w:t>, citing affidavit of Matthew Hopley, filed May 11, 2023, Exhibit “I”</w:t>
      </w:r>
    </w:p>
  </w:footnote>
  <w:footnote w:id="20">
    <w:p w14:paraId="79EEFCBB" w14:textId="77777777" w:rsidR="008F34C2" w:rsidRPr="00EC201B" w:rsidRDefault="008F34C2" w:rsidP="008F34C2">
      <w:pPr>
        <w:pStyle w:val="FootnoteText"/>
        <w:rPr>
          <w:lang w:val="en-US"/>
        </w:rPr>
      </w:pPr>
      <w:r>
        <w:rPr>
          <w:rStyle w:val="FootnoteReference"/>
        </w:rPr>
        <w:footnoteRef/>
      </w:r>
      <w:r>
        <w:t xml:space="preserve"> </w:t>
      </w:r>
      <w:r w:rsidRPr="00EC201B">
        <w:t xml:space="preserve">Special Chambers </w:t>
      </w:r>
      <w:r w:rsidRPr="00EC201B">
        <w:rPr>
          <w:lang w:val="en-US"/>
        </w:rPr>
        <w:t xml:space="preserve">Brief of the </w:t>
      </w:r>
      <w:r>
        <w:rPr>
          <w:lang w:val="en-US"/>
        </w:rPr>
        <w:t>Plaintiff</w:t>
      </w:r>
      <w:r w:rsidRPr="00EC201B">
        <w:rPr>
          <w:lang w:val="en-US"/>
        </w:rPr>
        <w:t xml:space="preserve">, at para </w:t>
      </w:r>
      <w:r w:rsidRPr="00EC201B">
        <w:rPr>
          <w:u w:val="single"/>
          <w:lang w:val="en-US"/>
        </w:rPr>
        <w:t>4</w:t>
      </w:r>
      <w:r>
        <w:rPr>
          <w:u w:val="single"/>
          <w:lang w:val="en-US"/>
        </w:rPr>
        <w:t>6</w:t>
      </w:r>
      <w:r w:rsidRPr="00EC201B">
        <w:rPr>
          <w:lang w:val="en-US"/>
        </w:rPr>
        <w:t>,</w:t>
      </w:r>
    </w:p>
  </w:footnote>
  <w:footnote w:id="21">
    <w:p w14:paraId="60627E48" w14:textId="77777777" w:rsidR="008F34C2" w:rsidRPr="00451FDB" w:rsidRDefault="008F34C2" w:rsidP="008F34C2">
      <w:pPr>
        <w:pStyle w:val="FootnoteText"/>
        <w:rPr>
          <w:lang w:val="en-US"/>
        </w:rPr>
      </w:pPr>
      <w:r>
        <w:rPr>
          <w:rStyle w:val="FootnoteReference"/>
        </w:rPr>
        <w:footnoteRef/>
      </w:r>
      <w:r>
        <w:t xml:space="preserve"> </w:t>
      </w:r>
      <w:r w:rsidRPr="00451FDB">
        <w:t xml:space="preserve">Special Chambers </w:t>
      </w:r>
      <w:r w:rsidRPr="00451FDB">
        <w:rPr>
          <w:lang w:val="en-US"/>
        </w:rPr>
        <w:t xml:space="preserve">Brief of the </w:t>
      </w:r>
      <w:r>
        <w:rPr>
          <w:lang w:val="en-US"/>
        </w:rPr>
        <w:t>Plain</w:t>
      </w:r>
      <w:r w:rsidRPr="00451FDB">
        <w:rPr>
          <w:lang w:val="en-US"/>
        </w:rPr>
        <w:t>t</w:t>
      </w:r>
      <w:r>
        <w:rPr>
          <w:lang w:val="en-US"/>
        </w:rPr>
        <w:t>iff</w:t>
      </w:r>
      <w:r w:rsidRPr="00451FDB">
        <w:rPr>
          <w:lang w:val="en-US"/>
        </w:rPr>
        <w:t xml:space="preserve">, at para </w:t>
      </w:r>
      <w:r w:rsidRPr="00451FDB">
        <w:rPr>
          <w:u w:val="single"/>
          <w:lang w:val="en-US"/>
        </w:rPr>
        <w:t>4</w:t>
      </w:r>
      <w:r>
        <w:rPr>
          <w:u w:val="single"/>
          <w:lang w:val="en-US"/>
        </w:rPr>
        <w:t>7</w:t>
      </w:r>
    </w:p>
  </w:footnote>
  <w:footnote w:id="22">
    <w:p w14:paraId="3D9373BD" w14:textId="77777777" w:rsidR="008F34C2" w:rsidRPr="00BC1DCD" w:rsidRDefault="008F34C2" w:rsidP="008F34C2">
      <w:pPr>
        <w:pStyle w:val="FootnoteText"/>
        <w:rPr>
          <w:lang w:val="en-US"/>
        </w:rPr>
      </w:pPr>
      <w:r>
        <w:rPr>
          <w:rStyle w:val="FootnoteReference"/>
        </w:rPr>
        <w:footnoteRef/>
      </w:r>
      <w:r>
        <w:t xml:space="preserve"> </w:t>
      </w:r>
      <w:r w:rsidRPr="00BC1DCD">
        <w:rPr>
          <w:i/>
          <w:iCs/>
        </w:rPr>
        <w:t>Reliable Distributors</w:t>
      </w:r>
      <w:r>
        <w:t xml:space="preserve"> at</w:t>
      </w:r>
      <w:r w:rsidRPr="00BC1DCD">
        <w:t xml:space="preserve"> </w:t>
      </w:r>
      <w:r w:rsidRPr="00BC1DCD">
        <w:rPr>
          <w:lang w:val="en-US"/>
        </w:rPr>
        <w:t xml:space="preserve">para </w:t>
      </w:r>
      <w:hyperlink r:id="rId25" w:anchor="par19" w:history="1">
        <w:r w:rsidRPr="00BC1DCD">
          <w:rPr>
            <w:rStyle w:val="Hyperlink"/>
            <w:lang w:val="en-US"/>
          </w:rPr>
          <w:t>19</w:t>
        </w:r>
      </w:hyperlink>
    </w:p>
  </w:footnote>
  <w:footnote w:id="23">
    <w:p w14:paraId="5CCBDC7F" w14:textId="77777777" w:rsidR="008F34C2" w:rsidRPr="00BC1DCD" w:rsidRDefault="008F34C2" w:rsidP="008F34C2">
      <w:pPr>
        <w:pStyle w:val="FootnoteText"/>
        <w:rPr>
          <w:lang w:val="en-US"/>
        </w:rPr>
      </w:pPr>
      <w:r>
        <w:rPr>
          <w:rStyle w:val="FootnoteReference"/>
        </w:rPr>
        <w:footnoteRef/>
      </w:r>
      <w:r>
        <w:t xml:space="preserve"> </w:t>
      </w:r>
      <w:r w:rsidRPr="00BC1DCD">
        <w:rPr>
          <w:i/>
          <w:iCs/>
        </w:rPr>
        <w:t>B &amp; B Optical Management Ltd v Bast</w:t>
      </w:r>
      <w:r w:rsidRPr="00BC1DCD">
        <w:t xml:space="preserve">, </w:t>
      </w:r>
      <w:hyperlink r:id="rId26" w:history="1">
        <w:r w:rsidRPr="00BC1DCD">
          <w:rPr>
            <w:rStyle w:val="Hyperlink"/>
          </w:rPr>
          <w:t>2003 SKQB 242</w:t>
        </w:r>
      </w:hyperlink>
      <w:r>
        <w:t xml:space="preserve"> </w:t>
      </w:r>
      <w:r w:rsidRPr="00BC1DCD">
        <w:t xml:space="preserve">at para </w:t>
      </w:r>
      <w:hyperlink r:id="rId27" w:anchor="par13" w:history="1">
        <w:r w:rsidRPr="00BC1DCD">
          <w:rPr>
            <w:rStyle w:val="Hyperlink"/>
          </w:rPr>
          <w:t>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2" w14:textId="77777777" w:rsidR="006149B3" w:rsidRPr="0032647A" w:rsidRDefault="006149B3">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99126D">
          <w:rPr>
            <w:rFonts w:ascii="Times New Roman" w:hAnsi="Times New Roman" w:cs="Times New Roman"/>
            <w:noProof/>
            <w:sz w:val="24"/>
            <w:szCs w:val="24"/>
          </w:rPr>
          <w:t>2</w:t>
        </w:r>
        <w:r w:rsidRPr="0032647A">
          <w:rPr>
            <w:rFonts w:ascii="Times New Roman" w:hAnsi="Times New Roman" w:cs="Times New Roman"/>
            <w:noProof/>
            <w:sz w:val="24"/>
            <w:szCs w:val="24"/>
          </w:rPr>
          <w:fldChar w:fldCharType="end"/>
        </w:r>
      </w:sdtContent>
    </w:sdt>
  </w:p>
  <w:p w14:paraId="17DE35D3" w14:textId="77777777" w:rsidR="006149B3" w:rsidRDefault="00614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6" w14:textId="77777777" w:rsidR="006149B3" w:rsidRDefault="006149B3">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17DE35D7" w14:textId="77777777" w:rsidR="006149B3" w:rsidRDefault="00614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8" w14:textId="77777777" w:rsidR="006149B3" w:rsidRDefault="006149B3">
    <w:pPr>
      <w:pStyle w:val="Header"/>
      <w:jc w:val="right"/>
    </w:pPr>
  </w:p>
  <w:p w14:paraId="17DE35D9" w14:textId="77777777" w:rsidR="006149B3" w:rsidRDefault="006149B3"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524DE"/>
    <w:multiLevelType w:val="hybridMultilevel"/>
    <w:tmpl w:val="F65827C4"/>
    <w:lvl w:ilvl="0" w:tplc="09F66DC8">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0B3B03FA"/>
    <w:multiLevelType w:val="hybridMultilevel"/>
    <w:tmpl w:val="5EA4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A1C71"/>
    <w:multiLevelType w:val="hybridMultilevel"/>
    <w:tmpl w:val="957078D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4A2BB8"/>
    <w:multiLevelType w:val="hybridMultilevel"/>
    <w:tmpl w:val="2228D892"/>
    <w:lvl w:ilvl="0" w:tplc="2B9ED4A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AF70A09"/>
    <w:multiLevelType w:val="hybridMultilevel"/>
    <w:tmpl w:val="53A44C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92E38"/>
    <w:multiLevelType w:val="hybridMultilevel"/>
    <w:tmpl w:val="898E7E98"/>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DF5670"/>
    <w:multiLevelType w:val="hybridMultilevel"/>
    <w:tmpl w:val="9BA4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02BEC"/>
    <w:multiLevelType w:val="hybridMultilevel"/>
    <w:tmpl w:val="6D0E41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15:restartNumberingAfterBreak="0">
    <w:nsid w:val="46AC69F0"/>
    <w:multiLevelType w:val="hybridMultilevel"/>
    <w:tmpl w:val="D0E46F3E"/>
    <w:lvl w:ilvl="0" w:tplc="059C944E">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35240"/>
    <w:multiLevelType w:val="hybridMultilevel"/>
    <w:tmpl w:val="5F2EFF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left"/>
      <w:pPr>
        <w:ind w:left="1494"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303004"/>
    <w:multiLevelType w:val="hybridMultilevel"/>
    <w:tmpl w:val="08AE5D58"/>
    <w:lvl w:ilvl="0" w:tplc="3A5A0C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8815272"/>
    <w:multiLevelType w:val="hybridMultilevel"/>
    <w:tmpl w:val="3D541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C7754"/>
    <w:multiLevelType w:val="hybridMultilevel"/>
    <w:tmpl w:val="64324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833633"/>
    <w:multiLevelType w:val="hybridMultilevel"/>
    <w:tmpl w:val="6060C9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2DC514D"/>
    <w:multiLevelType w:val="hybridMultilevel"/>
    <w:tmpl w:val="777A0492"/>
    <w:lvl w:ilvl="0" w:tplc="02969C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15:restartNumberingAfterBreak="0">
    <w:nsid w:val="77B106EF"/>
    <w:multiLevelType w:val="hybridMultilevel"/>
    <w:tmpl w:val="47BC80E8"/>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8" w15:restartNumberingAfterBreak="0">
    <w:nsid w:val="7C4C45B5"/>
    <w:multiLevelType w:val="hybridMultilevel"/>
    <w:tmpl w:val="D32CE85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16cid:durableId="730349195">
    <w:abstractNumId w:val="12"/>
  </w:num>
  <w:num w:numId="2" w16cid:durableId="347604694">
    <w:abstractNumId w:val="16"/>
  </w:num>
  <w:num w:numId="3" w16cid:durableId="806895080">
    <w:abstractNumId w:val="6"/>
  </w:num>
  <w:num w:numId="4" w16cid:durableId="2067415026">
    <w:abstractNumId w:val="0"/>
  </w:num>
  <w:num w:numId="5" w16cid:durableId="467406414">
    <w:abstractNumId w:val="26"/>
  </w:num>
  <w:num w:numId="6" w16cid:durableId="704061280">
    <w:abstractNumId w:val="2"/>
  </w:num>
  <w:num w:numId="7" w16cid:durableId="1756123850">
    <w:abstractNumId w:val="5"/>
  </w:num>
  <w:num w:numId="8" w16cid:durableId="1814327646">
    <w:abstractNumId w:val="1"/>
  </w:num>
  <w:num w:numId="9" w16cid:durableId="371465236">
    <w:abstractNumId w:val="13"/>
  </w:num>
  <w:num w:numId="10" w16cid:durableId="1088579483">
    <w:abstractNumId w:val="10"/>
  </w:num>
  <w:num w:numId="11" w16cid:durableId="46925172">
    <w:abstractNumId w:val="25"/>
  </w:num>
  <w:num w:numId="12" w16cid:durableId="2065519087">
    <w:abstractNumId w:val="8"/>
  </w:num>
  <w:num w:numId="13" w16cid:durableId="2110194487">
    <w:abstractNumId w:val="15"/>
  </w:num>
  <w:num w:numId="14" w16cid:durableId="1958872140">
    <w:abstractNumId w:val="21"/>
  </w:num>
  <w:num w:numId="15" w16cid:durableId="2135825060">
    <w:abstractNumId w:val="18"/>
  </w:num>
  <w:num w:numId="16" w16cid:durableId="204561683">
    <w:abstractNumId w:val="4"/>
  </w:num>
  <w:num w:numId="17" w16cid:durableId="1064984398">
    <w:abstractNumId w:val="11"/>
  </w:num>
  <w:num w:numId="18" w16cid:durableId="56586513">
    <w:abstractNumId w:val="14"/>
  </w:num>
  <w:num w:numId="19" w16cid:durableId="399182248">
    <w:abstractNumId w:val="9"/>
  </w:num>
  <w:num w:numId="20" w16cid:durableId="456409166">
    <w:abstractNumId w:val="23"/>
  </w:num>
  <w:num w:numId="21" w16cid:durableId="917250280">
    <w:abstractNumId w:val="27"/>
  </w:num>
  <w:num w:numId="22" w16cid:durableId="379667347">
    <w:abstractNumId w:val="22"/>
  </w:num>
  <w:num w:numId="23" w16cid:durableId="742992102">
    <w:abstractNumId w:val="19"/>
  </w:num>
  <w:num w:numId="24" w16cid:durableId="759332023">
    <w:abstractNumId w:val="24"/>
  </w:num>
  <w:num w:numId="25" w16cid:durableId="784423435">
    <w:abstractNumId w:val="20"/>
  </w:num>
  <w:num w:numId="26" w16cid:durableId="452869780">
    <w:abstractNumId w:val="3"/>
  </w:num>
  <w:num w:numId="27" w16cid:durableId="1566867369">
    <w:abstractNumId w:val="17"/>
  </w:num>
  <w:num w:numId="28" w16cid:durableId="1959023961">
    <w:abstractNumId w:val="28"/>
  </w:num>
  <w:num w:numId="29" w16cid:durableId="283852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0548"/>
    <w:rsid w:val="000009C0"/>
    <w:rsid w:val="0000296C"/>
    <w:rsid w:val="00002A9A"/>
    <w:rsid w:val="00003CE7"/>
    <w:rsid w:val="00003EB0"/>
    <w:rsid w:val="0000583F"/>
    <w:rsid w:val="00005D34"/>
    <w:rsid w:val="000066C0"/>
    <w:rsid w:val="0001143D"/>
    <w:rsid w:val="00013FDF"/>
    <w:rsid w:val="000164A5"/>
    <w:rsid w:val="0001699C"/>
    <w:rsid w:val="00017B9E"/>
    <w:rsid w:val="000223D5"/>
    <w:rsid w:val="0002374D"/>
    <w:rsid w:val="000247CA"/>
    <w:rsid w:val="00025D68"/>
    <w:rsid w:val="00031165"/>
    <w:rsid w:val="00031747"/>
    <w:rsid w:val="0003630D"/>
    <w:rsid w:val="0003725F"/>
    <w:rsid w:val="00037ED0"/>
    <w:rsid w:val="000407AC"/>
    <w:rsid w:val="0004319F"/>
    <w:rsid w:val="0004688B"/>
    <w:rsid w:val="000471D8"/>
    <w:rsid w:val="00052741"/>
    <w:rsid w:val="000532FA"/>
    <w:rsid w:val="0005433E"/>
    <w:rsid w:val="0005585E"/>
    <w:rsid w:val="00055B4C"/>
    <w:rsid w:val="00057152"/>
    <w:rsid w:val="00061D53"/>
    <w:rsid w:val="00062731"/>
    <w:rsid w:val="00064CA1"/>
    <w:rsid w:val="00065966"/>
    <w:rsid w:val="000710EF"/>
    <w:rsid w:val="000728DD"/>
    <w:rsid w:val="00072F4A"/>
    <w:rsid w:val="00074C94"/>
    <w:rsid w:val="000812FA"/>
    <w:rsid w:val="00082309"/>
    <w:rsid w:val="00083E10"/>
    <w:rsid w:val="00084370"/>
    <w:rsid w:val="00085E83"/>
    <w:rsid w:val="00086A2A"/>
    <w:rsid w:val="00086E43"/>
    <w:rsid w:val="00087F1F"/>
    <w:rsid w:val="00090857"/>
    <w:rsid w:val="00093A30"/>
    <w:rsid w:val="00095A69"/>
    <w:rsid w:val="000A02B6"/>
    <w:rsid w:val="000A031F"/>
    <w:rsid w:val="000A0C24"/>
    <w:rsid w:val="000A2A0C"/>
    <w:rsid w:val="000A2C04"/>
    <w:rsid w:val="000A35CC"/>
    <w:rsid w:val="000A3A25"/>
    <w:rsid w:val="000A52D8"/>
    <w:rsid w:val="000A5D72"/>
    <w:rsid w:val="000B0A6A"/>
    <w:rsid w:val="000B1743"/>
    <w:rsid w:val="000B2120"/>
    <w:rsid w:val="000B2213"/>
    <w:rsid w:val="000B5F24"/>
    <w:rsid w:val="000B661B"/>
    <w:rsid w:val="000B66A2"/>
    <w:rsid w:val="000B7143"/>
    <w:rsid w:val="000C074E"/>
    <w:rsid w:val="000C1095"/>
    <w:rsid w:val="000C17DE"/>
    <w:rsid w:val="000C1B68"/>
    <w:rsid w:val="000C2362"/>
    <w:rsid w:val="000C416E"/>
    <w:rsid w:val="000D097B"/>
    <w:rsid w:val="000D14ED"/>
    <w:rsid w:val="000D349E"/>
    <w:rsid w:val="000D4348"/>
    <w:rsid w:val="000D6BC4"/>
    <w:rsid w:val="000E3F17"/>
    <w:rsid w:val="000E4066"/>
    <w:rsid w:val="000E4869"/>
    <w:rsid w:val="000F02DC"/>
    <w:rsid w:val="000F039A"/>
    <w:rsid w:val="000F0C5A"/>
    <w:rsid w:val="000F1A8E"/>
    <w:rsid w:val="000F4536"/>
    <w:rsid w:val="000F53DB"/>
    <w:rsid w:val="00100ADE"/>
    <w:rsid w:val="00102083"/>
    <w:rsid w:val="00103021"/>
    <w:rsid w:val="00104093"/>
    <w:rsid w:val="001047A9"/>
    <w:rsid w:val="00104D43"/>
    <w:rsid w:val="001063D6"/>
    <w:rsid w:val="001064F4"/>
    <w:rsid w:val="00107138"/>
    <w:rsid w:val="00107561"/>
    <w:rsid w:val="00107BE7"/>
    <w:rsid w:val="001104BC"/>
    <w:rsid w:val="001107A6"/>
    <w:rsid w:val="001109D3"/>
    <w:rsid w:val="0011313D"/>
    <w:rsid w:val="0011443B"/>
    <w:rsid w:val="00114485"/>
    <w:rsid w:val="00115C43"/>
    <w:rsid w:val="00115FB8"/>
    <w:rsid w:val="001167D1"/>
    <w:rsid w:val="00120DF8"/>
    <w:rsid w:val="00122473"/>
    <w:rsid w:val="00123356"/>
    <w:rsid w:val="001267A1"/>
    <w:rsid w:val="001315EC"/>
    <w:rsid w:val="001323C1"/>
    <w:rsid w:val="00132D47"/>
    <w:rsid w:val="00136F74"/>
    <w:rsid w:val="00140F40"/>
    <w:rsid w:val="0014108A"/>
    <w:rsid w:val="00141324"/>
    <w:rsid w:val="00142877"/>
    <w:rsid w:val="00143EBC"/>
    <w:rsid w:val="0014580D"/>
    <w:rsid w:val="00146573"/>
    <w:rsid w:val="0014760B"/>
    <w:rsid w:val="00147AB2"/>
    <w:rsid w:val="00150AF2"/>
    <w:rsid w:val="0015134C"/>
    <w:rsid w:val="00151845"/>
    <w:rsid w:val="00154197"/>
    <w:rsid w:val="00156BFE"/>
    <w:rsid w:val="00156FC7"/>
    <w:rsid w:val="0015763E"/>
    <w:rsid w:val="00160FFD"/>
    <w:rsid w:val="001612F2"/>
    <w:rsid w:val="0016194C"/>
    <w:rsid w:val="00163844"/>
    <w:rsid w:val="00165982"/>
    <w:rsid w:val="0016646B"/>
    <w:rsid w:val="00167DB8"/>
    <w:rsid w:val="0017115D"/>
    <w:rsid w:val="0017770C"/>
    <w:rsid w:val="00182532"/>
    <w:rsid w:val="001828A4"/>
    <w:rsid w:val="00182B5A"/>
    <w:rsid w:val="0018323C"/>
    <w:rsid w:val="001837C5"/>
    <w:rsid w:val="00185B15"/>
    <w:rsid w:val="00186E33"/>
    <w:rsid w:val="00187C70"/>
    <w:rsid w:val="001905BD"/>
    <w:rsid w:val="00190E83"/>
    <w:rsid w:val="001922F6"/>
    <w:rsid w:val="00193016"/>
    <w:rsid w:val="00194D52"/>
    <w:rsid w:val="00197F12"/>
    <w:rsid w:val="001A07B6"/>
    <w:rsid w:val="001A226B"/>
    <w:rsid w:val="001A22CD"/>
    <w:rsid w:val="001A34C8"/>
    <w:rsid w:val="001A3CE0"/>
    <w:rsid w:val="001A50B8"/>
    <w:rsid w:val="001A7F87"/>
    <w:rsid w:val="001B1801"/>
    <w:rsid w:val="001B499A"/>
    <w:rsid w:val="001B4A73"/>
    <w:rsid w:val="001B5F7B"/>
    <w:rsid w:val="001B7074"/>
    <w:rsid w:val="001C0593"/>
    <w:rsid w:val="001C1DCF"/>
    <w:rsid w:val="001C24B2"/>
    <w:rsid w:val="001C2675"/>
    <w:rsid w:val="001C3127"/>
    <w:rsid w:val="001C6146"/>
    <w:rsid w:val="001C71AD"/>
    <w:rsid w:val="001C7303"/>
    <w:rsid w:val="001C76C9"/>
    <w:rsid w:val="001D0592"/>
    <w:rsid w:val="001D0A53"/>
    <w:rsid w:val="001D23F1"/>
    <w:rsid w:val="001D30E7"/>
    <w:rsid w:val="001D39FF"/>
    <w:rsid w:val="001D5885"/>
    <w:rsid w:val="001E0F8F"/>
    <w:rsid w:val="001E230A"/>
    <w:rsid w:val="001E2C89"/>
    <w:rsid w:val="001E39E7"/>
    <w:rsid w:val="001E3F4D"/>
    <w:rsid w:val="001E4028"/>
    <w:rsid w:val="001E6306"/>
    <w:rsid w:val="001E701A"/>
    <w:rsid w:val="001E74AE"/>
    <w:rsid w:val="001F4E03"/>
    <w:rsid w:val="001F5970"/>
    <w:rsid w:val="0020201F"/>
    <w:rsid w:val="00202702"/>
    <w:rsid w:val="00203C81"/>
    <w:rsid w:val="00206E7C"/>
    <w:rsid w:val="00206FA2"/>
    <w:rsid w:val="00207A25"/>
    <w:rsid w:val="002109EA"/>
    <w:rsid w:val="00210AE8"/>
    <w:rsid w:val="00212E01"/>
    <w:rsid w:val="002131A3"/>
    <w:rsid w:val="00213904"/>
    <w:rsid w:val="002166C2"/>
    <w:rsid w:val="002173F2"/>
    <w:rsid w:val="002204A4"/>
    <w:rsid w:val="002213FB"/>
    <w:rsid w:val="00221D3C"/>
    <w:rsid w:val="002239FD"/>
    <w:rsid w:val="00224241"/>
    <w:rsid w:val="002264B5"/>
    <w:rsid w:val="0022702D"/>
    <w:rsid w:val="002300A9"/>
    <w:rsid w:val="0023161B"/>
    <w:rsid w:val="00231B65"/>
    <w:rsid w:val="0023226F"/>
    <w:rsid w:val="00232515"/>
    <w:rsid w:val="00233603"/>
    <w:rsid w:val="0023366A"/>
    <w:rsid w:val="00234729"/>
    <w:rsid w:val="00234BC2"/>
    <w:rsid w:val="00235567"/>
    <w:rsid w:val="00240E09"/>
    <w:rsid w:val="002416A0"/>
    <w:rsid w:val="00243102"/>
    <w:rsid w:val="002451A7"/>
    <w:rsid w:val="0024778D"/>
    <w:rsid w:val="00251E8D"/>
    <w:rsid w:val="002520C5"/>
    <w:rsid w:val="00252162"/>
    <w:rsid w:val="00254889"/>
    <w:rsid w:val="00255A9D"/>
    <w:rsid w:val="0026096E"/>
    <w:rsid w:val="00260A29"/>
    <w:rsid w:val="00262741"/>
    <w:rsid w:val="00262973"/>
    <w:rsid w:val="00263C70"/>
    <w:rsid w:val="00264560"/>
    <w:rsid w:val="002674C1"/>
    <w:rsid w:val="00272FC7"/>
    <w:rsid w:val="0027485F"/>
    <w:rsid w:val="00275FFE"/>
    <w:rsid w:val="0027649A"/>
    <w:rsid w:val="00276CDD"/>
    <w:rsid w:val="00277930"/>
    <w:rsid w:val="00281021"/>
    <w:rsid w:val="002835D3"/>
    <w:rsid w:val="00283D4B"/>
    <w:rsid w:val="00284719"/>
    <w:rsid w:val="00284E32"/>
    <w:rsid w:val="002860FB"/>
    <w:rsid w:val="00286B87"/>
    <w:rsid w:val="002870C2"/>
    <w:rsid w:val="00287651"/>
    <w:rsid w:val="00290183"/>
    <w:rsid w:val="00292FCE"/>
    <w:rsid w:val="00293CA7"/>
    <w:rsid w:val="00293CA9"/>
    <w:rsid w:val="00294155"/>
    <w:rsid w:val="002941C3"/>
    <w:rsid w:val="0029435B"/>
    <w:rsid w:val="0029445A"/>
    <w:rsid w:val="00295173"/>
    <w:rsid w:val="002964C6"/>
    <w:rsid w:val="002A0AA0"/>
    <w:rsid w:val="002A314C"/>
    <w:rsid w:val="002A4CE6"/>
    <w:rsid w:val="002A5083"/>
    <w:rsid w:val="002A52A5"/>
    <w:rsid w:val="002A5A0F"/>
    <w:rsid w:val="002A5F39"/>
    <w:rsid w:val="002A787D"/>
    <w:rsid w:val="002B020C"/>
    <w:rsid w:val="002B05C9"/>
    <w:rsid w:val="002B1870"/>
    <w:rsid w:val="002B2143"/>
    <w:rsid w:val="002B5C72"/>
    <w:rsid w:val="002B7E21"/>
    <w:rsid w:val="002C0610"/>
    <w:rsid w:val="002C685A"/>
    <w:rsid w:val="002D0E8F"/>
    <w:rsid w:val="002D18E5"/>
    <w:rsid w:val="002D2DBE"/>
    <w:rsid w:val="002D3E61"/>
    <w:rsid w:val="002D49D5"/>
    <w:rsid w:val="002D4A93"/>
    <w:rsid w:val="002D4F2A"/>
    <w:rsid w:val="002D59FA"/>
    <w:rsid w:val="002D6170"/>
    <w:rsid w:val="002D7107"/>
    <w:rsid w:val="002D7D42"/>
    <w:rsid w:val="002E081C"/>
    <w:rsid w:val="002E374F"/>
    <w:rsid w:val="002E6CEC"/>
    <w:rsid w:val="002F0634"/>
    <w:rsid w:val="002F1359"/>
    <w:rsid w:val="002F1F8D"/>
    <w:rsid w:val="002F21F4"/>
    <w:rsid w:val="002F2EF0"/>
    <w:rsid w:val="002F3480"/>
    <w:rsid w:val="002F385A"/>
    <w:rsid w:val="002F58C1"/>
    <w:rsid w:val="002F72D8"/>
    <w:rsid w:val="002F76B1"/>
    <w:rsid w:val="002F7D21"/>
    <w:rsid w:val="0030055D"/>
    <w:rsid w:val="003008E7"/>
    <w:rsid w:val="00300D94"/>
    <w:rsid w:val="003022A7"/>
    <w:rsid w:val="0030334C"/>
    <w:rsid w:val="00306DC0"/>
    <w:rsid w:val="003079CA"/>
    <w:rsid w:val="00312371"/>
    <w:rsid w:val="0031335D"/>
    <w:rsid w:val="0031343C"/>
    <w:rsid w:val="003138DE"/>
    <w:rsid w:val="00313BFC"/>
    <w:rsid w:val="00313E16"/>
    <w:rsid w:val="0031469E"/>
    <w:rsid w:val="00314DBD"/>
    <w:rsid w:val="00321645"/>
    <w:rsid w:val="00322117"/>
    <w:rsid w:val="003236BC"/>
    <w:rsid w:val="00323C17"/>
    <w:rsid w:val="0032476B"/>
    <w:rsid w:val="003248B5"/>
    <w:rsid w:val="00325C8F"/>
    <w:rsid w:val="0032647A"/>
    <w:rsid w:val="00331BC3"/>
    <w:rsid w:val="0033342E"/>
    <w:rsid w:val="00334B02"/>
    <w:rsid w:val="00334FFD"/>
    <w:rsid w:val="00335FA1"/>
    <w:rsid w:val="0033742A"/>
    <w:rsid w:val="003410BF"/>
    <w:rsid w:val="00345D26"/>
    <w:rsid w:val="00346518"/>
    <w:rsid w:val="00350D84"/>
    <w:rsid w:val="00351562"/>
    <w:rsid w:val="00353DAA"/>
    <w:rsid w:val="00354CB5"/>
    <w:rsid w:val="003561F2"/>
    <w:rsid w:val="003567A3"/>
    <w:rsid w:val="00360FC8"/>
    <w:rsid w:val="0036228B"/>
    <w:rsid w:val="00362CEB"/>
    <w:rsid w:val="003639E0"/>
    <w:rsid w:val="00364CB3"/>
    <w:rsid w:val="00364F1F"/>
    <w:rsid w:val="00367983"/>
    <w:rsid w:val="00367B86"/>
    <w:rsid w:val="00370E1F"/>
    <w:rsid w:val="00370E5F"/>
    <w:rsid w:val="0037115D"/>
    <w:rsid w:val="00372972"/>
    <w:rsid w:val="00373AEF"/>
    <w:rsid w:val="00374817"/>
    <w:rsid w:val="0037749C"/>
    <w:rsid w:val="0038077C"/>
    <w:rsid w:val="00381220"/>
    <w:rsid w:val="003840A1"/>
    <w:rsid w:val="00390903"/>
    <w:rsid w:val="003911C0"/>
    <w:rsid w:val="003943A7"/>
    <w:rsid w:val="00394C45"/>
    <w:rsid w:val="003956F4"/>
    <w:rsid w:val="0039671D"/>
    <w:rsid w:val="00397227"/>
    <w:rsid w:val="003A0FB7"/>
    <w:rsid w:val="003A2F76"/>
    <w:rsid w:val="003A3ED8"/>
    <w:rsid w:val="003A4CD2"/>
    <w:rsid w:val="003A514D"/>
    <w:rsid w:val="003A5C61"/>
    <w:rsid w:val="003A6EB7"/>
    <w:rsid w:val="003B045A"/>
    <w:rsid w:val="003B3BBA"/>
    <w:rsid w:val="003B4C81"/>
    <w:rsid w:val="003B7FD8"/>
    <w:rsid w:val="003C2C86"/>
    <w:rsid w:val="003C31B9"/>
    <w:rsid w:val="003C334D"/>
    <w:rsid w:val="003C5A90"/>
    <w:rsid w:val="003C63EC"/>
    <w:rsid w:val="003C795A"/>
    <w:rsid w:val="003C7A75"/>
    <w:rsid w:val="003D0335"/>
    <w:rsid w:val="003D0506"/>
    <w:rsid w:val="003D3E8C"/>
    <w:rsid w:val="003D54FF"/>
    <w:rsid w:val="003D5FB5"/>
    <w:rsid w:val="003D6914"/>
    <w:rsid w:val="003D6FFA"/>
    <w:rsid w:val="003D7127"/>
    <w:rsid w:val="003E19A1"/>
    <w:rsid w:val="003E3350"/>
    <w:rsid w:val="003E53A1"/>
    <w:rsid w:val="003F2B8B"/>
    <w:rsid w:val="003F6C4B"/>
    <w:rsid w:val="00401A96"/>
    <w:rsid w:val="00401D65"/>
    <w:rsid w:val="00401EAF"/>
    <w:rsid w:val="0040245A"/>
    <w:rsid w:val="0040365D"/>
    <w:rsid w:val="00404711"/>
    <w:rsid w:val="004053D5"/>
    <w:rsid w:val="004076B1"/>
    <w:rsid w:val="00407B37"/>
    <w:rsid w:val="00414AA6"/>
    <w:rsid w:val="00414C46"/>
    <w:rsid w:val="0042113E"/>
    <w:rsid w:val="0042290E"/>
    <w:rsid w:val="00423626"/>
    <w:rsid w:val="00424191"/>
    <w:rsid w:val="00424FC1"/>
    <w:rsid w:val="004274C5"/>
    <w:rsid w:val="00434257"/>
    <w:rsid w:val="00436412"/>
    <w:rsid w:val="00436750"/>
    <w:rsid w:val="00436B8D"/>
    <w:rsid w:val="004370EC"/>
    <w:rsid w:val="004405EB"/>
    <w:rsid w:val="00441E2A"/>
    <w:rsid w:val="00443856"/>
    <w:rsid w:val="00443911"/>
    <w:rsid w:val="00444E03"/>
    <w:rsid w:val="004469F9"/>
    <w:rsid w:val="00451BB1"/>
    <w:rsid w:val="004541CE"/>
    <w:rsid w:val="00455003"/>
    <w:rsid w:val="0045528E"/>
    <w:rsid w:val="004603DD"/>
    <w:rsid w:val="00462DE1"/>
    <w:rsid w:val="0046366D"/>
    <w:rsid w:val="00465F7E"/>
    <w:rsid w:val="00466B42"/>
    <w:rsid w:val="00470926"/>
    <w:rsid w:val="004731CC"/>
    <w:rsid w:val="004760D7"/>
    <w:rsid w:val="00480456"/>
    <w:rsid w:val="00481216"/>
    <w:rsid w:val="0048141C"/>
    <w:rsid w:val="00481EE6"/>
    <w:rsid w:val="0048465D"/>
    <w:rsid w:val="00485F6A"/>
    <w:rsid w:val="00491465"/>
    <w:rsid w:val="00492062"/>
    <w:rsid w:val="004920DB"/>
    <w:rsid w:val="0049361F"/>
    <w:rsid w:val="004936B6"/>
    <w:rsid w:val="00494421"/>
    <w:rsid w:val="0049589C"/>
    <w:rsid w:val="004968FD"/>
    <w:rsid w:val="004A0A37"/>
    <w:rsid w:val="004A23C0"/>
    <w:rsid w:val="004A3BCC"/>
    <w:rsid w:val="004A5259"/>
    <w:rsid w:val="004A7C59"/>
    <w:rsid w:val="004B1CB5"/>
    <w:rsid w:val="004B1ED2"/>
    <w:rsid w:val="004B2809"/>
    <w:rsid w:val="004B5401"/>
    <w:rsid w:val="004B5E1C"/>
    <w:rsid w:val="004B6065"/>
    <w:rsid w:val="004B6F43"/>
    <w:rsid w:val="004C1904"/>
    <w:rsid w:val="004C3E7C"/>
    <w:rsid w:val="004C4B6D"/>
    <w:rsid w:val="004C530F"/>
    <w:rsid w:val="004C698B"/>
    <w:rsid w:val="004D0CFE"/>
    <w:rsid w:val="004D13DC"/>
    <w:rsid w:val="004D2167"/>
    <w:rsid w:val="004D2997"/>
    <w:rsid w:val="004D5EA4"/>
    <w:rsid w:val="004D67C4"/>
    <w:rsid w:val="004D6C4D"/>
    <w:rsid w:val="004E1E1D"/>
    <w:rsid w:val="004E2583"/>
    <w:rsid w:val="004E3513"/>
    <w:rsid w:val="004E6074"/>
    <w:rsid w:val="004E637E"/>
    <w:rsid w:val="004F0138"/>
    <w:rsid w:val="004F0D69"/>
    <w:rsid w:val="004F225C"/>
    <w:rsid w:val="004F247E"/>
    <w:rsid w:val="004F3223"/>
    <w:rsid w:val="004F38CA"/>
    <w:rsid w:val="004F3D4D"/>
    <w:rsid w:val="004F3F16"/>
    <w:rsid w:val="004F44F7"/>
    <w:rsid w:val="004F466C"/>
    <w:rsid w:val="004F7C58"/>
    <w:rsid w:val="00501407"/>
    <w:rsid w:val="00502400"/>
    <w:rsid w:val="00502FFC"/>
    <w:rsid w:val="00506015"/>
    <w:rsid w:val="00507258"/>
    <w:rsid w:val="005119C9"/>
    <w:rsid w:val="00512C5E"/>
    <w:rsid w:val="00513901"/>
    <w:rsid w:val="00524AD7"/>
    <w:rsid w:val="00527596"/>
    <w:rsid w:val="00531497"/>
    <w:rsid w:val="00531A67"/>
    <w:rsid w:val="00533440"/>
    <w:rsid w:val="00533F06"/>
    <w:rsid w:val="00535E26"/>
    <w:rsid w:val="005377FD"/>
    <w:rsid w:val="0054017A"/>
    <w:rsid w:val="00542E01"/>
    <w:rsid w:val="00544CA1"/>
    <w:rsid w:val="005452EB"/>
    <w:rsid w:val="00546E76"/>
    <w:rsid w:val="005509AC"/>
    <w:rsid w:val="0055173E"/>
    <w:rsid w:val="00551C81"/>
    <w:rsid w:val="00552A8C"/>
    <w:rsid w:val="00554069"/>
    <w:rsid w:val="00556544"/>
    <w:rsid w:val="005569A2"/>
    <w:rsid w:val="005576B8"/>
    <w:rsid w:val="0056107A"/>
    <w:rsid w:val="00565461"/>
    <w:rsid w:val="005654FA"/>
    <w:rsid w:val="00566409"/>
    <w:rsid w:val="0056770C"/>
    <w:rsid w:val="00571708"/>
    <w:rsid w:val="00571925"/>
    <w:rsid w:val="0057334D"/>
    <w:rsid w:val="00574A3C"/>
    <w:rsid w:val="0057594B"/>
    <w:rsid w:val="00576408"/>
    <w:rsid w:val="00577041"/>
    <w:rsid w:val="0057744F"/>
    <w:rsid w:val="00577849"/>
    <w:rsid w:val="005838B4"/>
    <w:rsid w:val="005846D0"/>
    <w:rsid w:val="00592093"/>
    <w:rsid w:val="00596E58"/>
    <w:rsid w:val="005A19B9"/>
    <w:rsid w:val="005A3D2A"/>
    <w:rsid w:val="005A3E60"/>
    <w:rsid w:val="005B2D44"/>
    <w:rsid w:val="005B47C4"/>
    <w:rsid w:val="005B5B19"/>
    <w:rsid w:val="005C00A7"/>
    <w:rsid w:val="005C07FC"/>
    <w:rsid w:val="005C10C9"/>
    <w:rsid w:val="005C1443"/>
    <w:rsid w:val="005C2605"/>
    <w:rsid w:val="005C54F5"/>
    <w:rsid w:val="005C56F2"/>
    <w:rsid w:val="005C699A"/>
    <w:rsid w:val="005D0AA8"/>
    <w:rsid w:val="005D0BEF"/>
    <w:rsid w:val="005D2AEA"/>
    <w:rsid w:val="005D62F5"/>
    <w:rsid w:val="005D716D"/>
    <w:rsid w:val="005D7B8B"/>
    <w:rsid w:val="005E16B0"/>
    <w:rsid w:val="005E17BE"/>
    <w:rsid w:val="005E1FDE"/>
    <w:rsid w:val="005E304D"/>
    <w:rsid w:val="005E382C"/>
    <w:rsid w:val="005E6137"/>
    <w:rsid w:val="005F22A3"/>
    <w:rsid w:val="005F4D78"/>
    <w:rsid w:val="005F6269"/>
    <w:rsid w:val="005F6A4E"/>
    <w:rsid w:val="005F7AD0"/>
    <w:rsid w:val="00600CCD"/>
    <w:rsid w:val="00601BAB"/>
    <w:rsid w:val="006045B4"/>
    <w:rsid w:val="00604A68"/>
    <w:rsid w:val="00604C30"/>
    <w:rsid w:val="00604CE1"/>
    <w:rsid w:val="0060531D"/>
    <w:rsid w:val="00610FC3"/>
    <w:rsid w:val="006149B3"/>
    <w:rsid w:val="006152B8"/>
    <w:rsid w:val="006153F5"/>
    <w:rsid w:val="00615584"/>
    <w:rsid w:val="00620991"/>
    <w:rsid w:val="0062148C"/>
    <w:rsid w:val="006247DC"/>
    <w:rsid w:val="00624ADC"/>
    <w:rsid w:val="00627BBA"/>
    <w:rsid w:val="006309EB"/>
    <w:rsid w:val="00631C79"/>
    <w:rsid w:val="00634EDC"/>
    <w:rsid w:val="00635625"/>
    <w:rsid w:val="00635ECD"/>
    <w:rsid w:val="0063651C"/>
    <w:rsid w:val="0063656B"/>
    <w:rsid w:val="0063661B"/>
    <w:rsid w:val="00636910"/>
    <w:rsid w:val="00636DF9"/>
    <w:rsid w:val="0063768D"/>
    <w:rsid w:val="00641AE6"/>
    <w:rsid w:val="00643887"/>
    <w:rsid w:val="0064444E"/>
    <w:rsid w:val="006515A9"/>
    <w:rsid w:val="00651C6A"/>
    <w:rsid w:val="00652A95"/>
    <w:rsid w:val="00652BE3"/>
    <w:rsid w:val="006532D4"/>
    <w:rsid w:val="0066165B"/>
    <w:rsid w:val="006622DE"/>
    <w:rsid w:val="0066318E"/>
    <w:rsid w:val="006632BF"/>
    <w:rsid w:val="006644D2"/>
    <w:rsid w:val="00666161"/>
    <w:rsid w:val="006663E9"/>
    <w:rsid w:val="00666B16"/>
    <w:rsid w:val="00667A63"/>
    <w:rsid w:val="00667D7A"/>
    <w:rsid w:val="00673499"/>
    <w:rsid w:val="00681EFE"/>
    <w:rsid w:val="006846D6"/>
    <w:rsid w:val="0068486A"/>
    <w:rsid w:val="00686476"/>
    <w:rsid w:val="00692FAB"/>
    <w:rsid w:val="00695229"/>
    <w:rsid w:val="00695A7B"/>
    <w:rsid w:val="006A298D"/>
    <w:rsid w:val="006A3764"/>
    <w:rsid w:val="006A4561"/>
    <w:rsid w:val="006A4674"/>
    <w:rsid w:val="006A53A6"/>
    <w:rsid w:val="006A66C5"/>
    <w:rsid w:val="006B12EE"/>
    <w:rsid w:val="006B3C9A"/>
    <w:rsid w:val="006B4386"/>
    <w:rsid w:val="006B7E09"/>
    <w:rsid w:val="006C06F6"/>
    <w:rsid w:val="006C0CE9"/>
    <w:rsid w:val="006C2691"/>
    <w:rsid w:val="006C393E"/>
    <w:rsid w:val="006C40C6"/>
    <w:rsid w:val="006C4F77"/>
    <w:rsid w:val="006C5809"/>
    <w:rsid w:val="006C5994"/>
    <w:rsid w:val="006C5CB3"/>
    <w:rsid w:val="006C7318"/>
    <w:rsid w:val="006C7722"/>
    <w:rsid w:val="006D054C"/>
    <w:rsid w:val="006D28E5"/>
    <w:rsid w:val="006D455C"/>
    <w:rsid w:val="006D7356"/>
    <w:rsid w:val="006E0998"/>
    <w:rsid w:val="006E0A88"/>
    <w:rsid w:val="006E3334"/>
    <w:rsid w:val="006E4311"/>
    <w:rsid w:val="006F08A4"/>
    <w:rsid w:val="006F1EA3"/>
    <w:rsid w:val="006F4C06"/>
    <w:rsid w:val="00701715"/>
    <w:rsid w:val="0070286D"/>
    <w:rsid w:val="00702BA2"/>
    <w:rsid w:val="00702DD7"/>
    <w:rsid w:val="00705DF1"/>
    <w:rsid w:val="00706D21"/>
    <w:rsid w:val="00707EAE"/>
    <w:rsid w:val="007105FD"/>
    <w:rsid w:val="0071086B"/>
    <w:rsid w:val="007172DF"/>
    <w:rsid w:val="007177F2"/>
    <w:rsid w:val="00720142"/>
    <w:rsid w:val="0072144C"/>
    <w:rsid w:val="00721F97"/>
    <w:rsid w:val="00723391"/>
    <w:rsid w:val="00723514"/>
    <w:rsid w:val="00723E20"/>
    <w:rsid w:val="00725F10"/>
    <w:rsid w:val="00726916"/>
    <w:rsid w:val="0072712D"/>
    <w:rsid w:val="00735051"/>
    <w:rsid w:val="00735DC3"/>
    <w:rsid w:val="00737D97"/>
    <w:rsid w:val="00740237"/>
    <w:rsid w:val="007404D1"/>
    <w:rsid w:val="00740811"/>
    <w:rsid w:val="00741233"/>
    <w:rsid w:val="007419E9"/>
    <w:rsid w:val="00743F72"/>
    <w:rsid w:val="00745A79"/>
    <w:rsid w:val="00745ABB"/>
    <w:rsid w:val="00750506"/>
    <w:rsid w:val="00750CF4"/>
    <w:rsid w:val="00755808"/>
    <w:rsid w:val="00755A0F"/>
    <w:rsid w:val="00757260"/>
    <w:rsid w:val="0076058B"/>
    <w:rsid w:val="00761054"/>
    <w:rsid w:val="00762A7E"/>
    <w:rsid w:val="00773839"/>
    <w:rsid w:val="00774DF0"/>
    <w:rsid w:val="007769DF"/>
    <w:rsid w:val="00777B6B"/>
    <w:rsid w:val="00782136"/>
    <w:rsid w:val="00783312"/>
    <w:rsid w:val="0078360C"/>
    <w:rsid w:val="007841BC"/>
    <w:rsid w:val="007862A2"/>
    <w:rsid w:val="00790974"/>
    <w:rsid w:val="007919B6"/>
    <w:rsid w:val="007943BC"/>
    <w:rsid w:val="0079709E"/>
    <w:rsid w:val="007A0530"/>
    <w:rsid w:val="007A2F8D"/>
    <w:rsid w:val="007A6539"/>
    <w:rsid w:val="007B2514"/>
    <w:rsid w:val="007B5A95"/>
    <w:rsid w:val="007B6556"/>
    <w:rsid w:val="007B7559"/>
    <w:rsid w:val="007C209D"/>
    <w:rsid w:val="007C2FA2"/>
    <w:rsid w:val="007C383F"/>
    <w:rsid w:val="007D09B2"/>
    <w:rsid w:val="007D3055"/>
    <w:rsid w:val="007D3F6A"/>
    <w:rsid w:val="007E09EE"/>
    <w:rsid w:val="007E0EDB"/>
    <w:rsid w:val="007E2833"/>
    <w:rsid w:val="007E4421"/>
    <w:rsid w:val="007E4DA2"/>
    <w:rsid w:val="007E6916"/>
    <w:rsid w:val="007F5AA2"/>
    <w:rsid w:val="007F5BE3"/>
    <w:rsid w:val="00801D64"/>
    <w:rsid w:val="008046A5"/>
    <w:rsid w:val="0080474E"/>
    <w:rsid w:val="00805843"/>
    <w:rsid w:val="00810209"/>
    <w:rsid w:val="00811AF5"/>
    <w:rsid w:val="00812170"/>
    <w:rsid w:val="0081548B"/>
    <w:rsid w:val="00816672"/>
    <w:rsid w:val="00816CF6"/>
    <w:rsid w:val="00817401"/>
    <w:rsid w:val="008203B7"/>
    <w:rsid w:val="00820D20"/>
    <w:rsid w:val="00822BA6"/>
    <w:rsid w:val="0082535A"/>
    <w:rsid w:val="00825D39"/>
    <w:rsid w:val="008262A5"/>
    <w:rsid w:val="00830356"/>
    <w:rsid w:val="00832B76"/>
    <w:rsid w:val="00832D15"/>
    <w:rsid w:val="0083653B"/>
    <w:rsid w:val="00836D1C"/>
    <w:rsid w:val="00836DF9"/>
    <w:rsid w:val="00837B65"/>
    <w:rsid w:val="00840121"/>
    <w:rsid w:val="008402AF"/>
    <w:rsid w:val="008408C3"/>
    <w:rsid w:val="00841410"/>
    <w:rsid w:val="00841AF7"/>
    <w:rsid w:val="008425C6"/>
    <w:rsid w:val="0084478B"/>
    <w:rsid w:val="00844DA9"/>
    <w:rsid w:val="00845122"/>
    <w:rsid w:val="00846C56"/>
    <w:rsid w:val="00847CE8"/>
    <w:rsid w:val="00850631"/>
    <w:rsid w:val="00850F9A"/>
    <w:rsid w:val="0085198B"/>
    <w:rsid w:val="00852397"/>
    <w:rsid w:val="008533B4"/>
    <w:rsid w:val="00854013"/>
    <w:rsid w:val="00854A54"/>
    <w:rsid w:val="00855873"/>
    <w:rsid w:val="00857D3D"/>
    <w:rsid w:val="008623BA"/>
    <w:rsid w:val="00865685"/>
    <w:rsid w:val="00866B24"/>
    <w:rsid w:val="00866CFD"/>
    <w:rsid w:val="00871A23"/>
    <w:rsid w:val="00876FD6"/>
    <w:rsid w:val="00881664"/>
    <w:rsid w:val="00881BDF"/>
    <w:rsid w:val="00882D9D"/>
    <w:rsid w:val="0088387F"/>
    <w:rsid w:val="00883C26"/>
    <w:rsid w:val="00886480"/>
    <w:rsid w:val="00894584"/>
    <w:rsid w:val="00896674"/>
    <w:rsid w:val="008A07FF"/>
    <w:rsid w:val="008A10C8"/>
    <w:rsid w:val="008A1DF6"/>
    <w:rsid w:val="008A447A"/>
    <w:rsid w:val="008A4A25"/>
    <w:rsid w:val="008A7314"/>
    <w:rsid w:val="008B4B97"/>
    <w:rsid w:val="008B5B26"/>
    <w:rsid w:val="008B77C0"/>
    <w:rsid w:val="008B7CA8"/>
    <w:rsid w:val="008C09DB"/>
    <w:rsid w:val="008C140F"/>
    <w:rsid w:val="008C4307"/>
    <w:rsid w:val="008C4E6D"/>
    <w:rsid w:val="008C6EAC"/>
    <w:rsid w:val="008D0690"/>
    <w:rsid w:val="008D0D6C"/>
    <w:rsid w:val="008D10C7"/>
    <w:rsid w:val="008D41DA"/>
    <w:rsid w:val="008D533F"/>
    <w:rsid w:val="008E00FC"/>
    <w:rsid w:val="008E25B2"/>
    <w:rsid w:val="008E2A9A"/>
    <w:rsid w:val="008E2EF0"/>
    <w:rsid w:val="008E3DBD"/>
    <w:rsid w:val="008E57C1"/>
    <w:rsid w:val="008E6629"/>
    <w:rsid w:val="008E6DE9"/>
    <w:rsid w:val="008E7222"/>
    <w:rsid w:val="008E7BC5"/>
    <w:rsid w:val="008F28A2"/>
    <w:rsid w:val="008F2913"/>
    <w:rsid w:val="008F3129"/>
    <w:rsid w:val="008F34C2"/>
    <w:rsid w:val="008F4C1A"/>
    <w:rsid w:val="008F71FF"/>
    <w:rsid w:val="0090168D"/>
    <w:rsid w:val="009019D1"/>
    <w:rsid w:val="009027CB"/>
    <w:rsid w:val="00903F1E"/>
    <w:rsid w:val="009050BC"/>
    <w:rsid w:val="00905164"/>
    <w:rsid w:val="009066DC"/>
    <w:rsid w:val="00907D47"/>
    <w:rsid w:val="00911A99"/>
    <w:rsid w:val="009122E4"/>
    <w:rsid w:val="00913897"/>
    <w:rsid w:val="00914B1F"/>
    <w:rsid w:val="00915447"/>
    <w:rsid w:val="00915460"/>
    <w:rsid w:val="00915F5A"/>
    <w:rsid w:val="00916761"/>
    <w:rsid w:val="00917CC3"/>
    <w:rsid w:val="00923F74"/>
    <w:rsid w:val="00924C15"/>
    <w:rsid w:val="0092547C"/>
    <w:rsid w:val="00927A0C"/>
    <w:rsid w:val="009319D8"/>
    <w:rsid w:val="00932CD0"/>
    <w:rsid w:val="0093359F"/>
    <w:rsid w:val="00933D94"/>
    <w:rsid w:val="00933F7D"/>
    <w:rsid w:val="00934591"/>
    <w:rsid w:val="00934738"/>
    <w:rsid w:val="009379F4"/>
    <w:rsid w:val="00946573"/>
    <w:rsid w:val="00946C60"/>
    <w:rsid w:val="00950F78"/>
    <w:rsid w:val="009512EE"/>
    <w:rsid w:val="0095137F"/>
    <w:rsid w:val="00951459"/>
    <w:rsid w:val="009542E9"/>
    <w:rsid w:val="0095497B"/>
    <w:rsid w:val="00956E53"/>
    <w:rsid w:val="00957106"/>
    <w:rsid w:val="00961ABA"/>
    <w:rsid w:val="00962DC3"/>
    <w:rsid w:val="00964C45"/>
    <w:rsid w:val="00966402"/>
    <w:rsid w:val="00966D78"/>
    <w:rsid w:val="00967D4E"/>
    <w:rsid w:val="00974606"/>
    <w:rsid w:val="009757BA"/>
    <w:rsid w:val="009807ED"/>
    <w:rsid w:val="00980CD4"/>
    <w:rsid w:val="009812E0"/>
    <w:rsid w:val="009823BD"/>
    <w:rsid w:val="00986BD0"/>
    <w:rsid w:val="00987D86"/>
    <w:rsid w:val="009900CE"/>
    <w:rsid w:val="0099073A"/>
    <w:rsid w:val="0099126D"/>
    <w:rsid w:val="0099175B"/>
    <w:rsid w:val="009919AF"/>
    <w:rsid w:val="00991E10"/>
    <w:rsid w:val="0099225E"/>
    <w:rsid w:val="00992C5A"/>
    <w:rsid w:val="009932DB"/>
    <w:rsid w:val="00993893"/>
    <w:rsid w:val="00994151"/>
    <w:rsid w:val="00995BC6"/>
    <w:rsid w:val="009968D2"/>
    <w:rsid w:val="00996C8B"/>
    <w:rsid w:val="009A0C2B"/>
    <w:rsid w:val="009A225B"/>
    <w:rsid w:val="009A3CB0"/>
    <w:rsid w:val="009A5250"/>
    <w:rsid w:val="009B54F5"/>
    <w:rsid w:val="009B5A36"/>
    <w:rsid w:val="009B5E71"/>
    <w:rsid w:val="009B788D"/>
    <w:rsid w:val="009C2CC4"/>
    <w:rsid w:val="009C459B"/>
    <w:rsid w:val="009C474B"/>
    <w:rsid w:val="009D129B"/>
    <w:rsid w:val="009D377D"/>
    <w:rsid w:val="009D4803"/>
    <w:rsid w:val="009D4C53"/>
    <w:rsid w:val="009E0123"/>
    <w:rsid w:val="009E024A"/>
    <w:rsid w:val="009E1A86"/>
    <w:rsid w:val="009E3184"/>
    <w:rsid w:val="009E3FA9"/>
    <w:rsid w:val="009F0E0D"/>
    <w:rsid w:val="009F3E77"/>
    <w:rsid w:val="009F4E9A"/>
    <w:rsid w:val="00A00A4E"/>
    <w:rsid w:val="00A00DB6"/>
    <w:rsid w:val="00A019A2"/>
    <w:rsid w:val="00A0232D"/>
    <w:rsid w:val="00A0273D"/>
    <w:rsid w:val="00A05B55"/>
    <w:rsid w:val="00A06F57"/>
    <w:rsid w:val="00A07AD9"/>
    <w:rsid w:val="00A11D05"/>
    <w:rsid w:val="00A11D68"/>
    <w:rsid w:val="00A163C2"/>
    <w:rsid w:val="00A164F5"/>
    <w:rsid w:val="00A166A1"/>
    <w:rsid w:val="00A17655"/>
    <w:rsid w:val="00A23B2F"/>
    <w:rsid w:val="00A23B9E"/>
    <w:rsid w:val="00A3027A"/>
    <w:rsid w:val="00A3120E"/>
    <w:rsid w:val="00A3395A"/>
    <w:rsid w:val="00A33F05"/>
    <w:rsid w:val="00A364AC"/>
    <w:rsid w:val="00A36B35"/>
    <w:rsid w:val="00A437E3"/>
    <w:rsid w:val="00A46835"/>
    <w:rsid w:val="00A46D6A"/>
    <w:rsid w:val="00A46DED"/>
    <w:rsid w:val="00A46E44"/>
    <w:rsid w:val="00A47A18"/>
    <w:rsid w:val="00A53DC7"/>
    <w:rsid w:val="00A5427E"/>
    <w:rsid w:val="00A55495"/>
    <w:rsid w:val="00A5700E"/>
    <w:rsid w:val="00A60AE8"/>
    <w:rsid w:val="00A60B1B"/>
    <w:rsid w:val="00A63AAD"/>
    <w:rsid w:val="00A64C12"/>
    <w:rsid w:val="00A65513"/>
    <w:rsid w:val="00A65A10"/>
    <w:rsid w:val="00A661B6"/>
    <w:rsid w:val="00A67384"/>
    <w:rsid w:val="00A70145"/>
    <w:rsid w:val="00A7019B"/>
    <w:rsid w:val="00A72D7E"/>
    <w:rsid w:val="00A7534A"/>
    <w:rsid w:val="00A75488"/>
    <w:rsid w:val="00A76400"/>
    <w:rsid w:val="00A77AA9"/>
    <w:rsid w:val="00A77EC3"/>
    <w:rsid w:val="00A82C88"/>
    <w:rsid w:val="00A84574"/>
    <w:rsid w:val="00A84D6A"/>
    <w:rsid w:val="00A859C0"/>
    <w:rsid w:val="00A871CD"/>
    <w:rsid w:val="00A90AB5"/>
    <w:rsid w:val="00A91150"/>
    <w:rsid w:val="00A92638"/>
    <w:rsid w:val="00A92918"/>
    <w:rsid w:val="00A93E9C"/>
    <w:rsid w:val="00A94603"/>
    <w:rsid w:val="00A96439"/>
    <w:rsid w:val="00A96A39"/>
    <w:rsid w:val="00AA234A"/>
    <w:rsid w:val="00AA6149"/>
    <w:rsid w:val="00AA6E44"/>
    <w:rsid w:val="00AA742B"/>
    <w:rsid w:val="00AB048E"/>
    <w:rsid w:val="00AB1856"/>
    <w:rsid w:val="00AB33D5"/>
    <w:rsid w:val="00AB3C7A"/>
    <w:rsid w:val="00AB406D"/>
    <w:rsid w:val="00AB544B"/>
    <w:rsid w:val="00AB74E9"/>
    <w:rsid w:val="00AC18D3"/>
    <w:rsid w:val="00AC4CEE"/>
    <w:rsid w:val="00AC6592"/>
    <w:rsid w:val="00AD3A43"/>
    <w:rsid w:val="00AD59BF"/>
    <w:rsid w:val="00AD5E55"/>
    <w:rsid w:val="00AD72BA"/>
    <w:rsid w:val="00AD7F03"/>
    <w:rsid w:val="00AE1A7E"/>
    <w:rsid w:val="00AE4C6F"/>
    <w:rsid w:val="00AE709E"/>
    <w:rsid w:val="00AF25E1"/>
    <w:rsid w:val="00AF46B1"/>
    <w:rsid w:val="00AF5210"/>
    <w:rsid w:val="00AF6031"/>
    <w:rsid w:val="00AF7C05"/>
    <w:rsid w:val="00B0096D"/>
    <w:rsid w:val="00B009F4"/>
    <w:rsid w:val="00B01C3D"/>
    <w:rsid w:val="00B02019"/>
    <w:rsid w:val="00B0270A"/>
    <w:rsid w:val="00B04018"/>
    <w:rsid w:val="00B04528"/>
    <w:rsid w:val="00B1057E"/>
    <w:rsid w:val="00B1224B"/>
    <w:rsid w:val="00B12DD7"/>
    <w:rsid w:val="00B134BB"/>
    <w:rsid w:val="00B16941"/>
    <w:rsid w:val="00B20164"/>
    <w:rsid w:val="00B21485"/>
    <w:rsid w:val="00B220CE"/>
    <w:rsid w:val="00B22149"/>
    <w:rsid w:val="00B2271F"/>
    <w:rsid w:val="00B255DB"/>
    <w:rsid w:val="00B25A73"/>
    <w:rsid w:val="00B32440"/>
    <w:rsid w:val="00B32ED7"/>
    <w:rsid w:val="00B340B7"/>
    <w:rsid w:val="00B35021"/>
    <w:rsid w:val="00B368AC"/>
    <w:rsid w:val="00B402E9"/>
    <w:rsid w:val="00B41A3A"/>
    <w:rsid w:val="00B427B2"/>
    <w:rsid w:val="00B4500A"/>
    <w:rsid w:val="00B474B5"/>
    <w:rsid w:val="00B512D6"/>
    <w:rsid w:val="00B5240C"/>
    <w:rsid w:val="00B52C00"/>
    <w:rsid w:val="00B54F5B"/>
    <w:rsid w:val="00B55D4E"/>
    <w:rsid w:val="00B6626B"/>
    <w:rsid w:val="00B70F14"/>
    <w:rsid w:val="00B71F77"/>
    <w:rsid w:val="00B7282B"/>
    <w:rsid w:val="00B748FA"/>
    <w:rsid w:val="00B755B3"/>
    <w:rsid w:val="00B7756F"/>
    <w:rsid w:val="00B81FFE"/>
    <w:rsid w:val="00B827F0"/>
    <w:rsid w:val="00B84CCB"/>
    <w:rsid w:val="00B850DE"/>
    <w:rsid w:val="00B91807"/>
    <w:rsid w:val="00B92B09"/>
    <w:rsid w:val="00B92DFD"/>
    <w:rsid w:val="00B9412A"/>
    <w:rsid w:val="00B94F8E"/>
    <w:rsid w:val="00B97900"/>
    <w:rsid w:val="00BA0BED"/>
    <w:rsid w:val="00BA1BB1"/>
    <w:rsid w:val="00BA1E9A"/>
    <w:rsid w:val="00BA6C1E"/>
    <w:rsid w:val="00BB2122"/>
    <w:rsid w:val="00BB24EB"/>
    <w:rsid w:val="00BB41CD"/>
    <w:rsid w:val="00BB5063"/>
    <w:rsid w:val="00BB5379"/>
    <w:rsid w:val="00BC41B6"/>
    <w:rsid w:val="00BC4A36"/>
    <w:rsid w:val="00BC5C15"/>
    <w:rsid w:val="00BC5C2E"/>
    <w:rsid w:val="00BC697B"/>
    <w:rsid w:val="00BC7F9F"/>
    <w:rsid w:val="00BD2810"/>
    <w:rsid w:val="00BD34EB"/>
    <w:rsid w:val="00BD4DEC"/>
    <w:rsid w:val="00BD5672"/>
    <w:rsid w:val="00BD794D"/>
    <w:rsid w:val="00BE350C"/>
    <w:rsid w:val="00BE38A4"/>
    <w:rsid w:val="00BE41F7"/>
    <w:rsid w:val="00BE4F92"/>
    <w:rsid w:val="00BE5915"/>
    <w:rsid w:val="00BF13B2"/>
    <w:rsid w:val="00BF2EA8"/>
    <w:rsid w:val="00BF3288"/>
    <w:rsid w:val="00BF691F"/>
    <w:rsid w:val="00BF7569"/>
    <w:rsid w:val="00C001A8"/>
    <w:rsid w:val="00C01A2C"/>
    <w:rsid w:val="00C03373"/>
    <w:rsid w:val="00C0511D"/>
    <w:rsid w:val="00C102A8"/>
    <w:rsid w:val="00C103F8"/>
    <w:rsid w:val="00C10955"/>
    <w:rsid w:val="00C11222"/>
    <w:rsid w:val="00C12944"/>
    <w:rsid w:val="00C140DF"/>
    <w:rsid w:val="00C15275"/>
    <w:rsid w:val="00C162B3"/>
    <w:rsid w:val="00C1641E"/>
    <w:rsid w:val="00C165FE"/>
    <w:rsid w:val="00C211AC"/>
    <w:rsid w:val="00C22DDE"/>
    <w:rsid w:val="00C243EC"/>
    <w:rsid w:val="00C246C5"/>
    <w:rsid w:val="00C24EE3"/>
    <w:rsid w:val="00C24F86"/>
    <w:rsid w:val="00C25E09"/>
    <w:rsid w:val="00C25EBF"/>
    <w:rsid w:val="00C34251"/>
    <w:rsid w:val="00C40294"/>
    <w:rsid w:val="00C41BCF"/>
    <w:rsid w:val="00C4566C"/>
    <w:rsid w:val="00C458DF"/>
    <w:rsid w:val="00C47528"/>
    <w:rsid w:val="00C50EC2"/>
    <w:rsid w:val="00C51267"/>
    <w:rsid w:val="00C520FF"/>
    <w:rsid w:val="00C52592"/>
    <w:rsid w:val="00C52F4C"/>
    <w:rsid w:val="00C56632"/>
    <w:rsid w:val="00C63E48"/>
    <w:rsid w:val="00C647C2"/>
    <w:rsid w:val="00C65A23"/>
    <w:rsid w:val="00C65FE4"/>
    <w:rsid w:val="00C67703"/>
    <w:rsid w:val="00C67843"/>
    <w:rsid w:val="00C705A7"/>
    <w:rsid w:val="00C70EEB"/>
    <w:rsid w:val="00C728FB"/>
    <w:rsid w:val="00C72AB7"/>
    <w:rsid w:val="00C740EC"/>
    <w:rsid w:val="00C746F4"/>
    <w:rsid w:val="00C76557"/>
    <w:rsid w:val="00C766E4"/>
    <w:rsid w:val="00C80C57"/>
    <w:rsid w:val="00C8151B"/>
    <w:rsid w:val="00C81C1A"/>
    <w:rsid w:val="00C81C50"/>
    <w:rsid w:val="00C832C4"/>
    <w:rsid w:val="00C849E6"/>
    <w:rsid w:val="00C87A0C"/>
    <w:rsid w:val="00C91B92"/>
    <w:rsid w:val="00C91D17"/>
    <w:rsid w:val="00C9367B"/>
    <w:rsid w:val="00C94F72"/>
    <w:rsid w:val="00C965B0"/>
    <w:rsid w:val="00C96F86"/>
    <w:rsid w:val="00C97406"/>
    <w:rsid w:val="00CA05D7"/>
    <w:rsid w:val="00CA073D"/>
    <w:rsid w:val="00CA0B80"/>
    <w:rsid w:val="00CA135F"/>
    <w:rsid w:val="00CA2351"/>
    <w:rsid w:val="00CA2360"/>
    <w:rsid w:val="00CA2DDF"/>
    <w:rsid w:val="00CA3E87"/>
    <w:rsid w:val="00CA452E"/>
    <w:rsid w:val="00CA4655"/>
    <w:rsid w:val="00CA6DFC"/>
    <w:rsid w:val="00CA78D7"/>
    <w:rsid w:val="00CA7B66"/>
    <w:rsid w:val="00CB26B9"/>
    <w:rsid w:val="00CB407A"/>
    <w:rsid w:val="00CB4E91"/>
    <w:rsid w:val="00CB5A75"/>
    <w:rsid w:val="00CB5FE1"/>
    <w:rsid w:val="00CB614D"/>
    <w:rsid w:val="00CB7BA3"/>
    <w:rsid w:val="00CC01DE"/>
    <w:rsid w:val="00CC5099"/>
    <w:rsid w:val="00CD1BE9"/>
    <w:rsid w:val="00CD5892"/>
    <w:rsid w:val="00CE051B"/>
    <w:rsid w:val="00CE1206"/>
    <w:rsid w:val="00CE15C7"/>
    <w:rsid w:val="00CE170F"/>
    <w:rsid w:val="00CE2D5F"/>
    <w:rsid w:val="00CE4352"/>
    <w:rsid w:val="00CE4AE6"/>
    <w:rsid w:val="00CE639F"/>
    <w:rsid w:val="00CE6F63"/>
    <w:rsid w:val="00CF3BD2"/>
    <w:rsid w:val="00CF3E39"/>
    <w:rsid w:val="00CF655C"/>
    <w:rsid w:val="00CF7393"/>
    <w:rsid w:val="00D006C0"/>
    <w:rsid w:val="00D025A9"/>
    <w:rsid w:val="00D04921"/>
    <w:rsid w:val="00D053E7"/>
    <w:rsid w:val="00D069F5"/>
    <w:rsid w:val="00D06A20"/>
    <w:rsid w:val="00D1137A"/>
    <w:rsid w:val="00D117B1"/>
    <w:rsid w:val="00D12665"/>
    <w:rsid w:val="00D140D6"/>
    <w:rsid w:val="00D162A0"/>
    <w:rsid w:val="00D16813"/>
    <w:rsid w:val="00D16892"/>
    <w:rsid w:val="00D22D86"/>
    <w:rsid w:val="00D23073"/>
    <w:rsid w:val="00D230DF"/>
    <w:rsid w:val="00D247FE"/>
    <w:rsid w:val="00D26EDE"/>
    <w:rsid w:val="00D270B6"/>
    <w:rsid w:val="00D27391"/>
    <w:rsid w:val="00D30171"/>
    <w:rsid w:val="00D30FB4"/>
    <w:rsid w:val="00D312D8"/>
    <w:rsid w:val="00D3175B"/>
    <w:rsid w:val="00D3360D"/>
    <w:rsid w:val="00D33F08"/>
    <w:rsid w:val="00D35581"/>
    <w:rsid w:val="00D355A5"/>
    <w:rsid w:val="00D43753"/>
    <w:rsid w:val="00D50FAB"/>
    <w:rsid w:val="00D510D6"/>
    <w:rsid w:val="00D511B4"/>
    <w:rsid w:val="00D51942"/>
    <w:rsid w:val="00D525CF"/>
    <w:rsid w:val="00D6264B"/>
    <w:rsid w:val="00D62DDA"/>
    <w:rsid w:val="00D6549F"/>
    <w:rsid w:val="00D70205"/>
    <w:rsid w:val="00D754D9"/>
    <w:rsid w:val="00D75671"/>
    <w:rsid w:val="00D761DC"/>
    <w:rsid w:val="00D76D58"/>
    <w:rsid w:val="00D77271"/>
    <w:rsid w:val="00D81722"/>
    <w:rsid w:val="00D82B5E"/>
    <w:rsid w:val="00D85E25"/>
    <w:rsid w:val="00D87BCB"/>
    <w:rsid w:val="00D925D6"/>
    <w:rsid w:val="00D929CE"/>
    <w:rsid w:val="00D933C1"/>
    <w:rsid w:val="00D93D7E"/>
    <w:rsid w:val="00D93FCD"/>
    <w:rsid w:val="00D9524A"/>
    <w:rsid w:val="00DA1E42"/>
    <w:rsid w:val="00DA515F"/>
    <w:rsid w:val="00DA5738"/>
    <w:rsid w:val="00DA722A"/>
    <w:rsid w:val="00DA796A"/>
    <w:rsid w:val="00DA7A21"/>
    <w:rsid w:val="00DB2390"/>
    <w:rsid w:val="00DB2962"/>
    <w:rsid w:val="00DB3ABA"/>
    <w:rsid w:val="00DB40DD"/>
    <w:rsid w:val="00DB6855"/>
    <w:rsid w:val="00DB7065"/>
    <w:rsid w:val="00DC03C7"/>
    <w:rsid w:val="00DC0BF2"/>
    <w:rsid w:val="00DC4D4C"/>
    <w:rsid w:val="00DC7334"/>
    <w:rsid w:val="00DC7D59"/>
    <w:rsid w:val="00DD1B5F"/>
    <w:rsid w:val="00DD3472"/>
    <w:rsid w:val="00DD3EF4"/>
    <w:rsid w:val="00DD4610"/>
    <w:rsid w:val="00DD6BCD"/>
    <w:rsid w:val="00DE161B"/>
    <w:rsid w:val="00DE7014"/>
    <w:rsid w:val="00DF05FB"/>
    <w:rsid w:val="00DF1FC9"/>
    <w:rsid w:val="00DF20BD"/>
    <w:rsid w:val="00DF22B3"/>
    <w:rsid w:val="00DF3589"/>
    <w:rsid w:val="00DF3C75"/>
    <w:rsid w:val="00DF43FB"/>
    <w:rsid w:val="00DF56B9"/>
    <w:rsid w:val="00DF6ABC"/>
    <w:rsid w:val="00DF77E6"/>
    <w:rsid w:val="00E021CA"/>
    <w:rsid w:val="00E10310"/>
    <w:rsid w:val="00E10E80"/>
    <w:rsid w:val="00E10F59"/>
    <w:rsid w:val="00E12BBB"/>
    <w:rsid w:val="00E13BB2"/>
    <w:rsid w:val="00E152C1"/>
    <w:rsid w:val="00E156BF"/>
    <w:rsid w:val="00E15F90"/>
    <w:rsid w:val="00E16434"/>
    <w:rsid w:val="00E168A7"/>
    <w:rsid w:val="00E20149"/>
    <w:rsid w:val="00E23354"/>
    <w:rsid w:val="00E273B2"/>
    <w:rsid w:val="00E305ED"/>
    <w:rsid w:val="00E33AA2"/>
    <w:rsid w:val="00E33BE2"/>
    <w:rsid w:val="00E36D51"/>
    <w:rsid w:val="00E37D65"/>
    <w:rsid w:val="00E40363"/>
    <w:rsid w:val="00E431F1"/>
    <w:rsid w:val="00E50787"/>
    <w:rsid w:val="00E510CB"/>
    <w:rsid w:val="00E51C6C"/>
    <w:rsid w:val="00E522C4"/>
    <w:rsid w:val="00E528A5"/>
    <w:rsid w:val="00E53595"/>
    <w:rsid w:val="00E54129"/>
    <w:rsid w:val="00E54F0F"/>
    <w:rsid w:val="00E6105E"/>
    <w:rsid w:val="00E6239E"/>
    <w:rsid w:val="00E628BE"/>
    <w:rsid w:val="00E629DB"/>
    <w:rsid w:val="00E64812"/>
    <w:rsid w:val="00E67184"/>
    <w:rsid w:val="00E76D4C"/>
    <w:rsid w:val="00E8414F"/>
    <w:rsid w:val="00E935AB"/>
    <w:rsid w:val="00E93672"/>
    <w:rsid w:val="00E94703"/>
    <w:rsid w:val="00EA1040"/>
    <w:rsid w:val="00EA15D9"/>
    <w:rsid w:val="00EA178B"/>
    <w:rsid w:val="00EA3BBC"/>
    <w:rsid w:val="00EA47C4"/>
    <w:rsid w:val="00EA5DD1"/>
    <w:rsid w:val="00EA5FBC"/>
    <w:rsid w:val="00EB09D8"/>
    <w:rsid w:val="00EB0D73"/>
    <w:rsid w:val="00EB486F"/>
    <w:rsid w:val="00EB5365"/>
    <w:rsid w:val="00EB6258"/>
    <w:rsid w:val="00EC0A50"/>
    <w:rsid w:val="00EC19C3"/>
    <w:rsid w:val="00EC2386"/>
    <w:rsid w:val="00EC40D6"/>
    <w:rsid w:val="00EC4731"/>
    <w:rsid w:val="00EC624A"/>
    <w:rsid w:val="00EC66BD"/>
    <w:rsid w:val="00EC741B"/>
    <w:rsid w:val="00ED094F"/>
    <w:rsid w:val="00ED0F69"/>
    <w:rsid w:val="00ED2BDD"/>
    <w:rsid w:val="00ED324D"/>
    <w:rsid w:val="00ED6BFF"/>
    <w:rsid w:val="00ED71D7"/>
    <w:rsid w:val="00ED7BED"/>
    <w:rsid w:val="00EE0E20"/>
    <w:rsid w:val="00EE2795"/>
    <w:rsid w:val="00EE588B"/>
    <w:rsid w:val="00EE6D1C"/>
    <w:rsid w:val="00EE7060"/>
    <w:rsid w:val="00EE75F3"/>
    <w:rsid w:val="00EF33A7"/>
    <w:rsid w:val="00EF43B5"/>
    <w:rsid w:val="00EF62DE"/>
    <w:rsid w:val="00EF77D1"/>
    <w:rsid w:val="00EF797D"/>
    <w:rsid w:val="00F00013"/>
    <w:rsid w:val="00F05659"/>
    <w:rsid w:val="00F11201"/>
    <w:rsid w:val="00F13A06"/>
    <w:rsid w:val="00F14CC7"/>
    <w:rsid w:val="00F14DD0"/>
    <w:rsid w:val="00F214B6"/>
    <w:rsid w:val="00F21B74"/>
    <w:rsid w:val="00F224D6"/>
    <w:rsid w:val="00F229DF"/>
    <w:rsid w:val="00F23464"/>
    <w:rsid w:val="00F24584"/>
    <w:rsid w:val="00F24A00"/>
    <w:rsid w:val="00F342FF"/>
    <w:rsid w:val="00F358B9"/>
    <w:rsid w:val="00F36974"/>
    <w:rsid w:val="00F4273E"/>
    <w:rsid w:val="00F429B7"/>
    <w:rsid w:val="00F445D8"/>
    <w:rsid w:val="00F45E3D"/>
    <w:rsid w:val="00F469E6"/>
    <w:rsid w:val="00F50123"/>
    <w:rsid w:val="00F51A9B"/>
    <w:rsid w:val="00F535C7"/>
    <w:rsid w:val="00F56974"/>
    <w:rsid w:val="00F60CB4"/>
    <w:rsid w:val="00F61D91"/>
    <w:rsid w:val="00F661A1"/>
    <w:rsid w:val="00F66370"/>
    <w:rsid w:val="00F66E8B"/>
    <w:rsid w:val="00F73216"/>
    <w:rsid w:val="00F7325E"/>
    <w:rsid w:val="00F7359F"/>
    <w:rsid w:val="00F7558E"/>
    <w:rsid w:val="00F75C36"/>
    <w:rsid w:val="00F80FB9"/>
    <w:rsid w:val="00F81DE6"/>
    <w:rsid w:val="00F82E99"/>
    <w:rsid w:val="00F8356B"/>
    <w:rsid w:val="00F85B81"/>
    <w:rsid w:val="00F85E30"/>
    <w:rsid w:val="00F87489"/>
    <w:rsid w:val="00F92D4A"/>
    <w:rsid w:val="00F93397"/>
    <w:rsid w:val="00F93C3D"/>
    <w:rsid w:val="00F977A2"/>
    <w:rsid w:val="00FA29C7"/>
    <w:rsid w:val="00FA31FF"/>
    <w:rsid w:val="00FA57F8"/>
    <w:rsid w:val="00FA6071"/>
    <w:rsid w:val="00FA634C"/>
    <w:rsid w:val="00FA6957"/>
    <w:rsid w:val="00FA7FB2"/>
    <w:rsid w:val="00FB0021"/>
    <w:rsid w:val="00FB0C9B"/>
    <w:rsid w:val="00FB108B"/>
    <w:rsid w:val="00FB118C"/>
    <w:rsid w:val="00FB2835"/>
    <w:rsid w:val="00FC02D4"/>
    <w:rsid w:val="00FC0BE1"/>
    <w:rsid w:val="00FC1F4C"/>
    <w:rsid w:val="00FC229B"/>
    <w:rsid w:val="00FC2FEB"/>
    <w:rsid w:val="00FC3D31"/>
    <w:rsid w:val="00FC3DA0"/>
    <w:rsid w:val="00FC40BD"/>
    <w:rsid w:val="00FC578A"/>
    <w:rsid w:val="00FC59F1"/>
    <w:rsid w:val="00FC5B1B"/>
    <w:rsid w:val="00FC701E"/>
    <w:rsid w:val="00FC74B3"/>
    <w:rsid w:val="00FC7D31"/>
    <w:rsid w:val="00FD3161"/>
    <w:rsid w:val="00FD4EE8"/>
    <w:rsid w:val="00FD5F42"/>
    <w:rsid w:val="00FD6373"/>
    <w:rsid w:val="00FD6D4A"/>
    <w:rsid w:val="00FE1B03"/>
    <w:rsid w:val="00FE2033"/>
    <w:rsid w:val="00FE282E"/>
    <w:rsid w:val="00FE2CEB"/>
    <w:rsid w:val="00FE3CD1"/>
    <w:rsid w:val="00FE4FE9"/>
    <w:rsid w:val="00FE7355"/>
    <w:rsid w:val="00FF0A02"/>
    <w:rsid w:val="00FF1D10"/>
    <w:rsid w:val="00FF42FF"/>
    <w:rsid w:val="00FF57FE"/>
    <w:rsid w:val="00FF5CD0"/>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E350A"/>
  <w15:docId w15:val="{A78F00B3-65C2-49B2-8E07-617ACB79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character" w:customStyle="1" w:styleId="groupheading6">
    <w:name w:val="groupheading6"/>
    <w:basedOn w:val="DefaultParagraphFont"/>
    <w:rsid w:val="009757BA"/>
    <w:rPr>
      <w:rFonts w:ascii="Verdana" w:hAnsi="Verdana" w:hint="default"/>
      <w:b/>
      <w:bCs/>
      <w:sz w:val="19"/>
      <w:szCs w:val="19"/>
    </w:rPr>
  </w:style>
  <w:style w:type="character" w:customStyle="1" w:styleId="nowrap">
    <w:name w:val="nowrap"/>
    <w:basedOn w:val="DefaultParagraphFont"/>
    <w:rsid w:val="00F342FF"/>
  </w:style>
  <w:style w:type="paragraph" w:customStyle="1" w:styleId="mainparagraph1">
    <w:name w:val="mainparagraph1"/>
    <w:basedOn w:val="Normal"/>
    <w:rsid w:val="00BB41CD"/>
    <w:pPr>
      <w:spacing w:after="240" w:line="240" w:lineRule="auto"/>
      <w:jc w:val="both"/>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77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849"/>
    <w:rPr>
      <w:sz w:val="20"/>
      <w:szCs w:val="20"/>
    </w:rPr>
  </w:style>
  <w:style w:type="character" w:styleId="FootnoteReference">
    <w:name w:val="footnote reference"/>
    <w:basedOn w:val="DefaultParagraphFont"/>
    <w:uiPriority w:val="99"/>
    <w:semiHidden/>
    <w:unhideWhenUsed/>
    <w:rsid w:val="00577849"/>
    <w:rPr>
      <w:vertAlign w:val="superscript"/>
    </w:rPr>
  </w:style>
  <w:style w:type="character" w:customStyle="1" w:styleId="term210">
    <w:name w:val="term210"/>
    <w:basedOn w:val="DefaultParagraphFont"/>
    <w:rsid w:val="00C80C57"/>
    <w:rPr>
      <w:shd w:val="clear" w:color="auto" w:fill="FDD3BF"/>
    </w:rPr>
  </w:style>
  <w:style w:type="paragraph" w:customStyle="1" w:styleId="section">
    <w:name w:val="section"/>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ragraph">
    <w:name w:val="paragraph"/>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eflex3-block">
    <w:name w:val="reflex3-block"/>
    <w:basedOn w:val="DefaultParagraphFont"/>
    <w:rsid w:val="00B827F0"/>
  </w:style>
  <w:style w:type="character" w:customStyle="1" w:styleId="reflex3-alt">
    <w:name w:val="reflex3-alt"/>
    <w:basedOn w:val="DefaultParagraphFont"/>
    <w:rsid w:val="00B827F0"/>
  </w:style>
  <w:style w:type="paragraph" w:styleId="HTMLPreformatted">
    <w:name w:val="HTML Preformatted"/>
    <w:basedOn w:val="Normal"/>
    <w:link w:val="HTMLPreformattedChar"/>
    <w:uiPriority w:val="99"/>
    <w:semiHidden/>
    <w:unhideWhenUsed/>
    <w:rsid w:val="006A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376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F34C2"/>
    <w:rPr>
      <w:color w:val="605E5C"/>
      <w:shd w:val="clear" w:color="auto" w:fill="E1DFDD"/>
    </w:rPr>
  </w:style>
  <w:style w:type="paragraph" w:styleId="Revision">
    <w:name w:val="Revision"/>
    <w:hidden/>
    <w:uiPriority w:val="99"/>
    <w:semiHidden/>
    <w:rsid w:val="00334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81221004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39461">
      <w:bodyDiv w:val="1"/>
      <w:marLeft w:val="0"/>
      <w:marRight w:val="0"/>
      <w:marTop w:val="0"/>
      <w:marBottom w:val="0"/>
      <w:divBdr>
        <w:top w:val="none" w:sz="0" w:space="0" w:color="auto"/>
        <w:left w:val="none" w:sz="0" w:space="0" w:color="auto"/>
        <w:bottom w:val="none" w:sz="0" w:space="0" w:color="auto"/>
        <w:right w:val="none" w:sz="0" w:space="0" w:color="auto"/>
      </w:divBdr>
    </w:div>
    <w:div w:id="1490435985">
      <w:bodyDiv w:val="1"/>
      <w:marLeft w:val="0"/>
      <w:marRight w:val="0"/>
      <w:marTop w:val="0"/>
      <w:marBottom w:val="0"/>
      <w:divBdr>
        <w:top w:val="none" w:sz="0" w:space="0" w:color="auto"/>
        <w:left w:val="none" w:sz="0" w:space="0" w:color="auto"/>
        <w:bottom w:val="none" w:sz="0" w:space="0" w:color="auto"/>
        <w:right w:val="none" w:sz="0" w:space="0" w:color="auto"/>
      </w:divBdr>
    </w:div>
    <w:div w:id="16542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en/bc/bcca/doc/1986/1986canlii959/1986canlii959.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lii.org/en/nb/nbqb/doc/1992/1992canlii6813/1992canlii681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gov.nt.ca/en/files/legislation/judicature/judicature.r6.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anlii.org/en/ca/scc/doc/2008/2008scc53/2008scc53.html" TargetMode="External"/><Relationship Id="rId13" Type="http://schemas.openxmlformats.org/officeDocument/2006/relationships/hyperlink" Target="https://www.canlii.org/en/ca/scc/doc/2005/2005scc6/2005scc6.html" TargetMode="External"/><Relationship Id="rId18" Type="http://schemas.openxmlformats.org/officeDocument/2006/relationships/hyperlink" Target="https://www.canlii.org/en/on/onsc/doc/2016/2016onsc5852/2016onsc5852.html" TargetMode="External"/><Relationship Id="rId26" Type="http://schemas.openxmlformats.org/officeDocument/2006/relationships/hyperlink" Target="https://www.canlii.org/en/sk/skqb/doc/2003/2003skqb242/2003skqb242.html" TargetMode="External"/><Relationship Id="rId3" Type="http://schemas.openxmlformats.org/officeDocument/2006/relationships/hyperlink" Target="https://www.canlii.org/en/ca/scc/doc/2010/2010scc33/2010scc33.html" TargetMode="External"/><Relationship Id="rId21" Type="http://schemas.openxmlformats.org/officeDocument/2006/relationships/hyperlink" Target="https://www.canlii.org/en/ab/abpc/doc/2005/2005abpc60/2005abpc60.html" TargetMode="External"/><Relationship Id="rId7" Type="http://schemas.openxmlformats.org/officeDocument/2006/relationships/hyperlink" Target="https://www.canlii.org/en/ab/abca/doc/2018/2018abca125/2018abca125.html" TargetMode="External"/><Relationship Id="rId12" Type="http://schemas.openxmlformats.org/officeDocument/2006/relationships/hyperlink" Target="https://www.canlii.org/en/bc/bcca/doc/2005/2005bcca599/2005bcca599.html" TargetMode="External"/><Relationship Id="rId17" Type="http://schemas.openxmlformats.org/officeDocument/2006/relationships/hyperlink" Target="https://www.canlii.org/en/bc/bcca/doc/2014/2014bcca73/2014bcca73.html" TargetMode="External"/><Relationship Id="rId25" Type="http://schemas.openxmlformats.org/officeDocument/2006/relationships/hyperlink" Target="https://www.canlii.org/en/bc/bcca/doc/1986/1986canlii959/1986canlii959.html" TargetMode="External"/><Relationship Id="rId2" Type="http://schemas.openxmlformats.org/officeDocument/2006/relationships/hyperlink" Target="https://www.canlii.org/en/ca/scc/doc/2010/2010scc33/2010scc33.html" TargetMode="External"/><Relationship Id="rId16" Type="http://schemas.openxmlformats.org/officeDocument/2006/relationships/hyperlink" Target="https://www.canlii.org/en/on/onca/doc/1929/1929canlii415/1929canlii415.html" TargetMode="External"/><Relationship Id="rId20" Type="http://schemas.openxmlformats.org/officeDocument/2006/relationships/hyperlink" Target="https://www.canlii.org/en/ab/abpc/doc/2005/2005abpc60/2005abpc60.html" TargetMode="External"/><Relationship Id="rId1" Type="http://schemas.openxmlformats.org/officeDocument/2006/relationships/hyperlink" Target="https://www.canlii.org/en/ca/scc/doc/1954/1954canlii9/1954canlii9.html" TargetMode="External"/><Relationship Id="rId6" Type="http://schemas.openxmlformats.org/officeDocument/2006/relationships/hyperlink" Target="https://www.canlii.org/en/ca/scc/doc/2010/2010scc33/2010scc33.html" TargetMode="External"/><Relationship Id="rId11" Type="http://schemas.openxmlformats.org/officeDocument/2006/relationships/hyperlink" Target="https://www.canlii.org/en/sk/skqb/doc/2016/2016skqb360/2016skqb360.html" TargetMode="External"/><Relationship Id="rId24" Type="http://schemas.openxmlformats.org/officeDocument/2006/relationships/hyperlink" Target="https://www.canlii.org/en/on/onsc/doc/2004/2004canlii7071/2004canlii7071.html" TargetMode="External"/><Relationship Id="rId5" Type="http://schemas.openxmlformats.org/officeDocument/2006/relationships/hyperlink" Target="https://www.canlii.org/en/on/onca/doc/2017/2017onca298/2017onca298.html" TargetMode="External"/><Relationship Id="rId15" Type="http://schemas.openxmlformats.org/officeDocument/2006/relationships/hyperlink" Target="https://www.canlii.org/en/on/onsc/doc/1996/1996canlii8242/1996canlii8242.html" TargetMode="External"/><Relationship Id="rId23" Type="http://schemas.openxmlformats.org/officeDocument/2006/relationships/hyperlink" Target="https://www.canlii.org/en/on/onsc/doc/2004/2004canlii7071/2004canlii7071.html" TargetMode="External"/><Relationship Id="rId10" Type="http://schemas.openxmlformats.org/officeDocument/2006/relationships/hyperlink" Target="https://www.canlii.org/en/sk/skqb/doc/2016/2016skqb360/2016skqb360.html" TargetMode="External"/><Relationship Id="rId19" Type="http://schemas.openxmlformats.org/officeDocument/2006/relationships/hyperlink" Target="https://www.canlii.org/en/on/onsc/doc/2016/2016onsc5852/2016onsc5852.html" TargetMode="External"/><Relationship Id="rId4" Type="http://schemas.openxmlformats.org/officeDocument/2006/relationships/hyperlink" Target="https://www.canlii.org/en/on/onca/doc/2017/2017onca298/2017onca298.html" TargetMode="External"/><Relationship Id="rId9" Type="http://schemas.openxmlformats.org/officeDocument/2006/relationships/hyperlink" Target="https://www.canlii.org/en/ca/scc/doc/2008/2008scc53/2008scc53.html" TargetMode="External"/><Relationship Id="rId14" Type="http://schemas.openxmlformats.org/officeDocument/2006/relationships/hyperlink" Target="https://www.canlii.org/en/on/onca/doc/1945/1945canlii99/1945canlii99.html" TargetMode="External"/><Relationship Id="rId22" Type="http://schemas.openxmlformats.org/officeDocument/2006/relationships/hyperlink" Target="https://www.canlii.org/en/ab/abca/doc/1964/1964canlii511/1964canlii511.html" TargetMode="External"/><Relationship Id="rId27" Type="http://schemas.openxmlformats.org/officeDocument/2006/relationships/hyperlink" Target="https://www.canlii.org/en/sk/skqb/doc/2003/2003skqb242/2003skqb2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6088-C7FA-4E19-9873-B4D3CF8EAE21}">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2.xml><?xml version="1.0" encoding="utf-8"?>
<ds:datastoreItem xmlns:ds="http://schemas.openxmlformats.org/officeDocument/2006/customXml" ds:itemID="{8A873561-B090-4364-B932-7631122A78E2}">
  <ds:schemaRefs>
    <ds:schemaRef ds:uri="http://schemas.microsoft.com/sharepoint/v3/contenttype/forms"/>
  </ds:schemaRefs>
</ds:datastoreItem>
</file>

<file path=customXml/itemProps3.xml><?xml version="1.0" encoding="utf-8"?>
<ds:datastoreItem xmlns:ds="http://schemas.openxmlformats.org/officeDocument/2006/customXml" ds:itemID="{802142B4-1BB9-4D0D-B76A-E415FC45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208F5-F416-4119-AC35-9EEA0287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2950</Words>
  <Characters>16821</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Tami Martin</cp:lastModifiedBy>
  <cp:revision>2</cp:revision>
  <cp:lastPrinted>2024-04-26T16:00:00Z</cp:lastPrinted>
  <dcterms:created xsi:type="dcterms:W3CDTF">2024-04-26T16:18:00Z</dcterms:created>
  <dcterms:modified xsi:type="dcterms:W3CDTF">2024-04-26T16:18:00Z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2023-10-29T19:10:22Z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d6f6b2b7-1909-4953-b5be-e9c4651dcaf9</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y fmtid="{D5CDD505-2E9C-101B-9397-08002B2CF9AE}" pid="10" name="MediaServiceImageTags">
    <vt:lpwstr/>
  </property>
</Properties>
</file>