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DDB32" w14:textId="4C999195" w:rsidR="00B94F8E" w:rsidRPr="0032647A" w:rsidRDefault="00D656AD" w:rsidP="00B94F8E">
      <w:pPr>
        <w:spacing w:after="0" w:line="240" w:lineRule="auto"/>
        <w:rPr>
          <w:rFonts w:ascii="Times New Roman" w:hAnsi="Times New Roman" w:cs="Times New Roman"/>
          <w:sz w:val="24"/>
          <w:szCs w:val="24"/>
        </w:rPr>
      </w:pPr>
      <w:r>
        <w:rPr>
          <w:rFonts w:ascii="Times New Roman" w:hAnsi="Times New Roman" w:cs="Times New Roman"/>
          <w:i/>
          <w:sz w:val="24"/>
          <w:szCs w:val="24"/>
        </w:rPr>
        <w:t>Jeske et al v Stanton Territorial Hospital et al</w:t>
      </w:r>
      <w:r w:rsidR="0066396B">
        <w:rPr>
          <w:rFonts w:ascii="Times New Roman" w:hAnsi="Times New Roman" w:cs="Times New Roman"/>
          <w:sz w:val="24"/>
          <w:szCs w:val="24"/>
        </w:rPr>
        <w:t>, 202</w:t>
      </w:r>
      <w:r w:rsidR="006F7F09">
        <w:rPr>
          <w:rFonts w:ascii="Times New Roman" w:hAnsi="Times New Roman" w:cs="Times New Roman"/>
          <w:sz w:val="24"/>
          <w:szCs w:val="24"/>
        </w:rPr>
        <w:t>4</w:t>
      </w:r>
      <w:r w:rsidR="00E23354">
        <w:rPr>
          <w:rFonts w:ascii="Times New Roman" w:hAnsi="Times New Roman" w:cs="Times New Roman"/>
          <w:sz w:val="24"/>
          <w:szCs w:val="24"/>
        </w:rPr>
        <w:t xml:space="preserve"> NWTSC </w:t>
      </w:r>
      <w:r w:rsidR="003A275B">
        <w:rPr>
          <w:rFonts w:ascii="Times New Roman" w:hAnsi="Times New Roman" w:cs="Times New Roman"/>
          <w:sz w:val="24"/>
          <w:szCs w:val="24"/>
        </w:rPr>
        <w:t>10</w:t>
      </w:r>
    </w:p>
    <w:p w14:paraId="61AEE19B" w14:textId="690D9FBA" w:rsidR="00B94F8E" w:rsidRPr="0032647A" w:rsidRDefault="001922F6" w:rsidP="00B94F8E">
      <w:pPr>
        <w:spacing w:after="0" w:line="240" w:lineRule="auto"/>
        <w:jc w:val="right"/>
        <w:rPr>
          <w:rFonts w:ascii="Times New Roman" w:hAnsi="Times New Roman" w:cs="Times New Roman"/>
          <w:sz w:val="28"/>
          <w:szCs w:val="28"/>
        </w:rPr>
      </w:pPr>
      <w:r w:rsidRPr="0032647A">
        <w:rPr>
          <w:rFonts w:ascii="Times New Roman" w:hAnsi="Times New Roman" w:cs="Times New Roman"/>
          <w:sz w:val="28"/>
          <w:szCs w:val="28"/>
        </w:rPr>
        <w:fldChar w:fldCharType="begin"/>
      </w:r>
      <w:r w:rsidR="00B94F8E" w:rsidRPr="0032647A">
        <w:rPr>
          <w:rFonts w:ascii="Times New Roman" w:hAnsi="Times New Roman" w:cs="Times New Roman"/>
          <w:sz w:val="28"/>
          <w:szCs w:val="28"/>
        </w:rPr>
        <w:instrText xml:space="preserve"> SEQ CHAPTER \h \r 1</w:instrText>
      </w:r>
      <w:r w:rsidRPr="0032647A">
        <w:rPr>
          <w:rFonts w:ascii="Times New Roman" w:hAnsi="Times New Roman" w:cs="Times New Roman"/>
          <w:sz w:val="28"/>
          <w:szCs w:val="28"/>
        </w:rPr>
        <w:fldChar w:fldCharType="end"/>
      </w:r>
      <w:r w:rsidR="00B94F8E" w:rsidRPr="0032647A">
        <w:rPr>
          <w:rFonts w:ascii="Times New Roman" w:hAnsi="Times New Roman" w:cs="Times New Roman"/>
          <w:sz w:val="28"/>
          <w:szCs w:val="28"/>
        </w:rPr>
        <w:t xml:space="preserve">Date: </w:t>
      </w:r>
      <w:bookmarkStart w:id="0" w:name="1"/>
      <w:bookmarkEnd w:id="0"/>
      <w:r w:rsidR="00B94F8E" w:rsidRPr="0032647A">
        <w:rPr>
          <w:rFonts w:ascii="Times New Roman" w:hAnsi="Times New Roman" w:cs="Times New Roman"/>
          <w:sz w:val="28"/>
          <w:szCs w:val="28"/>
        </w:rPr>
        <w:t xml:space="preserve"> 20</w:t>
      </w:r>
      <w:r w:rsidR="0066396B">
        <w:rPr>
          <w:rFonts w:ascii="Times New Roman" w:hAnsi="Times New Roman" w:cs="Times New Roman"/>
          <w:sz w:val="28"/>
          <w:szCs w:val="28"/>
        </w:rPr>
        <w:t>2</w:t>
      </w:r>
      <w:r w:rsidR="00635F44">
        <w:rPr>
          <w:rFonts w:ascii="Times New Roman" w:hAnsi="Times New Roman" w:cs="Times New Roman"/>
          <w:sz w:val="28"/>
          <w:szCs w:val="28"/>
        </w:rPr>
        <w:t>4</w:t>
      </w:r>
      <w:r w:rsidR="00B94F8E" w:rsidRPr="0032647A">
        <w:rPr>
          <w:rFonts w:ascii="Times New Roman" w:hAnsi="Times New Roman" w:cs="Times New Roman"/>
          <w:sz w:val="28"/>
          <w:szCs w:val="28"/>
        </w:rPr>
        <w:t xml:space="preserve"> </w:t>
      </w:r>
      <w:r w:rsidR="003665E1">
        <w:rPr>
          <w:rFonts w:ascii="Times New Roman" w:hAnsi="Times New Roman" w:cs="Times New Roman"/>
          <w:sz w:val="28"/>
          <w:szCs w:val="28"/>
        </w:rPr>
        <w:t>0</w:t>
      </w:r>
      <w:r w:rsidR="00D656AD">
        <w:rPr>
          <w:rFonts w:ascii="Times New Roman" w:hAnsi="Times New Roman" w:cs="Times New Roman"/>
          <w:sz w:val="28"/>
          <w:szCs w:val="28"/>
        </w:rPr>
        <w:t>2</w:t>
      </w:r>
      <w:r w:rsidR="0066396B">
        <w:rPr>
          <w:rFonts w:ascii="Times New Roman" w:hAnsi="Times New Roman" w:cs="Times New Roman"/>
          <w:sz w:val="28"/>
          <w:szCs w:val="28"/>
        </w:rPr>
        <w:t xml:space="preserve"> </w:t>
      </w:r>
      <w:r w:rsidR="004D1550">
        <w:rPr>
          <w:rFonts w:ascii="Times New Roman" w:hAnsi="Times New Roman" w:cs="Times New Roman"/>
          <w:sz w:val="28"/>
          <w:szCs w:val="28"/>
        </w:rPr>
        <w:t>2</w:t>
      </w:r>
      <w:r w:rsidR="00594C85">
        <w:rPr>
          <w:rFonts w:ascii="Times New Roman" w:hAnsi="Times New Roman" w:cs="Times New Roman"/>
          <w:sz w:val="28"/>
          <w:szCs w:val="28"/>
        </w:rPr>
        <w:t>2</w:t>
      </w:r>
    </w:p>
    <w:p w14:paraId="0D11EC5A" w14:textId="33D68740" w:rsidR="00B94F8E" w:rsidRPr="0032647A" w:rsidRDefault="001922F6" w:rsidP="00B94F8E">
      <w:pPr>
        <w:spacing w:after="0" w:line="240" w:lineRule="auto"/>
        <w:jc w:val="right"/>
        <w:rPr>
          <w:rFonts w:ascii="Times New Roman" w:hAnsi="Times New Roman" w:cs="Times New Roman"/>
          <w:sz w:val="28"/>
          <w:szCs w:val="28"/>
        </w:rPr>
      </w:pPr>
      <w:r w:rsidRPr="0032647A">
        <w:rPr>
          <w:rFonts w:ascii="Times New Roman" w:hAnsi="Times New Roman" w:cs="Times New Roman"/>
          <w:sz w:val="28"/>
          <w:szCs w:val="28"/>
        </w:rPr>
        <w:fldChar w:fldCharType="begin"/>
      </w:r>
      <w:r w:rsidR="00B94F8E" w:rsidRPr="0032647A">
        <w:rPr>
          <w:rFonts w:ascii="Times New Roman" w:hAnsi="Times New Roman" w:cs="Times New Roman"/>
          <w:sz w:val="28"/>
          <w:szCs w:val="28"/>
        </w:rPr>
        <w:instrText xml:space="preserve"> SEQ CHAPTER \h \r 1</w:instrText>
      </w:r>
      <w:r w:rsidRPr="0032647A">
        <w:rPr>
          <w:rFonts w:ascii="Times New Roman" w:hAnsi="Times New Roman" w:cs="Times New Roman"/>
          <w:sz w:val="28"/>
          <w:szCs w:val="28"/>
        </w:rPr>
        <w:fldChar w:fldCharType="end"/>
      </w:r>
      <w:r w:rsidR="00B94F8E" w:rsidRPr="0032647A">
        <w:rPr>
          <w:rFonts w:ascii="Times New Roman" w:hAnsi="Times New Roman" w:cs="Times New Roman"/>
          <w:sz w:val="28"/>
          <w:szCs w:val="28"/>
        </w:rPr>
        <w:t xml:space="preserve">Docket: </w:t>
      </w:r>
      <w:bookmarkStart w:id="1" w:name="2"/>
      <w:bookmarkEnd w:id="1"/>
      <w:r w:rsidR="00B94F8E" w:rsidRPr="0032647A">
        <w:rPr>
          <w:rFonts w:ascii="Times New Roman" w:hAnsi="Times New Roman" w:cs="Times New Roman"/>
          <w:sz w:val="28"/>
          <w:szCs w:val="28"/>
        </w:rPr>
        <w:t xml:space="preserve"> </w:t>
      </w:r>
      <w:r w:rsidR="00A61880">
        <w:rPr>
          <w:rFonts w:ascii="Times New Roman" w:hAnsi="Times New Roman" w:cs="Times New Roman"/>
          <w:sz w:val="28"/>
          <w:szCs w:val="28"/>
        </w:rPr>
        <w:t>S-1-C</w:t>
      </w:r>
      <w:r w:rsidR="00D656AD">
        <w:rPr>
          <w:rFonts w:ascii="Times New Roman" w:hAnsi="Times New Roman" w:cs="Times New Roman"/>
          <w:sz w:val="28"/>
          <w:szCs w:val="28"/>
        </w:rPr>
        <w:t>V</w:t>
      </w:r>
      <w:r w:rsidR="00A61880">
        <w:rPr>
          <w:rFonts w:ascii="Times New Roman" w:hAnsi="Times New Roman" w:cs="Times New Roman"/>
          <w:sz w:val="28"/>
          <w:szCs w:val="28"/>
        </w:rPr>
        <w:t>-20</w:t>
      </w:r>
      <w:r w:rsidR="003C373F">
        <w:rPr>
          <w:rFonts w:ascii="Times New Roman" w:hAnsi="Times New Roman" w:cs="Times New Roman"/>
          <w:sz w:val="28"/>
          <w:szCs w:val="28"/>
        </w:rPr>
        <w:t>2</w:t>
      </w:r>
      <w:r w:rsidR="00D656AD">
        <w:rPr>
          <w:rFonts w:ascii="Times New Roman" w:hAnsi="Times New Roman" w:cs="Times New Roman"/>
          <w:sz w:val="28"/>
          <w:szCs w:val="28"/>
        </w:rPr>
        <w:t>0</w:t>
      </w:r>
      <w:r w:rsidR="00A61880">
        <w:rPr>
          <w:rFonts w:ascii="Times New Roman" w:hAnsi="Times New Roman" w:cs="Times New Roman"/>
          <w:sz w:val="28"/>
          <w:szCs w:val="28"/>
        </w:rPr>
        <w:t xml:space="preserve">-000 </w:t>
      </w:r>
      <w:r w:rsidR="00D656AD">
        <w:rPr>
          <w:rFonts w:ascii="Times New Roman" w:hAnsi="Times New Roman" w:cs="Times New Roman"/>
          <w:sz w:val="28"/>
          <w:szCs w:val="28"/>
        </w:rPr>
        <w:t>235</w:t>
      </w:r>
    </w:p>
    <w:p w14:paraId="03A4E189" w14:textId="77777777" w:rsidR="00B94F8E" w:rsidRPr="0032647A" w:rsidRDefault="00B94F8E" w:rsidP="00B94F8E">
      <w:pPr>
        <w:spacing w:after="0" w:line="240" w:lineRule="auto"/>
        <w:jc w:val="right"/>
        <w:rPr>
          <w:rFonts w:ascii="Times New Roman" w:hAnsi="Times New Roman" w:cs="Times New Roman"/>
          <w:sz w:val="28"/>
          <w:szCs w:val="28"/>
        </w:rPr>
      </w:pPr>
    </w:p>
    <w:p w14:paraId="676CF805" w14:textId="77777777" w:rsidR="00896674" w:rsidRDefault="00896674" w:rsidP="00896674">
      <w:pPr>
        <w:jc w:val="center"/>
        <w:rPr>
          <w:rFonts w:ascii="Times New Roman" w:hAnsi="Times New Roman" w:cs="Times New Roman"/>
          <w:b/>
          <w:sz w:val="28"/>
          <w:szCs w:val="28"/>
        </w:rPr>
      </w:pPr>
      <w:r>
        <w:rPr>
          <w:rFonts w:ascii="Times New Roman" w:hAnsi="Times New Roman" w:cs="Times New Roman"/>
          <w:b/>
          <w:sz w:val="28"/>
          <w:szCs w:val="28"/>
        </w:rPr>
        <w:t>IN THE SUPREME COURT OF THE NORTHWEST TERRITORIES</w:t>
      </w:r>
    </w:p>
    <w:p w14:paraId="5A73BAF2" w14:textId="77777777" w:rsidR="00896674" w:rsidRDefault="00896674" w:rsidP="00896674">
      <w:pPr>
        <w:rPr>
          <w:rFonts w:ascii="Times New Roman" w:hAnsi="Times New Roman" w:cs="Times New Roman"/>
          <w:b/>
          <w:sz w:val="28"/>
          <w:szCs w:val="28"/>
        </w:rPr>
      </w:pPr>
      <w:r>
        <w:rPr>
          <w:rFonts w:ascii="Times New Roman" w:hAnsi="Times New Roman" w:cs="Times New Roman"/>
          <w:b/>
          <w:sz w:val="28"/>
          <w:szCs w:val="28"/>
        </w:rPr>
        <w:t>BETWEEN:</w:t>
      </w:r>
    </w:p>
    <w:p w14:paraId="24D7BBAB" w14:textId="315BC800" w:rsidR="00C52F4C" w:rsidRDefault="00D656AD" w:rsidP="00C72AB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CINDY JESKE as ADMINISTRATOR of the Estate of SPENCER JESKE and CINDY JESKE</w:t>
      </w:r>
    </w:p>
    <w:p w14:paraId="03475C3A" w14:textId="421421BA" w:rsidR="000D2AD1" w:rsidRDefault="00D656AD" w:rsidP="000D2AD1">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Plaintiffs</w:t>
      </w:r>
    </w:p>
    <w:p w14:paraId="0AA74CF1" w14:textId="77777777" w:rsidR="00896674" w:rsidRDefault="00896674" w:rsidP="00C72AB7">
      <w:pPr>
        <w:spacing w:after="0" w:line="240" w:lineRule="auto"/>
        <w:rPr>
          <w:rFonts w:ascii="Times New Roman" w:hAnsi="Times New Roman" w:cs="Times New Roman"/>
          <w:sz w:val="28"/>
          <w:szCs w:val="28"/>
        </w:rPr>
      </w:pPr>
    </w:p>
    <w:p w14:paraId="4F3F6D1A" w14:textId="77777777" w:rsidR="00896674" w:rsidRDefault="00896674" w:rsidP="00C72AB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-and-</w:t>
      </w:r>
    </w:p>
    <w:p w14:paraId="4F495716" w14:textId="77777777" w:rsidR="00896674" w:rsidRDefault="00896674" w:rsidP="00C72AB7">
      <w:pPr>
        <w:spacing w:after="0" w:line="240" w:lineRule="auto"/>
        <w:rPr>
          <w:rFonts w:ascii="Times New Roman" w:hAnsi="Times New Roman" w:cs="Times New Roman"/>
          <w:sz w:val="28"/>
          <w:szCs w:val="28"/>
        </w:rPr>
      </w:pPr>
    </w:p>
    <w:p w14:paraId="4B9EBC43" w14:textId="77777777" w:rsidR="00C72AB7" w:rsidRDefault="00C72AB7" w:rsidP="00C72AB7">
      <w:pPr>
        <w:spacing w:after="0" w:line="240" w:lineRule="auto"/>
        <w:rPr>
          <w:rFonts w:ascii="Times New Roman" w:hAnsi="Times New Roman" w:cs="Times New Roman"/>
          <w:sz w:val="28"/>
          <w:szCs w:val="28"/>
        </w:rPr>
      </w:pPr>
    </w:p>
    <w:p w14:paraId="23A924F1" w14:textId="71349B32" w:rsidR="00896674" w:rsidRDefault="00D656AD" w:rsidP="00C72AB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STANTON TERRITORIAL HOSPITAL, NORTHWEST TERRITORIES HEALTH AND SOCIAL SERVICES AUTHORITY, FIONA AISTON, JOHN DOE 1, JOHN DOE 2, JOHN DOE 3 AND JOHN DOE 4</w:t>
      </w:r>
    </w:p>
    <w:p w14:paraId="56ECA446" w14:textId="77777777" w:rsidR="00D656AD" w:rsidRDefault="00D656AD" w:rsidP="00C72AB7">
      <w:pPr>
        <w:spacing w:after="0" w:line="240" w:lineRule="auto"/>
        <w:jc w:val="center"/>
        <w:rPr>
          <w:rFonts w:ascii="Times New Roman" w:hAnsi="Times New Roman" w:cs="Times New Roman"/>
          <w:b/>
          <w:sz w:val="28"/>
          <w:szCs w:val="28"/>
        </w:rPr>
      </w:pPr>
    </w:p>
    <w:p w14:paraId="794D4B63" w14:textId="3B0AAEEE" w:rsidR="00C72AB7" w:rsidRPr="004D1550" w:rsidRDefault="00D656AD" w:rsidP="004D1550">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Defendants</w:t>
      </w:r>
    </w:p>
    <w:p w14:paraId="25521E16" w14:textId="77777777" w:rsidR="00D4017E" w:rsidRDefault="00D4017E" w:rsidP="00F45E3D">
      <w:pPr>
        <w:jc w:val="center"/>
        <w:rPr>
          <w:rFonts w:ascii="Times New Roman" w:hAnsi="Times New Roman" w:cs="Times New Roman"/>
          <w:b/>
          <w:sz w:val="28"/>
          <w:szCs w:val="28"/>
        </w:rPr>
      </w:pPr>
    </w:p>
    <w:p w14:paraId="5A58F50D" w14:textId="7FEECA85" w:rsidR="003D3E8C" w:rsidRPr="00DA2B27" w:rsidRDefault="00635F44" w:rsidP="00F45E3D">
      <w:pPr>
        <w:jc w:val="center"/>
        <w:rPr>
          <w:rFonts w:ascii="Times New Roman" w:hAnsi="Times New Roman" w:cs="Times New Roman"/>
          <w:b/>
          <w:sz w:val="28"/>
          <w:szCs w:val="28"/>
        </w:rPr>
      </w:pPr>
      <w:r w:rsidRPr="00D656AD">
        <w:rPr>
          <w:rFonts w:ascii="Times New Roman" w:hAnsi="Times New Roman" w:cs="Times New Roman"/>
          <w:b/>
          <w:sz w:val="28"/>
          <w:szCs w:val="28"/>
        </w:rPr>
        <w:t>MEMORANDUM OF JUDGMENT</w:t>
      </w:r>
    </w:p>
    <w:p w14:paraId="616849A4" w14:textId="2901F59A" w:rsidR="00D656AD" w:rsidRPr="00D258A3" w:rsidRDefault="00D258A3" w:rsidP="00D656AD">
      <w:pPr>
        <w:pStyle w:val="ListParagraph"/>
        <w:spacing w:after="0" w:line="240" w:lineRule="auto"/>
        <w:ind w:left="0"/>
        <w:jc w:val="both"/>
        <w:rPr>
          <w:rFonts w:ascii="Times New Roman" w:hAnsi="Times New Roman" w:cs="Times New Roman"/>
          <w:b/>
          <w:bCs/>
          <w:sz w:val="28"/>
          <w:szCs w:val="28"/>
        </w:rPr>
      </w:pPr>
      <w:r w:rsidRPr="00D258A3">
        <w:rPr>
          <w:rFonts w:ascii="Times New Roman" w:hAnsi="Times New Roman" w:cs="Times New Roman"/>
          <w:b/>
          <w:bCs/>
          <w:sz w:val="28"/>
          <w:szCs w:val="28"/>
        </w:rPr>
        <w:t>BACKGROUND</w:t>
      </w:r>
    </w:p>
    <w:p w14:paraId="57FF1FA8" w14:textId="77777777" w:rsidR="00D258A3" w:rsidRPr="00D656AD" w:rsidRDefault="00D258A3" w:rsidP="00D656AD">
      <w:pPr>
        <w:pStyle w:val="ListParagraph"/>
        <w:spacing w:after="0" w:line="240" w:lineRule="auto"/>
        <w:ind w:left="0"/>
        <w:jc w:val="both"/>
        <w:rPr>
          <w:rFonts w:ascii="Times New Roman" w:hAnsi="Times New Roman" w:cs="Times New Roman"/>
          <w:sz w:val="28"/>
          <w:szCs w:val="28"/>
        </w:rPr>
      </w:pPr>
    </w:p>
    <w:p w14:paraId="144EB9A8" w14:textId="41B44F83" w:rsidR="00D656AD" w:rsidRPr="00D656AD" w:rsidRDefault="00D656AD" w:rsidP="00D656AD">
      <w:pPr>
        <w:pStyle w:val="ListParagraph"/>
        <w:numPr>
          <w:ilvl w:val="0"/>
          <w:numId w:val="10"/>
        </w:numPr>
        <w:spacing w:after="0" w:line="240" w:lineRule="auto"/>
        <w:jc w:val="both"/>
        <w:rPr>
          <w:rFonts w:ascii="Times New Roman" w:hAnsi="Times New Roman" w:cs="Times New Roman"/>
          <w:sz w:val="28"/>
          <w:szCs w:val="28"/>
          <w:lang w:val="en-US"/>
        </w:rPr>
      </w:pPr>
      <w:r w:rsidRPr="00D656AD">
        <w:rPr>
          <w:rFonts w:ascii="Times New Roman" w:hAnsi="Times New Roman" w:cs="Times New Roman"/>
          <w:sz w:val="28"/>
          <w:szCs w:val="28"/>
          <w:lang w:val="en-US"/>
        </w:rPr>
        <w:t xml:space="preserve">The Plaintiffs, Cindy Jeske as administrator of the Estate of Spencer Jeske, and Cindy Jeske (hereafter both referred to as “Jeske”) filed a </w:t>
      </w:r>
      <w:r w:rsidR="007C6085">
        <w:rPr>
          <w:rFonts w:ascii="Times New Roman" w:hAnsi="Times New Roman" w:cs="Times New Roman"/>
          <w:sz w:val="28"/>
          <w:szCs w:val="28"/>
          <w:lang w:val="en-US"/>
        </w:rPr>
        <w:t>statement of claim</w:t>
      </w:r>
      <w:r w:rsidRPr="00D656AD">
        <w:rPr>
          <w:rFonts w:ascii="Times New Roman" w:hAnsi="Times New Roman" w:cs="Times New Roman"/>
          <w:sz w:val="28"/>
          <w:szCs w:val="28"/>
          <w:lang w:val="en-US"/>
        </w:rPr>
        <w:t xml:space="preserve"> on August 28, 2020.  The claim is against Dr. Fiona Aiston (“Aiston”), Stanton Territorial Hospital (“Stanton”), Northwest Territories Health and Social Service Authority (“the Authority”) and John Doe 1 to 4.  Jeske has not served the </w:t>
      </w:r>
      <w:r w:rsidR="007C6085">
        <w:rPr>
          <w:rFonts w:ascii="Times New Roman" w:hAnsi="Times New Roman" w:cs="Times New Roman"/>
          <w:sz w:val="28"/>
          <w:szCs w:val="28"/>
          <w:lang w:val="en-US"/>
        </w:rPr>
        <w:t>statement of claim</w:t>
      </w:r>
      <w:r w:rsidRPr="00D656AD">
        <w:rPr>
          <w:rFonts w:ascii="Times New Roman" w:hAnsi="Times New Roman" w:cs="Times New Roman"/>
          <w:sz w:val="28"/>
          <w:szCs w:val="28"/>
          <w:lang w:val="en-US"/>
        </w:rPr>
        <w:t xml:space="preserve"> on Aiston and now seeks to renew the </w:t>
      </w:r>
      <w:r w:rsidR="007C6085">
        <w:rPr>
          <w:rFonts w:ascii="Times New Roman" w:hAnsi="Times New Roman" w:cs="Times New Roman"/>
          <w:sz w:val="28"/>
          <w:szCs w:val="28"/>
          <w:lang w:val="en-US"/>
        </w:rPr>
        <w:t>statement of claim</w:t>
      </w:r>
      <w:r w:rsidRPr="00D656AD">
        <w:rPr>
          <w:rFonts w:ascii="Times New Roman" w:hAnsi="Times New Roman" w:cs="Times New Roman"/>
          <w:sz w:val="28"/>
          <w:szCs w:val="28"/>
          <w:lang w:val="en-US"/>
        </w:rPr>
        <w:t xml:space="preserve"> pursuant to Rule 13 of the </w:t>
      </w:r>
      <w:r w:rsidRPr="00D656AD">
        <w:rPr>
          <w:rFonts w:ascii="Times New Roman" w:hAnsi="Times New Roman" w:cs="Times New Roman"/>
          <w:i/>
          <w:iCs/>
          <w:sz w:val="28"/>
          <w:szCs w:val="28"/>
          <w:lang w:val="en-US"/>
        </w:rPr>
        <w:t>Rules of the Supreme Court of the Northwest Territories</w:t>
      </w:r>
      <w:r w:rsidRPr="00D656AD">
        <w:rPr>
          <w:rFonts w:ascii="Times New Roman" w:hAnsi="Times New Roman" w:cs="Times New Roman"/>
          <w:sz w:val="28"/>
          <w:szCs w:val="28"/>
          <w:lang w:val="en-US"/>
        </w:rPr>
        <w:t xml:space="preserve">.  That application is opposed by Aiston.  Stanton and the Authority take no position on the application.  </w:t>
      </w:r>
      <w:proofErr w:type="gramStart"/>
      <w:r w:rsidRPr="00D656AD">
        <w:rPr>
          <w:rFonts w:ascii="Times New Roman" w:hAnsi="Times New Roman" w:cs="Times New Roman"/>
          <w:sz w:val="28"/>
          <w:szCs w:val="28"/>
          <w:lang w:val="en-US"/>
        </w:rPr>
        <w:t>For the reasons that</w:t>
      </w:r>
      <w:proofErr w:type="gramEnd"/>
      <w:r w:rsidRPr="00D656AD">
        <w:rPr>
          <w:rFonts w:ascii="Times New Roman" w:hAnsi="Times New Roman" w:cs="Times New Roman"/>
          <w:sz w:val="28"/>
          <w:szCs w:val="28"/>
          <w:lang w:val="en-US"/>
        </w:rPr>
        <w:t xml:space="preserve"> follow, </w:t>
      </w:r>
      <w:proofErr w:type="spellStart"/>
      <w:r w:rsidRPr="00D656AD">
        <w:rPr>
          <w:rFonts w:ascii="Times New Roman" w:hAnsi="Times New Roman" w:cs="Times New Roman"/>
          <w:sz w:val="28"/>
          <w:szCs w:val="28"/>
          <w:lang w:val="en-US"/>
        </w:rPr>
        <w:t>Jeske’s</w:t>
      </w:r>
      <w:proofErr w:type="spellEnd"/>
      <w:r w:rsidRPr="00D656AD">
        <w:rPr>
          <w:rFonts w:ascii="Times New Roman" w:hAnsi="Times New Roman" w:cs="Times New Roman"/>
          <w:sz w:val="28"/>
          <w:szCs w:val="28"/>
          <w:lang w:val="en-US"/>
        </w:rPr>
        <w:t xml:space="preserve"> application is granted. </w:t>
      </w:r>
    </w:p>
    <w:p w14:paraId="2B351429" w14:textId="77777777" w:rsidR="00D656AD" w:rsidRPr="00D656AD" w:rsidRDefault="00D656AD" w:rsidP="004C2B06">
      <w:pPr>
        <w:pStyle w:val="ListParagraph"/>
        <w:spacing w:after="0" w:line="240" w:lineRule="auto"/>
        <w:ind w:left="0"/>
        <w:jc w:val="both"/>
        <w:rPr>
          <w:rFonts w:ascii="Times New Roman" w:hAnsi="Times New Roman" w:cs="Times New Roman"/>
          <w:sz w:val="28"/>
          <w:szCs w:val="28"/>
          <w:lang w:val="en-US"/>
        </w:rPr>
      </w:pPr>
    </w:p>
    <w:p w14:paraId="2E53303A" w14:textId="1B7F3313" w:rsidR="00D656AD" w:rsidRPr="00D656AD" w:rsidRDefault="00D656AD" w:rsidP="00D656AD">
      <w:pPr>
        <w:pStyle w:val="ListParagraph"/>
        <w:numPr>
          <w:ilvl w:val="0"/>
          <w:numId w:val="10"/>
        </w:numPr>
        <w:spacing w:after="0" w:line="240" w:lineRule="auto"/>
        <w:jc w:val="both"/>
        <w:rPr>
          <w:rFonts w:ascii="Times New Roman" w:hAnsi="Times New Roman" w:cs="Times New Roman"/>
          <w:sz w:val="28"/>
          <w:szCs w:val="28"/>
          <w:lang w:val="en-US"/>
        </w:rPr>
      </w:pPr>
      <w:r w:rsidRPr="00D656AD">
        <w:rPr>
          <w:rFonts w:ascii="Times New Roman" w:hAnsi="Times New Roman" w:cs="Times New Roman"/>
          <w:sz w:val="28"/>
          <w:szCs w:val="28"/>
          <w:lang w:val="en-US"/>
        </w:rPr>
        <w:t xml:space="preserve">Spencer Jeske died on August 28, 2018.  The </w:t>
      </w:r>
      <w:r w:rsidR="00CF009C">
        <w:rPr>
          <w:rFonts w:ascii="Times New Roman" w:hAnsi="Times New Roman" w:cs="Times New Roman"/>
          <w:sz w:val="28"/>
          <w:szCs w:val="28"/>
          <w:lang w:val="en-US"/>
        </w:rPr>
        <w:t>s</w:t>
      </w:r>
      <w:r w:rsidR="007C6085">
        <w:rPr>
          <w:rFonts w:ascii="Times New Roman" w:hAnsi="Times New Roman" w:cs="Times New Roman"/>
          <w:sz w:val="28"/>
          <w:szCs w:val="28"/>
          <w:lang w:val="en-US"/>
        </w:rPr>
        <w:t>tatement of claim</w:t>
      </w:r>
      <w:r w:rsidRPr="00D656AD">
        <w:rPr>
          <w:rFonts w:ascii="Times New Roman" w:hAnsi="Times New Roman" w:cs="Times New Roman"/>
          <w:sz w:val="28"/>
          <w:szCs w:val="28"/>
          <w:lang w:val="en-US"/>
        </w:rPr>
        <w:t xml:space="preserve"> asserts that his death was due to multiple drug toxicity, being the combined effects of </w:t>
      </w:r>
      <w:r w:rsidR="007C6085">
        <w:rPr>
          <w:rFonts w:ascii="Times New Roman" w:hAnsi="Times New Roman" w:cs="Times New Roman"/>
          <w:sz w:val="28"/>
          <w:szCs w:val="28"/>
          <w:lang w:val="en-US"/>
        </w:rPr>
        <w:t>m</w:t>
      </w:r>
      <w:r w:rsidRPr="00D656AD">
        <w:rPr>
          <w:rFonts w:ascii="Times New Roman" w:hAnsi="Times New Roman" w:cs="Times New Roman"/>
          <w:sz w:val="28"/>
          <w:szCs w:val="28"/>
          <w:lang w:val="en-US"/>
        </w:rPr>
        <w:t xml:space="preserve">ethadone, diazepam and lorazepam.  It is alleged that Aiston was one of the doctors involved in treating Spencer Jeske.  The other medical personnel were unknown as of the date of the filing of the </w:t>
      </w:r>
      <w:r w:rsidR="007C6085">
        <w:rPr>
          <w:rFonts w:ascii="Times New Roman" w:hAnsi="Times New Roman" w:cs="Times New Roman"/>
          <w:sz w:val="28"/>
          <w:szCs w:val="28"/>
          <w:lang w:val="en-US"/>
        </w:rPr>
        <w:t>statement of claim</w:t>
      </w:r>
      <w:r w:rsidRPr="00D656AD">
        <w:rPr>
          <w:rFonts w:ascii="Times New Roman" w:hAnsi="Times New Roman" w:cs="Times New Roman"/>
          <w:sz w:val="28"/>
          <w:szCs w:val="28"/>
          <w:lang w:val="en-US"/>
        </w:rPr>
        <w:t xml:space="preserve"> and are referred to as John Doe 1 </w:t>
      </w:r>
      <w:r w:rsidRPr="00D656AD">
        <w:rPr>
          <w:rFonts w:ascii="Times New Roman" w:hAnsi="Times New Roman" w:cs="Times New Roman"/>
          <w:sz w:val="28"/>
          <w:szCs w:val="28"/>
          <w:lang w:val="en-US"/>
        </w:rPr>
        <w:lastRenderedPageBreak/>
        <w:t xml:space="preserve">to 4.  It is alleged that Stanton and the Authority are vicariously liable for Aiston’s action.  </w:t>
      </w:r>
    </w:p>
    <w:p w14:paraId="486DF7E9" w14:textId="77777777" w:rsidR="00D656AD" w:rsidRPr="00D656AD" w:rsidRDefault="00D656AD" w:rsidP="004C2B06">
      <w:pPr>
        <w:pStyle w:val="ListParagraph"/>
        <w:spacing w:after="0" w:line="240" w:lineRule="auto"/>
        <w:ind w:left="0"/>
        <w:jc w:val="both"/>
        <w:rPr>
          <w:rFonts w:ascii="Times New Roman" w:hAnsi="Times New Roman" w:cs="Times New Roman"/>
          <w:sz w:val="28"/>
          <w:szCs w:val="28"/>
          <w:lang w:val="en-US"/>
        </w:rPr>
      </w:pPr>
    </w:p>
    <w:p w14:paraId="3DCC937D" w14:textId="40D4F313" w:rsidR="00D656AD" w:rsidRPr="00D656AD" w:rsidRDefault="00D656AD" w:rsidP="00D656AD">
      <w:pPr>
        <w:pStyle w:val="ListParagraph"/>
        <w:numPr>
          <w:ilvl w:val="0"/>
          <w:numId w:val="10"/>
        </w:numPr>
        <w:spacing w:after="0" w:line="240" w:lineRule="auto"/>
        <w:jc w:val="both"/>
        <w:rPr>
          <w:rFonts w:ascii="Times New Roman" w:hAnsi="Times New Roman" w:cs="Times New Roman"/>
          <w:sz w:val="28"/>
          <w:szCs w:val="28"/>
          <w:lang w:val="en-US"/>
        </w:rPr>
      </w:pPr>
      <w:r w:rsidRPr="00D656AD">
        <w:rPr>
          <w:rFonts w:ascii="Times New Roman" w:hAnsi="Times New Roman" w:cs="Times New Roman"/>
          <w:sz w:val="28"/>
          <w:szCs w:val="28"/>
          <w:lang w:val="en-US"/>
        </w:rPr>
        <w:t xml:space="preserve">The </w:t>
      </w:r>
      <w:r w:rsidR="007C6085">
        <w:rPr>
          <w:rFonts w:ascii="Times New Roman" w:hAnsi="Times New Roman" w:cs="Times New Roman"/>
          <w:sz w:val="28"/>
          <w:szCs w:val="28"/>
          <w:lang w:val="en-US"/>
        </w:rPr>
        <w:t xml:space="preserve">statement of claim was </w:t>
      </w:r>
      <w:r w:rsidRPr="00D656AD">
        <w:rPr>
          <w:rFonts w:ascii="Times New Roman" w:hAnsi="Times New Roman" w:cs="Times New Roman"/>
          <w:sz w:val="28"/>
          <w:szCs w:val="28"/>
          <w:lang w:val="en-US"/>
        </w:rPr>
        <w:t xml:space="preserve">filed August 28, </w:t>
      </w:r>
      <w:proofErr w:type="gramStart"/>
      <w:r w:rsidRPr="00D656AD">
        <w:rPr>
          <w:rFonts w:ascii="Times New Roman" w:hAnsi="Times New Roman" w:cs="Times New Roman"/>
          <w:sz w:val="28"/>
          <w:szCs w:val="28"/>
          <w:lang w:val="en-US"/>
        </w:rPr>
        <w:t>2020</w:t>
      </w:r>
      <w:proofErr w:type="gramEnd"/>
      <w:r w:rsidRPr="00D656AD">
        <w:rPr>
          <w:rFonts w:ascii="Times New Roman" w:hAnsi="Times New Roman" w:cs="Times New Roman"/>
          <w:sz w:val="28"/>
          <w:szCs w:val="28"/>
          <w:lang w:val="en-US"/>
        </w:rPr>
        <w:t xml:space="preserve"> </w:t>
      </w:r>
      <w:r w:rsidR="007C6085">
        <w:rPr>
          <w:rFonts w:ascii="Times New Roman" w:hAnsi="Times New Roman" w:cs="Times New Roman"/>
          <w:sz w:val="28"/>
          <w:szCs w:val="28"/>
          <w:lang w:val="en-US"/>
        </w:rPr>
        <w:t xml:space="preserve">and </w:t>
      </w:r>
      <w:r w:rsidRPr="00D656AD">
        <w:rPr>
          <w:rFonts w:ascii="Times New Roman" w:hAnsi="Times New Roman" w:cs="Times New Roman"/>
          <w:sz w:val="28"/>
          <w:szCs w:val="28"/>
          <w:lang w:val="en-US"/>
        </w:rPr>
        <w:t xml:space="preserve">was served on the </w:t>
      </w:r>
      <w:r w:rsidR="00B40693">
        <w:rPr>
          <w:rFonts w:ascii="Times New Roman" w:hAnsi="Times New Roman" w:cs="Times New Roman"/>
          <w:sz w:val="28"/>
          <w:szCs w:val="28"/>
          <w:lang w:val="en-US"/>
        </w:rPr>
        <w:t>d</w:t>
      </w:r>
      <w:r w:rsidRPr="00D656AD">
        <w:rPr>
          <w:rFonts w:ascii="Times New Roman" w:hAnsi="Times New Roman" w:cs="Times New Roman"/>
          <w:sz w:val="28"/>
          <w:szCs w:val="28"/>
          <w:lang w:val="en-US"/>
        </w:rPr>
        <w:t xml:space="preserve">efendants Stanton and the Authority but has not been served on Aiston.  An affidavit of attempted service of a process server reveals that the process server received the </w:t>
      </w:r>
      <w:r w:rsidR="00B40693">
        <w:rPr>
          <w:rFonts w:ascii="Times New Roman" w:hAnsi="Times New Roman" w:cs="Times New Roman"/>
          <w:sz w:val="28"/>
          <w:szCs w:val="28"/>
          <w:lang w:val="en-US"/>
        </w:rPr>
        <w:t>s</w:t>
      </w:r>
      <w:r w:rsidR="007C6085">
        <w:rPr>
          <w:rFonts w:ascii="Times New Roman" w:hAnsi="Times New Roman" w:cs="Times New Roman"/>
          <w:sz w:val="28"/>
          <w:szCs w:val="28"/>
          <w:lang w:val="en-US"/>
        </w:rPr>
        <w:t>tatement of claim</w:t>
      </w:r>
      <w:r w:rsidRPr="00D656AD">
        <w:rPr>
          <w:rFonts w:ascii="Times New Roman" w:hAnsi="Times New Roman" w:cs="Times New Roman"/>
          <w:sz w:val="28"/>
          <w:szCs w:val="28"/>
          <w:lang w:val="en-US"/>
        </w:rPr>
        <w:t xml:space="preserve"> for service on August 20, 2021, and </w:t>
      </w:r>
      <w:proofErr w:type="gramStart"/>
      <w:r w:rsidRPr="00D656AD">
        <w:rPr>
          <w:rFonts w:ascii="Times New Roman" w:hAnsi="Times New Roman" w:cs="Times New Roman"/>
          <w:sz w:val="28"/>
          <w:szCs w:val="28"/>
          <w:lang w:val="en-US"/>
        </w:rPr>
        <w:t>made an attempt</w:t>
      </w:r>
      <w:proofErr w:type="gramEnd"/>
      <w:r w:rsidRPr="00D656AD">
        <w:rPr>
          <w:rFonts w:ascii="Times New Roman" w:hAnsi="Times New Roman" w:cs="Times New Roman"/>
          <w:sz w:val="28"/>
          <w:szCs w:val="28"/>
          <w:lang w:val="en-US"/>
        </w:rPr>
        <w:t xml:space="preserve"> to serve the claim at Aiston’s office on August 23, 2021.  At that time, he was advised that Aiston was out of town on holidays until November and was therefore not available.  No further attempts were made to serve the </w:t>
      </w:r>
      <w:r w:rsidR="00B40693">
        <w:rPr>
          <w:rFonts w:ascii="Times New Roman" w:hAnsi="Times New Roman" w:cs="Times New Roman"/>
          <w:sz w:val="28"/>
          <w:szCs w:val="28"/>
          <w:lang w:val="en-US"/>
        </w:rPr>
        <w:t>s</w:t>
      </w:r>
      <w:r w:rsidR="007C6085">
        <w:rPr>
          <w:rFonts w:ascii="Times New Roman" w:hAnsi="Times New Roman" w:cs="Times New Roman"/>
          <w:sz w:val="28"/>
          <w:szCs w:val="28"/>
          <w:lang w:val="en-US"/>
        </w:rPr>
        <w:t>tatement of claim</w:t>
      </w:r>
      <w:r w:rsidRPr="00D656AD">
        <w:rPr>
          <w:rFonts w:ascii="Times New Roman" w:hAnsi="Times New Roman" w:cs="Times New Roman"/>
          <w:sz w:val="28"/>
          <w:szCs w:val="28"/>
          <w:lang w:val="en-US"/>
        </w:rPr>
        <w:t xml:space="preserve">. </w:t>
      </w:r>
    </w:p>
    <w:p w14:paraId="6C430730" w14:textId="77777777" w:rsidR="00D656AD" w:rsidRPr="00D656AD" w:rsidRDefault="00D656AD" w:rsidP="004C2B06">
      <w:pPr>
        <w:pStyle w:val="ListParagraph"/>
        <w:spacing w:after="0" w:line="240" w:lineRule="auto"/>
        <w:ind w:left="0"/>
        <w:jc w:val="both"/>
        <w:rPr>
          <w:rFonts w:ascii="Times New Roman" w:hAnsi="Times New Roman" w:cs="Times New Roman"/>
          <w:sz w:val="28"/>
          <w:szCs w:val="28"/>
          <w:lang w:val="en-US"/>
        </w:rPr>
      </w:pPr>
    </w:p>
    <w:p w14:paraId="6277A20A" w14:textId="5ACC70F4" w:rsidR="00D656AD" w:rsidRPr="00D656AD" w:rsidRDefault="00B40693" w:rsidP="00D656AD">
      <w:pPr>
        <w:pStyle w:val="ListParagraph"/>
        <w:numPr>
          <w:ilvl w:val="0"/>
          <w:numId w:val="10"/>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On </w:t>
      </w:r>
      <w:r w:rsidR="00D656AD" w:rsidRPr="00D656AD">
        <w:rPr>
          <w:rFonts w:ascii="Times New Roman" w:hAnsi="Times New Roman" w:cs="Times New Roman"/>
          <w:sz w:val="28"/>
          <w:szCs w:val="28"/>
          <w:lang w:val="en-US"/>
        </w:rPr>
        <w:t xml:space="preserve">February 3, 2022, counsel for Jeske contacted counsel for Aiston, Jon </w:t>
      </w:r>
      <w:proofErr w:type="spellStart"/>
      <w:r w:rsidR="00D656AD" w:rsidRPr="00D656AD">
        <w:rPr>
          <w:rFonts w:ascii="Times New Roman" w:hAnsi="Times New Roman" w:cs="Times New Roman"/>
          <w:sz w:val="28"/>
          <w:szCs w:val="28"/>
          <w:lang w:val="en-US"/>
        </w:rPr>
        <w:t>Rossall</w:t>
      </w:r>
      <w:proofErr w:type="spellEnd"/>
      <w:r w:rsidR="00D656AD" w:rsidRPr="00D656AD">
        <w:rPr>
          <w:rFonts w:ascii="Times New Roman" w:hAnsi="Times New Roman" w:cs="Times New Roman"/>
          <w:sz w:val="28"/>
          <w:szCs w:val="28"/>
          <w:lang w:val="en-US"/>
        </w:rPr>
        <w:t xml:space="preserve">.  Mr. Rossall was not specifically retained with respect to the </w:t>
      </w:r>
      <w:r>
        <w:rPr>
          <w:rFonts w:ascii="Times New Roman" w:hAnsi="Times New Roman" w:cs="Times New Roman"/>
          <w:sz w:val="28"/>
          <w:szCs w:val="28"/>
          <w:lang w:val="en-US"/>
        </w:rPr>
        <w:t>s</w:t>
      </w:r>
      <w:r w:rsidR="007C6085">
        <w:rPr>
          <w:rFonts w:ascii="Times New Roman" w:hAnsi="Times New Roman" w:cs="Times New Roman"/>
          <w:sz w:val="28"/>
          <w:szCs w:val="28"/>
          <w:lang w:val="en-US"/>
        </w:rPr>
        <w:t>tatement of claim</w:t>
      </w:r>
      <w:r w:rsidR="00D656AD" w:rsidRPr="00D656AD">
        <w:rPr>
          <w:rFonts w:ascii="Times New Roman" w:hAnsi="Times New Roman" w:cs="Times New Roman"/>
          <w:sz w:val="28"/>
          <w:szCs w:val="28"/>
          <w:lang w:val="en-US"/>
        </w:rPr>
        <w:t xml:space="preserve">, however, was taking instructions from Aiston with respect to the issue of a renewal of the </w:t>
      </w:r>
      <w:r>
        <w:rPr>
          <w:rFonts w:ascii="Times New Roman" w:hAnsi="Times New Roman" w:cs="Times New Roman"/>
          <w:sz w:val="28"/>
          <w:szCs w:val="28"/>
          <w:lang w:val="en-US"/>
        </w:rPr>
        <w:t>s</w:t>
      </w:r>
      <w:r w:rsidR="007C6085">
        <w:rPr>
          <w:rFonts w:ascii="Times New Roman" w:hAnsi="Times New Roman" w:cs="Times New Roman"/>
          <w:sz w:val="28"/>
          <w:szCs w:val="28"/>
          <w:lang w:val="en-US"/>
        </w:rPr>
        <w:t>tatement of claim</w:t>
      </w:r>
      <w:r w:rsidR="00D656AD" w:rsidRPr="00D656AD">
        <w:rPr>
          <w:rFonts w:ascii="Times New Roman" w:hAnsi="Times New Roman" w:cs="Times New Roman"/>
          <w:sz w:val="28"/>
          <w:szCs w:val="28"/>
          <w:lang w:val="en-US"/>
        </w:rPr>
        <w:t xml:space="preserve">.  On February 16, 2022, Mr. Rossall advised counsel for Jeske that he had received instructions to oppose any application to renew the </w:t>
      </w:r>
      <w:r>
        <w:rPr>
          <w:rFonts w:ascii="Times New Roman" w:hAnsi="Times New Roman" w:cs="Times New Roman"/>
          <w:sz w:val="28"/>
          <w:szCs w:val="28"/>
          <w:lang w:val="en-US"/>
        </w:rPr>
        <w:t>s</w:t>
      </w:r>
      <w:r w:rsidR="007C6085">
        <w:rPr>
          <w:rFonts w:ascii="Times New Roman" w:hAnsi="Times New Roman" w:cs="Times New Roman"/>
          <w:sz w:val="28"/>
          <w:szCs w:val="28"/>
          <w:lang w:val="en-US"/>
        </w:rPr>
        <w:t>tatement of claim</w:t>
      </w:r>
      <w:r w:rsidR="00D656AD" w:rsidRPr="00D656AD">
        <w:rPr>
          <w:rFonts w:ascii="Times New Roman" w:hAnsi="Times New Roman" w:cs="Times New Roman"/>
          <w:sz w:val="28"/>
          <w:szCs w:val="28"/>
          <w:lang w:val="en-US"/>
        </w:rPr>
        <w:t xml:space="preserve">.  </w:t>
      </w:r>
    </w:p>
    <w:p w14:paraId="22903F2A" w14:textId="77777777" w:rsidR="00D656AD" w:rsidRPr="00D656AD" w:rsidRDefault="00D656AD" w:rsidP="004C2B06">
      <w:pPr>
        <w:pStyle w:val="ListParagraph"/>
        <w:spacing w:after="0" w:line="240" w:lineRule="auto"/>
        <w:ind w:left="0"/>
        <w:jc w:val="both"/>
        <w:rPr>
          <w:rFonts w:ascii="Times New Roman" w:hAnsi="Times New Roman" w:cs="Times New Roman"/>
          <w:sz w:val="28"/>
          <w:szCs w:val="28"/>
          <w:lang w:val="en-US"/>
        </w:rPr>
      </w:pPr>
    </w:p>
    <w:p w14:paraId="12D3E675" w14:textId="661E2212" w:rsidR="00D656AD" w:rsidRPr="00D656AD" w:rsidRDefault="00D656AD" w:rsidP="00D656AD">
      <w:pPr>
        <w:pStyle w:val="ListParagraph"/>
        <w:numPr>
          <w:ilvl w:val="0"/>
          <w:numId w:val="10"/>
        </w:numPr>
        <w:spacing w:after="0" w:line="240" w:lineRule="auto"/>
        <w:jc w:val="both"/>
        <w:rPr>
          <w:rFonts w:ascii="Times New Roman" w:hAnsi="Times New Roman" w:cs="Times New Roman"/>
          <w:sz w:val="28"/>
          <w:szCs w:val="28"/>
          <w:lang w:val="en-US"/>
        </w:rPr>
      </w:pPr>
      <w:r w:rsidRPr="00D656AD">
        <w:rPr>
          <w:rFonts w:ascii="Times New Roman" w:hAnsi="Times New Roman" w:cs="Times New Roman"/>
          <w:sz w:val="28"/>
          <w:szCs w:val="28"/>
          <w:lang w:val="en-US"/>
        </w:rPr>
        <w:t xml:space="preserve">The application to renew the </w:t>
      </w:r>
      <w:r w:rsidR="007C6085">
        <w:rPr>
          <w:rFonts w:ascii="Times New Roman" w:hAnsi="Times New Roman" w:cs="Times New Roman"/>
          <w:sz w:val="28"/>
          <w:szCs w:val="28"/>
          <w:lang w:val="en-US"/>
        </w:rPr>
        <w:t>statement of claim</w:t>
      </w:r>
      <w:r w:rsidRPr="00D656AD">
        <w:rPr>
          <w:rFonts w:ascii="Times New Roman" w:hAnsi="Times New Roman" w:cs="Times New Roman"/>
          <w:sz w:val="28"/>
          <w:szCs w:val="28"/>
          <w:lang w:val="en-US"/>
        </w:rPr>
        <w:t xml:space="preserve"> was filed 16 months later, on June 22, 2023, returnable </w:t>
      </w:r>
      <w:r w:rsidR="00B40693">
        <w:rPr>
          <w:rFonts w:ascii="Times New Roman" w:hAnsi="Times New Roman" w:cs="Times New Roman"/>
          <w:sz w:val="28"/>
          <w:szCs w:val="28"/>
          <w:lang w:val="en-US"/>
        </w:rPr>
        <w:t xml:space="preserve">in court on </w:t>
      </w:r>
      <w:r w:rsidRPr="00D656AD">
        <w:rPr>
          <w:rFonts w:ascii="Times New Roman" w:hAnsi="Times New Roman" w:cs="Times New Roman"/>
          <w:sz w:val="28"/>
          <w:szCs w:val="28"/>
          <w:lang w:val="en-US"/>
        </w:rPr>
        <w:t>July 1</w:t>
      </w:r>
      <w:r w:rsidR="00D258A3">
        <w:rPr>
          <w:rFonts w:ascii="Times New Roman" w:hAnsi="Times New Roman" w:cs="Times New Roman"/>
          <w:sz w:val="28"/>
          <w:szCs w:val="28"/>
          <w:lang w:val="en-US"/>
        </w:rPr>
        <w:t xml:space="preserve">4, </w:t>
      </w:r>
      <w:r w:rsidRPr="00D656AD">
        <w:rPr>
          <w:rFonts w:ascii="Times New Roman" w:hAnsi="Times New Roman" w:cs="Times New Roman"/>
          <w:sz w:val="28"/>
          <w:szCs w:val="28"/>
          <w:lang w:val="en-US"/>
        </w:rPr>
        <w:t xml:space="preserve">2023.  The matter was adjourned to have a special chambers date set.  The application was initially set to be heard on November 8, 2023, however, counsel for Jeske advised that she wished to retain an agent to appear on her behalf to make this application and she, therefore, sought an adjournment of the application.  </w:t>
      </w:r>
      <w:r w:rsidR="00B40693">
        <w:rPr>
          <w:rFonts w:ascii="Times New Roman" w:hAnsi="Times New Roman" w:cs="Times New Roman"/>
          <w:sz w:val="28"/>
          <w:szCs w:val="28"/>
          <w:lang w:val="en-US"/>
        </w:rPr>
        <w:t xml:space="preserve">The application for a renewal of the statement of claim </w:t>
      </w:r>
      <w:r w:rsidRPr="00D656AD">
        <w:rPr>
          <w:rFonts w:ascii="Times New Roman" w:hAnsi="Times New Roman" w:cs="Times New Roman"/>
          <w:sz w:val="28"/>
          <w:szCs w:val="28"/>
          <w:lang w:val="en-US"/>
        </w:rPr>
        <w:t>was heard on February 13</w:t>
      </w:r>
      <w:r w:rsidRPr="00D656AD">
        <w:rPr>
          <w:rFonts w:ascii="Times New Roman" w:hAnsi="Times New Roman" w:cs="Times New Roman"/>
          <w:sz w:val="28"/>
          <w:szCs w:val="28"/>
          <w:vertAlign w:val="superscript"/>
          <w:lang w:val="en-US"/>
        </w:rPr>
        <w:t>th</w:t>
      </w:r>
      <w:r w:rsidRPr="00D656AD">
        <w:rPr>
          <w:rFonts w:ascii="Times New Roman" w:hAnsi="Times New Roman" w:cs="Times New Roman"/>
          <w:sz w:val="28"/>
          <w:szCs w:val="28"/>
          <w:lang w:val="en-US"/>
        </w:rPr>
        <w:t xml:space="preserve">, 2024. </w:t>
      </w:r>
    </w:p>
    <w:p w14:paraId="663CD2D2" w14:textId="77777777" w:rsidR="00D656AD" w:rsidRPr="00D656AD" w:rsidRDefault="00D656AD" w:rsidP="004C2B06">
      <w:pPr>
        <w:pStyle w:val="ListParagraph"/>
        <w:spacing w:after="0" w:line="240" w:lineRule="auto"/>
        <w:ind w:left="0"/>
        <w:jc w:val="both"/>
        <w:rPr>
          <w:rFonts w:ascii="Times New Roman" w:hAnsi="Times New Roman" w:cs="Times New Roman"/>
          <w:sz w:val="28"/>
          <w:szCs w:val="28"/>
          <w:lang w:val="en-US"/>
        </w:rPr>
      </w:pPr>
    </w:p>
    <w:p w14:paraId="4670A498" w14:textId="63D4C253" w:rsidR="00D656AD" w:rsidRPr="00D656AD" w:rsidRDefault="00D656AD" w:rsidP="00D656AD">
      <w:pPr>
        <w:pStyle w:val="ListParagraph"/>
        <w:numPr>
          <w:ilvl w:val="0"/>
          <w:numId w:val="10"/>
        </w:numPr>
        <w:spacing w:after="0" w:line="240" w:lineRule="auto"/>
        <w:jc w:val="both"/>
        <w:rPr>
          <w:rFonts w:ascii="Times New Roman" w:hAnsi="Times New Roman" w:cs="Times New Roman"/>
          <w:sz w:val="28"/>
          <w:szCs w:val="28"/>
          <w:lang w:val="en-US"/>
        </w:rPr>
      </w:pPr>
      <w:r w:rsidRPr="00D656AD">
        <w:rPr>
          <w:rFonts w:ascii="Times New Roman" w:hAnsi="Times New Roman" w:cs="Times New Roman"/>
          <w:sz w:val="28"/>
          <w:szCs w:val="28"/>
          <w:lang w:val="en-US"/>
        </w:rPr>
        <w:t xml:space="preserve">In support of the application, Cindy Jeske filed an affidavit in which the only explanation </w:t>
      </w:r>
      <w:r w:rsidR="00631E01">
        <w:rPr>
          <w:rFonts w:ascii="Times New Roman" w:hAnsi="Times New Roman" w:cs="Times New Roman"/>
          <w:sz w:val="28"/>
          <w:szCs w:val="28"/>
          <w:lang w:val="en-US"/>
        </w:rPr>
        <w:t xml:space="preserve">given </w:t>
      </w:r>
      <w:r w:rsidRPr="00D656AD">
        <w:rPr>
          <w:rFonts w:ascii="Times New Roman" w:hAnsi="Times New Roman" w:cs="Times New Roman"/>
          <w:sz w:val="28"/>
          <w:szCs w:val="28"/>
          <w:lang w:val="en-US"/>
        </w:rPr>
        <w:t xml:space="preserve">for the delay in serving the </w:t>
      </w:r>
      <w:r w:rsidR="007C6085">
        <w:rPr>
          <w:rFonts w:ascii="Times New Roman" w:hAnsi="Times New Roman" w:cs="Times New Roman"/>
          <w:sz w:val="28"/>
          <w:szCs w:val="28"/>
          <w:lang w:val="en-US"/>
        </w:rPr>
        <w:t>statement of claim</w:t>
      </w:r>
      <w:r w:rsidRPr="00D656AD">
        <w:rPr>
          <w:rFonts w:ascii="Times New Roman" w:hAnsi="Times New Roman" w:cs="Times New Roman"/>
          <w:sz w:val="28"/>
          <w:szCs w:val="28"/>
          <w:lang w:val="en-US"/>
        </w:rPr>
        <w:t xml:space="preserve"> was that her counsel (not the counsel who argued this matter) had personal issues in the fall of 2021 and, upon being advised by Aiston’s counsel in February 2022 of Aiston’s opposition to the renewal, she developed a “block” regarding this matter and failed to move the matter along. </w:t>
      </w:r>
    </w:p>
    <w:p w14:paraId="6A67410B" w14:textId="77777777" w:rsidR="00D656AD" w:rsidRPr="00D656AD" w:rsidRDefault="00D656AD" w:rsidP="004C2B06">
      <w:pPr>
        <w:pStyle w:val="ListParagraph"/>
        <w:spacing w:after="0" w:line="240" w:lineRule="auto"/>
        <w:ind w:left="0"/>
        <w:jc w:val="both"/>
        <w:rPr>
          <w:rFonts w:ascii="Times New Roman" w:hAnsi="Times New Roman" w:cs="Times New Roman"/>
          <w:sz w:val="28"/>
          <w:szCs w:val="28"/>
          <w:lang w:val="en-US"/>
        </w:rPr>
      </w:pPr>
    </w:p>
    <w:p w14:paraId="7CFA327F" w14:textId="04C5169E" w:rsidR="004C2B06" w:rsidRDefault="00D656AD" w:rsidP="004C2B06">
      <w:pPr>
        <w:pStyle w:val="ListParagraph"/>
        <w:numPr>
          <w:ilvl w:val="0"/>
          <w:numId w:val="10"/>
        </w:numPr>
        <w:spacing w:after="0" w:line="240" w:lineRule="auto"/>
        <w:jc w:val="both"/>
        <w:rPr>
          <w:rFonts w:ascii="Times New Roman" w:hAnsi="Times New Roman" w:cs="Times New Roman"/>
          <w:sz w:val="28"/>
          <w:szCs w:val="28"/>
          <w:lang w:val="en-US"/>
        </w:rPr>
      </w:pPr>
      <w:r w:rsidRPr="00D656AD">
        <w:rPr>
          <w:rFonts w:ascii="Times New Roman" w:hAnsi="Times New Roman" w:cs="Times New Roman"/>
          <w:sz w:val="28"/>
          <w:szCs w:val="28"/>
          <w:lang w:val="en-US"/>
        </w:rPr>
        <w:t xml:space="preserve">Aiston filed an affidavit in which she deposed to having lived in Yellowknife since 2013, </w:t>
      </w:r>
      <w:r w:rsidR="00B40693">
        <w:rPr>
          <w:rFonts w:ascii="Times New Roman" w:hAnsi="Times New Roman" w:cs="Times New Roman"/>
          <w:sz w:val="28"/>
          <w:szCs w:val="28"/>
          <w:lang w:val="en-US"/>
        </w:rPr>
        <w:t xml:space="preserve">that she </w:t>
      </w:r>
      <w:r w:rsidR="00D258A3">
        <w:rPr>
          <w:rFonts w:ascii="Times New Roman" w:hAnsi="Times New Roman" w:cs="Times New Roman"/>
          <w:sz w:val="28"/>
          <w:szCs w:val="28"/>
          <w:lang w:val="en-US"/>
        </w:rPr>
        <w:t>was</w:t>
      </w:r>
      <w:r w:rsidRPr="00D656AD">
        <w:rPr>
          <w:rFonts w:ascii="Times New Roman" w:hAnsi="Times New Roman" w:cs="Times New Roman"/>
          <w:sz w:val="28"/>
          <w:szCs w:val="28"/>
          <w:lang w:val="en-US"/>
        </w:rPr>
        <w:t xml:space="preserve"> out of the office for </w:t>
      </w:r>
      <w:proofErr w:type="gramStart"/>
      <w:r w:rsidRPr="00D656AD">
        <w:rPr>
          <w:rFonts w:ascii="Times New Roman" w:hAnsi="Times New Roman" w:cs="Times New Roman"/>
          <w:sz w:val="28"/>
          <w:szCs w:val="28"/>
          <w:lang w:val="en-US"/>
        </w:rPr>
        <w:t>a period of time</w:t>
      </w:r>
      <w:proofErr w:type="gramEnd"/>
      <w:r w:rsidRPr="00D656AD">
        <w:rPr>
          <w:rFonts w:ascii="Times New Roman" w:hAnsi="Times New Roman" w:cs="Times New Roman"/>
          <w:sz w:val="28"/>
          <w:szCs w:val="28"/>
          <w:lang w:val="en-US"/>
        </w:rPr>
        <w:t xml:space="preserve"> on maternity leave in the summer and fall of 2021, </w:t>
      </w:r>
      <w:r w:rsidR="00D258A3">
        <w:rPr>
          <w:rFonts w:ascii="Times New Roman" w:hAnsi="Times New Roman" w:cs="Times New Roman"/>
          <w:sz w:val="28"/>
          <w:szCs w:val="28"/>
          <w:lang w:val="en-US"/>
        </w:rPr>
        <w:t xml:space="preserve">but was still in Yellowknife, </w:t>
      </w:r>
      <w:r w:rsidRPr="00D656AD">
        <w:rPr>
          <w:rFonts w:ascii="Times New Roman" w:hAnsi="Times New Roman" w:cs="Times New Roman"/>
          <w:sz w:val="28"/>
          <w:szCs w:val="28"/>
          <w:lang w:val="en-US"/>
        </w:rPr>
        <w:t xml:space="preserve">that her home address was a matter of public record, and that she had not attempted to avoid service.  She also deposed to her belief that the passage of time would have a negative impact on her memory and force her to rely on her written records.  She was also </w:t>
      </w:r>
      <w:r w:rsidRPr="00D258A3">
        <w:rPr>
          <w:rFonts w:ascii="Times New Roman" w:hAnsi="Times New Roman" w:cs="Times New Roman"/>
          <w:sz w:val="28"/>
          <w:szCs w:val="28"/>
          <w:lang w:val="en-US"/>
        </w:rPr>
        <w:t>concern</w:t>
      </w:r>
      <w:r w:rsidR="00D258A3" w:rsidRPr="00D258A3">
        <w:rPr>
          <w:rFonts w:ascii="Times New Roman" w:hAnsi="Times New Roman" w:cs="Times New Roman"/>
          <w:sz w:val="28"/>
          <w:szCs w:val="28"/>
          <w:lang w:val="en-US"/>
        </w:rPr>
        <w:t>ed</w:t>
      </w:r>
      <w:r w:rsidR="00D258A3">
        <w:rPr>
          <w:rFonts w:ascii="Times New Roman" w:hAnsi="Times New Roman" w:cs="Times New Roman"/>
          <w:sz w:val="28"/>
          <w:szCs w:val="28"/>
          <w:lang w:val="en-US"/>
        </w:rPr>
        <w:t xml:space="preserve"> </w:t>
      </w:r>
      <w:r w:rsidRPr="00D656AD">
        <w:rPr>
          <w:rFonts w:ascii="Times New Roman" w:hAnsi="Times New Roman" w:cs="Times New Roman"/>
          <w:sz w:val="28"/>
          <w:szCs w:val="28"/>
          <w:lang w:val="en-US"/>
        </w:rPr>
        <w:t xml:space="preserve">about </w:t>
      </w:r>
      <w:r w:rsidRPr="00D656AD">
        <w:rPr>
          <w:rFonts w:ascii="Times New Roman" w:hAnsi="Times New Roman" w:cs="Times New Roman"/>
          <w:sz w:val="28"/>
          <w:szCs w:val="28"/>
          <w:lang w:val="en-US"/>
        </w:rPr>
        <w:lastRenderedPageBreak/>
        <w:t>staff turnover and the availability of witnesses to testify in relation to this matter given the passage of time.</w:t>
      </w:r>
    </w:p>
    <w:p w14:paraId="2570327E" w14:textId="77777777" w:rsidR="004C2B06" w:rsidRPr="004C2B06" w:rsidRDefault="004C2B06" w:rsidP="004C2B06">
      <w:pPr>
        <w:pStyle w:val="ListParagraph"/>
        <w:rPr>
          <w:rFonts w:ascii="Times New Roman" w:hAnsi="Times New Roman" w:cs="Times New Roman"/>
          <w:sz w:val="28"/>
          <w:szCs w:val="28"/>
          <w:lang w:val="en-US"/>
        </w:rPr>
      </w:pPr>
    </w:p>
    <w:p w14:paraId="0AB41D57" w14:textId="0E2CB192" w:rsidR="00D656AD" w:rsidRDefault="00D656AD" w:rsidP="004C2B06">
      <w:pPr>
        <w:pStyle w:val="ListParagraph"/>
        <w:numPr>
          <w:ilvl w:val="0"/>
          <w:numId w:val="10"/>
        </w:numPr>
        <w:spacing w:after="0" w:line="240" w:lineRule="auto"/>
        <w:jc w:val="both"/>
        <w:rPr>
          <w:rFonts w:ascii="Times New Roman" w:hAnsi="Times New Roman" w:cs="Times New Roman"/>
          <w:sz w:val="28"/>
          <w:szCs w:val="28"/>
          <w:lang w:val="en-US"/>
        </w:rPr>
      </w:pPr>
      <w:r w:rsidRPr="00D656AD">
        <w:rPr>
          <w:rFonts w:ascii="Times New Roman" w:hAnsi="Times New Roman" w:cs="Times New Roman"/>
          <w:sz w:val="28"/>
          <w:szCs w:val="28"/>
          <w:lang w:val="en-US"/>
        </w:rPr>
        <w:t xml:space="preserve">Neither Cindy Jeske </w:t>
      </w:r>
      <w:r w:rsidR="009A7187" w:rsidRPr="00B40693">
        <w:rPr>
          <w:rFonts w:ascii="Times New Roman" w:hAnsi="Times New Roman" w:cs="Times New Roman"/>
          <w:sz w:val="28"/>
          <w:szCs w:val="28"/>
          <w:lang w:val="en-US"/>
        </w:rPr>
        <w:t>nor</w:t>
      </w:r>
      <w:r w:rsidRPr="00D656AD">
        <w:rPr>
          <w:rFonts w:ascii="Times New Roman" w:hAnsi="Times New Roman" w:cs="Times New Roman"/>
          <w:sz w:val="28"/>
          <w:szCs w:val="28"/>
          <w:lang w:val="en-US"/>
        </w:rPr>
        <w:t xml:space="preserve"> Aiston were cross examined on their affidavit</w:t>
      </w:r>
      <w:r w:rsidR="00D258A3">
        <w:rPr>
          <w:rFonts w:ascii="Times New Roman" w:hAnsi="Times New Roman" w:cs="Times New Roman"/>
          <w:sz w:val="28"/>
          <w:szCs w:val="28"/>
          <w:lang w:val="en-US"/>
        </w:rPr>
        <w:t>s.</w:t>
      </w:r>
    </w:p>
    <w:p w14:paraId="044B35E0" w14:textId="77777777" w:rsidR="00D258A3" w:rsidRPr="00D258A3" w:rsidRDefault="00D258A3" w:rsidP="00D258A3">
      <w:pPr>
        <w:pStyle w:val="ListParagraph"/>
        <w:rPr>
          <w:rFonts w:ascii="Times New Roman" w:hAnsi="Times New Roman" w:cs="Times New Roman"/>
          <w:sz w:val="28"/>
          <w:szCs w:val="28"/>
          <w:lang w:val="en-US"/>
        </w:rPr>
      </w:pPr>
    </w:p>
    <w:p w14:paraId="3A26F9D5" w14:textId="2465D5E3" w:rsidR="00D258A3" w:rsidRPr="00D258A3" w:rsidRDefault="00D258A3" w:rsidP="00D258A3">
      <w:pPr>
        <w:pStyle w:val="ListParagraph"/>
        <w:spacing w:after="0" w:line="240" w:lineRule="auto"/>
        <w:ind w:left="0"/>
        <w:jc w:val="both"/>
        <w:rPr>
          <w:rFonts w:ascii="Times New Roman" w:hAnsi="Times New Roman" w:cs="Times New Roman"/>
          <w:b/>
          <w:bCs/>
          <w:sz w:val="28"/>
          <w:szCs w:val="28"/>
          <w:lang w:val="en-US"/>
        </w:rPr>
      </w:pPr>
      <w:r w:rsidRPr="00D258A3">
        <w:rPr>
          <w:rFonts w:ascii="Times New Roman" w:hAnsi="Times New Roman" w:cs="Times New Roman"/>
          <w:b/>
          <w:bCs/>
          <w:sz w:val="28"/>
          <w:szCs w:val="28"/>
          <w:lang w:val="en-US"/>
        </w:rPr>
        <w:t>ANALYSIS</w:t>
      </w:r>
    </w:p>
    <w:p w14:paraId="3AD643FC" w14:textId="77777777" w:rsidR="00D656AD" w:rsidRPr="00D656AD" w:rsidRDefault="00D656AD" w:rsidP="004C2B06">
      <w:pPr>
        <w:pStyle w:val="ListParagraph"/>
        <w:spacing w:after="0" w:line="240" w:lineRule="auto"/>
        <w:ind w:left="0"/>
        <w:jc w:val="both"/>
        <w:rPr>
          <w:rFonts w:ascii="Times New Roman" w:hAnsi="Times New Roman" w:cs="Times New Roman"/>
          <w:sz w:val="28"/>
          <w:szCs w:val="28"/>
          <w:lang w:val="en-US"/>
        </w:rPr>
      </w:pPr>
    </w:p>
    <w:p w14:paraId="48FAE8EC" w14:textId="291C4DA9" w:rsidR="00D656AD" w:rsidRDefault="00D656AD" w:rsidP="00D656AD">
      <w:pPr>
        <w:pStyle w:val="ListParagraph"/>
        <w:numPr>
          <w:ilvl w:val="0"/>
          <w:numId w:val="10"/>
        </w:numPr>
        <w:spacing w:after="0" w:line="240" w:lineRule="auto"/>
        <w:jc w:val="both"/>
        <w:rPr>
          <w:rFonts w:ascii="Times New Roman" w:hAnsi="Times New Roman" w:cs="Times New Roman"/>
          <w:sz w:val="28"/>
          <w:szCs w:val="28"/>
          <w:lang w:val="en-US"/>
        </w:rPr>
      </w:pPr>
      <w:r w:rsidRPr="00D656AD">
        <w:rPr>
          <w:rFonts w:ascii="Times New Roman" w:hAnsi="Times New Roman" w:cs="Times New Roman"/>
          <w:sz w:val="28"/>
          <w:szCs w:val="28"/>
          <w:lang w:val="en-US"/>
        </w:rPr>
        <w:t>Rule</w:t>
      </w:r>
      <w:r w:rsidR="004C2B06">
        <w:rPr>
          <w:rFonts w:ascii="Times New Roman" w:hAnsi="Times New Roman" w:cs="Times New Roman"/>
          <w:sz w:val="28"/>
          <w:szCs w:val="28"/>
          <w:lang w:val="en-US"/>
        </w:rPr>
        <w:t xml:space="preserve"> </w:t>
      </w:r>
      <w:r w:rsidRPr="00D656AD">
        <w:rPr>
          <w:rFonts w:ascii="Times New Roman" w:hAnsi="Times New Roman" w:cs="Times New Roman"/>
          <w:sz w:val="28"/>
          <w:szCs w:val="28"/>
          <w:lang w:val="en-US"/>
        </w:rPr>
        <w:t xml:space="preserve">13(1) provides: </w:t>
      </w:r>
    </w:p>
    <w:p w14:paraId="12DD4A30" w14:textId="77777777" w:rsidR="004C2B06" w:rsidRPr="00D656AD" w:rsidRDefault="004C2B06" w:rsidP="004C2B06">
      <w:pPr>
        <w:pStyle w:val="ListParagraph"/>
        <w:spacing w:after="0" w:line="240" w:lineRule="auto"/>
        <w:ind w:left="0"/>
        <w:jc w:val="both"/>
        <w:rPr>
          <w:rFonts w:ascii="Times New Roman" w:hAnsi="Times New Roman" w:cs="Times New Roman"/>
          <w:sz w:val="28"/>
          <w:szCs w:val="28"/>
          <w:lang w:val="en-US"/>
        </w:rPr>
      </w:pPr>
    </w:p>
    <w:p w14:paraId="7C904818" w14:textId="7BDF9454" w:rsidR="00D656AD" w:rsidRPr="004C2B06" w:rsidRDefault="00D656AD" w:rsidP="004C2B06">
      <w:pPr>
        <w:pStyle w:val="ListParagraph"/>
        <w:spacing w:after="0" w:line="240" w:lineRule="auto"/>
        <w:ind w:left="964" w:right="964"/>
        <w:jc w:val="both"/>
        <w:rPr>
          <w:rFonts w:ascii="Times New Roman" w:hAnsi="Times New Roman" w:cs="Times New Roman"/>
          <w:sz w:val="24"/>
          <w:szCs w:val="24"/>
          <w:lang w:val="en-US"/>
        </w:rPr>
      </w:pPr>
      <w:r w:rsidRPr="00D656AD">
        <w:rPr>
          <w:rFonts w:ascii="Times New Roman" w:hAnsi="Times New Roman" w:cs="Times New Roman"/>
          <w:sz w:val="24"/>
          <w:szCs w:val="24"/>
          <w:lang w:val="en-US"/>
        </w:rPr>
        <w:t xml:space="preserve">13. (1) A </w:t>
      </w:r>
      <w:r w:rsidR="007C6085">
        <w:rPr>
          <w:rFonts w:ascii="Times New Roman" w:hAnsi="Times New Roman" w:cs="Times New Roman"/>
          <w:sz w:val="24"/>
          <w:szCs w:val="24"/>
          <w:lang w:val="en-US"/>
        </w:rPr>
        <w:t>statement of claim</w:t>
      </w:r>
      <w:r w:rsidRPr="00D656AD">
        <w:rPr>
          <w:rFonts w:ascii="Times New Roman" w:hAnsi="Times New Roman" w:cs="Times New Roman"/>
          <w:sz w:val="24"/>
          <w:szCs w:val="24"/>
          <w:lang w:val="en-US"/>
        </w:rPr>
        <w:t xml:space="preserve"> is in force for 12 months</w:t>
      </w:r>
      <w:r w:rsidR="004C2B06">
        <w:rPr>
          <w:rFonts w:ascii="Times New Roman" w:hAnsi="Times New Roman" w:cs="Times New Roman"/>
          <w:sz w:val="24"/>
          <w:szCs w:val="24"/>
          <w:lang w:val="en-US"/>
        </w:rPr>
        <w:t xml:space="preserve"> </w:t>
      </w:r>
      <w:r w:rsidRPr="004C2B06">
        <w:rPr>
          <w:rFonts w:ascii="Times New Roman" w:hAnsi="Times New Roman" w:cs="Times New Roman"/>
          <w:sz w:val="24"/>
          <w:szCs w:val="24"/>
          <w:lang w:val="en-US"/>
        </w:rPr>
        <w:t>beginning on the date of its issue, but if for any</w:t>
      </w:r>
      <w:r w:rsidR="004C2B06">
        <w:rPr>
          <w:rFonts w:ascii="Times New Roman" w:hAnsi="Times New Roman" w:cs="Times New Roman"/>
          <w:sz w:val="24"/>
          <w:szCs w:val="24"/>
          <w:lang w:val="en-US"/>
        </w:rPr>
        <w:t xml:space="preserve"> </w:t>
      </w:r>
      <w:r w:rsidRPr="004C2B06">
        <w:rPr>
          <w:rFonts w:ascii="Times New Roman" w:hAnsi="Times New Roman" w:cs="Times New Roman"/>
          <w:sz w:val="24"/>
          <w:szCs w:val="24"/>
          <w:lang w:val="en-US"/>
        </w:rPr>
        <w:t>sufficient reason a defendant has not been served, the</w:t>
      </w:r>
      <w:r w:rsidR="004C2B06">
        <w:rPr>
          <w:rFonts w:ascii="Times New Roman" w:hAnsi="Times New Roman" w:cs="Times New Roman"/>
          <w:sz w:val="24"/>
          <w:szCs w:val="24"/>
          <w:lang w:val="en-US"/>
        </w:rPr>
        <w:t xml:space="preserve"> </w:t>
      </w:r>
      <w:r w:rsidR="007C6085">
        <w:rPr>
          <w:rFonts w:ascii="Times New Roman" w:hAnsi="Times New Roman" w:cs="Times New Roman"/>
          <w:sz w:val="24"/>
          <w:szCs w:val="24"/>
          <w:lang w:val="en-US"/>
        </w:rPr>
        <w:t>statement of claim</w:t>
      </w:r>
      <w:r w:rsidRPr="004C2B06">
        <w:rPr>
          <w:rFonts w:ascii="Times New Roman" w:hAnsi="Times New Roman" w:cs="Times New Roman"/>
          <w:sz w:val="24"/>
          <w:szCs w:val="24"/>
          <w:lang w:val="en-US"/>
        </w:rPr>
        <w:t xml:space="preserve"> may, before or after its expiration,</w:t>
      </w:r>
      <w:r w:rsidR="004C2B06">
        <w:rPr>
          <w:rFonts w:ascii="Times New Roman" w:hAnsi="Times New Roman" w:cs="Times New Roman"/>
          <w:sz w:val="24"/>
          <w:szCs w:val="24"/>
          <w:lang w:val="en-US"/>
        </w:rPr>
        <w:t xml:space="preserve"> </w:t>
      </w:r>
      <w:r w:rsidRPr="004C2B06">
        <w:rPr>
          <w:rFonts w:ascii="Times New Roman" w:hAnsi="Times New Roman" w:cs="Times New Roman"/>
          <w:sz w:val="24"/>
          <w:szCs w:val="24"/>
          <w:lang w:val="en-US"/>
        </w:rPr>
        <w:t>be renewed by order for six months and may, before or</w:t>
      </w:r>
      <w:r w:rsidR="004C2B06">
        <w:rPr>
          <w:rFonts w:ascii="Times New Roman" w:hAnsi="Times New Roman" w:cs="Times New Roman"/>
          <w:sz w:val="24"/>
          <w:szCs w:val="24"/>
          <w:lang w:val="en-US"/>
        </w:rPr>
        <w:t xml:space="preserve"> </w:t>
      </w:r>
      <w:r w:rsidRPr="004C2B06">
        <w:rPr>
          <w:rFonts w:ascii="Times New Roman" w:hAnsi="Times New Roman" w:cs="Times New Roman"/>
          <w:sz w:val="24"/>
          <w:szCs w:val="24"/>
          <w:lang w:val="en-US"/>
        </w:rPr>
        <w:t xml:space="preserve">after the expiration of the renewed </w:t>
      </w:r>
      <w:r w:rsidR="007C6085">
        <w:rPr>
          <w:rFonts w:ascii="Times New Roman" w:hAnsi="Times New Roman" w:cs="Times New Roman"/>
          <w:sz w:val="24"/>
          <w:szCs w:val="24"/>
          <w:lang w:val="en-US"/>
        </w:rPr>
        <w:t>statement of claim</w:t>
      </w:r>
      <w:r w:rsidRPr="004C2B06">
        <w:rPr>
          <w:rFonts w:ascii="Times New Roman" w:hAnsi="Times New Roman" w:cs="Times New Roman"/>
          <w:sz w:val="24"/>
          <w:szCs w:val="24"/>
          <w:lang w:val="en-US"/>
        </w:rPr>
        <w:t>,</w:t>
      </w:r>
      <w:r w:rsidR="004C2B06">
        <w:rPr>
          <w:rFonts w:ascii="Times New Roman" w:hAnsi="Times New Roman" w:cs="Times New Roman"/>
          <w:sz w:val="24"/>
          <w:szCs w:val="24"/>
          <w:lang w:val="en-US"/>
        </w:rPr>
        <w:t xml:space="preserve"> </w:t>
      </w:r>
      <w:r w:rsidRPr="004C2B06">
        <w:rPr>
          <w:rFonts w:ascii="Times New Roman" w:hAnsi="Times New Roman" w:cs="Times New Roman"/>
          <w:sz w:val="24"/>
          <w:szCs w:val="24"/>
          <w:lang w:val="en-US"/>
        </w:rPr>
        <w:t>be further renewed from time to time as the Court may</w:t>
      </w:r>
      <w:r w:rsidR="004C2B06">
        <w:rPr>
          <w:rFonts w:ascii="Times New Roman" w:hAnsi="Times New Roman" w:cs="Times New Roman"/>
          <w:sz w:val="24"/>
          <w:szCs w:val="24"/>
          <w:lang w:val="en-US"/>
        </w:rPr>
        <w:t xml:space="preserve"> </w:t>
      </w:r>
      <w:r w:rsidRPr="004C2B06">
        <w:rPr>
          <w:rFonts w:ascii="Times New Roman" w:hAnsi="Times New Roman" w:cs="Times New Roman"/>
          <w:sz w:val="24"/>
          <w:szCs w:val="24"/>
          <w:lang w:val="en-US"/>
        </w:rPr>
        <w:t>order.</w:t>
      </w:r>
    </w:p>
    <w:p w14:paraId="462ACAE3" w14:textId="77777777" w:rsidR="00D656AD" w:rsidRPr="00D656AD" w:rsidRDefault="00D656AD" w:rsidP="004C2B06">
      <w:pPr>
        <w:pStyle w:val="ListParagraph"/>
        <w:spacing w:after="0" w:line="240" w:lineRule="auto"/>
        <w:ind w:left="0"/>
        <w:jc w:val="both"/>
        <w:rPr>
          <w:rFonts w:ascii="Times New Roman" w:hAnsi="Times New Roman" w:cs="Times New Roman"/>
          <w:sz w:val="28"/>
          <w:szCs w:val="28"/>
          <w:lang w:val="en-US"/>
        </w:rPr>
      </w:pPr>
    </w:p>
    <w:p w14:paraId="72B63E34" w14:textId="6273C39F" w:rsidR="00D656AD" w:rsidRPr="00D656AD" w:rsidRDefault="00D656AD" w:rsidP="00D656AD">
      <w:pPr>
        <w:pStyle w:val="ListParagraph"/>
        <w:numPr>
          <w:ilvl w:val="0"/>
          <w:numId w:val="10"/>
        </w:numPr>
        <w:spacing w:after="0" w:line="240" w:lineRule="auto"/>
        <w:jc w:val="both"/>
        <w:rPr>
          <w:rFonts w:ascii="Times New Roman" w:hAnsi="Times New Roman" w:cs="Times New Roman"/>
          <w:sz w:val="28"/>
          <w:szCs w:val="28"/>
          <w:lang w:val="en-US"/>
        </w:rPr>
      </w:pPr>
      <w:r w:rsidRPr="00D656AD">
        <w:rPr>
          <w:rFonts w:ascii="Times New Roman" w:hAnsi="Times New Roman" w:cs="Times New Roman"/>
          <w:sz w:val="28"/>
          <w:szCs w:val="28"/>
          <w:lang w:val="en-US"/>
        </w:rPr>
        <w:t xml:space="preserve">Counsel </w:t>
      </w:r>
      <w:proofErr w:type="gramStart"/>
      <w:r w:rsidRPr="00D656AD">
        <w:rPr>
          <w:rFonts w:ascii="Times New Roman" w:hAnsi="Times New Roman" w:cs="Times New Roman"/>
          <w:sz w:val="28"/>
          <w:szCs w:val="28"/>
          <w:lang w:val="en-US"/>
        </w:rPr>
        <w:t>are</w:t>
      </w:r>
      <w:proofErr w:type="gramEnd"/>
      <w:r w:rsidRPr="00D656AD">
        <w:rPr>
          <w:rFonts w:ascii="Times New Roman" w:hAnsi="Times New Roman" w:cs="Times New Roman"/>
          <w:sz w:val="28"/>
          <w:szCs w:val="28"/>
          <w:lang w:val="en-US"/>
        </w:rPr>
        <w:t xml:space="preserve"> in agreement that the two leading cases in this jurisdiction </w:t>
      </w:r>
      <w:r w:rsidR="00D258A3">
        <w:rPr>
          <w:rFonts w:ascii="Times New Roman" w:hAnsi="Times New Roman" w:cs="Times New Roman"/>
          <w:sz w:val="28"/>
          <w:szCs w:val="28"/>
          <w:lang w:val="en-US"/>
        </w:rPr>
        <w:t xml:space="preserve">considering Rule 13(1) </w:t>
      </w:r>
      <w:r w:rsidRPr="00D656AD">
        <w:rPr>
          <w:rFonts w:ascii="Times New Roman" w:hAnsi="Times New Roman" w:cs="Times New Roman"/>
          <w:sz w:val="28"/>
          <w:szCs w:val="28"/>
          <w:lang w:val="en-US"/>
        </w:rPr>
        <w:t xml:space="preserve">are </w:t>
      </w:r>
      <w:r w:rsidRPr="00D656AD">
        <w:rPr>
          <w:rFonts w:ascii="Times New Roman" w:hAnsi="Times New Roman" w:cs="Times New Roman"/>
          <w:i/>
          <w:iCs/>
          <w:sz w:val="28"/>
          <w:szCs w:val="28"/>
          <w:lang w:val="en-US"/>
        </w:rPr>
        <w:t xml:space="preserve">Irish Estate v </w:t>
      </w:r>
      <w:proofErr w:type="spellStart"/>
      <w:r w:rsidRPr="00D656AD">
        <w:rPr>
          <w:rFonts w:ascii="Times New Roman" w:hAnsi="Times New Roman" w:cs="Times New Roman"/>
          <w:i/>
          <w:iCs/>
          <w:sz w:val="28"/>
          <w:szCs w:val="28"/>
          <w:lang w:val="en-US"/>
        </w:rPr>
        <w:t>Vinthers</w:t>
      </w:r>
      <w:proofErr w:type="spellEnd"/>
      <w:r w:rsidRPr="00D656AD">
        <w:rPr>
          <w:rFonts w:ascii="Times New Roman" w:hAnsi="Times New Roman" w:cs="Times New Roman"/>
          <w:i/>
          <w:iCs/>
          <w:sz w:val="28"/>
          <w:szCs w:val="28"/>
          <w:lang w:val="en-US"/>
        </w:rPr>
        <w:t>,</w:t>
      </w:r>
      <w:r w:rsidRPr="00D656AD">
        <w:rPr>
          <w:rFonts w:ascii="Times New Roman" w:hAnsi="Times New Roman" w:cs="Times New Roman"/>
          <w:sz w:val="28"/>
          <w:szCs w:val="28"/>
          <w:lang w:val="en-US"/>
        </w:rPr>
        <w:t xml:space="preserve"> 1999 </w:t>
      </w:r>
      <w:proofErr w:type="spellStart"/>
      <w:r w:rsidRPr="00D656AD">
        <w:rPr>
          <w:rFonts w:ascii="Times New Roman" w:hAnsi="Times New Roman" w:cs="Times New Roman"/>
          <w:sz w:val="28"/>
          <w:szCs w:val="28"/>
          <w:lang w:val="en-US"/>
        </w:rPr>
        <w:t>CanLII</w:t>
      </w:r>
      <w:proofErr w:type="spellEnd"/>
      <w:r w:rsidRPr="00D656AD">
        <w:rPr>
          <w:rFonts w:ascii="Times New Roman" w:hAnsi="Times New Roman" w:cs="Times New Roman"/>
          <w:sz w:val="28"/>
          <w:szCs w:val="28"/>
          <w:lang w:val="en-US"/>
        </w:rPr>
        <w:t xml:space="preserve"> 35021 (NWTSC)</w:t>
      </w:r>
      <w:r w:rsidR="002B3702">
        <w:rPr>
          <w:rFonts w:ascii="Times New Roman" w:hAnsi="Times New Roman" w:cs="Times New Roman"/>
          <w:sz w:val="28"/>
          <w:szCs w:val="28"/>
          <w:lang w:val="en-US"/>
        </w:rPr>
        <w:t xml:space="preserve"> </w:t>
      </w:r>
      <w:r w:rsidRPr="00D656AD">
        <w:rPr>
          <w:rFonts w:ascii="Times New Roman" w:hAnsi="Times New Roman" w:cs="Times New Roman"/>
          <w:sz w:val="28"/>
          <w:szCs w:val="28"/>
          <w:lang w:val="en-US"/>
        </w:rPr>
        <w:t xml:space="preserve">and </w:t>
      </w:r>
      <w:r w:rsidRPr="00D656AD">
        <w:rPr>
          <w:rFonts w:ascii="Times New Roman" w:hAnsi="Times New Roman" w:cs="Times New Roman"/>
          <w:i/>
          <w:iCs/>
          <w:sz w:val="28"/>
          <w:szCs w:val="28"/>
          <w:lang w:val="en-US"/>
        </w:rPr>
        <w:t>Pitsiulak v Wooder</w:t>
      </w:r>
      <w:r w:rsidRPr="00D656AD">
        <w:rPr>
          <w:rFonts w:ascii="Times New Roman" w:hAnsi="Times New Roman" w:cs="Times New Roman"/>
          <w:sz w:val="28"/>
          <w:szCs w:val="28"/>
          <w:lang w:val="en-US"/>
        </w:rPr>
        <w:t xml:space="preserve">, 1999 </w:t>
      </w:r>
      <w:proofErr w:type="spellStart"/>
      <w:r w:rsidRPr="00D656AD">
        <w:rPr>
          <w:rFonts w:ascii="Times New Roman" w:hAnsi="Times New Roman" w:cs="Times New Roman"/>
          <w:sz w:val="28"/>
          <w:szCs w:val="28"/>
          <w:lang w:val="en-US"/>
        </w:rPr>
        <w:t>CanLII</w:t>
      </w:r>
      <w:proofErr w:type="spellEnd"/>
      <w:r w:rsidRPr="00D656AD">
        <w:rPr>
          <w:rFonts w:ascii="Times New Roman" w:hAnsi="Times New Roman" w:cs="Times New Roman"/>
          <w:sz w:val="28"/>
          <w:szCs w:val="28"/>
          <w:lang w:val="en-US"/>
        </w:rPr>
        <w:t xml:space="preserve"> 6789 (NWTSC), both cases of Schuler, J. decided in 1999.  In both cases, Schuler, J. adopts the test set out</w:t>
      </w:r>
      <w:r w:rsidR="00B40693">
        <w:rPr>
          <w:rFonts w:ascii="Times New Roman" w:hAnsi="Times New Roman" w:cs="Times New Roman"/>
          <w:sz w:val="28"/>
          <w:szCs w:val="28"/>
          <w:lang w:val="en-US"/>
        </w:rPr>
        <w:t xml:space="preserve"> in paragraph 5 o</w:t>
      </w:r>
      <w:r w:rsidRPr="00D656AD">
        <w:rPr>
          <w:rFonts w:ascii="Times New Roman" w:hAnsi="Times New Roman" w:cs="Times New Roman"/>
          <w:sz w:val="28"/>
          <w:szCs w:val="28"/>
          <w:lang w:val="en-US"/>
        </w:rPr>
        <w:t xml:space="preserve">f </w:t>
      </w:r>
      <w:r w:rsidRPr="00D656AD">
        <w:rPr>
          <w:rFonts w:ascii="Times New Roman" w:hAnsi="Times New Roman" w:cs="Times New Roman"/>
          <w:i/>
          <w:iCs/>
          <w:sz w:val="28"/>
          <w:szCs w:val="28"/>
          <w:lang w:val="en-US"/>
        </w:rPr>
        <w:t>Widdell</w:t>
      </w:r>
      <w:r w:rsidR="00724D90">
        <w:rPr>
          <w:rFonts w:ascii="Times New Roman" w:hAnsi="Times New Roman" w:cs="Times New Roman"/>
          <w:i/>
          <w:iCs/>
          <w:sz w:val="28"/>
          <w:szCs w:val="28"/>
          <w:lang w:val="en-US"/>
        </w:rPr>
        <w:t xml:space="preserve"> v Woodman, </w:t>
      </w:r>
      <w:r w:rsidR="00687381">
        <w:rPr>
          <w:rFonts w:ascii="Times New Roman" w:hAnsi="Times New Roman" w:cs="Times New Roman"/>
          <w:sz w:val="28"/>
          <w:szCs w:val="28"/>
          <w:lang w:val="en-US"/>
        </w:rPr>
        <w:t>1983 ABCA 97</w:t>
      </w:r>
      <w:r w:rsidRPr="00D656AD">
        <w:rPr>
          <w:rFonts w:ascii="Times New Roman" w:hAnsi="Times New Roman" w:cs="Times New Roman"/>
          <w:i/>
          <w:iCs/>
          <w:sz w:val="28"/>
          <w:szCs w:val="28"/>
          <w:lang w:val="en-US"/>
        </w:rPr>
        <w:t xml:space="preserve"> </w:t>
      </w:r>
      <w:r w:rsidRPr="00D656AD">
        <w:rPr>
          <w:rFonts w:ascii="Times New Roman" w:hAnsi="Times New Roman" w:cs="Times New Roman"/>
          <w:sz w:val="28"/>
          <w:szCs w:val="28"/>
          <w:lang w:val="en-US"/>
        </w:rPr>
        <w:t xml:space="preserve">with respect to the former </w:t>
      </w:r>
      <w:r w:rsidRPr="00B40693">
        <w:rPr>
          <w:rFonts w:ascii="Times New Roman" w:hAnsi="Times New Roman" w:cs="Times New Roman"/>
          <w:i/>
          <w:iCs/>
          <w:sz w:val="28"/>
          <w:szCs w:val="28"/>
          <w:lang w:val="en-US"/>
        </w:rPr>
        <w:t xml:space="preserve">Alberta </w:t>
      </w:r>
      <w:r w:rsidR="00B40693" w:rsidRPr="00B40693">
        <w:rPr>
          <w:rFonts w:ascii="Times New Roman" w:hAnsi="Times New Roman" w:cs="Times New Roman"/>
          <w:i/>
          <w:iCs/>
          <w:sz w:val="28"/>
          <w:szCs w:val="28"/>
          <w:lang w:val="en-US"/>
        </w:rPr>
        <w:t>Rules of</w:t>
      </w:r>
      <w:r w:rsidR="00B40693">
        <w:rPr>
          <w:rFonts w:ascii="Times New Roman" w:hAnsi="Times New Roman" w:cs="Times New Roman"/>
          <w:sz w:val="28"/>
          <w:szCs w:val="28"/>
          <w:lang w:val="en-US"/>
        </w:rPr>
        <w:t xml:space="preserve"> </w:t>
      </w:r>
      <w:r w:rsidR="00B40693" w:rsidRPr="00B40693">
        <w:rPr>
          <w:rFonts w:ascii="Times New Roman" w:hAnsi="Times New Roman" w:cs="Times New Roman"/>
          <w:i/>
          <w:iCs/>
          <w:sz w:val="28"/>
          <w:szCs w:val="28"/>
          <w:lang w:val="en-US"/>
        </w:rPr>
        <w:t>Court</w:t>
      </w:r>
      <w:r w:rsidR="00B40693">
        <w:rPr>
          <w:rFonts w:ascii="Times New Roman" w:hAnsi="Times New Roman" w:cs="Times New Roman"/>
          <w:i/>
          <w:iCs/>
          <w:sz w:val="28"/>
          <w:szCs w:val="28"/>
          <w:lang w:val="en-US"/>
        </w:rPr>
        <w:t xml:space="preserve"> </w:t>
      </w:r>
      <w:r w:rsidRPr="00D656AD">
        <w:rPr>
          <w:rFonts w:ascii="Times New Roman" w:hAnsi="Times New Roman" w:cs="Times New Roman"/>
          <w:sz w:val="28"/>
          <w:szCs w:val="28"/>
          <w:lang w:val="en-US"/>
        </w:rPr>
        <w:t xml:space="preserve">Rule 11, </w:t>
      </w:r>
      <w:proofErr w:type="gramStart"/>
      <w:r w:rsidRPr="00D656AD">
        <w:rPr>
          <w:rFonts w:ascii="Times New Roman" w:hAnsi="Times New Roman" w:cs="Times New Roman"/>
          <w:sz w:val="28"/>
          <w:szCs w:val="28"/>
          <w:lang w:val="en-US"/>
        </w:rPr>
        <w:t>similar to</w:t>
      </w:r>
      <w:proofErr w:type="gramEnd"/>
      <w:r w:rsidRPr="00D656AD">
        <w:rPr>
          <w:rFonts w:ascii="Times New Roman" w:hAnsi="Times New Roman" w:cs="Times New Roman"/>
          <w:sz w:val="28"/>
          <w:szCs w:val="28"/>
          <w:lang w:val="en-US"/>
        </w:rPr>
        <w:t xml:space="preserve"> </w:t>
      </w:r>
      <w:r w:rsidR="00B40693">
        <w:rPr>
          <w:rFonts w:ascii="Times New Roman" w:hAnsi="Times New Roman" w:cs="Times New Roman"/>
          <w:sz w:val="28"/>
          <w:szCs w:val="28"/>
          <w:lang w:val="en-US"/>
        </w:rPr>
        <w:t xml:space="preserve">NWT’s </w:t>
      </w:r>
      <w:r w:rsidRPr="00D656AD">
        <w:rPr>
          <w:rFonts w:ascii="Times New Roman" w:hAnsi="Times New Roman" w:cs="Times New Roman"/>
          <w:sz w:val="28"/>
          <w:szCs w:val="28"/>
          <w:lang w:val="en-US"/>
        </w:rPr>
        <w:t xml:space="preserve">Rule 13.  That two-prong test is: </w:t>
      </w:r>
    </w:p>
    <w:p w14:paraId="547D45A1" w14:textId="77777777" w:rsidR="00D656AD" w:rsidRPr="00D656AD" w:rsidRDefault="00D656AD" w:rsidP="004C2B06">
      <w:pPr>
        <w:pStyle w:val="ListParagraph"/>
        <w:spacing w:after="0" w:line="240" w:lineRule="auto"/>
        <w:ind w:left="0"/>
        <w:jc w:val="both"/>
        <w:rPr>
          <w:rFonts w:ascii="Times New Roman" w:hAnsi="Times New Roman" w:cs="Times New Roman"/>
          <w:sz w:val="28"/>
          <w:szCs w:val="28"/>
          <w:lang w:val="en-US"/>
        </w:rPr>
      </w:pPr>
    </w:p>
    <w:p w14:paraId="64E50B53" w14:textId="6FEF7E72" w:rsidR="00D656AD" w:rsidRPr="00FD655E" w:rsidRDefault="00D656AD" w:rsidP="00FD655E">
      <w:pPr>
        <w:pStyle w:val="ListParagraph"/>
        <w:numPr>
          <w:ilvl w:val="0"/>
          <w:numId w:val="21"/>
        </w:numPr>
        <w:spacing w:after="0" w:line="240" w:lineRule="auto"/>
        <w:jc w:val="both"/>
        <w:rPr>
          <w:rFonts w:ascii="Times New Roman" w:hAnsi="Times New Roman" w:cs="Times New Roman"/>
          <w:sz w:val="28"/>
          <w:szCs w:val="28"/>
          <w:lang w:val="en-US"/>
        </w:rPr>
      </w:pPr>
      <w:r w:rsidRPr="00FD655E">
        <w:rPr>
          <w:rFonts w:ascii="Times New Roman" w:hAnsi="Times New Roman" w:cs="Times New Roman"/>
          <w:sz w:val="28"/>
          <w:szCs w:val="28"/>
          <w:lang w:val="en-US"/>
        </w:rPr>
        <w:t xml:space="preserve">Proof of prejudice to the defendants; and </w:t>
      </w:r>
    </w:p>
    <w:p w14:paraId="41F06730" w14:textId="293542D7" w:rsidR="00D656AD" w:rsidRPr="00FD655E" w:rsidRDefault="00D656AD" w:rsidP="00FD655E">
      <w:pPr>
        <w:pStyle w:val="ListParagraph"/>
        <w:numPr>
          <w:ilvl w:val="0"/>
          <w:numId w:val="21"/>
        </w:numPr>
        <w:spacing w:after="0" w:line="240" w:lineRule="auto"/>
        <w:jc w:val="both"/>
        <w:rPr>
          <w:rFonts w:ascii="Times New Roman" w:hAnsi="Times New Roman" w:cs="Times New Roman"/>
          <w:sz w:val="28"/>
          <w:szCs w:val="28"/>
          <w:lang w:val="en-US"/>
        </w:rPr>
      </w:pPr>
      <w:r w:rsidRPr="00FD655E">
        <w:rPr>
          <w:rFonts w:ascii="Times New Roman" w:hAnsi="Times New Roman" w:cs="Times New Roman"/>
          <w:sz w:val="28"/>
          <w:szCs w:val="28"/>
          <w:lang w:val="en-US"/>
        </w:rPr>
        <w:t xml:space="preserve">The ends of justice in the individual case. </w:t>
      </w:r>
    </w:p>
    <w:p w14:paraId="3EB375D4" w14:textId="77777777" w:rsidR="00D656AD" w:rsidRPr="00D656AD" w:rsidRDefault="00D656AD" w:rsidP="004C2B06">
      <w:pPr>
        <w:pStyle w:val="ListParagraph"/>
        <w:spacing w:after="0" w:line="240" w:lineRule="auto"/>
        <w:ind w:left="0"/>
        <w:jc w:val="both"/>
        <w:rPr>
          <w:rFonts w:ascii="Times New Roman" w:hAnsi="Times New Roman" w:cs="Times New Roman"/>
          <w:sz w:val="28"/>
          <w:szCs w:val="28"/>
          <w:lang w:val="en-US"/>
        </w:rPr>
      </w:pPr>
    </w:p>
    <w:p w14:paraId="05BC143F" w14:textId="5FC5D7B5" w:rsidR="00D656AD" w:rsidRPr="00D656AD" w:rsidRDefault="00D656AD" w:rsidP="00D656AD">
      <w:pPr>
        <w:pStyle w:val="ListParagraph"/>
        <w:numPr>
          <w:ilvl w:val="0"/>
          <w:numId w:val="10"/>
        </w:numPr>
        <w:spacing w:after="0" w:line="240" w:lineRule="auto"/>
        <w:jc w:val="both"/>
        <w:rPr>
          <w:rFonts w:ascii="Times New Roman" w:hAnsi="Times New Roman" w:cs="Times New Roman"/>
          <w:sz w:val="28"/>
          <w:szCs w:val="28"/>
          <w:lang w:val="en-US"/>
        </w:rPr>
      </w:pPr>
      <w:r w:rsidRPr="00D656AD">
        <w:rPr>
          <w:rFonts w:ascii="Times New Roman" w:hAnsi="Times New Roman" w:cs="Times New Roman"/>
          <w:sz w:val="28"/>
          <w:szCs w:val="28"/>
          <w:lang w:val="en-US"/>
        </w:rPr>
        <w:t xml:space="preserve">Schuler, J. notes in </w:t>
      </w:r>
      <w:r w:rsidRPr="00D656AD">
        <w:rPr>
          <w:rFonts w:ascii="Times New Roman" w:hAnsi="Times New Roman" w:cs="Times New Roman"/>
          <w:i/>
          <w:iCs/>
          <w:sz w:val="28"/>
          <w:szCs w:val="28"/>
          <w:lang w:val="en-US"/>
        </w:rPr>
        <w:t>Pitsiulak</w:t>
      </w:r>
      <w:r w:rsidR="00860DED">
        <w:rPr>
          <w:rFonts w:ascii="Times New Roman" w:hAnsi="Times New Roman" w:cs="Times New Roman"/>
          <w:sz w:val="28"/>
          <w:szCs w:val="28"/>
          <w:lang w:val="en-US"/>
        </w:rPr>
        <w:t>, at para 17,</w:t>
      </w:r>
      <w:r w:rsidRPr="00D656AD">
        <w:rPr>
          <w:rFonts w:ascii="Times New Roman" w:hAnsi="Times New Roman" w:cs="Times New Roman"/>
          <w:i/>
          <w:iCs/>
          <w:sz w:val="28"/>
          <w:szCs w:val="28"/>
          <w:lang w:val="en-US"/>
        </w:rPr>
        <w:t xml:space="preserve"> </w:t>
      </w:r>
      <w:r w:rsidRPr="00D656AD">
        <w:rPr>
          <w:rFonts w:ascii="Times New Roman" w:hAnsi="Times New Roman" w:cs="Times New Roman"/>
          <w:sz w:val="28"/>
          <w:szCs w:val="28"/>
          <w:lang w:val="en-US"/>
        </w:rPr>
        <w:t xml:space="preserve">that: </w:t>
      </w:r>
    </w:p>
    <w:p w14:paraId="5BBEBB7E" w14:textId="77777777" w:rsidR="00FD655E" w:rsidRDefault="00FD655E" w:rsidP="00FD655E">
      <w:pPr>
        <w:pStyle w:val="ListParagraph"/>
        <w:spacing w:after="0" w:line="240" w:lineRule="auto"/>
        <w:ind w:left="0"/>
        <w:jc w:val="both"/>
        <w:rPr>
          <w:rFonts w:ascii="Times New Roman" w:hAnsi="Times New Roman" w:cs="Times New Roman"/>
          <w:sz w:val="28"/>
          <w:szCs w:val="28"/>
          <w:lang w:val="en-US"/>
        </w:rPr>
      </w:pPr>
    </w:p>
    <w:p w14:paraId="1B615A47" w14:textId="3E21F599" w:rsidR="00D656AD" w:rsidRPr="00756DD9" w:rsidRDefault="00D656AD" w:rsidP="00FD655E">
      <w:pPr>
        <w:pStyle w:val="ListParagraph"/>
        <w:spacing w:after="0" w:line="240" w:lineRule="auto"/>
        <w:ind w:left="964" w:right="964"/>
        <w:jc w:val="both"/>
        <w:rPr>
          <w:rFonts w:ascii="Times New Roman" w:hAnsi="Times New Roman" w:cs="Times New Roman"/>
          <w:sz w:val="24"/>
          <w:szCs w:val="24"/>
          <w:lang w:val="en-US"/>
        </w:rPr>
      </w:pPr>
      <w:r w:rsidRPr="00756DD9">
        <w:rPr>
          <w:rFonts w:ascii="Times New Roman" w:hAnsi="Times New Roman" w:cs="Times New Roman"/>
          <w:sz w:val="24"/>
          <w:szCs w:val="24"/>
          <w:lang w:val="en-US"/>
        </w:rPr>
        <w:t xml:space="preserve">Under our Rule 13, the Plaintiff must simply satisfy the court that there is </w:t>
      </w:r>
      <w:r w:rsidRPr="00756DD9">
        <w:rPr>
          <w:rFonts w:ascii="Times New Roman" w:hAnsi="Times New Roman" w:cs="Times New Roman"/>
          <w:color w:val="000000" w:themeColor="text1"/>
          <w:sz w:val="24"/>
          <w:szCs w:val="24"/>
          <w:lang w:val="en-US"/>
        </w:rPr>
        <w:t xml:space="preserve">sufficient reason why a defendant has not been served within the relevant time limits.  What constitutes sufficient reason is for the court to determine </w:t>
      </w:r>
      <w:r w:rsidRPr="00756DD9">
        <w:rPr>
          <w:rFonts w:ascii="Times New Roman" w:hAnsi="Times New Roman" w:cs="Times New Roman"/>
          <w:sz w:val="24"/>
          <w:szCs w:val="24"/>
          <w:lang w:val="en-US"/>
        </w:rPr>
        <w:t xml:space="preserve">in each case.  That discretion must, of course, be exercised judicially. </w:t>
      </w:r>
    </w:p>
    <w:p w14:paraId="0D4AE307" w14:textId="77777777" w:rsidR="00FD655E" w:rsidRPr="00D656AD" w:rsidRDefault="00FD655E" w:rsidP="00FD655E">
      <w:pPr>
        <w:pStyle w:val="ListParagraph"/>
        <w:spacing w:after="0" w:line="240" w:lineRule="auto"/>
        <w:ind w:left="0"/>
        <w:jc w:val="both"/>
        <w:rPr>
          <w:rFonts w:ascii="Times New Roman" w:hAnsi="Times New Roman" w:cs="Times New Roman"/>
          <w:sz w:val="28"/>
          <w:szCs w:val="28"/>
          <w:lang w:val="en-US"/>
        </w:rPr>
      </w:pPr>
    </w:p>
    <w:p w14:paraId="00D121C6" w14:textId="7F038CFD" w:rsidR="00D656AD" w:rsidRDefault="00D656AD" w:rsidP="00D656AD">
      <w:pPr>
        <w:pStyle w:val="ListParagraph"/>
        <w:numPr>
          <w:ilvl w:val="0"/>
          <w:numId w:val="10"/>
        </w:numPr>
        <w:spacing w:after="0" w:line="240" w:lineRule="auto"/>
        <w:jc w:val="both"/>
        <w:rPr>
          <w:rFonts w:ascii="Times New Roman" w:hAnsi="Times New Roman" w:cs="Times New Roman"/>
          <w:sz w:val="28"/>
          <w:szCs w:val="28"/>
          <w:lang w:val="en-US"/>
        </w:rPr>
      </w:pPr>
      <w:r w:rsidRPr="00D656AD">
        <w:rPr>
          <w:rFonts w:ascii="Times New Roman" w:hAnsi="Times New Roman" w:cs="Times New Roman"/>
          <w:sz w:val="28"/>
          <w:szCs w:val="28"/>
          <w:lang w:val="en-US"/>
        </w:rPr>
        <w:t>What constitutes sufficient reason will depend on the circumstances of the case</w:t>
      </w:r>
      <w:r w:rsidR="00BE45B3">
        <w:rPr>
          <w:rFonts w:ascii="Times New Roman" w:hAnsi="Times New Roman" w:cs="Times New Roman"/>
          <w:sz w:val="28"/>
          <w:szCs w:val="28"/>
          <w:lang w:val="en-US"/>
        </w:rPr>
        <w:t xml:space="preserve">: </w:t>
      </w:r>
      <w:r w:rsidR="00BE45B3" w:rsidRPr="00BE45B3">
        <w:rPr>
          <w:rFonts w:ascii="Times New Roman" w:hAnsi="Times New Roman" w:cs="Times New Roman"/>
          <w:i/>
          <w:iCs/>
          <w:sz w:val="28"/>
          <w:szCs w:val="28"/>
          <w:lang w:val="en-US"/>
        </w:rPr>
        <w:t>Pitsiulak</w:t>
      </w:r>
      <w:r w:rsidR="00BE45B3">
        <w:rPr>
          <w:rFonts w:ascii="Times New Roman" w:hAnsi="Times New Roman" w:cs="Times New Roman"/>
          <w:sz w:val="28"/>
          <w:szCs w:val="28"/>
          <w:lang w:val="en-US"/>
        </w:rPr>
        <w:t xml:space="preserve"> </w:t>
      </w:r>
      <w:r w:rsidRPr="00D656AD">
        <w:rPr>
          <w:rFonts w:ascii="Times New Roman" w:hAnsi="Times New Roman" w:cs="Times New Roman"/>
          <w:sz w:val="28"/>
          <w:szCs w:val="28"/>
          <w:lang w:val="en-US"/>
        </w:rPr>
        <w:t>at para</w:t>
      </w:r>
      <w:r w:rsidR="00756DD9">
        <w:rPr>
          <w:rFonts w:ascii="Times New Roman" w:hAnsi="Times New Roman" w:cs="Times New Roman"/>
          <w:sz w:val="28"/>
          <w:szCs w:val="28"/>
          <w:lang w:val="en-US"/>
        </w:rPr>
        <w:t xml:space="preserve">graph </w:t>
      </w:r>
      <w:r w:rsidRPr="00D656AD">
        <w:rPr>
          <w:rFonts w:ascii="Times New Roman" w:hAnsi="Times New Roman" w:cs="Times New Roman"/>
          <w:sz w:val="28"/>
          <w:szCs w:val="28"/>
          <w:lang w:val="en-US"/>
        </w:rPr>
        <w:t>18</w:t>
      </w:r>
      <w:r w:rsidR="00BE45B3">
        <w:rPr>
          <w:rFonts w:ascii="Times New Roman" w:hAnsi="Times New Roman" w:cs="Times New Roman"/>
          <w:sz w:val="28"/>
          <w:szCs w:val="28"/>
          <w:lang w:val="en-US"/>
        </w:rPr>
        <w:t xml:space="preserve">.  </w:t>
      </w:r>
    </w:p>
    <w:p w14:paraId="0385505B" w14:textId="77777777" w:rsidR="00FD655E" w:rsidRPr="00D656AD" w:rsidRDefault="00FD655E" w:rsidP="00FD655E">
      <w:pPr>
        <w:pStyle w:val="ListParagraph"/>
        <w:spacing w:after="0" w:line="240" w:lineRule="auto"/>
        <w:ind w:left="0"/>
        <w:jc w:val="both"/>
        <w:rPr>
          <w:rFonts w:ascii="Times New Roman" w:hAnsi="Times New Roman" w:cs="Times New Roman"/>
          <w:sz w:val="28"/>
          <w:szCs w:val="28"/>
          <w:lang w:val="en-US"/>
        </w:rPr>
      </w:pPr>
    </w:p>
    <w:p w14:paraId="72096372" w14:textId="77777777" w:rsidR="00D656AD" w:rsidRPr="00D656AD" w:rsidRDefault="00D656AD" w:rsidP="00D656AD">
      <w:pPr>
        <w:pStyle w:val="ListParagraph"/>
        <w:numPr>
          <w:ilvl w:val="0"/>
          <w:numId w:val="10"/>
        </w:numPr>
        <w:spacing w:after="0" w:line="240" w:lineRule="auto"/>
        <w:jc w:val="both"/>
        <w:rPr>
          <w:rFonts w:ascii="Times New Roman" w:hAnsi="Times New Roman" w:cs="Times New Roman"/>
          <w:sz w:val="28"/>
          <w:szCs w:val="28"/>
          <w:lang w:val="en-US"/>
        </w:rPr>
      </w:pPr>
      <w:r w:rsidRPr="00D656AD">
        <w:rPr>
          <w:rFonts w:ascii="Times New Roman" w:hAnsi="Times New Roman" w:cs="Times New Roman"/>
          <w:sz w:val="28"/>
          <w:szCs w:val="28"/>
          <w:lang w:val="en-US"/>
        </w:rPr>
        <w:t xml:space="preserve">What is clear from a review of the applicable case law is that there are a wide variety of circumstances in each case and that while the cases may be useful as illustrative of the test to be applied, each case must be judged on its own merits in terms of assessing whether “sufficient reason” exists. </w:t>
      </w:r>
    </w:p>
    <w:p w14:paraId="6D39074C" w14:textId="77777777" w:rsidR="00D656AD" w:rsidRPr="00D656AD" w:rsidRDefault="00D656AD" w:rsidP="00FD655E">
      <w:pPr>
        <w:pStyle w:val="ListParagraph"/>
        <w:spacing w:after="0" w:line="240" w:lineRule="auto"/>
        <w:ind w:left="0"/>
        <w:jc w:val="both"/>
        <w:rPr>
          <w:rFonts w:ascii="Times New Roman" w:hAnsi="Times New Roman" w:cs="Times New Roman"/>
          <w:sz w:val="28"/>
          <w:szCs w:val="28"/>
          <w:lang w:val="en-US"/>
        </w:rPr>
      </w:pPr>
    </w:p>
    <w:p w14:paraId="3FD9CFCB" w14:textId="7401845F" w:rsidR="00D656AD" w:rsidRPr="00D656AD" w:rsidRDefault="00D656AD" w:rsidP="00D656AD">
      <w:pPr>
        <w:pStyle w:val="ListParagraph"/>
        <w:numPr>
          <w:ilvl w:val="0"/>
          <w:numId w:val="10"/>
        </w:numPr>
        <w:spacing w:after="0" w:line="240" w:lineRule="auto"/>
        <w:jc w:val="both"/>
        <w:rPr>
          <w:rFonts w:ascii="Times New Roman" w:hAnsi="Times New Roman" w:cs="Times New Roman"/>
          <w:sz w:val="28"/>
          <w:szCs w:val="28"/>
          <w:lang w:val="en-US"/>
        </w:rPr>
      </w:pPr>
      <w:r w:rsidRPr="00D656AD">
        <w:rPr>
          <w:rFonts w:ascii="Times New Roman" w:hAnsi="Times New Roman" w:cs="Times New Roman"/>
          <w:sz w:val="28"/>
          <w:szCs w:val="28"/>
          <w:lang w:val="en-US"/>
        </w:rPr>
        <w:lastRenderedPageBreak/>
        <w:t xml:space="preserve">With respect to the issue of proof of prejudice, Jeske asserts that Aiston has failed to establish actual prejudice.  They note that her affidavit refers to her “belief” that the passage of time between the events of 2018 and July 2023, when the application to renew was brought, “will have a negative impact” on her memory of events and force her to rely on her written records.  They note that a “belief” is different from actual evidence of prejudice.  They also note that Aiston’s assertion that she was “unsure whether some, or all of the staff” who would have been involved are still working for Stanton or the Authority is not sufficient evidence of prejudice; that it was again only Aiston’s opinion.  They also note that Stanton and the Authority have </w:t>
      </w:r>
      <w:proofErr w:type="gramStart"/>
      <w:r w:rsidRPr="00D656AD">
        <w:rPr>
          <w:rFonts w:ascii="Times New Roman" w:hAnsi="Times New Roman" w:cs="Times New Roman"/>
          <w:sz w:val="28"/>
          <w:szCs w:val="28"/>
          <w:lang w:val="en-US"/>
        </w:rPr>
        <w:t>defended</w:t>
      </w:r>
      <w:proofErr w:type="gramEnd"/>
      <w:r w:rsidRPr="00D656AD">
        <w:rPr>
          <w:rFonts w:ascii="Times New Roman" w:hAnsi="Times New Roman" w:cs="Times New Roman"/>
          <w:sz w:val="28"/>
          <w:szCs w:val="28"/>
          <w:lang w:val="en-US"/>
        </w:rPr>
        <w:t xml:space="preserve"> and the availability of witnesses was more an issue for Stanton and the Authority, not for Aiston. </w:t>
      </w:r>
    </w:p>
    <w:p w14:paraId="220568DA" w14:textId="77777777" w:rsidR="00D656AD" w:rsidRPr="00D656AD" w:rsidRDefault="00D656AD" w:rsidP="00FD655E">
      <w:pPr>
        <w:pStyle w:val="ListParagraph"/>
        <w:spacing w:after="0" w:line="240" w:lineRule="auto"/>
        <w:ind w:left="0"/>
        <w:jc w:val="both"/>
        <w:rPr>
          <w:rFonts w:ascii="Times New Roman" w:hAnsi="Times New Roman" w:cs="Times New Roman"/>
          <w:sz w:val="28"/>
          <w:szCs w:val="28"/>
          <w:lang w:val="en-US"/>
        </w:rPr>
      </w:pPr>
    </w:p>
    <w:p w14:paraId="44943F53" w14:textId="7CB56B8A" w:rsidR="00D656AD" w:rsidRPr="00D656AD" w:rsidRDefault="00D656AD" w:rsidP="00D656AD">
      <w:pPr>
        <w:pStyle w:val="ListParagraph"/>
        <w:numPr>
          <w:ilvl w:val="0"/>
          <w:numId w:val="10"/>
        </w:numPr>
        <w:spacing w:after="0" w:line="240" w:lineRule="auto"/>
        <w:jc w:val="both"/>
        <w:rPr>
          <w:rFonts w:ascii="Times New Roman" w:hAnsi="Times New Roman" w:cs="Times New Roman"/>
          <w:sz w:val="28"/>
          <w:szCs w:val="28"/>
          <w:lang w:val="en-US"/>
        </w:rPr>
      </w:pPr>
      <w:r w:rsidRPr="00D656AD">
        <w:rPr>
          <w:rFonts w:ascii="Times New Roman" w:hAnsi="Times New Roman" w:cs="Times New Roman"/>
          <w:sz w:val="28"/>
          <w:szCs w:val="28"/>
          <w:lang w:val="en-US"/>
        </w:rPr>
        <w:t xml:space="preserve">Lastly, Jeske notes that Aiston has had actual knowledge of the claim against her, although not served, and that actual knowledge should mitigate any prejudice that might otherwise be found.  Aiston’s knowledge is referred to in her affidavit, although the date of her knowledge is far from clear.  Having said that, what is clear is that Aiston had legal counsel acting for her as early as February 2022, when Jeske requested that Aiston consent to a renewal of the </w:t>
      </w:r>
      <w:r w:rsidR="007C6085">
        <w:rPr>
          <w:rFonts w:ascii="Times New Roman" w:hAnsi="Times New Roman" w:cs="Times New Roman"/>
          <w:sz w:val="28"/>
          <w:szCs w:val="28"/>
          <w:lang w:val="en-US"/>
        </w:rPr>
        <w:t>statement of claim</w:t>
      </w:r>
      <w:r w:rsidRPr="00D656AD">
        <w:rPr>
          <w:rFonts w:ascii="Times New Roman" w:hAnsi="Times New Roman" w:cs="Times New Roman"/>
          <w:sz w:val="28"/>
          <w:szCs w:val="28"/>
          <w:lang w:val="en-US"/>
        </w:rPr>
        <w:t xml:space="preserve">. </w:t>
      </w:r>
    </w:p>
    <w:p w14:paraId="064E1B9D" w14:textId="77777777" w:rsidR="00D656AD" w:rsidRPr="00D656AD" w:rsidRDefault="00D656AD" w:rsidP="00FD655E">
      <w:pPr>
        <w:pStyle w:val="ListParagraph"/>
        <w:spacing w:after="0" w:line="240" w:lineRule="auto"/>
        <w:ind w:left="0"/>
        <w:jc w:val="both"/>
        <w:rPr>
          <w:rFonts w:ascii="Times New Roman" w:hAnsi="Times New Roman" w:cs="Times New Roman"/>
          <w:sz w:val="28"/>
          <w:szCs w:val="28"/>
          <w:lang w:val="en-US"/>
        </w:rPr>
      </w:pPr>
    </w:p>
    <w:p w14:paraId="7D85FBF2" w14:textId="624EDE5F" w:rsidR="00D656AD" w:rsidRPr="00D656AD" w:rsidRDefault="00D656AD" w:rsidP="00D656AD">
      <w:pPr>
        <w:pStyle w:val="ListParagraph"/>
        <w:numPr>
          <w:ilvl w:val="0"/>
          <w:numId w:val="10"/>
        </w:numPr>
        <w:spacing w:after="0" w:line="240" w:lineRule="auto"/>
        <w:jc w:val="both"/>
        <w:rPr>
          <w:rFonts w:ascii="Times New Roman" w:hAnsi="Times New Roman" w:cs="Times New Roman"/>
          <w:sz w:val="28"/>
          <w:szCs w:val="28"/>
          <w:lang w:val="en-US"/>
        </w:rPr>
      </w:pPr>
      <w:r w:rsidRPr="00D656AD">
        <w:rPr>
          <w:rFonts w:ascii="Times New Roman" w:hAnsi="Times New Roman" w:cs="Times New Roman"/>
          <w:sz w:val="28"/>
          <w:szCs w:val="28"/>
          <w:lang w:val="en-US"/>
        </w:rPr>
        <w:t xml:space="preserve">In response, Aiston asserts that Jeske is parsing Aiston’s language and that the </w:t>
      </w:r>
      <w:r w:rsidR="00756DD9">
        <w:rPr>
          <w:rFonts w:ascii="Times New Roman" w:hAnsi="Times New Roman" w:cs="Times New Roman"/>
          <w:sz w:val="28"/>
          <w:szCs w:val="28"/>
          <w:lang w:val="en-US"/>
        </w:rPr>
        <w:t>c</w:t>
      </w:r>
      <w:r w:rsidRPr="00D656AD">
        <w:rPr>
          <w:rFonts w:ascii="Times New Roman" w:hAnsi="Times New Roman" w:cs="Times New Roman"/>
          <w:sz w:val="28"/>
          <w:szCs w:val="28"/>
          <w:lang w:val="en-US"/>
        </w:rPr>
        <w:t xml:space="preserve">ourt can infer from the passage of time that Aiston’s memory would be affected.  Aiston also submits that with the passage of time, the court can also infer that witness availability would become an issue. </w:t>
      </w:r>
    </w:p>
    <w:p w14:paraId="181F6FAC" w14:textId="77777777" w:rsidR="00D656AD" w:rsidRPr="00D656AD" w:rsidRDefault="00D656AD" w:rsidP="00FD655E">
      <w:pPr>
        <w:pStyle w:val="ListParagraph"/>
        <w:spacing w:after="0" w:line="240" w:lineRule="auto"/>
        <w:ind w:left="0"/>
        <w:jc w:val="both"/>
        <w:rPr>
          <w:rFonts w:ascii="Times New Roman" w:hAnsi="Times New Roman" w:cs="Times New Roman"/>
          <w:sz w:val="28"/>
          <w:szCs w:val="28"/>
          <w:lang w:val="en-US"/>
        </w:rPr>
      </w:pPr>
    </w:p>
    <w:p w14:paraId="090BDD99" w14:textId="42CB91E0" w:rsidR="00D656AD" w:rsidRPr="00D656AD" w:rsidRDefault="00D656AD" w:rsidP="00D656AD">
      <w:pPr>
        <w:pStyle w:val="ListParagraph"/>
        <w:numPr>
          <w:ilvl w:val="0"/>
          <w:numId w:val="10"/>
        </w:numPr>
        <w:spacing w:after="0" w:line="240" w:lineRule="auto"/>
        <w:jc w:val="both"/>
        <w:rPr>
          <w:rFonts w:ascii="Times New Roman" w:hAnsi="Times New Roman" w:cs="Times New Roman"/>
          <w:sz w:val="28"/>
          <w:szCs w:val="28"/>
          <w:lang w:val="en-US"/>
        </w:rPr>
      </w:pPr>
      <w:r w:rsidRPr="00D656AD">
        <w:rPr>
          <w:rFonts w:ascii="Times New Roman" w:hAnsi="Times New Roman" w:cs="Times New Roman"/>
          <w:sz w:val="28"/>
          <w:szCs w:val="28"/>
          <w:lang w:val="en-US"/>
        </w:rPr>
        <w:t xml:space="preserve">Aiston submits that when looking at what is sufficient reason to renew a </w:t>
      </w:r>
      <w:r w:rsidR="007C6085">
        <w:rPr>
          <w:rFonts w:ascii="Times New Roman" w:hAnsi="Times New Roman" w:cs="Times New Roman"/>
          <w:sz w:val="28"/>
          <w:szCs w:val="28"/>
          <w:lang w:val="en-US"/>
        </w:rPr>
        <w:t>statement of claim</w:t>
      </w:r>
      <w:r w:rsidRPr="00D656AD">
        <w:rPr>
          <w:rFonts w:ascii="Times New Roman" w:hAnsi="Times New Roman" w:cs="Times New Roman"/>
          <w:sz w:val="28"/>
          <w:szCs w:val="28"/>
          <w:lang w:val="en-US"/>
        </w:rPr>
        <w:t xml:space="preserve">, the court should rely on the principles underlying the rules around dismissal of actions for delay, citing </w:t>
      </w:r>
      <w:r w:rsidRPr="00D656AD">
        <w:rPr>
          <w:rFonts w:ascii="Times New Roman" w:hAnsi="Times New Roman" w:cs="Times New Roman"/>
          <w:i/>
          <w:iCs/>
          <w:sz w:val="28"/>
          <w:szCs w:val="28"/>
          <w:lang w:val="en-US"/>
        </w:rPr>
        <w:t xml:space="preserve">Cherry v </w:t>
      </w:r>
      <w:proofErr w:type="spellStart"/>
      <w:r w:rsidRPr="00D656AD">
        <w:rPr>
          <w:rFonts w:ascii="Times New Roman" w:hAnsi="Times New Roman" w:cs="Times New Roman"/>
          <w:i/>
          <w:iCs/>
          <w:sz w:val="28"/>
          <w:szCs w:val="28"/>
          <w:lang w:val="en-US"/>
        </w:rPr>
        <w:t>Hurtig</w:t>
      </w:r>
      <w:proofErr w:type="spellEnd"/>
      <w:r w:rsidRPr="00D656AD">
        <w:rPr>
          <w:rFonts w:ascii="Times New Roman" w:hAnsi="Times New Roman" w:cs="Times New Roman"/>
          <w:sz w:val="28"/>
          <w:szCs w:val="28"/>
          <w:lang w:val="en-US"/>
        </w:rPr>
        <w:t xml:space="preserve">, 1980 </w:t>
      </w:r>
      <w:proofErr w:type="spellStart"/>
      <w:r w:rsidRPr="00D656AD">
        <w:rPr>
          <w:rFonts w:ascii="Times New Roman" w:hAnsi="Times New Roman" w:cs="Times New Roman"/>
          <w:sz w:val="28"/>
          <w:szCs w:val="28"/>
          <w:lang w:val="en-US"/>
        </w:rPr>
        <w:t>CarswellAlta</w:t>
      </w:r>
      <w:proofErr w:type="spellEnd"/>
      <w:r w:rsidRPr="00D656AD">
        <w:rPr>
          <w:rFonts w:ascii="Times New Roman" w:hAnsi="Times New Roman" w:cs="Times New Roman"/>
          <w:sz w:val="28"/>
          <w:szCs w:val="28"/>
          <w:lang w:val="en-US"/>
        </w:rPr>
        <w:t xml:space="preserve"> 408</w:t>
      </w:r>
      <w:r w:rsidR="00837FFD">
        <w:rPr>
          <w:rFonts w:ascii="Times New Roman" w:hAnsi="Times New Roman" w:cs="Times New Roman"/>
          <w:sz w:val="28"/>
          <w:szCs w:val="28"/>
          <w:lang w:val="en-US"/>
        </w:rPr>
        <w:t xml:space="preserve">, </w:t>
      </w:r>
      <w:r w:rsidR="00837FFD" w:rsidRPr="00837FFD">
        <w:rPr>
          <w:rFonts w:ascii="Times New Roman" w:hAnsi="Times New Roman" w:cs="Times New Roman"/>
          <w:sz w:val="28"/>
          <w:szCs w:val="28"/>
          <w:lang w:val="en-US"/>
        </w:rPr>
        <w:t>[1980] AJ No 784</w:t>
      </w:r>
      <w:r w:rsidRPr="00D656AD">
        <w:rPr>
          <w:rFonts w:ascii="Times New Roman" w:hAnsi="Times New Roman" w:cs="Times New Roman"/>
          <w:sz w:val="28"/>
          <w:szCs w:val="28"/>
          <w:lang w:val="en-US"/>
        </w:rPr>
        <w:t xml:space="preserve"> (Alta QB) as authority for the proposition that it is appropriate to rely on the principles for delay in prosecution when considering an application to renew a </w:t>
      </w:r>
      <w:r w:rsidR="007C6085">
        <w:rPr>
          <w:rFonts w:ascii="Times New Roman" w:hAnsi="Times New Roman" w:cs="Times New Roman"/>
          <w:sz w:val="28"/>
          <w:szCs w:val="28"/>
          <w:lang w:val="en-US"/>
        </w:rPr>
        <w:t>statement of claim</w:t>
      </w:r>
      <w:r w:rsidRPr="00D656AD">
        <w:rPr>
          <w:rFonts w:ascii="Times New Roman" w:hAnsi="Times New Roman" w:cs="Times New Roman"/>
          <w:sz w:val="28"/>
          <w:szCs w:val="28"/>
          <w:lang w:val="en-US"/>
        </w:rPr>
        <w:t xml:space="preserve">. </w:t>
      </w:r>
    </w:p>
    <w:p w14:paraId="2740EE55" w14:textId="77777777" w:rsidR="00D656AD" w:rsidRPr="00D656AD" w:rsidRDefault="00D656AD" w:rsidP="0040420F">
      <w:pPr>
        <w:pStyle w:val="ListParagraph"/>
        <w:spacing w:after="0" w:line="240" w:lineRule="auto"/>
        <w:ind w:left="0"/>
        <w:jc w:val="both"/>
        <w:rPr>
          <w:rFonts w:ascii="Times New Roman" w:hAnsi="Times New Roman" w:cs="Times New Roman"/>
          <w:sz w:val="28"/>
          <w:szCs w:val="28"/>
          <w:lang w:val="en-US"/>
        </w:rPr>
      </w:pPr>
    </w:p>
    <w:p w14:paraId="0103EBC1" w14:textId="4831B91C" w:rsidR="00D656AD" w:rsidRPr="00D656AD" w:rsidRDefault="00D656AD" w:rsidP="00D656AD">
      <w:pPr>
        <w:pStyle w:val="ListParagraph"/>
        <w:numPr>
          <w:ilvl w:val="0"/>
          <w:numId w:val="10"/>
        </w:numPr>
        <w:spacing w:after="0" w:line="240" w:lineRule="auto"/>
        <w:jc w:val="both"/>
        <w:rPr>
          <w:rFonts w:ascii="Times New Roman" w:hAnsi="Times New Roman" w:cs="Times New Roman"/>
          <w:sz w:val="28"/>
          <w:szCs w:val="28"/>
          <w:lang w:val="en-US"/>
        </w:rPr>
      </w:pPr>
      <w:r w:rsidRPr="00D656AD">
        <w:rPr>
          <w:rFonts w:ascii="Times New Roman" w:hAnsi="Times New Roman" w:cs="Times New Roman"/>
          <w:sz w:val="28"/>
          <w:szCs w:val="28"/>
          <w:lang w:val="en-US"/>
        </w:rPr>
        <w:t>I agree that the case law</w:t>
      </w:r>
      <w:r w:rsidR="00BE45B3">
        <w:rPr>
          <w:rFonts w:ascii="Times New Roman" w:hAnsi="Times New Roman" w:cs="Times New Roman"/>
          <w:sz w:val="28"/>
          <w:szCs w:val="28"/>
          <w:lang w:val="en-US"/>
        </w:rPr>
        <w:t xml:space="preserve">, as canvassed in </w:t>
      </w:r>
      <w:r w:rsidR="00BE45B3" w:rsidRPr="00BE45B3">
        <w:rPr>
          <w:rFonts w:ascii="Times New Roman" w:hAnsi="Times New Roman" w:cs="Times New Roman"/>
          <w:i/>
          <w:iCs/>
          <w:sz w:val="28"/>
          <w:szCs w:val="28"/>
          <w:lang w:val="en-US"/>
        </w:rPr>
        <w:t xml:space="preserve">Cherry v </w:t>
      </w:r>
      <w:proofErr w:type="spellStart"/>
      <w:r w:rsidR="00BE45B3" w:rsidRPr="00BE45B3">
        <w:rPr>
          <w:rFonts w:ascii="Times New Roman" w:hAnsi="Times New Roman" w:cs="Times New Roman"/>
          <w:i/>
          <w:iCs/>
          <w:sz w:val="28"/>
          <w:szCs w:val="28"/>
          <w:lang w:val="en-US"/>
        </w:rPr>
        <w:t>Hurtig</w:t>
      </w:r>
      <w:proofErr w:type="spellEnd"/>
      <w:r w:rsidR="00BE45B3">
        <w:rPr>
          <w:rFonts w:ascii="Times New Roman" w:hAnsi="Times New Roman" w:cs="Times New Roman"/>
          <w:sz w:val="28"/>
          <w:szCs w:val="28"/>
          <w:lang w:val="en-US"/>
        </w:rPr>
        <w:t xml:space="preserve">, </w:t>
      </w:r>
      <w:r w:rsidRPr="00D656AD">
        <w:rPr>
          <w:rFonts w:ascii="Times New Roman" w:hAnsi="Times New Roman" w:cs="Times New Roman"/>
          <w:sz w:val="28"/>
          <w:szCs w:val="28"/>
          <w:lang w:val="en-US"/>
        </w:rPr>
        <w:t xml:space="preserve">supports reviewing the principles underlying the rules regarding dismissal for delay when considering whether sufficient reasons exist to support an application to renew a </w:t>
      </w:r>
      <w:r w:rsidR="007C6085">
        <w:rPr>
          <w:rFonts w:ascii="Times New Roman" w:hAnsi="Times New Roman" w:cs="Times New Roman"/>
          <w:sz w:val="28"/>
          <w:szCs w:val="28"/>
          <w:lang w:val="en-US"/>
        </w:rPr>
        <w:t>statement of claim</w:t>
      </w:r>
      <w:r w:rsidRPr="00D656AD">
        <w:rPr>
          <w:rFonts w:ascii="Times New Roman" w:hAnsi="Times New Roman" w:cs="Times New Roman"/>
          <w:sz w:val="28"/>
          <w:szCs w:val="28"/>
          <w:lang w:val="en-US"/>
        </w:rPr>
        <w:t xml:space="preserve">.  Both rules are focused on the expeditious conduct of litigation.  However, even in </w:t>
      </w:r>
      <w:r w:rsidRPr="00D656AD">
        <w:rPr>
          <w:rFonts w:ascii="Times New Roman" w:hAnsi="Times New Roman" w:cs="Times New Roman"/>
          <w:i/>
          <w:iCs/>
          <w:sz w:val="28"/>
          <w:szCs w:val="28"/>
          <w:lang w:val="en-US"/>
        </w:rPr>
        <w:t xml:space="preserve">Cherry v </w:t>
      </w:r>
      <w:proofErr w:type="spellStart"/>
      <w:r w:rsidRPr="00D656AD">
        <w:rPr>
          <w:rFonts w:ascii="Times New Roman" w:hAnsi="Times New Roman" w:cs="Times New Roman"/>
          <w:i/>
          <w:iCs/>
          <w:sz w:val="28"/>
          <w:szCs w:val="28"/>
          <w:lang w:val="en-US"/>
        </w:rPr>
        <w:t>Hurtig</w:t>
      </w:r>
      <w:proofErr w:type="spellEnd"/>
      <w:r w:rsidRPr="00D656AD">
        <w:rPr>
          <w:rFonts w:ascii="Times New Roman" w:hAnsi="Times New Roman" w:cs="Times New Roman"/>
          <w:sz w:val="28"/>
          <w:szCs w:val="28"/>
          <w:lang w:val="en-US"/>
        </w:rPr>
        <w:t>, which supports turning to these principles to guide the court’s discretion on whether to renew, the court states at paragraph 25:</w:t>
      </w:r>
    </w:p>
    <w:p w14:paraId="0E77F96C" w14:textId="77777777" w:rsidR="00D656AD" w:rsidRPr="00D656AD" w:rsidRDefault="00D656AD" w:rsidP="0040420F">
      <w:pPr>
        <w:pStyle w:val="ListParagraph"/>
        <w:spacing w:after="0" w:line="240" w:lineRule="auto"/>
        <w:ind w:left="0"/>
        <w:jc w:val="both"/>
        <w:rPr>
          <w:rFonts w:ascii="Times New Roman" w:hAnsi="Times New Roman" w:cs="Times New Roman"/>
          <w:sz w:val="28"/>
          <w:szCs w:val="28"/>
          <w:lang w:val="en-US"/>
        </w:rPr>
      </w:pPr>
    </w:p>
    <w:p w14:paraId="75AF6D7A" w14:textId="6677614D" w:rsidR="00D656AD" w:rsidRPr="00756DD9" w:rsidRDefault="00D656AD" w:rsidP="00BE45B3">
      <w:pPr>
        <w:pStyle w:val="ListParagraph"/>
        <w:spacing w:after="0" w:line="240" w:lineRule="auto"/>
        <w:ind w:right="737"/>
        <w:jc w:val="both"/>
        <w:rPr>
          <w:rFonts w:ascii="Times New Roman" w:hAnsi="Times New Roman" w:cs="Times New Roman"/>
          <w:sz w:val="24"/>
          <w:szCs w:val="24"/>
          <w:lang w:val="en-US"/>
        </w:rPr>
      </w:pPr>
      <w:r w:rsidRPr="00756DD9">
        <w:rPr>
          <w:rFonts w:ascii="Times New Roman" w:hAnsi="Times New Roman" w:cs="Times New Roman"/>
          <w:sz w:val="24"/>
          <w:szCs w:val="24"/>
          <w:lang w:val="en-US"/>
        </w:rPr>
        <w:t xml:space="preserve">In my view, the key test, when these situations arise, is for the court to determine whether the defendant has been </w:t>
      </w:r>
      <w:r w:rsidRPr="00756DD9">
        <w:rPr>
          <w:rFonts w:ascii="Times New Roman" w:hAnsi="Times New Roman" w:cs="Times New Roman"/>
          <w:sz w:val="24"/>
          <w:szCs w:val="24"/>
          <w:u w:val="single"/>
          <w:lang w:val="en-US"/>
        </w:rPr>
        <w:t>seriously prejudiced</w:t>
      </w:r>
      <w:r w:rsidRPr="00756DD9">
        <w:rPr>
          <w:rFonts w:ascii="Times New Roman" w:hAnsi="Times New Roman" w:cs="Times New Roman"/>
          <w:sz w:val="24"/>
          <w:szCs w:val="24"/>
          <w:lang w:val="en-US"/>
        </w:rPr>
        <w:t xml:space="preserve"> by the delay in the conduct of </w:t>
      </w:r>
      <w:r w:rsidRPr="00756DD9">
        <w:rPr>
          <w:rFonts w:ascii="Times New Roman" w:hAnsi="Times New Roman" w:cs="Times New Roman"/>
          <w:sz w:val="24"/>
          <w:szCs w:val="24"/>
          <w:lang w:val="en-US"/>
        </w:rPr>
        <w:lastRenderedPageBreak/>
        <w:t xml:space="preserve">his defence.  With respect, I do not consider the loss of a right to claim a limitation period as a defence, by itself, to be prejudice.  If a defendant can show special prejudice in conducting his defence caused by the delay, then I would have no hesitation in denying leave to extend the </w:t>
      </w:r>
      <w:r w:rsidR="007C6085" w:rsidRPr="00756DD9">
        <w:rPr>
          <w:rFonts w:ascii="Times New Roman" w:hAnsi="Times New Roman" w:cs="Times New Roman"/>
          <w:sz w:val="24"/>
          <w:szCs w:val="24"/>
          <w:lang w:val="en-US"/>
        </w:rPr>
        <w:t>Statement of claim</w:t>
      </w:r>
      <w:r w:rsidRPr="00756DD9">
        <w:rPr>
          <w:rFonts w:ascii="Times New Roman" w:hAnsi="Times New Roman" w:cs="Times New Roman"/>
          <w:sz w:val="24"/>
          <w:szCs w:val="24"/>
          <w:lang w:val="en-US"/>
        </w:rPr>
        <w:t xml:space="preserve"> and leave a plaintiff to seek his remedies against his solicitor.</w:t>
      </w:r>
      <w:r w:rsidR="0040420F" w:rsidRPr="00756DD9">
        <w:rPr>
          <w:rFonts w:ascii="Times New Roman" w:hAnsi="Times New Roman" w:cs="Times New Roman"/>
          <w:sz w:val="24"/>
          <w:szCs w:val="24"/>
          <w:lang w:val="en-US"/>
        </w:rPr>
        <w:t xml:space="preserve"> </w:t>
      </w:r>
      <w:r w:rsidRPr="00756DD9">
        <w:rPr>
          <w:rFonts w:ascii="Times New Roman" w:hAnsi="Times New Roman" w:cs="Times New Roman"/>
          <w:sz w:val="24"/>
          <w:szCs w:val="24"/>
          <w:lang w:val="en-US"/>
        </w:rPr>
        <w:t xml:space="preserve"> [emphasis added]</w:t>
      </w:r>
    </w:p>
    <w:p w14:paraId="6607CAB4" w14:textId="77777777" w:rsidR="00D656AD" w:rsidRPr="00D656AD" w:rsidRDefault="00D656AD" w:rsidP="0040420F">
      <w:pPr>
        <w:pStyle w:val="ListParagraph"/>
        <w:spacing w:after="0" w:line="240" w:lineRule="auto"/>
        <w:ind w:left="0"/>
        <w:jc w:val="both"/>
        <w:rPr>
          <w:rFonts w:ascii="Times New Roman" w:hAnsi="Times New Roman" w:cs="Times New Roman"/>
          <w:sz w:val="28"/>
          <w:szCs w:val="28"/>
          <w:lang w:val="en-US"/>
        </w:rPr>
      </w:pPr>
    </w:p>
    <w:p w14:paraId="53F85AD8" w14:textId="07377B8F" w:rsidR="00D656AD" w:rsidRPr="00D656AD" w:rsidRDefault="00D656AD" w:rsidP="00D656AD">
      <w:pPr>
        <w:pStyle w:val="ListParagraph"/>
        <w:numPr>
          <w:ilvl w:val="0"/>
          <w:numId w:val="10"/>
        </w:numPr>
        <w:spacing w:after="0" w:line="240" w:lineRule="auto"/>
        <w:jc w:val="both"/>
        <w:rPr>
          <w:rFonts w:ascii="Times New Roman" w:hAnsi="Times New Roman" w:cs="Times New Roman"/>
          <w:sz w:val="28"/>
          <w:szCs w:val="28"/>
          <w:lang w:val="en-US"/>
        </w:rPr>
      </w:pPr>
      <w:r w:rsidRPr="00D656AD">
        <w:rPr>
          <w:rFonts w:ascii="Times New Roman" w:hAnsi="Times New Roman" w:cs="Times New Roman"/>
          <w:sz w:val="28"/>
          <w:szCs w:val="28"/>
          <w:lang w:val="en-US"/>
        </w:rPr>
        <w:t xml:space="preserve">Aiston relies on the case of </w:t>
      </w:r>
      <w:r w:rsidRPr="00D656AD">
        <w:rPr>
          <w:rFonts w:ascii="Times New Roman" w:hAnsi="Times New Roman" w:cs="Times New Roman"/>
          <w:i/>
          <w:iCs/>
          <w:sz w:val="28"/>
          <w:szCs w:val="28"/>
          <w:lang w:val="en-US"/>
        </w:rPr>
        <w:t>Jahnke v Thomas</w:t>
      </w:r>
      <w:r w:rsidRPr="00D656AD">
        <w:rPr>
          <w:rFonts w:ascii="Times New Roman" w:hAnsi="Times New Roman" w:cs="Times New Roman"/>
          <w:sz w:val="28"/>
          <w:szCs w:val="28"/>
          <w:lang w:val="en-US"/>
        </w:rPr>
        <w:t xml:space="preserve">, 2017 SKQB 161 as support for the proposition that prejudice can come in many forms, including long delay, contributing to witnesses’ failing memory or disappearance of witnesses.  There is no question that it can be challenging to remember facts if the delay is significant.  However, in </w:t>
      </w:r>
      <w:r w:rsidRPr="00D656AD">
        <w:rPr>
          <w:rFonts w:ascii="Times New Roman" w:hAnsi="Times New Roman" w:cs="Times New Roman"/>
          <w:i/>
          <w:iCs/>
          <w:sz w:val="28"/>
          <w:szCs w:val="28"/>
          <w:lang w:val="en-US"/>
        </w:rPr>
        <w:t>Jahnk</w:t>
      </w:r>
      <w:r w:rsidRPr="00D656AD">
        <w:rPr>
          <w:rFonts w:ascii="Times New Roman" w:hAnsi="Times New Roman" w:cs="Times New Roman"/>
          <w:sz w:val="28"/>
          <w:szCs w:val="28"/>
          <w:lang w:val="en-US"/>
        </w:rPr>
        <w:t xml:space="preserve">e, notwithstanding the delay in serving the claim (which was only a matter of months), the court upheld the renewal of the </w:t>
      </w:r>
      <w:r w:rsidR="007C6085">
        <w:rPr>
          <w:rFonts w:ascii="Times New Roman" w:hAnsi="Times New Roman" w:cs="Times New Roman"/>
          <w:sz w:val="28"/>
          <w:szCs w:val="28"/>
          <w:lang w:val="en-US"/>
        </w:rPr>
        <w:t>statement of claim</w:t>
      </w:r>
      <w:r w:rsidRPr="00D656AD">
        <w:rPr>
          <w:rFonts w:ascii="Times New Roman" w:hAnsi="Times New Roman" w:cs="Times New Roman"/>
          <w:sz w:val="28"/>
          <w:szCs w:val="28"/>
          <w:lang w:val="en-US"/>
        </w:rPr>
        <w:t xml:space="preserve">, finding that while the defendants had no recollection of the events, there was no evidence that documents had disappeared or been destroyed nor that relevant witnesses </w:t>
      </w:r>
      <w:r w:rsidRPr="0092316B">
        <w:rPr>
          <w:rFonts w:ascii="Times New Roman" w:hAnsi="Times New Roman" w:cs="Times New Roman"/>
          <w:sz w:val="28"/>
          <w:szCs w:val="28"/>
          <w:lang w:val="en-US"/>
        </w:rPr>
        <w:t>h</w:t>
      </w:r>
      <w:r w:rsidR="0092316B">
        <w:rPr>
          <w:rFonts w:ascii="Times New Roman" w:hAnsi="Times New Roman" w:cs="Times New Roman"/>
          <w:sz w:val="28"/>
          <w:szCs w:val="28"/>
          <w:lang w:val="en-US"/>
        </w:rPr>
        <w:t xml:space="preserve">ad </w:t>
      </w:r>
      <w:r w:rsidRPr="00D656AD">
        <w:rPr>
          <w:rFonts w:ascii="Times New Roman" w:hAnsi="Times New Roman" w:cs="Times New Roman"/>
          <w:sz w:val="28"/>
          <w:szCs w:val="28"/>
          <w:lang w:val="en-US"/>
        </w:rPr>
        <w:t xml:space="preserve">become unavailable due to the passage of time.  On the facts of that case, the delay in serving was held to create little or no prejudice. The defendant’s lack of recollection of the events was not due to the passage of time. </w:t>
      </w:r>
    </w:p>
    <w:p w14:paraId="79C1E92E" w14:textId="77777777" w:rsidR="00D656AD" w:rsidRPr="00D656AD" w:rsidRDefault="00D656AD" w:rsidP="0040420F">
      <w:pPr>
        <w:pStyle w:val="ListParagraph"/>
        <w:spacing w:after="0" w:line="240" w:lineRule="auto"/>
        <w:ind w:left="0"/>
        <w:jc w:val="both"/>
        <w:rPr>
          <w:rFonts w:ascii="Times New Roman" w:hAnsi="Times New Roman" w:cs="Times New Roman"/>
          <w:sz w:val="28"/>
          <w:szCs w:val="28"/>
          <w:lang w:val="en-US"/>
        </w:rPr>
      </w:pPr>
    </w:p>
    <w:p w14:paraId="7EE2A39D" w14:textId="1649DB39" w:rsidR="00D656AD" w:rsidRDefault="00D656AD" w:rsidP="0040420F">
      <w:pPr>
        <w:pStyle w:val="ListParagraph"/>
        <w:numPr>
          <w:ilvl w:val="0"/>
          <w:numId w:val="10"/>
        </w:numPr>
        <w:spacing w:after="0" w:line="240" w:lineRule="auto"/>
        <w:jc w:val="both"/>
        <w:rPr>
          <w:rFonts w:ascii="Times New Roman" w:hAnsi="Times New Roman" w:cs="Times New Roman"/>
          <w:sz w:val="28"/>
          <w:szCs w:val="28"/>
          <w:lang w:val="en-US"/>
        </w:rPr>
      </w:pPr>
      <w:r w:rsidRPr="00D656AD">
        <w:rPr>
          <w:rFonts w:ascii="Times New Roman" w:hAnsi="Times New Roman" w:cs="Times New Roman"/>
          <w:sz w:val="28"/>
          <w:szCs w:val="28"/>
          <w:lang w:val="en-US"/>
        </w:rPr>
        <w:t xml:space="preserve">I find that Aiston has failed to demonstrate proof of actual prejudice.  Aiston points to the passage of time as commencing in 2018, when the Plaintiff Spencer Jeske died, however, the plaintiffs had two years to file their </w:t>
      </w:r>
      <w:r w:rsidR="007C6085">
        <w:rPr>
          <w:rFonts w:ascii="Times New Roman" w:hAnsi="Times New Roman" w:cs="Times New Roman"/>
          <w:sz w:val="28"/>
          <w:szCs w:val="28"/>
          <w:lang w:val="en-US"/>
        </w:rPr>
        <w:t>statement of claim</w:t>
      </w:r>
      <w:r w:rsidRPr="00D656AD">
        <w:rPr>
          <w:rFonts w:ascii="Times New Roman" w:hAnsi="Times New Roman" w:cs="Times New Roman"/>
          <w:sz w:val="28"/>
          <w:szCs w:val="28"/>
          <w:lang w:val="en-US"/>
        </w:rPr>
        <w:t xml:space="preserve">, and a further one year to serve the claim.  While the passage of time since the expiry of the </w:t>
      </w:r>
      <w:r w:rsidR="007C6085">
        <w:rPr>
          <w:rFonts w:ascii="Times New Roman" w:hAnsi="Times New Roman" w:cs="Times New Roman"/>
          <w:sz w:val="28"/>
          <w:szCs w:val="28"/>
          <w:lang w:val="en-US"/>
        </w:rPr>
        <w:t>statement of claim</w:t>
      </w:r>
      <w:r w:rsidRPr="00D656AD">
        <w:rPr>
          <w:rFonts w:ascii="Times New Roman" w:hAnsi="Times New Roman" w:cs="Times New Roman"/>
          <w:sz w:val="28"/>
          <w:szCs w:val="28"/>
          <w:lang w:val="en-US"/>
        </w:rPr>
        <w:t xml:space="preserve"> has been significant, and is very unfortunate, Aiston has also had actual knowledge of the claim for some time and certainly since February 2022, which was only six months after the claim expired.  Given this knowledge, steps could have been taken by Aiston to preserve documents and records which would assist with her recollection of relevant events.  Indeed, Aiston’s reference in her affidavit to needing to rely on her written records suggests that appropriate documents and records were retained. </w:t>
      </w:r>
    </w:p>
    <w:p w14:paraId="7D109D33" w14:textId="77777777" w:rsidR="0040420F" w:rsidRPr="00D656AD" w:rsidRDefault="0040420F" w:rsidP="0040420F">
      <w:pPr>
        <w:pStyle w:val="ListParagraph"/>
        <w:spacing w:after="0" w:line="240" w:lineRule="auto"/>
        <w:ind w:left="0"/>
        <w:jc w:val="both"/>
        <w:rPr>
          <w:rFonts w:ascii="Times New Roman" w:hAnsi="Times New Roman" w:cs="Times New Roman"/>
          <w:sz w:val="28"/>
          <w:szCs w:val="28"/>
          <w:lang w:val="en-US"/>
        </w:rPr>
      </w:pPr>
    </w:p>
    <w:p w14:paraId="57ABB3F9" w14:textId="10AC8F6E" w:rsidR="00D656AD" w:rsidRPr="00D656AD" w:rsidRDefault="00D656AD" w:rsidP="0040420F">
      <w:pPr>
        <w:pStyle w:val="ListParagraph"/>
        <w:numPr>
          <w:ilvl w:val="0"/>
          <w:numId w:val="10"/>
        </w:numPr>
        <w:spacing w:after="0" w:line="240" w:lineRule="auto"/>
        <w:jc w:val="both"/>
        <w:rPr>
          <w:rFonts w:ascii="Times New Roman" w:hAnsi="Times New Roman" w:cs="Times New Roman"/>
          <w:sz w:val="28"/>
          <w:szCs w:val="28"/>
          <w:lang w:val="en-US"/>
        </w:rPr>
      </w:pPr>
      <w:r w:rsidRPr="00D656AD">
        <w:rPr>
          <w:rFonts w:ascii="Times New Roman" w:hAnsi="Times New Roman" w:cs="Times New Roman"/>
          <w:sz w:val="28"/>
          <w:szCs w:val="28"/>
          <w:lang w:val="en-US"/>
        </w:rPr>
        <w:t xml:space="preserve">Additionally, the fact that relevant witnesses may have moved in the intervening period is not, by itself, sufficient evidence of prejudice.  It is not unusual in the NWT for people to change jobs or move out of the territory, even within a much shorter period than the time period in question in this case.  Absent specific evidence of the inability to locate a key witness, the mere fact of working in a relatively mobile community and work environment is insufficient evidence of actual prejudice. </w:t>
      </w:r>
    </w:p>
    <w:p w14:paraId="71242DB2" w14:textId="77777777" w:rsidR="00D656AD" w:rsidRPr="00D656AD" w:rsidRDefault="00D656AD" w:rsidP="0040420F">
      <w:pPr>
        <w:pStyle w:val="ListParagraph"/>
        <w:spacing w:after="0" w:line="240" w:lineRule="auto"/>
        <w:ind w:left="0"/>
        <w:jc w:val="both"/>
        <w:rPr>
          <w:rFonts w:ascii="Times New Roman" w:hAnsi="Times New Roman" w:cs="Times New Roman"/>
          <w:sz w:val="28"/>
          <w:szCs w:val="28"/>
          <w:lang w:val="en-US"/>
        </w:rPr>
      </w:pPr>
    </w:p>
    <w:p w14:paraId="13FA087E" w14:textId="08610B4A" w:rsidR="00D656AD" w:rsidRPr="00D656AD" w:rsidRDefault="00D656AD" w:rsidP="00D656AD">
      <w:pPr>
        <w:pStyle w:val="ListParagraph"/>
        <w:numPr>
          <w:ilvl w:val="0"/>
          <w:numId w:val="10"/>
        </w:numPr>
        <w:spacing w:after="0" w:line="240" w:lineRule="auto"/>
        <w:jc w:val="both"/>
        <w:rPr>
          <w:rFonts w:ascii="Times New Roman" w:hAnsi="Times New Roman" w:cs="Times New Roman"/>
          <w:sz w:val="28"/>
          <w:szCs w:val="28"/>
          <w:lang w:val="en-US"/>
        </w:rPr>
      </w:pPr>
      <w:r w:rsidRPr="00D656AD">
        <w:rPr>
          <w:rFonts w:ascii="Times New Roman" w:hAnsi="Times New Roman" w:cs="Times New Roman"/>
          <w:sz w:val="28"/>
          <w:szCs w:val="28"/>
          <w:lang w:val="en-US"/>
        </w:rPr>
        <w:t xml:space="preserve">In addressing the issue of whether it is in the ends of justice to renew the </w:t>
      </w:r>
      <w:r w:rsidR="007C6085">
        <w:rPr>
          <w:rFonts w:ascii="Times New Roman" w:hAnsi="Times New Roman" w:cs="Times New Roman"/>
          <w:sz w:val="28"/>
          <w:szCs w:val="28"/>
          <w:lang w:val="en-US"/>
        </w:rPr>
        <w:t>statement of claim</w:t>
      </w:r>
      <w:r w:rsidRPr="00D656AD">
        <w:rPr>
          <w:rFonts w:ascii="Times New Roman" w:hAnsi="Times New Roman" w:cs="Times New Roman"/>
          <w:sz w:val="28"/>
          <w:szCs w:val="28"/>
          <w:lang w:val="en-US"/>
        </w:rPr>
        <w:t xml:space="preserve">, the delay in the conduct of this litigation is highly concerning.  </w:t>
      </w:r>
      <w:r w:rsidRPr="00D656AD">
        <w:rPr>
          <w:rFonts w:ascii="Times New Roman" w:hAnsi="Times New Roman" w:cs="Times New Roman"/>
          <w:sz w:val="28"/>
          <w:szCs w:val="28"/>
          <w:lang w:val="en-US"/>
        </w:rPr>
        <w:lastRenderedPageBreak/>
        <w:t xml:space="preserve">By all accounts, </w:t>
      </w:r>
      <w:proofErr w:type="gramStart"/>
      <w:r w:rsidRPr="00D656AD">
        <w:rPr>
          <w:rFonts w:ascii="Times New Roman" w:hAnsi="Times New Roman" w:cs="Times New Roman"/>
          <w:sz w:val="28"/>
          <w:szCs w:val="28"/>
          <w:lang w:val="en-US"/>
        </w:rPr>
        <w:t>with the exception of</w:t>
      </w:r>
      <w:proofErr w:type="gramEnd"/>
      <w:r w:rsidRPr="00D656AD">
        <w:rPr>
          <w:rFonts w:ascii="Times New Roman" w:hAnsi="Times New Roman" w:cs="Times New Roman"/>
          <w:sz w:val="28"/>
          <w:szCs w:val="28"/>
          <w:lang w:val="en-US"/>
        </w:rPr>
        <w:t xml:space="preserve"> serving Stanton and the Authority, and obtaining medical records (presumably which assist in identifying other defendants), no steps appear to have been taken in this litigation since it was filed in 2020, some 3 ½ year ago.  This is unlike the situation in </w:t>
      </w:r>
      <w:r w:rsidRPr="00D656AD">
        <w:rPr>
          <w:rFonts w:ascii="Times New Roman" w:hAnsi="Times New Roman" w:cs="Times New Roman"/>
          <w:i/>
          <w:iCs/>
          <w:sz w:val="28"/>
          <w:szCs w:val="28"/>
          <w:lang w:val="en-US"/>
        </w:rPr>
        <w:t xml:space="preserve">Pitsiulak </w:t>
      </w:r>
      <w:r w:rsidRPr="00D656AD">
        <w:rPr>
          <w:rFonts w:ascii="Times New Roman" w:hAnsi="Times New Roman" w:cs="Times New Roman"/>
          <w:sz w:val="28"/>
          <w:szCs w:val="28"/>
          <w:lang w:val="en-US"/>
        </w:rPr>
        <w:t xml:space="preserve">and </w:t>
      </w:r>
      <w:r w:rsidRPr="00D656AD">
        <w:rPr>
          <w:rFonts w:ascii="Times New Roman" w:hAnsi="Times New Roman" w:cs="Times New Roman"/>
          <w:i/>
          <w:iCs/>
          <w:sz w:val="28"/>
          <w:szCs w:val="28"/>
          <w:lang w:val="en-US"/>
        </w:rPr>
        <w:t>Irish Estate</w:t>
      </w:r>
      <w:r w:rsidRPr="00D656AD">
        <w:rPr>
          <w:rFonts w:ascii="Times New Roman" w:hAnsi="Times New Roman" w:cs="Times New Roman"/>
          <w:sz w:val="28"/>
          <w:szCs w:val="28"/>
          <w:lang w:val="en-US"/>
        </w:rPr>
        <w:t xml:space="preserve">.  In both </w:t>
      </w:r>
      <w:r w:rsidRPr="00D656AD">
        <w:rPr>
          <w:rFonts w:ascii="Times New Roman" w:hAnsi="Times New Roman" w:cs="Times New Roman"/>
          <w:i/>
          <w:iCs/>
          <w:sz w:val="28"/>
          <w:szCs w:val="28"/>
          <w:lang w:val="en-US"/>
        </w:rPr>
        <w:t>Pitsiulak</w:t>
      </w:r>
      <w:r w:rsidRPr="00D656AD">
        <w:rPr>
          <w:rFonts w:ascii="Times New Roman" w:hAnsi="Times New Roman" w:cs="Times New Roman"/>
          <w:sz w:val="28"/>
          <w:szCs w:val="28"/>
          <w:lang w:val="en-US"/>
        </w:rPr>
        <w:t xml:space="preserve"> and </w:t>
      </w:r>
      <w:r w:rsidRPr="00D656AD">
        <w:rPr>
          <w:rFonts w:ascii="Times New Roman" w:hAnsi="Times New Roman" w:cs="Times New Roman"/>
          <w:i/>
          <w:iCs/>
          <w:sz w:val="28"/>
          <w:szCs w:val="28"/>
          <w:lang w:val="en-US"/>
        </w:rPr>
        <w:t>Irish Estate</w:t>
      </w:r>
      <w:r w:rsidRPr="00D656AD">
        <w:rPr>
          <w:rFonts w:ascii="Times New Roman" w:hAnsi="Times New Roman" w:cs="Times New Roman"/>
          <w:sz w:val="28"/>
          <w:szCs w:val="28"/>
          <w:lang w:val="en-US"/>
        </w:rPr>
        <w:t xml:space="preserve">, counsel for the plaintiffs had taken </w:t>
      </w:r>
      <w:proofErr w:type="gramStart"/>
      <w:r w:rsidRPr="00D656AD">
        <w:rPr>
          <w:rFonts w:ascii="Times New Roman" w:hAnsi="Times New Roman" w:cs="Times New Roman"/>
          <w:sz w:val="28"/>
          <w:szCs w:val="28"/>
          <w:lang w:val="en-US"/>
        </w:rPr>
        <w:t>a number of</w:t>
      </w:r>
      <w:proofErr w:type="gramEnd"/>
      <w:r w:rsidRPr="00D656AD">
        <w:rPr>
          <w:rFonts w:ascii="Times New Roman" w:hAnsi="Times New Roman" w:cs="Times New Roman"/>
          <w:sz w:val="28"/>
          <w:szCs w:val="28"/>
          <w:lang w:val="en-US"/>
        </w:rPr>
        <w:t xml:space="preserve"> steps to try to advance the litigation.  In </w:t>
      </w:r>
      <w:r w:rsidRPr="00D656AD">
        <w:rPr>
          <w:rFonts w:ascii="Times New Roman" w:hAnsi="Times New Roman" w:cs="Times New Roman"/>
          <w:i/>
          <w:iCs/>
          <w:sz w:val="28"/>
          <w:szCs w:val="28"/>
          <w:lang w:val="en-US"/>
        </w:rPr>
        <w:t>Pitsiulak</w:t>
      </w:r>
      <w:r w:rsidRPr="00D656AD">
        <w:rPr>
          <w:rFonts w:ascii="Times New Roman" w:hAnsi="Times New Roman" w:cs="Times New Roman"/>
          <w:sz w:val="28"/>
          <w:szCs w:val="28"/>
          <w:lang w:val="en-US"/>
        </w:rPr>
        <w:t xml:space="preserve">, three </w:t>
      </w:r>
      <w:r w:rsidRPr="0092316B">
        <w:rPr>
          <w:rFonts w:ascii="Times New Roman" w:hAnsi="Times New Roman" w:cs="Times New Roman"/>
          <w:i/>
          <w:iCs/>
          <w:sz w:val="28"/>
          <w:szCs w:val="28"/>
          <w:lang w:val="en-US"/>
        </w:rPr>
        <w:t>ex parte</w:t>
      </w:r>
      <w:r w:rsidRPr="00D656AD">
        <w:rPr>
          <w:rFonts w:ascii="Times New Roman" w:hAnsi="Times New Roman" w:cs="Times New Roman"/>
          <w:sz w:val="28"/>
          <w:szCs w:val="28"/>
          <w:lang w:val="en-US"/>
        </w:rPr>
        <w:t xml:space="preserve"> orders had been issued renewing the </w:t>
      </w:r>
      <w:r w:rsidR="007C6085">
        <w:rPr>
          <w:rFonts w:ascii="Times New Roman" w:hAnsi="Times New Roman" w:cs="Times New Roman"/>
          <w:sz w:val="28"/>
          <w:szCs w:val="28"/>
          <w:lang w:val="en-US"/>
        </w:rPr>
        <w:t>statement of claim</w:t>
      </w:r>
      <w:r w:rsidRPr="00D656AD">
        <w:rPr>
          <w:rFonts w:ascii="Times New Roman" w:hAnsi="Times New Roman" w:cs="Times New Roman"/>
          <w:sz w:val="28"/>
          <w:szCs w:val="28"/>
          <w:lang w:val="en-US"/>
        </w:rPr>
        <w:t xml:space="preserve">. </w:t>
      </w:r>
      <w:r w:rsidR="0040420F">
        <w:rPr>
          <w:rFonts w:ascii="Times New Roman" w:hAnsi="Times New Roman" w:cs="Times New Roman"/>
          <w:sz w:val="28"/>
          <w:szCs w:val="28"/>
          <w:lang w:val="en-US"/>
        </w:rPr>
        <w:t xml:space="preserve"> </w:t>
      </w:r>
      <w:r w:rsidRPr="00D656AD">
        <w:rPr>
          <w:rFonts w:ascii="Times New Roman" w:hAnsi="Times New Roman" w:cs="Times New Roman"/>
          <w:sz w:val="28"/>
          <w:szCs w:val="28"/>
          <w:lang w:val="en-US"/>
        </w:rPr>
        <w:t xml:space="preserve">The defendant sought to set aside two of the orders which would have called into question the validity of the third order.  Reasonable explanations were given relating to the need for the additional time, including investigating the feasibility of pursuing a complex medical malpractice case and challenges locating one of the defendants for service.  Schuler, J. held that both were sufficient reasons to uphold the renewal orders.  In that case, three years had elapsed from the date the claim was filed to the date the application to set aside the renewals was heard. </w:t>
      </w:r>
    </w:p>
    <w:p w14:paraId="7A2482F1" w14:textId="77777777" w:rsidR="00D656AD" w:rsidRPr="00D656AD" w:rsidRDefault="00D656AD" w:rsidP="0040420F">
      <w:pPr>
        <w:pStyle w:val="ListParagraph"/>
        <w:spacing w:after="0" w:line="240" w:lineRule="auto"/>
        <w:ind w:left="0"/>
        <w:jc w:val="both"/>
        <w:rPr>
          <w:rFonts w:ascii="Times New Roman" w:hAnsi="Times New Roman" w:cs="Times New Roman"/>
          <w:sz w:val="28"/>
          <w:szCs w:val="28"/>
          <w:lang w:val="en-US"/>
        </w:rPr>
      </w:pPr>
    </w:p>
    <w:p w14:paraId="65C04817" w14:textId="42761185" w:rsidR="00D656AD" w:rsidRPr="00D656AD" w:rsidRDefault="00D656AD" w:rsidP="00D656AD">
      <w:pPr>
        <w:pStyle w:val="ListParagraph"/>
        <w:numPr>
          <w:ilvl w:val="0"/>
          <w:numId w:val="10"/>
        </w:numPr>
        <w:spacing w:after="0" w:line="240" w:lineRule="auto"/>
        <w:jc w:val="both"/>
        <w:rPr>
          <w:rFonts w:ascii="Times New Roman" w:hAnsi="Times New Roman" w:cs="Times New Roman"/>
          <w:sz w:val="28"/>
          <w:szCs w:val="28"/>
          <w:lang w:val="en-US"/>
        </w:rPr>
      </w:pPr>
      <w:r w:rsidRPr="00D656AD">
        <w:rPr>
          <w:rFonts w:ascii="Times New Roman" w:hAnsi="Times New Roman" w:cs="Times New Roman"/>
          <w:sz w:val="28"/>
          <w:szCs w:val="28"/>
          <w:lang w:val="en-US"/>
        </w:rPr>
        <w:t xml:space="preserve">Similarly, in </w:t>
      </w:r>
      <w:r w:rsidRPr="00D656AD">
        <w:rPr>
          <w:rFonts w:ascii="Times New Roman" w:hAnsi="Times New Roman" w:cs="Times New Roman"/>
          <w:i/>
          <w:iCs/>
          <w:sz w:val="28"/>
          <w:szCs w:val="28"/>
          <w:lang w:val="en-US"/>
        </w:rPr>
        <w:t>Irish Estate,</w:t>
      </w:r>
      <w:r w:rsidRPr="00D656AD">
        <w:rPr>
          <w:rFonts w:ascii="Times New Roman" w:hAnsi="Times New Roman" w:cs="Times New Roman"/>
          <w:sz w:val="28"/>
          <w:szCs w:val="28"/>
          <w:lang w:val="en-US"/>
        </w:rPr>
        <w:t xml:space="preserve"> there was evidence of some activity beyond mere delay.  The </w:t>
      </w:r>
      <w:r w:rsidR="007C6085">
        <w:rPr>
          <w:rFonts w:ascii="Times New Roman" w:hAnsi="Times New Roman" w:cs="Times New Roman"/>
          <w:sz w:val="28"/>
          <w:szCs w:val="28"/>
          <w:lang w:val="en-US"/>
        </w:rPr>
        <w:t>statement of claim</w:t>
      </w:r>
      <w:r w:rsidRPr="00D656AD">
        <w:rPr>
          <w:rFonts w:ascii="Times New Roman" w:hAnsi="Times New Roman" w:cs="Times New Roman"/>
          <w:sz w:val="28"/>
          <w:szCs w:val="28"/>
          <w:lang w:val="en-US"/>
        </w:rPr>
        <w:t>, filed October 24, 1996, ha</w:t>
      </w:r>
      <w:r w:rsidR="0092316B">
        <w:rPr>
          <w:rFonts w:ascii="Times New Roman" w:hAnsi="Times New Roman" w:cs="Times New Roman"/>
          <w:sz w:val="28"/>
          <w:szCs w:val="28"/>
          <w:lang w:val="en-US"/>
        </w:rPr>
        <w:t>d</w:t>
      </w:r>
      <w:r w:rsidRPr="00D656AD">
        <w:rPr>
          <w:rFonts w:ascii="Times New Roman" w:hAnsi="Times New Roman" w:cs="Times New Roman"/>
          <w:sz w:val="28"/>
          <w:szCs w:val="28"/>
          <w:lang w:val="en-US"/>
        </w:rPr>
        <w:t xml:space="preserve"> been twice amended and a defendant had been served with either the </w:t>
      </w:r>
      <w:r w:rsidR="0092316B">
        <w:rPr>
          <w:rFonts w:ascii="Times New Roman" w:hAnsi="Times New Roman" w:cs="Times New Roman"/>
          <w:sz w:val="28"/>
          <w:szCs w:val="28"/>
          <w:lang w:val="en-US"/>
        </w:rPr>
        <w:t>a</w:t>
      </w:r>
      <w:r w:rsidRPr="00D656AD">
        <w:rPr>
          <w:rFonts w:ascii="Times New Roman" w:hAnsi="Times New Roman" w:cs="Times New Roman"/>
          <w:sz w:val="28"/>
          <w:szCs w:val="28"/>
          <w:lang w:val="en-US"/>
        </w:rPr>
        <w:t xml:space="preserve">mended </w:t>
      </w:r>
      <w:r w:rsidR="007C6085">
        <w:rPr>
          <w:rFonts w:ascii="Times New Roman" w:hAnsi="Times New Roman" w:cs="Times New Roman"/>
          <w:sz w:val="28"/>
          <w:szCs w:val="28"/>
          <w:lang w:val="en-US"/>
        </w:rPr>
        <w:t>statement of claim</w:t>
      </w:r>
      <w:r w:rsidRPr="00D656AD">
        <w:rPr>
          <w:rFonts w:ascii="Times New Roman" w:hAnsi="Times New Roman" w:cs="Times New Roman"/>
          <w:sz w:val="28"/>
          <w:szCs w:val="28"/>
          <w:lang w:val="en-US"/>
        </w:rPr>
        <w:t xml:space="preserve"> or the </w:t>
      </w:r>
      <w:r w:rsidR="0092316B">
        <w:rPr>
          <w:rFonts w:ascii="Times New Roman" w:hAnsi="Times New Roman" w:cs="Times New Roman"/>
          <w:sz w:val="28"/>
          <w:szCs w:val="28"/>
          <w:lang w:val="en-US"/>
        </w:rPr>
        <w:t>a</w:t>
      </w:r>
      <w:r w:rsidRPr="00D656AD">
        <w:rPr>
          <w:rFonts w:ascii="Times New Roman" w:hAnsi="Times New Roman" w:cs="Times New Roman"/>
          <w:sz w:val="28"/>
          <w:szCs w:val="28"/>
          <w:lang w:val="en-US"/>
        </w:rPr>
        <w:t xml:space="preserve">mended </w:t>
      </w:r>
      <w:proofErr w:type="spellStart"/>
      <w:r w:rsidR="0092316B">
        <w:rPr>
          <w:rFonts w:ascii="Times New Roman" w:hAnsi="Times New Roman" w:cs="Times New Roman"/>
          <w:sz w:val="28"/>
          <w:szCs w:val="28"/>
          <w:lang w:val="en-US"/>
        </w:rPr>
        <w:t>a</w:t>
      </w:r>
      <w:r w:rsidRPr="00D656AD">
        <w:rPr>
          <w:rFonts w:ascii="Times New Roman" w:hAnsi="Times New Roman" w:cs="Times New Roman"/>
          <w:sz w:val="28"/>
          <w:szCs w:val="28"/>
          <w:lang w:val="en-US"/>
        </w:rPr>
        <w:t>mended</w:t>
      </w:r>
      <w:proofErr w:type="spellEnd"/>
      <w:r w:rsidRPr="00D656AD">
        <w:rPr>
          <w:rFonts w:ascii="Times New Roman" w:hAnsi="Times New Roman" w:cs="Times New Roman"/>
          <w:sz w:val="28"/>
          <w:szCs w:val="28"/>
          <w:lang w:val="en-US"/>
        </w:rPr>
        <w:t xml:space="preserve"> </w:t>
      </w:r>
      <w:r w:rsidR="007C6085">
        <w:rPr>
          <w:rFonts w:ascii="Times New Roman" w:hAnsi="Times New Roman" w:cs="Times New Roman"/>
          <w:sz w:val="28"/>
          <w:szCs w:val="28"/>
          <w:lang w:val="en-US"/>
        </w:rPr>
        <w:t>statement of claim</w:t>
      </w:r>
      <w:r w:rsidRPr="00D656AD">
        <w:rPr>
          <w:rFonts w:ascii="Times New Roman" w:hAnsi="Times New Roman" w:cs="Times New Roman"/>
          <w:sz w:val="28"/>
          <w:szCs w:val="28"/>
          <w:lang w:val="en-US"/>
        </w:rPr>
        <w:t xml:space="preserve"> on May 8, 1998.  This was not a situation where the </w:t>
      </w:r>
      <w:r w:rsidR="007C6085">
        <w:rPr>
          <w:rFonts w:ascii="Times New Roman" w:hAnsi="Times New Roman" w:cs="Times New Roman"/>
          <w:sz w:val="28"/>
          <w:szCs w:val="28"/>
          <w:lang w:val="en-US"/>
        </w:rPr>
        <w:t>statement of claim</w:t>
      </w:r>
      <w:r w:rsidRPr="00D656AD">
        <w:rPr>
          <w:rFonts w:ascii="Times New Roman" w:hAnsi="Times New Roman" w:cs="Times New Roman"/>
          <w:sz w:val="28"/>
          <w:szCs w:val="28"/>
          <w:lang w:val="en-US"/>
        </w:rPr>
        <w:t xml:space="preserve"> was filed and then simply held in abeyance.  Additionally, in </w:t>
      </w:r>
      <w:r w:rsidRPr="00D656AD">
        <w:rPr>
          <w:rFonts w:ascii="Times New Roman" w:hAnsi="Times New Roman" w:cs="Times New Roman"/>
          <w:i/>
          <w:iCs/>
          <w:sz w:val="28"/>
          <w:szCs w:val="28"/>
          <w:lang w:val="en-US"/>
        </w:rPr>
        <w:t>Irish Estate</w:t>
      </w:r>
      <w:r w:rsidRPr="00D656AD">
        <w:rPr>
          <w:rFonts w:ascii="Times New Roman" w:hAnsi="Times New Roman" w:cs="Times New Roman"/>
          <w:sz w:val="28"/>
          <w:szCs w:val="28"/>
          <w:lang w:val="en-US"/>
        </w:rPr>
        <w:t xml:space="preserve">, there was evidence that counsel might have been confused about the effect of the amendments and may have been under the mistaken impression that the amendments accordingly extended the time for service.  In that situation, while the court found that there had been neglect or inadvertence in addressing service, they also noted that the defendant </w:t>
      </w:r>
      <w:r w:rsidRPr="0092316B">
        <w:rPr>
          <w:rFonts w:ascii="Times New Roman" w:hAnsi="Times New Roman" w:cs="Times New Roman"/>
          <w:sz w:val="28"/>
          <w:szCs w:val="28"/>
          <w:lang w:val="en-US"/>
        </w:rPr>
        <w:t xml:space="preserve">was aware </w:t>
      </w:r>
      <w:r w:rsidR="0092316B" w:rsidRPr="0092316B">
        <w:rPr>
          <w:rFonts w:ascii="Times New Roman" w:hAnsi="Times New Roman" w:cs="Times New Roman"/>
          <w:sz w:val="28"/>
          <w:szCs w:val="28"/>
          <w:lang w:val="en-US"/>
        </w:rPr>
        <w:t>that there</w:t>
      </w:r>
      <w:r w:rsidRPr="0092316B">
        <w:rPr>
          <w:rFonts w:ascii="Times New Roman" w:hAnsi="Times New Roman" w:cs="Times New Roman"/>
          <w:sz w:val="28"/>
          <w:szCs w:val="28"/>
          <w:lang w:val="en-US"/>
        </w:rPr>
        <w:t xml:space="preserve"> could be</w:t>
      </w:r>
      <w:r w:rsidRPr="00D656AD">
        <w:rPr>
          <w:rFonts w:ascii="Times New Roman" w:hAnsi="Times New Roman" w:cs="Times New Roman"/>
          <w:sz w:val="28"/>
          <w:szCs w:val="28"/>
          <w:lang w:val="en-US"/>
        </w:rPr>
        <w:t xml:space="preserve"> litigation because a fatality inquiry had been held </w:t>
      </w:r>
      <w:proofErr w:type="gramStart"/>
      <w:r w:rsidRPr="00D656AD">
        <w:rPr>
          <w:rFonts w:ascii="Times New Roman" w:hAnsi="Times New Roman" w:cs="Times New Roman"/>
          <w:sz w:val="28"/>
          <w:szCs w:val="28"/>
          <w:lang w:val="en-US"/>
        </w:rPr>
        <w:t>and also</w:t>
      </w:r>
      <w:proofErr w:type="gramEnd"/>
      <w:r w:rsidRPr="00D656AD">
        <w:rPr>
          <w:rFonts w:ascii="Times New Roman" w:hAnsi="Times New Roman" w:cs="Times New Roman"/>
          <w:sz w:val="28"/>
          <w:szCs w:val="28"/>
          <w:lang w:val="en-US"/>
        </w:rPr>
        <w:t xml:space="preserve"> because counsel for one of the defendants had referenced his expectation that he would be retained by all three defendant doctors. </w:t>
      </w:r>
    </w:p>
    <w:p w14:paraId="1C9A93F7" w14:textId="77777777" w:rsidR="00D656AD" w:rsidRPr="00D656AD" w:rsidRDefault="00D656AD" w:rsidP="0040420F">
      <w:pPr>
        <w:pStyle w:val="ListParagraph"/>
        <w:spacing w:after="0" w:line="240" w:lineRule="auto"/>
        <w:ind w:left="0"/>
        <w:jc w:val="both"/>
        <w:rPr>
          <w:rFonts w:ascii="Times New Roman" w:hAnsi="Times New Roman" w:cs="Times New Roman"/>
          <w:sz w:val="28"/>
          <w:szCs w:val="28"/>
          <w:lang w:val="en-US"/>
        </w:rPr>
      </w:pPr>
    </w:p>
    <w:p w14:paraId="712B3D00" w14:textId="742FE854" w:rsidR="00D656AD" w:rsidRPr="00D656AD" w:rsidRDefault="00D656AD" w:rsidP="00D656AD">
      <w:pPr>
        <w:pStyle w:val="ListParagraph"/>
        <w:numPr>
          <w:ilvl w:val="0"/>
          <w:numId w:val="10"/>
        </w:numPr>
        <w:spacing w:after="0" w:line="240" w:lineRule="auto"/>
        <w:jc w:val="both"/>
        <w:rPr>
          <w:rFonts w:ascii="Times New Roman" w:hAnsi="Times New Roman" w:cs="Times New Roman"/>
          <w:sz w:val="28"/>
          <w:szCs w:val="28"/>
          <w:lang w:val="en-US"/>
        </w:rPr>
      </w:pPr>
      <w:r w:rsidRPr="00D656AD">
        <w:rPr>
          <w:rFonts w:ascii="Times New Roman" w:hAnsi="Times New Roman" w:cs="Times New Roman"/>
          <w:sz w:val="28"/>
          <w:szCs w:val="28"/>
          <w:lang w:val="en-US"/>
        </w:rPr>
        <w:t xml:space="preserve">Aiston relies on the decision of </w:t>
      </w:r>
      <w:r w:rsidRPr="00D656AD">
        <w:rPr>
          <w:rFonts w:ascii="Times New Roman" w:hAnsi="Times New Roman" w:cs="Times New Roman"/>
          <w:i/>
          <w:iCs/>
          <w:sz w:val="28"/>
          <w:szCs w:val="28"/>
          <w:lang w:val="en-US"/>
        </w:rPr>
        <w:t>Priddis Greens Golf &amp; Country Club v Priddis Creek Developments Ltd,</w:t>
      </w:r>
      <w:r w:rsidRPr="00D656AD">
        <w:rPr>
          <w:rFonts w:ascii="Times New Roman" w:hAnsi="Times New Roman" w:cs="Times New Roman"/>
          <w:sz w:val="28"/>
          <w:szCs w:val="28"/>
          <w:lang w:val="en-US"/>
        </w:rPr>
        <w:t xml:space="preserve"> 1998 ABQB 165 as support for the proposition that a renewal in circumstances where there is significant delay on the part of counsel, such as here, is not in the ends of justice.  </w:t>
      </w:r>
      <w:proofErr w:type="gramStart"/>
      <w:r w:rsidRPr="00D656AD">
        <w:rPr>
          <w:rFonts w:ascii="Times New Roman" w:hAnsi="Times New Roman" w:cs="Times New Roman"/>
          <w:sz w:val="28"/>
          <w:szCs w:val="28"/>
          <w:lang w:val="en-US"/>
        </w:rPr>
        <w:t>In particular, they</w:t>
      </w:r>
      <w:proofErr w:type="gramEnd"/>
      <w:r w:rsidRPr="00D656AD">
        <w:rPr>
          <w:rFonts w:ascii="Times New Roman" w:hAnsi="Times New Roman" w:cs="Times New Roman"/>
          <w:sz w:val="28"/>
          <w:szCs w:val="28"/>
          <w:lang w:val="en-US"/>
        </w:rPr>
        <w:t xml:space="preserve"> note the comments of Clark, J. at paragraph 9: </w:t>
      </w:r>
    </w:p>
    <w:p w14:paraId="22D013C6" w14:textId="77777777" w:rsidR="00D656AD" w:rsidRPr="00D656AD" w:rsidRDefault="00D656AD" w:rsidP="0040420F">
      <w:pPr>
        <w:pStyle w:val="ListParagraph"/>
        <w:spacing w:after="0" w:line="240" w:lineRule="auto"/>
        <w:ind w:left="0"/>
        <w:jc w:val="both"/>
        <w:rPr>
          <w:rFonts w:ascii="Times New Roman" w:hAnsi="Times New Roman" w:cs="Times New Roman"/>
          <w:sz w:val="28"/>
          <w:szCs w:val="28"/>
          <w:lang w:val="en-US"/>
        </w:rPr>
      </w:pPr>
    </w:p>
    <w:p w14:paraId="239366A0" w14:textId="5C9B2950" w:rsidR="00D656AD" w:rsidRPr="00D656AD" w:rsidRDefault="00D656AD" w:rsidP="0040420F">
      <w:pPr>
        <w:pStyle w:val="ListParagraph"/>
        <w:spacing w:after="0" w:line="240" w:lineRule="auto"/>
        <w:ind w:left="964" w:right="964"/>
        <w:jc w:val="both"/>
        <w:rPr>
          <w:rFonts w:ascii="Times New Roman" w:hAnsi="Times New Roman" w:cs="Times New Roman"/>
          <w:sz w:val="24"/>
          <w:szCs w:val="24"/>
          <w:lang w:val="en-US"/>
        </w:rPr>
      </w:pPr>
      <w:r w:rsidRPr="00D656AD">
        <w:rPr>
          <w:rFonts w:ascii="Times New Roman" w:hAnsi="Times New Roman" w:cs="Times New Roman"/>
          <w:sz w:val="24"/>
          <w:szCs w:val="24"/>
          <w:lang w:val="en-US"/>
        </w:rPr>
        <w:t xml:space="preserve">With respect to the ends of justice argument, it is not incumbent upon the courts to save the parties from the results of their own actions.  It would be simple for me to take the easy route – to simply say to proceed to trial and deal with the issues on their merits.  In this case, I am not prepared to do that.   On the facts that have been presented to me that approach does not serve the ends </w:t>
      </w:r>
      <w:r w:rsidRPr="00D656AD">
        <w:rPr>
          <w:rFonts w:ascii="Times New Roman" w:hAnsi="Times New Roman" w:cs="Times New Roman"/>
          <w:sz w:val="24"/>
          <w:szCs w:val="24"/>
          <w:lang w:val="en-US"/>
        </w:rPr>
        <w:lastRenderedPageBreak/>
        <w:t xml:space="preserve">of justice and in fact, to my mind at least, results in an abuse of process.   As a result, I am striking the renewal of the </w:t>
      </w:r>
      <w:r w:rsidR="007C6085">
        <w:rPr>
          <w:rFonts w:ascii="Times New Roman" w:hAnsi="Times New Roman" w:cs="Times New Roman"/>
          <w:sz w:val="24"/>
          <w:szCs w:val="24"/>
          <w:lang w:val="en-US"/>
        </w:rPr>
        <w:t>Statement of claim</w:t>
      </w:r>
      <w:r w:rsidRPr="00D656AD">
        <w:rPr>
          <w:rFonts w:ascii="Times New Roman" w:hAnsi="Times New Roman" w:cs="Times New Roman"/>
          <w:sz w:val="24"/>
          <w:szCs w:val="24"/>
          <w:lang w:val="en-US"/>
        </w:rPr>
        <w:t xml:space="preserve">. </w:t>
      </w:r>
    </w:p>
    <w:p w14:paraId="68D4DDD7" w14:textId="77777777" w:rsidR="00D656AD" w:rsidRPr="00D656AD" w:rsidRDefault="00D656AD" w:rsidP="0040420F">
      <w:pPr>
        <w:pStyle w:val="ListParagraph"/>
        <w:spacing w:after="0" w:line="240" w:lineRule="auto"/>
        <w:ind w:left="0"/>
        <w:jc w:val="both"/>
        <w:rPr>
          <w:rFonts w:ascii="Times New Roman" w:hAnsi="Times New Roman" w:cs="Times New Roman"/>
          <w:sz w:val="28"/>
          <w:szCs w:val="28"/>
          <w:lang w:val="en-US"/>
        </w:rPr>
      </w:pPr>
    </w:p>
    <w:p w14:paraId="494F7984" w14:textId="6CF0DA38" w:rsidR="00D656AD" w:rsidRPr="00D656AD" w:rsidRDefault="00D656AD" w:rsidP="00D656AD">
      <w:pPr>
        <w:pStyle w:val="ListParagraph"/>
        <w:numPr>
          <w:ilvl w:val="0"/>
          <w:numId w:val="10"/>
        </w:numPr>
        <w:spacing w:after="0" w:line="240" w:lineRule="auto"/>
        <w:jc w:val="both"/>
        <w:rPr>
          <w:rFonts w:ascii="Times New Roman" w:hAnsi="Times New Roman" w:cs="Times New Roman"/>
          <w:sz w:val="28"/>
          <w:szCs w:val="28"/>
          <w:lang w:val="en-US"/>
        </w:rPr>
      </w:pPr>
      <w:r w:rsidRPr="00D656AD">
        <w:rPr>
          <w:rFonts w:ascii="Times New Roman" w:hAnsi="Times New Roman" w:cs="Times New Roman"/>
          <w:sz w:val="28"/>
          <w:szCs w:val="28"/>
          <w:lang w:val="en-US"/>
        </w:rPr>
        <w:t xml:space="preserve">However, I note the </w:t>
      </w:r>
      <w:r w:rsidRPr="00756DD9">
        <w:rPr>
          <w:rFonts w:ascii="Times New Roman" w:hAnsi="Times New Roman" w:cs="Times New Roman"/>
          <w:i/>
          <w:iCs/>
          <w:sz w:val="28"/>
          <w:szCs w:val="28"/>
          <w:lang w:val="en-US"/>
        </w:rPr>
        <w:t>Priddis</w:t>
      </w:r>
      <w:r w:rsidRPr="00D656AD">
        <w:rPr>
          <w:rFonts w:ascii="Times New Roman" w:hAnsi="Times New Roman" w:cs="Times New Roman"/>
          <w:sz w:val="28"/>
          <w:szCs w:val="28"/>
          <w:lang w:val="en-US"/>
        </w:rPr>
        <w:t xml:space="preserve"> decision was overturned by the Alberta Court of Appeal:  </w:t>
      </w:r>
      <w:r w:rsidRPr="00D656AD">
        <w:rPr>
          <w:rFonts w:ascii="Times New Roman" w:hAnsi="Times New Roman" w:cs="Times New Roman"/>
          <w:i/>
          <w:iCs/>
          <w:sz w:val="28"/>
          <w:szCs w:val="28"/>
          <w:lang w:val="en-US"/>
        </w:rPr>
        <w:t xml:space="preserve">Priddis Greens Golf &amp; Country Club v Priddis Creek Developments Ltd., </w:t>
      </w:r>
      <w:r w:rsidRPr="00D656AD">
        <w:rPr>
          <w:rFonts w:ascii="Times New Roman" w:hAnsi="Times New Roman" w:cs="Times New Roman"/>
          <w:sz w:val="28"/>
          <w:szCs w:val="28"/>
          <w:lang w:val="en-US"/>
        </w:rPr>
        <w:t xml:space="preserve">1999 ABCA 91, with the appellate court finding that the delay in serving was because of the hope of settlement and, as such, that was a reason to renew the </w:t>
      </w:r>
      <w:r w:rsidR="007C6085">
        <w:rPr>
          <w:rFonts w:ascii="Times New Roman" w:hAnsi="Times New Roman" w:cs="Times New Roman"/>
          <w:sz w:val="28"/>
          <w:szCs w:val="28"/>
          <w:lang w:val="en-US"/>
        </w:rPr>
        <w:t>statement of claim</w:t>
      </w:r>
      <w:r w:rsidRPr="00D656AD">
        <w:rPr>
          <w:rFonts w:ascii="Times New Roman" w:hAnsi="Times New Roman" w:cs="Times New Roman"/>
          <w:sz w:val="28"/>
          <w:szCs w:val="28"/>
          <w:lang w:val="en-US"/>
        </w:rPr>
        <w:t xml:space="preserve">.  Given that the underlying decision was overturned, I place less weight on the comments made by Clark, J. </w:t>
      </w:r>
      <w:r w:rsidR="00756DD9">
        <w:rPr>
          <w:rFonts w:ascii="Times New Roman" w:hAnsi="Times New Roman" w:cs="Times New Roman"/>
          <w:sz w:val="28"/>
          <w:szCs w:val="28"/>
          <w:lang w:val="en-US"/>
        </w:rPr>
        <w:t xml:space="preserve">in that decision </w:t>
      </w:r>
      <w:r w:rsidRPr="00D656AD">
        <w:rPr>
          <w:rFonts w:ascii="Times New Roman" w:hAnsi="Times New Roman" w:cs="Times New Roman"/>
          <w:sz w:val="28"/>
          <w:szCs w:val="28"/>
          <w:lang w:val="en-US"/>
        </w:rPr>
        <w:t xml:space="preserve">on the issue of the ends of justice argument. </w:t>
      </w:r>
    </w:p>
    <w:p w14:paraId="08F592D3" w14:textId="77777777" w:rsidR="00D656AD" w:rsidRPr="00D656AD" w:rsidRDefault="00D656AD" w:rsidP="008749E7">
      <w:pPr>
        <w:pStyle w:val="ListParagraph"/>
        <w:spacing w:after="0" w:line="240" w:lineRule="auto"/>
        <w:ind w:left="0"/>
        <w:jc w:val="both"/>
        <w:rPr>
          <w:rFonts w:ascii="Times New Roman" w:hAnsi="Times New Roman" w:cs="Times New Roman"/>
          <w:sz w:val="28"/>
          <w:szCs w:val="28"/>
          <w:lang w:val="en-US"/>
        </w:rPr>
      </w:pPr>
    </w:p>
    <w:p w14:paraId="500E6246" w14:textId="41983C54" w:rsidR="00D656AD" w:rsidRPr="00D656AD" w:rsidRDefault="00D656AD" w:rsidP="00D656AD">
      <w:pPr>
        <w:pStyle w:val="ListParagraph"/>
        <w:numPr>
          <w:ilvl w:val="0"/>
          <w:numId w:val="10"/>
        </w:numPr>
        <w:spacing w:after="0" w:line="240" w:lineRule="auto"/>
        <w:jc w:val="both"/>
        <w:rPr>
          <w:rFonts w:ascii="Times New Roman" w:hAnsi="Times New Roman" w:cs="Times New Roman"/>
          <w:sz w:val="28"/>
          <w:szCs w:val="28"/>
          <w:lang w:val="en-US"/>
        </w:rPr>
      </w:pPr>
      <w:r w:rsidRPr="00D656AD">
        <w:rPr>
          <w:rFonts w:ascii="Times New Roman" w:hAnsi="Times New Roman" w:cs="Times New Roman"/>
          <w:sz w:val="28"/>
          <w:szCs w:val="28"/>
          <w:lang w:val="en-US"/>
        </w:rPr>
        <w:t xml:space="preserve">Ultimately, while the delay in this case was significant and concerning, I am mindful of the effect of not renewing the </w:t>
      </w:r>
      <w:r w:rsidR="007C6085">
        <w:rPr>
          <w:rFonts w:ascii="Times New Roman" w:hAnsi="Times New Roman" w:cs="Times New Roman"/>
          <w:sz w:val="28"/>
          <w:szCs w:val="28"/>
          <w:lang w:val="en-US"/>
        </w:rPr>
        <w:t>statement of claim</w:t>
      </w:r>
      <w:r w:rsidRPr="00D656AD">
        <w:rPr>
          <w:rFonts w:ascii="Times New Roman" w:hAnsi="Times New Roman" w:cs="Times New Roman"/>
          <w:sz w:val="28"/>
          <w:szCs w:val="28"/>
          <w:lang w:val="en-US"/>
        </w:rPr>
        <w:t xml:space="preserve"> on the plaintiffs and on the administration of justice.   </w:t>
      </w:r>
    </w:p>
    <w:p w14:paraId="52DCE50E" w14:textId="77777777" w:rsidR="00D656AD" w:rsidRPr="00D656AD" w:rsidRDefault="00D656AD" w:rsidP="008749E7">
      <w:pPr>
        <w:pStyle w:val="ListParagraph"/>
        <w:spacing w:after="0" w:line="240" w:lineRule="auto"/>
        <w:ind w:left="0"/>
        <w:jc w:val="both"/>
        <w:rPr>
          <w:rFonts w:ascii="Times New Roman" w:hAnsi="Times New Roman" w:cs="Times New Roman"/>
          <w:sz w:val="28"/>
          <w:szCs w:val="28"/>
          <w:lang w:val="en-US"/>
        </w:rPr>
      </w:pPr>
    </w:p>
    <w:p w14:paraId="7F4C2AD1" w14:textId="79D72C70" w:rsidR="00D656AD" w:rsidRPr="00D656AD" w:rsidRDefault="00D656AD" w:rsidP="00D656AD">
      <w:pPr>
        <w:pStyle w:val="ListParagraph"/>
        <w:numPr>
          <w:ilvl w:val="0"/>
          <w:numId w:val="10"/>
        </w:numPr>
        <w:spacing w:after="0" w:line="240" w:lineRule="auto"/>
        <w:jc w:val="both"/>
        <w:rPr>
          <w:rFonts w:ascii="Times New Roman" w:hAnsi="Times New Roman" w:cs="Times New Roman"/>
          <w:sz w:val="28"/>
          <w:szCs w:val="28"/>
          <w:lang w:val="en-US"/>
        </w:rPr>
      </w:pPr>
      <w:r w:rsidRPr="00D656AD">
        <w:rPr>
          <w:rFonts w:ascii="Times New Roman" w:hAnsi="Times New Roman" w:cs="Times New Roman"/>
          <w:sz w:val="28"/>
          <w:szCs w:val="28"/>
          <w:lang w:val="en-US"/>
        </w:rPr>
        <w:t xml:space="preserve">With respect to Jeske, not renewing the </w:t>
      </w:r>
      <w:r w:rsidR="007C6085">
        <w:rPr>
          <w:rFonts w:ascii="Times New Roman" w:hAnsi="Times New Roman" w:cs="Times New Roman"/>
          <w:sz w:val="28"/>
          <w:szCs w:val="28"/>
          <w:lang w:val="en-US"/>
        </w:rPr>
        <w:t>statement of claim</w:t>
      </w:r>
      <w:r w:rsidRPr="00D656AD">
        <w:rPr>
          <w:rFonts w:ascii="Times New Roman" w:hAnsi="Times New Roman" w:cs="Times New Roman"/>
          <w:sz w:val="28"/>
          <w:szCs w:val="28"/>
          <w:lang w:val="en-US"/>
        </w:rPr>
        <w:t xml:space="preserve"> would be essentially punishing Jeske for the inaction of their lawyer.  This is not a case where there is any evidence that Jeske acquiesced or consented to the delay in serving Aiston.  To quote Miller J. in</w:t>
      </w:r>
      <w:r w:rsidRPr="00D656AD">
        <w:rPr>
          <w:rFonts w:ascii="Times New Roman" w:hAnsi="Times New Roman" w:cs="Times New Roman"/>
          <w:i/>
          <w:iCs/>
          <w:sz w:val="28"/>
          <w:szCs w:val="28"/>
          <w:lang w:val="en-US"/>
        </w:rPr>
        <w:t xml:space="preserve"> Cherry v </w:t>
      </w:r>
      <w:proofErr w:type="spellStart"/>
      <w:r w:rsidRPr="00D656AD">
        <w:rPr>
          <w:rFonts w:ascii="Times New Roman" w:hAnsi="Times New Roman" w:cs="Times New Roman"/>
          <w:i/>
          <w:iCs/>
          <w:sz w:val="28"/>
          <w:szCs w:val="28"/>
          <w:lang w:val="en-US"/>
        </w:rPr>
        <w:t>Hurtig</w:t>
      </w:r>
      <w:proofErr w:type="spellEnd"/>
      <w:r w:rsidRPr="00D656AD">
        <w:rPr>
          <w:rFonts w:ascii="Times New Roman" w:hAnsi="Times New Roman" w:cs="Times New Roman"/>
          <w:sz w:val="28"/>
          <w:szCs w:val="28"/>
          <w:lang w:val="en-US"/>
        </w:rPr>
        <w:t xml:space="preserve"> at paragraph 24: </w:t>
      </w:r>
    </w:p>
    <w:p w14:paraId="281380E0" w14:textId="77777777" w:rsidR="00D656AD" w:rsidRPr="00D656AD" w:rsidRDefault="00D656AD" w:rsidP="008749E7">
      <w:pPr>
        <w:pStyle w:val="ListParagraph"/>
        <w:spacing w:after="0" w:line="240" w:lineRule="auto"/>
        <w:ind w:left="0"/>
        <w:jc w:val="both"/>
        <w:rPr>
          <w:rFonts w:ascii="Times New Roman" w:hAnsi="Times New Roman" w:cs="Times New Roman"/>
          <w:sz w:val="28"/>
          <w:szCs w:val="28"/>
          <w:lang w:val="en-US"/>
        </w:rPr>
      </w:pPr>
    </w:p>
    <w:p w14:paraId="0F43C90D" w14:textId="3A787DF6" w:rsidR="00D656AD" w:rsidRPr="00D656AD" w:rsidRDefault="00D656AD" w:rsidP="008749E7">
      <w:pPr>
        <w:pStyle w:val="ListParagraph"/>
        <w:spacing w:after="0" w:line="240" w:lineRule="auto"/>
        <w:ind w:left="964" w:right="964"/>
        <w:jc w:val="both"/>
        <w:rPr>
          <w:rFonts w:ascii="Times New Roman" w:hAnsi="Times New Roman" w:cs="Times New Roman"/>
          <w:sz w:val="24"/>
          <w:szCs w:val="24"/>
          <w:lang w:val="en-US"/>
        </w:rPr>
      </w:pPr>
      <w:r w:rsidRPr="00D656AD">
        <w:rPr>
          <w:rFonts w:ascii="Times New Roman" w:hAnsi="Times New Roman" w:cs="Times New Roman"/>
          <w:sz w:val="24"/>
          <w:szCs w:val="24"/>
          <w:lang w:val="en-US"/>
        </w:rPr>
        <w:t>I find it very difficult to see that the ends of justice, at least in the minds of the general public, are served by the possibility that the blameless litigant, who has lost his right of action due to the inadvertence or negligence of his solicitor, will be ultimately satisfied by pursuing a claim against his solicitor.  Not only is this small comfort to the innocent party, who is compelled to go to the trouble a</w:t>
      </w:r>
      <w:r w:rsidR="008749E7" w:rsidRPr="00CF009C">
        <w:rPr>
          <w:rFonts w:ascii="Times New Roman" w:hAnsi="Times New Roman" w:cs="Times New Roman"/>
          <w:sz w:val="24"/>
          <w:szCs w:val="24"/>
          <w:lang w:val="en-US"/>
        </w:rPr>
        <w:t>n</w:t>
      </w:r>
      <w:r w:rsidRPr="00D656AD">
        <w:rPr>
          <w:rFonts w:ascii="Times New Roman" w:hAnsi="Times New Roman" w:cs="Times New Roman"/>
          <w:sz w:val="24"/>
          <w:szCs w:val="24"/>
          <w:lang w:val="en-US"/>
        </w:rPr>
        <w:t xml:space="preserve">d expense of a </w:t>
      </w:r>
      <w:proofErr w:type="gramStart"/>
      <w:r w:rsidRPr="00D656AD">
        <w:rPr>
          <w:rFonts w:ascii="Times New Roman" w:hAnsi="Times New Roman" w:cs="Times New Roman"/>
          <w:sz w:val="24"/>
          <w:szCs w:val="24"/>
          <w:lang w:val="en-US"/>
        </w:rPr>
        <w:t>brand new</w:t>
      </w:r>
      <w:proofErr w:type="gramEnd"/>
      <w:r w:rsidRPr="00D656AD">
        <w:rPr>
          <w:rFonts w:ascii="Times New Roman" w:hAnsi="Times New Roman" w:cs="Times New Roman"/>
          <w:sz w:val="24"/>
          <w:szCs w:val="24"/>
          <w:lang w:val="en-US"/>
        </w:rPr>
        <w:t xml:space="preserve"> lawsuit based on entirely different legal problems, but it will, in my opinion, inevitably lower the public’s respect for a system which would cause such a result. </w:t>
      </w:r>
    </w:p>
    <w:p w14:paraId="3684A9A0" w14:textId="77777777" w:rsidR="00D656AD" w:rsidRPr="00D656AD" w:rsidRDefault="00D656AD" w:rsidP="008749E7">
      <w:pPr>
        <w:pStyle w:val="ListParagraph"/>
        <w:spacing w:after="0" w:line="240" w:lineRule="auto"/>
        <w:ind w:left="0"/>
        <w:jc w:val="both"/>
        <w:rPr>
          <w:rFonts w:ascii="Times New Roman" w:hAnsi="Times New Roman" w:cs="Times New Roman"/>
          <w:sz w:val="28"/>
          <w:szCs w:val="28"/>
          <w:lang w:val="en-US"/>
        </w:rPr>
      </w:pPr>
    </w:p>
    <w:p w14:paraId="1A6C37EB" w14:textId="00ED910F" w:rsidR="00D656AD" w:rsidRPr="00D656AD" w:rsidRDefault="00D656AD" w:rsidP="00D656AD">
      <w:pPr>
        <w:pStyle w:val="ListParagraph"/>
        <w:numPr>
          <w:ilvl w:val="0"/>
          <w:numId w:val="10"/>
        </w:numPr>
        <w:spacing w:after="0" w:line="240" w:lineRule="auto"/>
        <w:jc w:val="both"/>
        <w:rPr>
          <w:rFonts w:ascii="Times New Roman" w:hAnsi="Times New Roman" w:cs="Times New Roman"/>
          <w:sz w:val="28"/>
          <w:szCs w:val="28"/>
          <w:lang w:val="en-US"/>
        </w:rPr>
      </w:pPr>
      <w:r w:rsidRPr="00D656AD">
        <w:rPr>
          <w:rFonts w:ascii="Times New Roman" w:hAnsi="Times New Roman" w:cs="Times New Roman"/>
          <w:sz w:val="28"/>
          <w:szCs w:val="28"/>
          <w:lang w:val="en-US"/>
        </w:rPr>
        <w:t>With respect to the administration of justice, Jeske could, if they wished, file a new action against Aiston alleging breach of contract.  At the same time, the current action against Stanton and the Authority would still be a live action, resulting in multiple actions involving essentially the same fact pattern.  Such a result would not be desirable</w:t>
      </w:r>
      <w:r w:rsidR="0092316B">
        <w:rPr>
          <w:rFonts w:ascii="Times New Roman" w:hAnsi="Times New Roman" w:cs="Times New Roman"/>
          <w:sz w:val="28"/>
          <w:szCs w:val="28"/>
          <w:lang w:val="en-US"/>
        </w:rPr>
        <w:t xml:space="preserve"> to the administration of justice. </w:t>
      </w:r>
      <w:r w:rsidRPr="00D656AD">
        <w:rPr>
          <w:rFonts w:ascii="Times New Roman" w:hAnsi="Times New Roman" w:cs="Times New Roman"/>
          <w:sz w:val="28"/>
          <w:szCs w:val="28"/>
          <w:lang w:val="en-US"/>
        </w:rPr>
        <w:t xml:space="preserve"> </w:t>
      </w:r>
    </w:p>
    <w:p w14:paraId="44A9EF37" w14:textId="77777777" w:rsidR="00D656AD" w:rsidRPr="00D656AD" w:rsidRDefault="00D656AD" w:rsidP="008749E7">
      <w:pPr>
        <w:pStyle w:val="ListParagraph"/>
        <w:spacing w:after="0" w:line="240" w:lineRule="auto"/>
        <w:ind w:left="0"/>
        <w:jc w:val="both"/>
        <w:rPr>
          <w:rFonts w:ascii="Times New Roman" w:hAnsi="Times New Roman" w:cs="Times New Roman"/>
          <w:sz w:val="28"/>
          <w:szCs w:val="28"/>
          <w:lang w:val="en-US"/>
        </w:rPr>
      </w:pPr>
    </w:p>
    <w:p w14:paraId="464AD757" w14:textId="590E3A6E" w:rsidR="00D656AD" w:rsidRPr="00D656AD" w:rsidRDefault="00D656AD" w:rsidP="00D656AD">
      <w:pPr>
        <w:pStyle w:val="ListParagraph"/>
        <w:numPr>
          <w:ilvl w:val="0"/>
          <w:numId w:val="10"/>
        </w:numPr>
        <w:spacing w:after="0" w:line="240" w:lineRule="auto"/>
        <w:jc w:val="both"/>
        <w:rPr>
          <w:rFonts w:ascii="Times New Roman" w:hAnsi="Times New Roman" w:cs="Times New Roman"/>
          <w:sz w:val="28"/>
          <w:szCs w:val="28"/>
          <w:lang w:val="en-US"/>
        </w:rPr>
      </w:pPr>
      <w:r w:rsidRPr="00D656AD">
        <w:rPr>
          <w:rFonts w:ascii="Times New Roman" w:hAnsi="Times New Roman" w:cs="Times New Roman"/>
          <w:sz w:val="28"/>
          <w:szCs w:val="28"/>
          <w:lang w:val="en-US"/>
        </w:rPr>
        <w:t xml:space="preserve">As such, while the delay is very concerning and falls close to being inordinate delay, I find that given the absence of specific prejudice, when coupled with Aiston’s knowledge of the claim well before the date of this application, it would not be in the ends of justice to deny the application to renew the </w:t>
      </w:r>
      <w:r w:rsidR="007C6085">
        <w:rPr>
          <w:rFonts w:ascii="Times New Roman" w:hAnsi="Times New Roman" w:cs="Times New Roman"/>
          <w:sz w:val="28"/>
          <w:szCs w:val="28"/>
          <w:lang w:val="en-US"/>
        </w:rPr>
        <w:t>statement of claim</w:t>
      </w:r>
      <w:r w:rsidRPr="00D656AD">
        <w:rPr>
          <w:rFonts w:ascii="Times New Roman" w:hAnsi="Times New Roman" w:cs="Times New Roman"/>
          <w:sz w:val="28"/>
          <w:szCs w:val="28"/>
          <w:lang w:val="en-US"/>
        </w:rPr>
        <w:t xml:space="preserve">.  As such, I order the </w:t>
      </w:r>
      <w:r w:rsidR="007C6085">
        <w:rPr>
          <w:rFonts w:ascii="Times New Roman" w:hAnsi="Times New Roman" w:cs="Times New Roman"/>
          <w:sz w:val="28"/>
          <w:szCs w:val="28"/>
          <w:lang w:val="en-US"/>
        </w:rPr>
        <w:t>statement of claim</w:t>
      </w:r>
      <w:r w:rsidRPr="00D656AD">
        <w:rPr>
          <w:rFonts w:ascii="Times New Roman" w:hAnsi="Times New Roman" w:cs="Times New Roman"/>
          <w:sz w:val="28"/>
          <w:szCs w:val="28"/>
          <w:lang w:val="en-US"/>
        </w:rPr>
        <w:t xml:space="preserve"> renewed for a period of 90 days from the date of the release of this decision. </w:t>
      </w:r>
    </w:p>
    <w:p w14:paraId="4033ED96" w14:textId="77777777" w:rsidR="00D656AD" w:rsidRPr="00D656AD" w:rsidRDefault="00D656AD" w:rsidP="008749E7">
      <w:pPr>
        <w:pStyle w:val="ListParagraph"/>
        <w:spacing w:after="0" w:line="240" w:lineRule="auto"/>
        <w:ind w:left="0"/>
        <w:jc w:val="both"/>
        <w:rPr>
          <w:rFonts w:ascii="Times New Roman" w:hAnsi="Times New Roman" w:cs="Times New Roman"/>
          <w:sz w:val="28"/>
          <w:szCs w:val="28"/>
          <w:lang w:val="en-US"/>
        </w:rPr>
      </w:pPr>
    </w:p>
    <w:p w14:paraId="232E6A30" w14:textId="6A6329D3" w:rsidR="00D656AD" w:rsidRPr="00D656AD" w:rsidRDefault="00D656AD" w:rsidP="00D656AD">
      <w:pPr>
        <w:pStyle w:val="ListParagraph"/>
        <w:numPr>
          <w:ilvl w:val="0"/>
          <w:numId w:val="10"/>
        </w:numPr>
        <w:spacing w:after="0" w:line="240" w:lineRule="auto"/>
        <w:jc w:val="both"/>
        <w:rPr>
          <w:rFonts w:ascii="Times New Roman" w:hAnsi="Times New Roman" w:cs="Times New Roman"/>
          <w:sz w:val="28"/>
          <w:szCs w:val="28"/>
          <w:lang w:val="en-US"/>
        </w:rPr>
      </w:pPr>
      <w:r w:rsidRPr="00D656AD">
        <w:rPr>
          <w:rFonts w:ascii="Times New Roman" w:hAnsi="Times New Roman" w:cs="Times New Roman"/>
          <w:sz w:val="28"/>
          <w:szCs w:val="28"/>
          <w:lang w:val="en-US"/>
        </w:rPr>
        <w:t xml:space="preserve">Costs normally follow the </w:t>
      </w:r>
      <w:proofErr w:type="gramStart"/>
      <w:r w:rsidRPr="00D656AD">
        <w:rPr>
          <w:rFonts w:ascii="Times New Roman" w:hAnsi="Times New Roman" w:cs="Times New Roman"/>
          <w:sz w:val="28"/>
          <w:szCs w:val="28"/>
          <w:lang w:val="en-US"/>
        </w:rPr>
        <w:t>event,</w:t>
      </w:r>
      <w:proofErr w:type="gramEnd"/>
      <w:r w:rsidRPr="00D656AD">
        <w:rPr>
          <w:rFonts w:ascii="Times New Roman" w:hAnsi="Times New Roman" w:cs="Times New Roman"/>
          <w:sz w:val="28"/>
          <w:szCs w:val="28"/>
          <w:lang w:val="en-US"/>
        </w:rPr>
        <w:t xml:space="preserve"> however, I deny </w:t>
      </w:r>
      <w:r w:rsidR="00756DD9">
        <w:rPr>
          <w:rFonts w:ascii="Times New Roman" w:hAnsi="Times New Roman" w:cs="Times New Roman"/>
          <w:sz w:val="28"/>
          <w:szCs w:val="28"/>
          <w:lang w:val="en-US"/>
        </w:rPr>
        <w:t>Jeske</w:t>
      </w:r>
      <w:r w:rsidRPr="00D656AD">
        <w:rPr>
          <w:rFonts w:ascii="Times New Roman" w:hAnsi="Times New Roman" w:cs="Times New Roman"/>
          <w:sz w:val="28"/>
          <w:szCs w:val="28"/>
          <w:lang w:val="en-US"/>
        </w:rPr>
        <w:t xml:space="preserve"> their costs of this application. </w:t>
      </w:r>
      <w:r w:rsidR="008749E7">
        <w:rPr>
          <w:rFonts w:ascii="Times New Roman" w:hAnsi="Times New Roman" w:cs="Times New Roman"/>
          <w:sz w:val="28"/>
          <w:szCs w:val="28"/>
          <w:lang w:val="en-US"/>
        </w:rPr>
        <w:t xml:space="preserve"> </w:t>
      </w:r>
      <w:r w:rsidRPr="00D656AD">
        <w:rPr>
          <w:rFonts w:ascii="Times New Roman" w:hAnsi="Times New Roman" w:cs="Times New Roman"/>
          <w:sz w:val="28"/>
          <w:szCs w:val="28"/>
          <w:lang w:val="en-US"/>
        </w:rPr>
        <w:t xml:space="preserve">I do so for two reasons.  Firstly, it was the conduct of counsel for </w:t>
      </w:r>
      <w:r w:rsidR="00756DD9">
        <w:rPr>
          <w:rFonts w:ascii="Times New Roman" w:hAnsi="Times New Roman" w:cs="Times New Roman"/>
          <w:sz w:val="28"/>
          <w:szCs w:val="28"/>
          <w:lang w:val="en-US"/>
        </w:rPr>
        <w:t>Jeske</w:t>
      </w:r>
      <w:r w:rsidRPr="00D656AD">
        <w:rPr>
          <w:rFonts w:ascii="Times New Roman" w:hAnsi="Times New Roman" w:cs="Times New Roman"/>
          <w:sz w:val="28"/>
          <w:szCs w:val="28"/>
          <w:lang w:val="en-US"/>
        </w:rPr>
        <w:t xml:space="preserve"> (</w:t>
      </w:r>
      <w:r w:rsidR="0092316B">
        <w:rPr>
          <w:rFonts w:ascii="Times New Roman" w:hAnsi="Times New Roman" w:cs="Times New Roman"/>
          <w:sz w:val="28"/>
          <w:szCs w:val="28"/>
          <w:lang w:val="en-US"/>
        </w:rPr>
        <w:t xml:space="preserve">who is </w:t>
      </w:r>
      <w:r w:rsidRPr="00D656AD">
        <w:rPr>
          <w:rFonts w:ascii="Times New Roman" w:hAnsi="Times New Roman" w:cs="Times New Roman"/>
          <w:sz w:val="28"/>
          <w:szCs w:val="28"/>
          <w:lang w:val="en-US"/>
        </w:rPr>
        <w:t xml:space="preserve">not counsel on this application) in their </w:t>
      </w:r>
      <w:r w:rsidR="0092316B">
        <w:rPr>
          <w:rFonts w:ascii="Times New Roman" w:hAnsi="Times New Roman" w:cs="Times New Roman"/>
          <w:sz w:val="28"/>
          <w:szCs w:val="28"/>
          <w:lang w:val="en-US"/>
        </w:rPr>
        <w:t xml:space="preserve">handling </w:t>
      </w:r>
      <w:r w:rsidRPr="00D656AD">
        <w:rPr>
          <w:rFonts w:ascii="Times New Roman" w:hAnsi="Times New Roman" w:cs="Times New Roman"/>
          <w:sz w:val="28"/>
          <w:szCs w:val="28"/>
          <w:lang w:val="en-US"/>
        </w:rPr>
        <w:t xml:space="preserve">of this matter which necessitated this application.  Secondly, I do so </w:t>
      </w:r>
      <w:r w:rsidR="00527990" w:rsidRPr="00D656AD">
        <w:rPr>
          <w:rFonts w:ascii="Times New Roman" w:hAnsi="Times New Roman" w:cs="Times New Roman"/>
          <w:sz w:val="28"/>
          <w:szCs w:val="28"/>
          <w:lang w:val="en-US"/>
        </w:rPr>
        <w:t>because of</w:t>
      </w:r>
      <w:r w:rsidRPr="00D656AD">
        <w:rPr>
          <w:rFonts w:ascii="Times New Roman" w:hAnsi="Times New Roman" w:cs="Times New Roman"/>
          <w:sz w:val="28"/>
          <w:szCs w:val="28"/>
          <w:lang w:val="en-US"/>
        </w:rPr>
        <w:t xml:space="preserve"> </w:t>
      </w:r>
      <w:proofErr w:type="spellStart"/>
      <w:r w:rsidR="00756DD9">
        <w:rPr>
          <w:rFonts w:ascii="Times New Roman" w:hAnsi="Times New Roman" w:cs="Times New Roman"/>
          <w:sz w:val="28"/>
          <w:szCs w:val="28"/>
          <w:lang w:val="en-US"/>
        </w:rPr>
        <w:t>Jeske’s</w:t>
      </w:r>
      <w:proofErr w:type="spellEnd"/>
      <w:r w:rsidR="0092316B">
        <w:rPr>
          <w:rFonts w:ascii="Times New Roman" w:hAnsi="Times New Roman" w:cs="Times New Roman"/>
          <w:sz w:val="28"/>
          <w:szCs w:val="28"/>
          <w:lang w:val="en-US"/>
        </w:rPr>
        <w:t xml:space="preserve"> </w:t>
      </w:r>
      <w:r w:rsidRPr="00D656AD">
        <w:rPr>
          <w:rFonts w:ascii="Times New Roman" w:hAnsi="Times New Roman" w:cs="Times New Roman"/>
          <w:sz w:val="28"/>
          <w:szCs w:val="28"/>
          <w:lang w:val="en-US"/>
        </w:rPr>
        <w:t xml:space="preserve">failure to file their </w:t>
      </w:r>
      <w:r w:rsidR="00756DD9">
        <w:rPr>
          <w:rFonts w:ascii="Times New Roman" w:hAnsi="Times New Roman" w:cs="Times New Roman"/>
          <w:sz w:val="28"/>
          <w:szCs w:val="28"/>
          <w:lang w:val="en-US"/>
        </w:rPr>
        <w:t>pre-hearing brief within</w:t>
      </w:r>
      <w:r w:rsidRPr="00D656AD">
        <w:rPr>
          <w:rFonts w:ascii="Times New Roman" w:hAnsi="Times New Roman" w:cs="Times New Roman"/>
          <w:sz w:val="28"/>
          <w:szCs w:val="28"/>
          <w:lang w:val="en-US"/>
        </w:rPr>
        <w:t xml:space="preserve"> the time frames set by the </w:t>
      </w:r>
      <w:r w:rsidRPr="00D656AD">
        <w:rPr>
          <w:rFonts w:ascii="Times New Roman" w:hAnsi="Times New Roman" w:cs="Times New Roman"/>
          <w:i/>
          <w:iCs/>
          <w:sz w:val="28"/>
          <w:szCs w:val="28"/>
          <w:lang w:val="en-US"/>
        </w:rPr>
        <w:t>Rules of Court</w:t>
      </w:r>
      <w:r w:rsidRPr="00D656AD">
        <w:rPr>
          <w:rFonts w:ascii="Times New Roman" w:hAnsi="Times New Roman" w:cs="Times New Roman"/>
          <w:sz w:val="28"/>
          <w:szCs w:val="28"/>
          <w:lang w:val="en-US"/>
        </w:rPr>
        <w:t xml:space="preserve">, specifically Rule 391(2) which requires that the applicant’s brief be filed at least 20 days before the hearing.  In this case, </w:t>
      </w:r>
      <w:proofErr w:type="spellStart"/>
      <w:r w:rsidR="00756DD9">
        <w:rPr>
          <w:rFonts w:ascii="Times New Roman" w:hAnsi="Times New Roman" w:cs="Times New Roman"/>
          <w:sz w:val="28"/>
          <w:szCs w:val="28"/>
          <w:lang w:val="en-US"/>
        </w:rPr>
        <w:t>Jeske’s</w:t>
      </w:r>
      <w:proofErr w:type="spellEnd"/>
      <w:r w:rsidR="00756DD9">
        <w:rPr>
          <w:rFonts w:ascii="Times New Roman" w:hAnsi="Times New Roman" w:cs="Times New Roman"/>
          <w:sz w:val="28"/>
          <w:szCs w:val="28"/>
          <w:lang w:val="en-US"/>
        </w:rPr>
        <w:t xml:space="preserve"> </w:t>
      </w:r>
      <w:r w:rsidRPr="00D656AD">
        <w:rPr>
          <w:rFonts w:ascii="Times New Roman" w:hAnsi="Times New Roman" w:cs="Times New Roman"/>
          <w:sz w:val="28"/>
          <w:szCs w:val="28"/>
          <w:lang w:val="en-US"/>
        </w:rPr>
        <w:t xml:space="preserve">brief was only filed late Friday before the Tuesday when this matter was heard, resulting in Aiston’s counsel having only the weekend to prepare his brief and the court having to review the briefs in a compressed time frame.  While I appreciate that the failure to comply with Rule 391(2) was </w:t>
      </w:r>
      <w:r w:rsidR="00527990" w:rsidRPr="00D656AD">
        <w:rPr>
          <w:rFonts w:ascii="Times New Roman" w:hAnsi="Times New Roman" w:cs="Times New Roman"/>
          <w:sz w:val="28"/>
          <w:szCs w:val="28"/>
          <w:lang w:val="en-US"/>
        </w:rPr>
        <w:t>because of</w:t>
      </w:r>
      <w:r w:rsidRPr="00D656AD">
        <w:rPr>
          <w:rFonts w:ascii="Times New Roman" w:hAnsi="Times New Roman" w:cs="Times New Roman"/>
          <w:sz w:val="28"/>
          <w:szCs w:val="28"/>
          <w:lang w:val="en-US"/>
        </w:rPr>
        <w:t xml:space="preserve"> counsel’s misunderstanding of his obligations, this failure inconvenienced opposing counsel as well as the </w:t>
      </w:r>
      <w:r w:rsidR="00756DD9">
        <w:rPr>
          <w:rFonts w:ascii="Times New Roman" w:hAnsi="Times New Roman" w:cs="Times New Roman"/>
          <w:sz w:val="28"/>
          <w:szCs w:val="28"/>
          <w:lang w:val="en-US"/>
        </w:rPr>
        <w:t>c</w:t>
      </w:r>
      <w:r w:rsidRPr="00D656AD">
        <w:rPr>
          <w:rFonts w:ascii="Times New Roman" w:hAnsi="Times New Roman" w:cs="Times New Roman"/>
          <w:sz w:val="28"/>
          <w:szCs w:val="28"/>
          <w:lang w:val="en-US"/>
        </w:rPr>
        <w:t xml:space="preserve">ourt.   </w:t>
      </w:r>
    </w:p>
    <w:p w14:paraId="46AC6CFB" w14:textId="77777777" w:rsidR="00D656AD" w:rsidRPr="00D656AD" w:rsidRDefault="00D656AD" w:rsidP="008749E7">
      <w:pPr>
        <w:pStyle w:val="ListParagraph"/>
        <w:spacing w:after="0" w:line="240" w:lineRule="auto"/>
        <w:ind w:left="0"/>
        <w:jc w:val="both"/>
        <w:rPr>
          <w:rFonts w:ascii="Times New Roman" w:hAnsi="Times New Roman" w:cs="Times New Roman"/>
          <w:sz w:val="28"/>
          <w:szCs w:val="28"/>
          <w:lang w:val="en-US"/>
        </w:rPr>
      </w:pPr>
    </w:p>
    <w:p w14:paraId="02E33040" w14:textId="6B61C9C8" w:rsidR="00D656AD" w:rsidRPr="008749E7" w:rsidRDefault="00D656AD" w:rsidP="008749E7">
      <w:pPr>
        <w:pStyle w:val="ListParagraph"/>
        <w:numPr>
          <w:ilvl w:val="0"/>
          <w:numId w:val="10"/>
        </w:numPr>
        <w:spacing w:after="0" w:line="240" w:lineRule="auto"/>
        <w:jc w:val="both"/>
        <w:rPr>
          <w:rFonts w:ascii="Times New Roman" w:hAnsi="Times New Roman" w:cs="Times New Roman"/>
          <w:sz w:val="28"/>
          <w:szCs w:val="28"/>
          <w:lang w:val="en-US"/>
        </w:rPr>
      </w:pPr>
      <w:r w:rsidRPr="00D656AD">
        <w:rPr>
          <w:rFonts w:ascii="Times New Roman" w:hAnsi="Times New Roman" w:cs="Times New Roman"/>
          <w:sz w:val="28"/>
          <w:szCs w:val="28"/>
          <w:lang w:val="en-US"/>
        </w:rPr>
        <w:t xml:space="preserve">I thank both counsel for their excellent briefs and oral advocacy on the part of their respective clients. </w:t>
      </w:r>
    </w:p>
    <w:p w14:paraId="30C20DEB" w14:textId="77777777" w:rsidR="00D656AD" w:rsidRPr="008749E7" w:rsidRDefault="00D656AD" w:rsidP="008749E7">
      <w:pPr>
        <w:pStyle w:val="ListParagraph"/>
        <w:spacing w:after="0" w:line="240" w:lineRule="auto"/>
        <w:ind w:left="0"/>
        <w:jc w:val="both"/>
        <w:rPr>
          <w:rFonts w:ascii="Times New Roman" w:hAnsi="Times New Roman" w:cs="Times New Roman"/>
          <w:sz w:val="28"/>
          <w:szCs w:val="28"/>
        </w:rPr>
      </w:pPr>
    </w:p>
    <w:p w14:paraId="27BB9BF5" w14:textId="150430EF" w:rsidR="0016024A" w:rsidRDefault="00455003" w:rsidP="003E1F87">
      <w:pPr>
        <w:tabs>
          <w:tab w:val="left" w:pos="720"/>
          <w:tab w:val="left" w:pos="1440"/>
          <w:tab w:val="left" w:pos="2160"/>
          <w:tab w:val="left" w:pos="2880"/>
          <w:tab w:val="left" w:pos="3600"/>
          <w:tab w:val="left" w:pos="4320"/>
          <w:tab w:val="left" w:pos="5040"/>
          <w:tab w:val="left" w:pos="5760"/>
        </w:tabs>
        <w:spacing w:after="0" w:line="240" w:lineRule="auto"/>
        <w:rPr>
          <w:rFonts w:ascii="Times New Roman" w:hAnsi="Times New Roman" w:cs="Times New Roman"/>
          <w:sz w:val="28"/>
          <w:szCs w:val="28"/>
        </w:rPr>
      </w:pPr>
      <w:r w:rsidRPr="00455003">
        <w:rPr>
          <w:rFonts w:ascii="Times New Roman" w:hAnsi="Times New Roman" w:cs="Times New Roman"/>
          <w:sz w:val="28"/>
          <w:szCs w:val="28"/>
        </w:rPr>
        <w:fldChar w:fldCharType="begin"/>
      </w:r>
      <w:r w:rsidRPr="00455003">
        <w:rPr>
          <w:rFonts w:ascii="Times New Roman" w:hAnsi="Times New Roman" w:cs="Times New Roman"/>
          <w:sz w:val="28"/>
          <w:szCs w:val="28"/>
        </w:rPr>
        <w:instrText xml:space="preserve"> SEQ CHAPTER \h \r 1</w:instrText>
      </w:r>
      <w:r w:rsidRPr="00455003">
        <w:rPr>
          <w:rFonts w:ascii="Times New Roman" w:hAnsi="Times New Roman" w:cs="Times New Roman"/>
          <w:sz w:val="28"/>
          <w:szCs w:val="28"/>
        </w:rPr>
        <w:fldChar w:fldCharType="end"/>
      </w:r>
    </w:p>
    <w:p w14:paraId="1B73C165" w14:textId="77777777" w:rsidR="007F2511" w:rsidRDefault="0016024A" w:rsidP="00455003">
      <w:pPr>
        <w:tabs>
          <w:tab w:val="left" w:pos="720"/>
          <w:tab w:val="left" w:pos="1440"/>
          <w:tab w:val="left" w:pos="2160"/>
          <w:tab w:val="left" w:pos="2880"/>
          <w:tab w:val="left" w:pos="3600"/>
          <w:tab w:val="left" w:pos="4320"/>
          <w:tab w:val="left" w:pos="5040"/>
          <w:tab w:val="left" w:pos="5760"/>
        </w:tabs>
        <w:spacing w:after="0" w:line="240" w:lineRule="auto"/>
        <w:ind w:left="5760" w:hanging="576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41F9319B" w14:textId="73F575CB" w:rsidR="00455003" w:rsidRPr="00455003" w:rsidRDefault="007F2511" w:rsidP="00455003">
      <w:pPr>
        <w:tabs>
          <w:tab w:val="left" w:pos="720"/>
          <w:tab w:val="left" w:pos="1440"/>
          <w:tab w:val="left" w:pos="2160"/>
          <w:tab w:val="left" w:pos="2880"/>
          <w:tab w:val="left" w:pos="3600"/>
          <w:tab w:val="left" w:pos="4320"/>
          <w:tab w:val="left" w:pos="5040"/>
          <w:tab w:val="left" w:pos="5760"/>
        </w:tabs>
        <w:spacing w:after="0" w:line="240" w:lineRule="auto"/>
        <w:ind w:left="5760" w:hanging="576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770B2F">
        <w:rPr>
          <w:rFonts w:ascii="Times New Roman" w:hAnsi="Times New Roman" w:cs="Times New Roman"/>
          <w:sz w:val="28"/>
          <w:szCs w:val="28"/>
        </w:rPr>
        <w:t>S.M. MacPherson</w:t>
      </w:r>
    </w:p>
    <w:p w14:paraId="0FF0E785" w14:textId="77777777" w:rsidR="00455003" w:rsidRPr="00455003" w:rsidRDefault="00455003" w:rsidP="00455003">
      <w:pPr>
        <w:spacing w:after="0" w:line="240" w:lineRule="auto"/>
        <w:rPr>
          <w:rFonts w:ascii="Times New Roman" w:hAnsi="Times New Roman" w:cs="Times New Roman"/>
          <w:sz w:val="28"/>
          <w:szCs w:val="28"/>
        </w:rPr>
      </w:pPr>
      <w:r w:rsidRPr="00455003">
        <w:rPr>
          <w:rFonts w:ascii="Times New Roman" w:hAnsi="Times New Roman" w:cs="Times New Roman"/>
          <w:sz w:val="28"/>
          <w:szCs w:val="28"/>
        </w:rPr>
        <w:tab/>
      </w:r>
      <w:r w:rsidR="009D2ECB">
        <w:rPr>
          <w:rFonts w:ascii="Times New Roman" w:hAnsi="Times New Roman" w:cs="Times New Roman"/>
          <w:sz w:val="28"/>
          <w:szCs w:val="28"/>
        </w:rPr>
        <w:tab/>
      </w:r>
      <w:r w:rsidRPr="00455003">
        <w:rPr>
          <w:rFonts w:ascii="Times New Roman" w:hAnsi="Times New Roman" w:cs="Times New Roman"/>
          <w:sz w:val="28"/>
          <w:szCs w:val="28"/>
        </w:rPr>
        <w:tab/>
      </w:r>
      <w:r w:rsidRPr="00455003">
        <w:rPr>
          <w:rFonts w:ascii="Times New Roman" w:hAnsi="Times New Roman" w:cs="Times New Roman"/>
          <w:sz w:val="28"/>
          <w:szCs w:val="28"/>
        </w:rPr>
        <w:tab/>
      </w:r>
      <w:r w:rsidRPr="00455003">
        <w:rPr>
          <w:rFonts w:ascii="Times New Roman" w:hAnsi="Times New Roman" w:cs="Times New Roman"/>
          <w:sz w:val="28"/>
          <w:szCs w:val="28"/>
        </w:rPr>
        <w:tab/>
      </w:r>
      <w:r w:rsidRPr="00455003">
        <w:rPr>
          <w:rFonts w:ascii="Times New Roman" w:hAnsi="Times New Roman" w:cs="Times New Roman"/>
          <w:sz w:val="28"/>
          <w:szCs w:val="28"/>
        </w:rPr>
        <w:tab/>
      </w:r>
      <w:r w:rsidRPr="00455003">
        <w:rPr>
          <w:rFonts w:ascii="Times New Roman" w:hAnsi="Times New Roman" w:cs="Times New Roman"/>
          <w:sz w:val="28"/>
          <w:szCs w:val="28"/>
        </w:rPr>
        <w:tab/>
      </w:r>
      <w:r w:rsidRPr="00455003">
        <w:rPr>
          <w:rFonts w:ascii="Times New Roman" w:hAnsi="Times New Roman" w:cs="Times New Roman"/>
          <w:sz w:val="28"/>
          <w:szCs w:val="28"/>
        </w:rPr>
        <w:tab/>
        <w:t xml:space="preserve">        </w:t>
      </w:r>
      <w:r w:rsidR="004F225C">
        <w:rPr>
          <w:rFonts w:ascii="Times New Roman" w:hAnsi="Times New Roman" w:cs="Times New Roman"/>
          <w:sz w:val="28"/>
          <w:szCs w:val="28"/>
        </w:rPr>
        <w:tab/>
      </w:r>
      <w:r w:rsidRPr="00455003">
        <w:rPr>
          <w:rFonts w:ascii="Times New Roman" w:hAnsi="Times New Roman" w:cs="Times New Roman"/>
          <w:sz w:val="28"/>
          <w:szCs w:val="28"/>
        </w:rPr>
        <w:t>J.S.C.</w:t>
      </w:r>
    </w:p>
    <w:p w14:paraId="27EE957C" w14:textId="77777777" w:rsidR="00455003" w:rsidRPr="00455003" w:rsidRDefault="00455003" w:rsidP="00455003">
      <w:pPr>
        <w:spacing w:after="0" w:line="240" w:lineRule="auto"/>
        <w:rPr>
          <w:rFonts w:ascii="Times New Roman" w:hAnsi="Times New Roman" w:cs="Times New Roman"/>
          <w:sz w:val="28"/>
          <w:szCs w:val="28"/>
        </w:rPr>
      </w:pPr>
      <w:r w:rsidRPr="00455003">
        <w:rPr>
          <w:rFonts w:ascii="Times New Roman" w:hAnsi="Times New Roman" w:cs="Times New Roman"/>
          <w:sz w:val="28"/>
          <w:szCs w:val="28"/>
        </w:rPr>
        <w:t xml:space="preserve">Dated at Yellowknife, NT, </w:t>
      </w:r>
      <w:proofErr w:type="gramStart"/>
      <w:r w:rsidRPr="00455003">
        <w:rPr>
          <w:rFonts w:ascii="Times New Roman" w:hAnsi="Times New Roman" w:cs="Times New Roman"/>
          <w:sz w:val="28"/>
          <w:szCs w:val="28"/>
        </w:rPr>
        <w:t>this</w:t>
      </w:r>
      <w:proofErr w:type="gramEnd"/>
    </w:p>
    <w:p w14:paraId="06E98A6C" w14:textId="3094414C" w:rsidR="00455003" w:rsidRPr="00455003" w:rsidRDefault="004D1550" w:rsidP="00455003">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594C85">
        <w:rPr>
          <w:rFonts w:ascii="Times New Roman" w:hAnsi="Times New Roman" w:cs="Times New Roman"/>
          <w:sz w:val="28"/>
          <w:szCs w:val="28"/>
        </w:rPr>
        <w:t>2</w:t>
      </w:r>
      <w:r w:rsidR="00594C85" w:rsidRPr="00594C85">
        <w:rPr>
          <w:rFonts w:ascii="Times New Roman" w:hAnsi="Times New Roman" w:cs="Times New Roman"/>
          <w:sz w:val="28"/>
          <w:szCs w:val="28"/>
          <w:vertAlign w:val="superscript"/>
        </w:rPr>
        <w:t>nd</w:t>
      </w:r>
      <w:r w:rsidR="00594C85">
        <w:rPr>
          <w:rFonts w:ascii="Times New Roman" w:hAnsi="Times New Roman" w:cs="Times New Roman"/>
          <w:sz w:val="28"/>
          <w:szCs w:val="28"/>
        </w:rPr>
        <w:t xml:space="preserve"> </w:t>
      </w:r>
      <w:r w:rsidR="00455003" w:rsidRPr="00455003">
        <w:rPr>
          <w:rFonts w:ascii="Times New Roman" w:hAnsi="Times New Roman" w:cs="Times New Roman"/>
          <w:sz w:val="28"/>
          <w:szCs w:val="28"/>
        </w:rPr>
        <w:t>day of</w:t>
      </w:r>
      <w:r w:rsidR="00CF5359">
        <w:rPr>
          <w:rFonts w:ascii="Times New Roman" w:hAnsi="Times New Roman" w:cs="Times New Roman"/>
          <w:sz w:val="28"/>
          <w:szCs w:val="28"/>
        </w:rPr>
        <w:t xml:space="preserve"> </w:t>
      </w:r>
      <w:r w:rsidR="00527990">
        <w:rPr>
          <w:rFonts w:ascii="Times New Roman" w:hAnsi="Times New Roman" w:cs="Times New Roman"/>
          <w:sz w:val="28"/>
          <w:szCs w:val="28"/>
        </w:rPr>
        <w:t>February</w:t>
      </w:r>
      <w:r w:rsidR="00770B2F">
        <w:rPr>
          <w:rFonts w:ascii="Times New Roman" w:hAnsi="Times New Roman" w:cs="Times New Roman"/>
          <w:sz w:val="28"/>
          <w:szCs w:val="28"/>
        </w:rPr>
        <w:t xml:space="preserve"> 2024</w:t>
      </w:r>
    </w:p>
    <w:p w14:paraId="486FF294" w14:textId="77777777" w:rsidR="00455003" w:rsidRPr="00455003" w:rsidRDefault="00455003" w:rsidP="00455003">
      <w:pPr>
        <w:spacing w:after="0" w:line="240" w:lineRule="auto"/>
        <w:rPr>
          <w:rFonts w:ascii="Times New Roman" w:hAnsi="Times New Roman" w:cs="Times New Roman"/>
          <w:sz w:val="28"/>
          <w:szCs w:val="28"/>
        </w:rPr>
      </w:pPr>
    </w:p>
    <w:p w14:paraId="09B9EB17" w14:textId="157CC54D" w:rsidR="00455003" w:rsidRDefault="008F71FF" w:rsidP="00770B2F">
      <w:pPr>
        <w:tabs>
          <w:tab w:val="left" w:pos="720"/>
          <w:tab w:val="left" w:pos="1440"/>
          <w:tab w:val="left" w:pos="2160"/>
          <w:tab w:val="left" w:pos="2880"/>
          <w:tab w:val="left" w:pos="3600"/>
        </w:tabs>
        <w:spacing w:after="0" w:line="240" w:lineRule="auto"/>
        <w:ind w:left="3600" w:hanging="3600"/>
        <w:rPr>
          <w:rFonts w:ascii="Times New Roman" w:hAnsi="Times New Roman" w:cs="Times New Roman"/>
          <w:sz w:val="28"/>
          <w:szCs w:val="28"/>
        </w:rPr>
      </w:pPr>
      <w:r>
        <w:rPr>
          <w:rFonts w:ascii="Times New Roman" w:hAnsi="Times New Roman" w:cs="Times New Roman"/>
          <w:sz w:val="28"/>
          <w:szCs w:val="28"/>
        </w:rPr>
        <w:t>Counsel</w:t>
      </w:r>
      <w:r w:rsidR="00987D86">
        <w:rPr>
          <w:rFonts w:ascii="Times New Roman" w:hAnsi="Times New Roman" w:cs="Times New Roman"/>
          <w:sz w:val="28"/>
          <w:szCs w:val="28"/>
        </w:rPr>
        <w:t xml:space="preserve"> for the </w:t>
      </w:r>
      <w:r w:rsidR="008749E7">
        <w:rPr>
          <w:rFonts w:ascii="Times New Roman" w:hAnsi="Times New Roman" w:cs="Times New Roman"/>
          <w:sz w:val="28"/>
          <w:szCs w:val="28"/>
        </w:rPr>
        <w:t>Plaintiffs</w:t>
      </w:r>
      <w:r w:rsidR="00455003" w:rsidRPr="00455003">
        <w:rPr>
          <w:rFonts w:ascii="Times New Roman" w:hAnsi="Times New Roman" w:cs="Times New Roman"/>
          <w:sz w:val="28"/>
          <w:szCs w:val="28"/>
        </w:rPr>
        <w:t xml:space="preserve">: </w:t>
      </w:r>
      <w:r w:rsidR="00455003" w:rsidRPr="00455003">
        <w:rPr>
          <w:rFonts w:ascii="Times New Roman" w:hAnsi="Times New Roman" w:cs="Times New Roman"/>
          <w:sz w:val="28"/>
          <w:szCs w:val="28"/>
        </w:rPr>
        <w:tab/>
      </w:r>
      <w:r w:rsidR="00CF5359">
        <w:rPr>
          <w:rFonts w:ascii="Times New Roman" w:hAnsi="Times New Roman" w:cs="Times New Roman"/>
          <w:sz w:val="28"/>
          <w:szCs w:val="28"/>
        </w:rPr>
        <w:tab/>
      </w:r>
      <w:r w:rsidR="00CF5359">
        <w:rPr>
          <w:rFonts w:ascii="Times New Roman" w:hAnsi="Times New Roman" w:cs="Times New Roman"/>
          <w:sz w:val="28"/>
          <w:szCs w:val="28"/>
        </w:rPr>
        <w:tab/>
      </w:r>
      <w:r w:rsidR="003815FE">
        <w:rPr>
          <w:rFonts w:ascii="Times New Roman" w:hAnsi="Times New Roman" w:cs="Times New Roman"/>
          <w:sz w:val="28"/>
          <w:szCs w:val="28"/>
        </w:rPr>
        <w:tab/>
      </w:r>
      <w:r w:rsidR="0016024A">
        <w:rPr>
          <w:rFonts w:ascii="Times New Roman" w:hAnsi="Times New Roman" w:cs="Times New Roman"/>
          <w:sz w:val="28"/>
          <w:szCs w:val="28"/>
        </w:rPr>
        <w:tab/>
      </w:r>
      <w:proofErr w:type="spellStart"/>
      <w:r w:rsidR="008749E7">
        <w:rPr>
          <w:rFonts w:ascii="Times New Roman" w:hAnsi="Times New Roman" w:cs="Times New Roman"/>
          <w:sz w:val="28"/>
          <w:szCs w:val="28"/>
        </w:rPr>
        <w:t>Kember</w:t>
      </w:r>
      <w:proofErr w:type="spellEnd"/>
      <w:r w:rsidR="008749E7">
        <w:rPr>
          <w:rFonts w:ascii="Times New Roman" w:hAnsi="Times New Roman" w:cs="Times New Roman"/>
          <w:sz w:val="28"/>
          <w:szCs w:val="28"/>
        </w:rPr>
        <w:t xml:space="preserve"> </w:t>
      </w:r>
      <w:proofErr w:type="spellStart"/>
      <w:r w:rsidR="008749E7">
        <w:rPr>
          <w:rFonts w:ascii="Times New Roman" w:hAnsi="Times New Roman" w:cs="Times New Roman"/>
          <w:sz w:val="28"/>
          <w:szCs w:val="28"/>
        </w:rPr>
        <w:t>Handzic</w:t>
      </w:r>
      <w:proofErr w:type="spellEnd"/>
    </w:p>
    <w:p w14:paraId="3C7C843B" w14:textId="77777777" w:rsidR="00CF5359" w:rsidRPr="00455003" w:rsidRDefault="00CF5359" w:rsidP="00455003">
      <w:pPr>
        <w:tabs>
          <w:tab w:val="left" w:pos="720"/>
          <w:tab w:val="left" w:pos="1440"/>
          <w:tab w:val="left" w:pos="2160"/>
          <w:tab w:val="left" w:pos="2880"/>
          <w:tab w:val="left" w:pos="3600"/>
        </w:tabs>
        <w:spacing w:after="0" w:line="240" w:lineRule="auto"/>
        <w:ind w:left="3600" w:hanging="3600"/>
        <w:rPr>
          <w:rFonts w:ascii="Times New Roman" w:hAnsi="Times New Roman" w:cs="Times New Roman"/>
          <w:sz w:val="28"/>
          <w:szCs w:val="28"/>
        </w:rPr>
      </w:pPr>
    </w:p>
    <w:p w14:paraId="0FE9B217" w14:textId="4AFA9B17" w:rsidR="00707EAE" w:rsidRDefault="008F71FF" w:rsidP="00455003">
      <w:pPr>
        <w:spacing w:after="0" w:line="240" w:lineRule="auto"/>
        <w:rPr>
          <w:rFonts w:ascii="Times New Roman" w:hAnsi="Times New Roman" w:cs="Times New Roman"/>
          <w:sz w:val="28"/>
          <w:szCs w:val="28"/>
        </w:rPr>
      </w:pPr>
      <w:r>
        <w:rPr>
          <w:rFonts w:ascii="Times New Roman" w:hAnsi="Times New Roman" w:cs="Times New Roman"/>
          <w:sz w:val="28"/>
          <w:szCs w:val="28"/>
        </w:rPr>
        <w:t>Counsel</w:t>
      </w:r>
      <w:r w:rsidR="00987D86">
        <w:rPr>
          <w:rFonts w:ascii="Times New Roman" w:hAnsi="Times New Roman" w:cs="Times New Roman"/>
          <w:sz w:val="28"/>
          <w:szCs w:val="28"/>
        </w:rPr>
        <w:t xml:space="preserve"> for the </w:t>
      </w:r>
      <w:r w:rsidR="008749E7">
        <w:rPr>
          <w:rFonts w:ascii="Times New Roman" w:hAnsi="Times New Roman" w:cs="Times New Roman"/>
          <w:sz w:val="28"/>
          <w:szCs w:val="28"/>
        </w:rPr>
        <w:t>Defendants</w:t>
      </w:r>
      <w:r w:rsidR="00987D86">
        <w:rPr>
          <w:rFonts w:ascii="Times New Roman" w:hAnsi="Times New Roman" w:cs="Times New Roman"/>
          <w:sz w:val="28"/>
          <w:szCs w:val="28"/>
        </w:rPr>
        <w:t>:</w:t>
      </w:r>
      <w:r w:rsidR="00987D86">
        <w:rPr>
          <w:rFonts w:ascii="Times New Roman" w:hAnsi="Times New Roman" w:cs="Times New Roman"/>
          <w:sz w:val="28"/>
          <w:szCs w:val="28"/>
        </w:rPr>
        <w:tab/>
      </w:r>
      <w:r w:rsidR="00CF5359">
        <w:rPr>
          <w:rFonts w:ascii="Times New Roman" w:hAnsi="Times New Roman" w:cs="Times New Roman"/>
          <w:sz w:val="28"/>
          <w:szCs w:val="28"/>
        </w:rPr>
        <w:tab/>
      </w:r>
      <w:r w:rsidR="003815FE">
        <w:rPr>
          <w:rFonts w:ascii="Times New Roman" w:hAnsi="Times New Roman" w:cs="Times New Roman"/>
          <w:sz w:val="28"/>
          <w:szCs w:val="28"/>
        </w:rPr>
        <w:tab/>
      </w:r>
      <w:r w:rsidR="003815FE">
        <w:rPr>
          <w:rFonts w:ascii="Times New Roman" w:hAnsi="Times New Roman" w:cs="Times New Roman"/>
          <w:sz w:val="28"/>
          <w:szCs w:val="28"/>
        </w:rPr>
        <w:tab/>
      </w:r>
      <w:r w:rsidR="003815FE">
        <w:rPr>
          <w:rFonts w:ascii="Times New Roman" w:hAnsi="Times New Roman" w:cs="Times New Roman"/>
          <w:sz w:val="28"/>
          <w:szCs w:val="28"/>
        </w:rPr>
        <w:tab/>
      </w:r>
      <w:r w:rsidR="00527990">
        <w:rPr>
          <w:rFonts w:ascii="Times New Roman" w:hAnsi="Times New Roman" w:cs="Times New Roman"/>
          <w:sz w:val="28"/>
          <w:szCs w:val="28"/>
        </w:rPr>
        <w:t>Justine Blanchet</w:t>
      </w:r>
    </w:p>
    <w:p w14:paraId="1B4A3CBC" w14:textId="0ADDDBDE" w:rsidR="008749E7" w:rsidRDefault="008749E7" w:rsidP="0045500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Stanton Territorial Hospital, Northwest</w:t>
      </w:r>
    </w:p>
    <w:p w14:paraId="06B699D1" w14:textId="6B4E0C8A" w:rsidR="008749E7" w:rsidRDefault="008749E7" w:rsidP="0045500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Territories Health and Social Services </w:t>
      </w:r>
    </w:p>
    <w:p w14:paraId="4633FAAF" w14:textId="77777777" w:rsidR="008749E7" w:rsidRDefault="008749E7" w:rsidP="00455003">
      <w:pPr>
        <w:spacing w:after="0" w:line="240" w:lineRule="auto"/>
        <w:rPr>
          <w:rFonts w:ascii="Times New Roman" w:hAnsi="Times New Roman" w:cs="Times New Roman"/>
          <w:sz w:val="28"/>
          <w:szCs w:val="28"/>
        </w:rPr>
      </w:pPr>
    </w:p>
    <w:p w14:paraId="66A04622" w14:textId="149BA31B" w:rsidR="008749E7" w:rsidRDefault="008749E7" w:rsidP="00455003">
      <w:pPr>
        <w:spacing w:after="0" w:line="240" w:lineRule="auto"/>
        <w:rPr>
          <w:rFonts w:ascii="Times New Roman" w:hAnsi="Times New Roman" w:cs="Times New Roman"/>
          <w:sz w:val="28"/>
          <w:szCs w:val="28"/>
        </w:rPr>
      </w:pPr>
      <w:r>
        <w:rPr>
          <w:rFonts w:ascii="Times New Roman" w:hAnsi="Times New Roman" w:cs="Times New Roman"/>
          <w:sz w:val="28"/>
          <w:szCs w:val="28"/>
        </w:rPr>
        <w:t>Counsel for the Defendant: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Erik Holmstrom</w:t>
      </w:r>
    </w:p>
    <w:p w14:paraId="36386FB7" w14:textId="479C70A5" w:rsidR="008749E7" w:rsidRDefault="008749E7" w:rsidP="0045500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Dr. Fiona Aiston</w:t>
      </w:r>
    </w:p>
    <w:p w14:paraId="1361C9FD" w14:textId="1AF8DB65" w:rsidR="00004A71" w:rsidRDefault="00004A71" w:rsidP="00455003">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298EBA24" w14:textId="77777777" w:rsidR="00707EAE" w:rsidRPr="0032647A" w:rsidRDefault="00707EAE">
      <w:pPr>
        <w:rPr>
          <w:rFonts w:ascii="Times New Roman" w:hAnsi="Times New Roman" w:cs="Times New Roman"/>
          <w:sz w:val="28"/>
          <w:szCs w:val="28"/>
        </w:rPr>
        <w:sectPr w:rsidR="00707EAE" w:rsidRPr="0032647A" w:rsidSect="008C09DB">
          <w:headerReference w:type="default" r:id="rId11"/>
          <w:headerReference w:type="first" r:id="rId12"/>
          <w:type w:val="continuous"/>
          <w:pgSz w:w="12240" w:h="15840"/>
          <w:pgMar w:top="1440" w:right="1440" w:bottom="1440" w:left="1440" w:header="720" w:footer="720" w:gutter="0"/>
          <w:cols w:space="720"/>
          <w:titlePg/>
          <w:docGrid w:linePitch="360"/>
        </w:sectPr>
      </w:pPr>
      <w:r w:rsidRPr="0032647A">
        <w:rPr>
          <w:rFonts w:ascii="Times New Roman" w:hAnsi="Times New Roman" w:cs="Times New Roman"/>
          <w:sz w:val="28"/>
          <w:szCs w:val="28"/>
        </w:rPr>
        <w:br w:type="page"/>
      </w:r>
    </w:p>
    <w:p w14:paraId="6387B8A3" w14:textId="77777777" w:rsidR="00707EAE" w:rsidRPr="0032647A" w:rsidRDefault="00707EAE">
      <w:pPr>
        <w:rPr>
          <w:rFonts w:ascii="Times New Roman" w:hAnsi="Times New Roman" w:cs="Times New Roman"/>
          <w:sz w:val="28"/>
          <w:szCs w:val="28"/>
        </w:rPr>
      </w:pPr>
    </w:p>
    <w:tbl>
      <w:tblPr>
        <w:tblStyle w:val="TableGrid"/>
        <w:tblpPr w:leftFromText="180" w:rightFromText="180" w:horzAnchor="margin" w:tblpXSpec="right" w:tblpY="510"/>
        <w:tblW w:w="0" w:type="auto"/>
        <w:tblBorders>
          <w:top w:val="none" w:sz="0" w:space="0" w:color="auto"/>
          <w:left w:val="none" w:sz="0" w:space="0" w:color="auto"/>
          <w:right w:val="none" w:sz="0" w:space="0" w:color="auto"/>
        </w:tblBorders>
        <w:tblLook w:val="04A0" w:firstRow="1" w:lastRow="0" w:firstColumn="1" w:lastColumn="0" w:noHBand="0" w:noVBand="1"/>
      </w:tblPr>
      <w:tblGrid>
        <w:gridCol w:w="6408"/>
      </w:tblGrid>
      <w:tr w:rsidR="00707EAE" w:rsidRPr="0032647A" w14:paraId="25EC0FD0" w14:textId="77777777" w:rsidTr="00707EAE">
        <w:tc>
          <w:tcPr>
            <w:tcW w:w="6408" w:type="dxa"/>
          </w:tcPr>
          <w:p w14:paraId="68C342F1" w14:textId="6A4BAC99" w:rsidR="00707EAE" w:rsidRPr="0032647A" w:rsidRDefault="0016024A" w:rsidP="00707EAE">
            <w:pPr>
              <w:jc w:val="right"/>
              <w:rPr>
                <w:rFonts w:ascii="Times New Roman" w:hAnsi="Times New Roman" w:cs="Times New Roman"/>
                <w:sz w:val="28"/>
                <w:szCs w:val="28"/>
              </w:rPr>
            </w:pPr>
            <w:r>
              <w:rPr>
                <w:rFonts w:ascii="Times New Roman" w:hAnsi="Times New Roman" w:cs="Times New Roman"/>
                <w:sz w:val="28"/>
                <w:szCs w:val="28"/>
              </w:rPr>
              <w:t>S-1-C</w:t>
            </w:r>
            <w:r w:rsidR="008749E7">
              <w:rPr>
                <w:rFonts w:ascii="Times New Roman" w:hAnsi="Times New Roman" w:cs="Times New Roman"/>
                <w:sz w:val="28"/>
                <w:szCs w:val="28"/>
              </w:rPr>
              <w:t>V</w:t>
            </w:r>
            <w:r>
              <w:rPr>
                <w:rFonts w:ascii="Times New Roman" w:hAnsi="Times New Roman" w:cs="Times New Roman"/>
                <w:sz w:val="28"/>
                <w:szCs w:val="28"/>
              </w:rPr>
              <w:t>-202</w:t>
            </w:r>
            <w:r w:rsidR="008749E7">
              <w:rPr>
                <w:rFonts w:ascii="Times New Roman" w:hAnsi="Times New Roman" w:cs="Times New Roman"/>
                <w:sz w:val="28"/>
                <w:szCs w:val="28"/>
              </w:rPr>
              <w:t>0</w:t>
            </w:r>
            <w:r>
              <w:rPr>
                <w:rFonts w:ascii="Times New Roman" w:hAnsi="Times New Roman" w:cs="Times New Roman"/>
                <w:sz w:val="28"/>
                <w:szCs w:val="28"/>
              </w:rPr>
              <w:t xml:space="preserve">-000 </w:t>
            </w:r>
            <w:r w:rsidR="008749E7">
              <w:rPr>
                <w:rFonts w:ascii="Times New Roman" w:hAnsi="Times New Roman" w:cs="Times New Roman"/>
                <w:sz w:val="28"/>
                <w:szCs w:val="28"/>
              </w:rPr>
              <w:t>235</w:t>
            </w:r>
          </w:p>
        </w:tc>
      </w:tr>
      <w:tr w:rsidR="00707EAE" w:rsidRPr="0032647A" w14:paraId="747C647C" w14:textId="77777777" w:rsidTr="00707EAE">
        <w:tc>
          <w:tcPr>
            <w:tcW w:w="6408" w:type="dxa"/>
          </w:tcPr>
          <w:p w14:paraId="6C27667E" w14:textId="77777777" w:rsidR="00707EAE" w:rsidRPr="0032647A" w:rsidRDefault="00707EAE" w:rsidP="00707EAE">
            <w:pPr>
              <w:tabs>
                <w:tab w:val="center" w:pos="2784"/>
              </w:tabs>
              <w:jc w:val="center"/>
              <w:rPr>
                <w:rFonts w:ascii="Times New Roman" w:hAnsi="Times New Roman" w:cs="Times New Roman"/>
                <w:b/>
                <w:bCs/>
                <w:sz w:val="28"/>
                <w:szCs w:val="28"/>
                <w:lang w:val="en-GB"/>
              </w:rPr>
            </w:pPr>
          </w:p>
          <w:p w14:paraId="3E93D800" w14:textId="77777777" w:rsidR="00707EAE" w:rsidRPr="0032647A" w:rsidRDefault="00707EAE" w:rsidP="00707EAE">
            <w:pPr>
              <w:tabs>
                <w:tab w:val="center" w:pos="2784"/>
              </w:tabs>
              <w:jc w:val="center"/>
              <w:rPr>
                <w:rFonts w:ascii="Times New Roman" w:hAnsi="Times New Roman" w:cs="Times New Roman"/>
                <w:b/>
                <w:bCs/>
                <w:sz w:val="28"/>
                <w:szCs w:val="28"/>
                <w:lang w:val="en-GB"/>
              </w:rPr>
            </w:pPr>
            <w:r w:rsidRPr="0032647A">
              <w:rPr>
                <w:rFonts w:ascii="Times New Roman" w:hAnsi="Times New Roman" w:cs="Times New Roman"/>
                <w:b/>
                <w:bCs/>
                <w:sz w:val="28"/>
                <w:szCs w:val="28"/>
                <w:lang w:val="en-GB"/>
              </w:rPr>
              <w:t>IN THE SUPREME COURT OF THE</w:t>
            </w:r>
          </w:p>
          <w:p w14:paraId="48D244F3" w14:textId="77777777" w:rsidR="00707EAE" w:rsidRPr="0032647A" w:rsidRDefault="00707EAE" w:rsidP="00707EAE">
            <w:pPr>
              <w:tabs>
                <w:tab w:val="center" w:pos="2784"/>
                <w:tab w:val="left" w:pos="4740"/>
              </w:tabs>
              <w:jc w:val="center"/>
              <w:rPr>
                <w:rFonts w:ascii="Times New Roman" w:hAnsi="Times New Roman" w:cs="Times New Roman"/>
                <w:b/>
                <w:bCs/>
                <w:sz w:val="28"/>
                <w:szCs w:val="28"/>
                <w:lang w:val="en-GB"/>
              </w:rPr>
            </w:pPr>
            <w:r w:rsidRPr="0032647A">
              <w:rPr>
                <w:rFonts w:ascii="Times New Roman" w:hAnsi="Times New Roman" w:cs="Times New Roman"/>
                <w:b/>
                <w:bCs/>
                <w:sz w:val="28"/>
                <w:szCs w:val="28"/>
                <w:lang w:val="en-GB"/>
              </w:rPr>
              <w:t>NORTHWEST TERRITORIES</w:t>
            </w:r>
          </w:p>
          <w:p w14:paraId="45AC0D05" w14:textId="77777777" w:rsidR="00707EAE" w:rsidRPr="0032647A" w:rsidRDefault="00707EAE" w:rsidP="00707EAE">
            <w:pPr>
              <w:pStyle w:val="NoSpacing"/>
              <w:rPr>
                <w:rFonts w:ascii="Times New Roman" w:hAnsi="Times New Roman" w:cs="Times New Roman"/>
                <w:sz w:val="28"/>
                <w:szCs w:val="28"/>
                <w:lang w:val="en-GB"/>
              </w:rPr>
            </w:pPr>
          </w:p>
        </w:tc>
      </w:tr>
      <w:tr w:rsidR="00707EAE" w:rsidRPr="0032647A" w14:paraId="7BC72BC2" w14:textId="77777777" w:rsidTr="00707EAE">
        <w:tc>
          <w:tcPr>
            <w:tcW w:w="6408" w:type="dxa"/>
          </w:tcPr>
          <w:p w14:paraId="6327E9EC" w14:textId="77777777" w:rsidR="00707EAE" w:rsidRPr="0032647A" w:rsidRDefault="00707EAE" w:rsidP="00B5240C">
            <w:pPr>
              <w:rPr>
                <w:rFonts w:ascii="Times New Roman" w:hAnsi="Times New Roman" w:cs="Times New Roman"/>
                <w:sz w:val="28"/>
                <w:szCs w:val="28"/>
              </w:rPr>
            </w:pPr>
          </w:p>
          <w:p w14:paraId="0D45ECC3" w14:textId="77777777" w:rsidR="00707EAE" w:rsidRPr="0032647A" w:rsidRDefault="00707EAE" w:rsidP="00707EAE">
            <w:pPr>
              <w:jc w:val="center"/>
              <w:rPr>
                <w:rFonts w:ascii="Times New Roman" w:hAnsi="Times New Roman" w:cs="Times New Roman"/>
                <w:sz w:val="28"/>
                <w:szCs w:val="28"/>
              </w:rPr>
            </w:pPr>
          </w:p>
          <w:p w14:paraId="4E98A924" w14:textId="77777777" w:rsidR="00707EAE" w:rsidRPr="0032647A" w:rsidRDefault="00707EAE" w:rsidP="00707EAE">
            <w:pPr>
              <w:rPr>
                <w:rFonts w:ascii="Times New Roman" w:hAnsi="Times New Roman" w:cs="Times New Roman"/>
                <w:sz w:val="28"/>
                <w:szCs w:val="28"/>
              </w:rPr>
            </w:pPr>
            <w:r w:rsidRPr="0032647A">
              <w:rPr>
                <w:rFonts w:ascii="Times New Roman" w:hAnsi="Times New Roman" w:cs="Times New Roman"/>
                <w:sz w:val="28"/>
                <w:szCs w:val="28"/>
              </w:rPr>
              <w:t>BETWEEN</w:t>
            </w:r>
          </w:p>
          <w:p w14:paraId="519D9BAD" w14:textId="77777777" w:rsidR="00707EAE" w:rsidRPr="0032647A" w:rsidRDefault="00707EAE" w:rsidP="00707EAE">
            <w:pPr>
              <w:rPr>
                <w:rFonts w:ascii="Times New Roman" w:hAnsi="Times New Roman" w:cs="Times New Roman"/>
                <w:sz w:val="28"/>
                <w:szCs w:val="28"/>
              </w:rPr>
            </w:pPr>
          </w:p>
          <w:p w14:paraId="4DB23F69" w14:textId="2328B560" w:rsidR="003665E1" w:rsidRDefault="008749E7" w:rsidP="009F18D2">
            <w:pPr>
              <w:jc w:val="center"/>
              <w:rPr>
                <w:rFonts w:ascii="Times New Roman" w:hAnsi="Times New Roman" w:cs="Times New Roman"/>
                <w:b/>
                <w:sz w:val="28"/>
                <w:szCs w:val="28"/>
                <w:lang w:val="en-CA"/>
              </w:rPr>
            </w:pPr>
            <w:r>
              <w:rPr>
                <w:rFonts w:ascii="Times New Roman" w:hAnsi="Times New Roman" w:cs="Times New Roman"/>
                <w:b/>
                <w:sz w:val="28"/>
                <w:szCs w:val="28"/>
                <w:lang w:val="en-CA"/>
              </w:rPr>
              <w:t>CINDY JESKE as ADMINISTRATOR of the Estate of SPENCER JESKE and CINDY JESKE</w:t>
            </w:r>
          </w:p>
          <w:p w14:paraId="31BA5098" w14:textId="77777777" w:rsidR="008749E7" w:rsidRPr="009F18D2" w:rsidRDefault="008749E7" w:rsidP="009F18D2">
            <w:pPr>
              <w:jc w:val="center"/>
              <w:rPr>
                <w:rFonts w:ascii="Times New Roman" w:hAnsi="Times New Roman" w:cs="Times New Roman"/>
                <w:b/>
                <w:sz w:val="28"/>
                <w:szCs w:val="28"/>
                <w:lang w:val="en-CA"/>
              </w:rPr>
            </w:pPr>
          </w:p>
          <w:p w14:paraId="4A3790E3" w14:textId="0474B51B" w:rsidR="009F18D2" w:rsidRPr="009F18D2" w:rsidRDefault="008749E7" w:rsidP="009F18D2">
            <w:pPr>
              <w:jc w:val="right"/>
              <w:rPr>
                <w:rFonts w:ascii="Times New Roman" w:hAnsi="Times New Roman" w:cs="Times New Roman"/>
                <w:b/>
                <w:sz w:val="28"/>
                <w:szCs w:val="28"/>
                <w:lang w:val="en-CA"/>
              </w:rPr>
            </w:pPr>
            <w:r>
              <w:rPr>
                <w:rFonts w:ascii="Times New Roman" w:hAnsi="Times New Roman" w:cs="Times New Roman"/>
                <w:b/>
                <w:sz w:val="28"/>
                <w:szCs w:val="28"/>
                <w:lang w:val="en-CA"/>
              </w:rPr>
              <w:t>Plaintiffs</w:t>
            </w:r>
          </w:p>
          <w:p w14:paraId="50BE23F7" w14:textId="77777777" w:rsidR="009F18D2" w:rsidRPr="009F18D2" w:rsidRDefault="009F18D2" w:rsidP="009F18D2">
            <w:pPr>
              <w:jc w:val="center"/>
              <w:rPr>
                <w:rFonts w:ascii="Times New Roman" w:hAnsi="Times New Roman" w:cs="Times New Roman"/>
                <w:b/>
                <w:sz w:val="28"/>
                <w:szCs w:val="28"/>
                <w:lang w:val="en-CA"/>
              </w:rPr>
            </w:pPr>
          </w:p>
          <w:p w14:paraId="297689DB" w14:textId="77777777" w:rsidR="009F18D2" w:rsidRPr="009F18D2" w:rsidRDefault="009F18D2" w:rsidP="009F18D2">
            <w:pPr>
              <w:jc w:val="center"/>
              <w:rPr>
                <w:rFonts w:ascii="Times New Roman" w:hAnsi="Times New Roman" w:cs="Times New Roman"/>
                <w:b/>
                <w:sz w:val="28"/>
                <w:szCs w:val="28"/>
                <w:lang w:val="en-CA"/>
              </w:rPr>
            </w:pPr>
          </w:p>
          <w:p w14:paraId="43936934" w14:textId="77777777" w:rsidR="009F18D2" w:rsidRPr="009F18D2" w:rsidRDefault="009F18D2" w:rsidP="009F18D2">
            <w:pPr>
              <w:jc w:val="center"/>
              <w:rPr>
                <w:rFonts w:ascii="Times New Roman" w:hAnsi="Times New Roman" w:cs="Times New Roman"/>
                <w:b/>
                <w:sz w:val="28"/>
                <w:szCs w:val="28"/>
                <w:lang w:val="en-CA"/>
              </w:rPr>
            </w:pPr>
            <w:r w:rsidRPr="009F18D2">
              <w:rPr>
                <w:rFonts w:ascii="Times New Roman" w:hAnsi="Times New Roman" w:cs="Times New Roman"/>
                <w:b/>
                <w:sz w:val="28"/>
                <w:szCs w:val="28"/>
                <w:lang w:val="en-CA"/>
              </w:rPr>
              <w:t>-and-</w:t>
            </w:r>
          </w:p>
          <w:p w14:paraId="0937D725" w14:textId="77777777" w:rsidR="009F18D2" w:rsidRPr="009F18D2" w:rsidRDefault="009F18D2" w:rsidP="009F18D2">
            <w:pPr>
              <w:jc w:val="center"/>
              <w:rPr>
                <w:rFonts w:ascii="Times New Roman" w:hAnsi="Times New Roman" w:cs="Times New Roman"/>
                <w:b/>
                <w:sz w:val="28"/>
                <w:szCs w:val="28"/>
                <w:lang w:val="en-CA"/>
              </w:rPr>
            </w:pPr>
          </w:p>
          <w:p w14:paraId="3E456575" w14:textId="77777777" w:rsidR="009F18D2" w:rsidRPr="009F18D2" w:rsidRDefault="009F18D2" w:rsidP="009F18D2">
            <w:pPr>
              <w:jc w:val="center"/>
              <w:rPr>
                <w:rFonts w:ascii="Times New Roman" w:hAnsi="Times New Roman" w:cs="Times New Roman"/>
                <w:b/>
                <w:sz w:val="28"/>
                <w:szCs w:val="28"/>
                <w:lang w:val="en-CA"/>
              </w:rPr>
            </w:pPr>
          </w:p>
          <w:p w14:paraId="07520A21" w14:textId="76551AF6" w:rsidR="009F18D2" w:rsidRDefault="008749E7" w:rsidP="009F18D2">
            <w:pPr>
              <w:jc w:val="center"/>
              <w:rPr>
                <w:rFonts w:ascii="Times New Roman" w:hAnsi="Times New Roman" w:cs="Times New Roman"/>
                <w:b/>
                <w:sz w:val="28"/>
                <w:szCs w:val="28"/>
                <w:lang w:val="en-CA"/>
              </w:rPr>
            </w:pPr>
            <w:r>
              <w:rPr>
                <w:rFonts w:ascii="Times New Roman" w:hAnsi="Times New Roman" w:cs="Times New Roman"/>
                <w:b/>
                <w:sz w:val="28"/>
                <w:szCs w:val="28"/>
                <w:lang w:val="en-CA"/>
              </w:rPr>
              <w:t>STANTON TERRITORIAL HOSPITAL, NORTHWEST TERRITORIES HEALTH AND SOCIAL SERVICES AUTHORITY, FIONA AISTON, JOHN DOE 1, JOHN DOE 2, JOHN DOE 3, AND JOHN DOE 4</w:t>
            </w:r>
          </w:p>
          <w:p w14:paraId="0481D7B1" w14:textId="77777777" w:rsidR="008749E7" w:rsidRPr="009F18D2" w:rsidRDefault="008749E7" w:rsidP="009F18D2">
            <w:pPr>
              <w:jc w:val="center"/>
              <w:rPr>
                <w:rFonts w:ascii="Times New Roman" w:hAnsi="Times New Roman" w:cs="Times New Roman"/>
                <w:b/>
                <w:sz w:val="28"/>
                <w:szCs w:val="28"/>
                <w:lang w:val="en-CA"/>
              </w:rPr>
            </w:pPr>
          </w:p>
          <w:p w14:paraId="715B588C" w14:textId="22059228" w:rsidR="009F18D2" w:rsidRPr="009F18D2" w:rsidRDefault="008749E7" w:rsidP="009F18D2">
            <w:pPr>
              <w:jc w:val="right"/>
              <w:rPr>
                <w:rFonts w:ascii="Times New Roman" w:hAnsi="Times New Roman" w:cs="Times New Roman"/>
                <w:b/>
                <w:sz w:val="28"/>
                <w:szCs w:val="28"/>
                <w:lang w:val="en-CA"/>
              </w:rPr>
            </w:pPr>
            <w:r>
              <w:rPr>
                <w:rFonts w:ascii="Times New Roman" w:hAnsi="Times New Roman" w:cs="Times New Roman"/>
                <w:b/>
                <w:sz w:val="28"/>
                <w:szCs w:val="28"/>
                <w:lang w:val="en-CA"/>
              </w:rPr>
              <w:t>Defendants</w:t>
            </w:r>
          </w:p>
          <w:p w14:paraId="5860D46A" w14:textId="77777777" w:rsidR="00707EAE" w:rsidRPr="0032647A" w:rsidRDefault="00707EAE" w:rsidP="00707EAE">
            <w:pPr>
              <w:tabs>
                <w:tab w:val="left" w:pos="720"/>
                <w:tab w:val="left" w:pos="1452"/>
                <w:tab w:val="left" w:pos="2392"/>
              </w:tabs>
              <w:jc w:val="center"/>
              <w:rPr>
                <w:rFonts w:ascii="Times New Roman" w:hAnsi="Times New Roman" w:cs="Times New Roman"/>
                <w:sz w:val="28"/>
                <w:szCs w:val="28"/>
                <w:lang w:val="en-GB"/>
              </w:rPr>
            </w:pPr>
          </w:p>
          <w:p w14:paraId="15C1D388" w14:textId="77777777" w:rsidR="00707EAE" w:rsidRPr="0032647A" w:rsidRDefault="00707EAE" w:rsidP="00707EAE">
            <w:pPr>
              <w:tabs>
                <w:tab w:val="left" w:pos="720"/>
                <w:tab w:val="left" w:pos="1452"/>
                <w:tab w:val="left" w:pos="2392"/>
              </w:tabs>
              <w:jc w:val="center"/>
              <w:rPr>
                <w:rFonts w:ascii="Times New Roman" w:hAnsi="Times New Roman" w:cs="Times New Roman"/>
                <w:sz w:val="28"/>
                <w:szCs w:val="28"/>
                <w:lang w:val="en-GB"/>
              </w:rPr>
            </w:pPr>
          </w:p>
          <w:p w14:paraId="47DCC6E5" w14:textId="77777777" w:rsidR="00707EAE" w:rsidRPr="0032647A" w:rsidRDefault="00707EAE" w:rsidP="00707EAE">
            <w:pPr>
              <w:rPr>
                <w:rFonts w:ascii="Times New Roman" w:hAnsi="Times New Roman" w:cs="Times New Roman"/>
                <w:sz w:val="28"/>
                <w:szCs w:val="28"/>
              </w:rPr>
            </w:pPr>
          </w:p>
        </w:tc>
      </w:tr>
      <w:tr w:rsidR="00707EAE" w:rsidRPr="0032647A" w14:paraId="6A5D5805" w14:textId="77777777" w:rsidTr="00707EAE">
        <w:tc>
          <w:tcPr>
            <w:tcW w:w="6408" w:type="dxa"/>
          </w:tcPr>
          <w:p w14:paraId="22E6B940" w14:textId="77777777" w:rsidR="00707EAE" w:rsidRPr="0032647A" w:rsidRDefault="00707EAE" w:rsidP="00707EAE">
            <w:pPr>
              <w:tabs>
                <w:tab w:val="left" w:pos="720"/>
                <w:tab w:val="left" w:pos="1452"/>
                <w:tab w:val="left" w:pos="2392"/>
              </w:tabs>
              <w:jc w:val="center"/>
              <w:rPr>
                <w:rFonts w:ascii="Times New Roman" w:hAnsi="Times New Roman" w:cs="Times New Roman"/>
                <w:sz w:val="28"/>
                <w:szCs w:val="28"/>
                <w:lang w:val="en-GB"/>
              </w:rPr>
            </w:pPr>
          </w:p>
          <w:p w14:paraId="505DB5D4" w14:textId="5F9D9D9B" w:rsidR="0016024A" w:rsidRPr="00DA2B27" w:rsidRDefault="00770B2F" w:rsidP="0016024A">
            <w:pPr>
              <w:jc w:val="center"/>
              <w:rPr>
                <w:rFonts w:ascii="Times New Roman" w:hAnsi="Times New Roman" w:cs="Times New Roman"/>
                <w:b/>
                <w:sz w:val="28"/>
                <w:szCs w:val="28"/>
              </w:rPr>
            </w:pPr>
            <w:r w:rsidRPr="008749E7">
              <w:rPr>
                <w:rFonts w:ascii="Times New Roman" w:hAnsi="Times New Roman" w:cs="Times New Roman"/>
                <w:b/>
                <w:sz w:val="28"/>
                <w:szCs w:val="28"/>
              </w:rPr>
              <w:t>MEMORANDUM OF JUDGMENT</w:t>
            </w:r>
          </w:p>
          <w:p w14:paraId="2704487B" w14:textId="77777777" w:rsidR="00707EAE" w:rsidRPr="0032647A" w:rsidRDefault="00707EAE" w:rsidP="0016024A">
            <w:pPr>
              <w:tabs>
                <w:tab w:val="left" w:pos="720"/>
                <w:tab w:val="left" w:pos="1452"/>
                <w:tab w:val="left" w:pos="2392"/>
              </w:tabs>
              <w:jc w:val="center"/>
              <w:rPr>
                <w:rFonts w:ascii="Times New Roman" w:hAnsi="Times New Roman" w:cs="Times New Roman"/>
                <w:sz w:val="28"/>
                <w:szCs w:val="28"/>
                <w:lang w:val="en-GB"/>
              </w:rPr>
            </w:pPr>
          </w:p>
        </w:tc>
      </w:tr>
    </w:tbl>
    <w:p w14:paraId="1A06A0A5" w14:textId="77777777" w:rsidR="001F5970" w:rsidRPr="0032647A" w:rsidRDefault="001F5970" w:rsidP="00707EAE">
      <w:pPr>
        <w:spacing w:after="0" w:line="480" w:lineRule="auto"/>
        <w:jc w:val="both"/>
        <w:rPr>
          <w:rFonts w:ascii="Times New Roman" w:hAnsi="Times New Roman" w:cs="Times New Roman"/>
          <w:sz w:val="28"/>
          <w:szCs w:val="28"/>
        </w:rPr>
        <w:sectPr w:rsidR="001F5970" w:rsidRPr="0032647A" w:rsidSect="00707EAE">
          <w:pgSz w:w="12240" w:h="15840"/>
          <w:pgMar w:top="1440" w:right="810" w:bottom="1440" w:left="1440" w:header="720" w:footer="720" w:gutter="0"/>
          <w:cols w:space="720"/>
          <w:titlePg/>
          <w:docGrid w:linePitch="360"/>
        </w:sectPr>
      </w:pPr>
    </w:p>
    <w:p w14:paraId="0B4D91D7" w14:textId="77777777" w:rsidR="000812FA" w:rsidRPr="0032647A" w:rsidRDefault="000812FA" w:rsidP="00707EAE">
      <w:pPr>
        <w:tabs>
          <w:tab w:val="right" w:pos="4230"/>
        </w:tabs>
        <w:spacing w:after="0" w:line="480" w:lineRule="auto"/>
        <w:ind w:right="-432"/>
        <w:jc w:val="both"/>
        <w:rPr>
          <w:rFonts w:ascii="Times New Roman" w:hAnsi="Times New Roman" w:cs="Times New Roman"/>
          <w:sz w:val="28"/>
          <w:szCs w:val="28"/>
          <w:u w:val="single"/>
        </w:rPr>
      </w:pPr>
    </w:p>
    <w:sectPr w:rsidR="000812FA" w:rsidRPr="0032647A" w:rsidSect="000812FA">
      <w:headerReference w:type="default" r:id="rId13"/>
      <w:headerReference w:type="first" r:id="rId14"/>
      <w:type w:val="continuous"/>
      <w:pgSz w:w="12240" w:h="15840" w:code="1"/>
      <w:pgMar w:top="1440" w:right="1440" w:bottom="1440" w:left="1440" w:header="720" w:footer="720" w:gutter="0"/>
      <w:cols w:num="2" w:space="288" w:equalWidth="0">
        <w:col w:w="3600" w:space="288"/>
        <w:col w:w="5472"/>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47DC7" w14:textId="77777777" w:rsidR="004D38E8" w:rsidRDefault="004D38E8" w:rsidP="005B5B19">
      <w:pPr>
        <w:spacing w:after="0" w:line="240" w:lineRule="auto"/>
      </w:pPr>
      <w:r>
        <w:separator/>
      </w:r>
    </w:p>
  </w:endnote>
  <w:endnote w:type="continuationSeparator" w:id="0">
    <w:p w14:paraId="26A1FAE0" w14:textId="77777777" w:rsidR="004D38E8" w:rsidRDefault="004D38E8" w:rsidP="005B5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C2255" w14:textId="77777777" w:rsidR="004D38E8" w:rsidRDefault="004D38E8" w:rsidP="005B5B19">
      <w:pPr>
        <w:spacing w:after="0" w:line="240" w:lineRule="auto"/>
      </w:pPr>
      <w:r>
        <w:separator/>
      </w:r>
    </w:p>
  </w:footnote>
  <w:footnote w:type="continuationSeparator" w:id="0">
    <w:p w14:paraId="2614756C" w14:textId="77777777" w:rsidR="004D38E8" w:rsidRDefault="004D38E8" w:rsidP="005B5B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42712" w14:textId="77777777" w:rsidR="00D81593" w:rsidRPr="0032647A" w:rsidRDefault="00D81593">
    <w:pPr>
      <w:pStyle w:val="Header"/>
      <w:jc w:val="right"/>
      <w:rPr>
        <w:rFonts w:ascii="Times New Roman" w:hAnsi="Times New Roman" w:cs="Times New Roman"/>
        <w:sz w:val="24"/>
        <w:szCs w:val="24"/>
      </w:rPr>
    </w:pPr>
    <w:r w:rsidRPr="0032647A">
      <w:rPr>
        <w:rFonts w:ascii="Times New Roman" w:hAnsi="Times New Roman" w:cs="Times New Roman"/>
        <w:sz w:val="24"/>
        <w:szCs w:val="24"/>
      </w:rPr>
      <w:t xml:space="preserve">Page:  </w:t>
    </w:r>
    <w:sdt>
      <w:sdtPr>
        <w:rPr>
          <w:rFonts w:ascii="Times New Roman" w:hAnsi="Times New Roman" w:cs="Times New Roman"/>
          <w:sz w:val="24"/>
          <w:szCs w:val="24"/>
        </w:rPr>
        <w:id w:val="234848530"/>
        <w:docPartObj>
          <w:docPartGallery w:val="Page Numbers (Top of Page)"/>
          <w:docPartUnique/>
        </w:docPartObj>
      </w:sdtPr>
      <w:sdtEndPr/>
      <w:sdtContent>
        <w:r w:rsidRPr="0032647A">
          <w:rPr>
            <w:rFonts w:ascii="Times New Roman" w:hAnsi="Times New Roman" w:cs="Times New Roman"/>
            <w:sz w:val="24"/>
            <w:szCs w:val="24"/>
          </w:rPr>
          <w:fldChar w:fldCharType="begin"/>
        </w:r>
        <w:r w:rsidRPr="0032647A">
          <w:rPr>
            <w:rFonts w:ascii="Times New Roman" w:hAnsi="Times New Roman" w:cs="Times New Roman"/>
            <w:sz w:val="24"/>
            <w:szCs w:val="24"/>
          </w:rPr>
          <w:instrText xml:space="preserve"> PAGE   \* MERGEFORMAT </w:instrText>
        </w:r>
        <w:r w:rsidRPr="0032647A">
          <w:rPr>
            <w:rFonts w:ascii="Times New Roman" w:hAnsi="Times New Roman" w:cs="Times New Roman"/>
            <w:sz w:val="24"/>
            <w:szCs w:val="24"/>
          </w:rPr>
          <w:fldChar w:fldCharType="separate"/>
        </w:r>
        <w:r w:rsidR="007F2511">
          <w:rPr>
            <w:rFonts w:ascii="Times New Roman" w:hAnsi="Times New Roman" w:cs="Times New Roman"/>
            <w:noProof/>
            <w:sz w:val="24"/>
            <w:szCs w:val="24"/>
          </w:rPr>
          <w:t>4</w:t>
        </w:r>
        <w:r w:rsidRPr="0032647A">
          <w:rPr>
            <w:rFonts w:ascii="Times New Roman" w:hAnsi="Times New Roman" w:cs="Times New Roman"/>
            <w:noProof/>
            <w:sz w:val="24"/>
            <w:szCs w:val="24"/>
          </w:rPr>
          <w:fldChar w:fldCharType="end"/>
        </w:r>
      </w:sdtContent>
    </w:sdt>
  </w:p>
  <w:p w14:paraId="342BA326" w14:textId="77777777" w:rsidR="00D81593" w:rsidRDefault="00D815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5768D" w14:textId="77777777" w:rsidR="00D81593" w:rsidRDefault="00D81593">
    <w:pPr>
      <w:pStyle w:val="Header"/>
      <w:jc w:val="right"/>
    </w:pPr>
  </w:p>
  <w:p w14:paraId="38C201C0" w14:textId="77777777" w:rsidR="00D81593" w:rsidRDefault="00D81593" w:rsidP="005B5B19">
    <w:pPr>
      <w:pStyle w:val="Header"/>
      <w:tabs>
        <w:tab w:val="clear" w:pos="468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924CF" w14:textId="77777777" w:rsidR="00D81593" w:rsidRDefault="00D81593">
    <w:pPr>
      <w:pStyle w:val="Header"/>
      <w:jc w:val="right"/>
    </w:pPr>
    <w:r>
      <w:t xml:space="preserve">Page:  </w:t>
    </w:r>
    <w:sdt>
      <w:sdtPr>
        <w:id w:val="603237367"/>
        <w:docPartObj>
          <w:docPartGallery w:val="Page Numbers (Top of Page)"/>
          <w:docPartUnique/>
        </w:docPartObj>
      </w:sdtPr>
      <w:sdtEndPr/>
      <w:sdtContent>
        <w:r>
          <w:fldChar w:fldCharType="begin"/>
        </w:r>
        <w:r>
          <w:instrText xml:space="preserve"> PAGE   \* MERGEFORMAT </w:instrText>
        </w:r>
        <w:r>
          <w:fldChar w:fldCharType="separate"/>
        </w:r>
        <w:r>
          <w:rPr>
            <w:noProof/>
          </w:rPr>
          <w:t>2</w:t>
        </w:r>
        <w:r>
          <w:rPr>
            <w:noProof/>
          </w:rPr>
          <w:fldChar w:fldCharType="end"/>
        </w:r>
      </w:sdtContent>
    </w:sdt>
  </w:p>
  <w:p w14:paraId="6725EACB" w14:textId="77777777" w:rsidR="00D81593" w:rsidRDefault="00D8159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341C0" w14:textId="77777777" w:rsidR="00D81593" w:rsidRDefault="00D81593">
    <w:pPr>
      <w:pStyle w:val="Header"/>
      <w:jc w:val="right"/>
    </w:pPr>
  </w:p>
  <w:p w14:paraId="5E3E547D" w14:textId="77777777" w:rsidR="00D81593" w:rsidRDefault="00D81593" w:rsidP="005B5B19">
    <w:pPr>
      <w:pStyle w:val="Header"/>
      <w:tabs>
        <w:tab w:val="clea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4424"/>
    <w:multiLevelType w:val="hybridMultilevel"/>
    <w:tmpl w:val="C018CD34"/>
    <w:lvl w:ilvl="0" w:tplc="E038584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23E5C"/>
    <w:multiLevelType w:val="hybridMultilevel"/>
    <w:tmpl w:val="8A986208"/>
    <w:lvl w:ilvl="0" w:tplc="8DD0D0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5B298C"/>
    <w:multiLevelType w:val="hybridMultilevel"/>
    <w:tmpl w:val="1A28B8B6"/>
    <w:lvl w:ilvl="0" w:tplc="75D26B20">
      <w:start w:val="1"/>
      <w:numFmt w:val="decimal"/>
      <w:lvlText w:val="[%1]"/>
      <w:lvlJc w:val="left"/>
      <w:pPr>
        <w:ind w:left="0" w:firstLine="0"/>
      </w:pPr>
      <w:rPr>
        <w:rFonts w:ascii="Times New Roman" w:hAnsi="Times New Roman" w:hint="default"/>
        <w:b w:val="0"/>
        <w:i w:val="0"/>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E61EFC"/>
    <w:multiLevelType w:val="hybridMultilevel"/>
    <w:tmpl w:val="E0C45A1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D4370FA"/>
    <w:multiLevelType w:val="hybridMultilevel"/>
    <w:tmpl w:val="409866D6"/>
    <w:lvl w:ilvl="0" w:tplc="9DC4F1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516BA1"/>
    <w:multiLevelType w:val="hybridMultilevel"/>
    <w:tmpl w:val="41C6DF36"/>
    <w:lvl w:ilvl="0" w:tplc="69EE3F8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AB5677"/>
    <w:multiLevelType w:val="hybridMultilevel"/>
    <w:tmpl w:val="916AF732"/>
    <w:lvl w:ilvl="0" w:tplc="0F28CE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3D5B32"/>
    <w:multiLevelType w:val="hybridMultilevel"/>
    <w:tmpl w:val="A1FE26BC"/>
    <w:lvl w:ilvl="0" w:tplc="1FBE4404">
      <w:start w:val="29"/>
      <w:numFmt w:val="decimal"/>
      <w:lvlText w:val="[%1]"/>
      <w:lvlJc w:val="left"/>
      <w:pPr>
        <w:ind w:left="0" w:firstLine="0"/>
      </w:pPr>
      <w:rPr>
        <w:rFonts w:ascii="Times New Roman" w:hAnsi="Times New Roman" w:hint="default"/>
        <w:b w:val="0"/>
        <w:i w:val="0"/>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4E05AA6"/>
    <w:multiLevelType w:val="hybridMultilevel"/>
    <w:tmpl w:val="DD8E0B6C"/>
    <w:lvl w:ilvl="0" w:tplc="A024FA3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AF70A09"/>
    <w:multiLevelType w:val="hybridMultilevel"/>
    <w:tmpl w:val="76B4403C"/>
    <w:lvl w:ilvl="0" w:tplc="059C944E">
      <w:start w:val="1"/>
      <w:numFmt w:val="decimal"/>
      <w:lvlText w:val="[%1]"/>
      <w:lvlJc w:val="left"/>
      <w:pPr>
        <w:ind w:left="0" w:firstLine="0"/>
      </w:pPr>
      <w:rPr>
        <w:rFonts w:ascii="Times New Roman" w:hAnsi="Times New Roman" w:hint="default"/>
        <w:b w:val="0"/>
        <w:i w:val="0"/>
        <w:sz w:val="28"/>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0C76C7C"/>
    <w:multiLevelType w:val="hybridMultilevel"/>
    <w:tmpl w:val="83524C28"/>
    <w:lvl w:ilvl="0" w:tplc="1E2A9C1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0319AC"/>
    <w:multiLevelType w:val="hybridMultilevel"/>
    <w:tmpl w:val="FBA44562"/>
    <w:lvl w:ilvl="0" w:tplc="DFB24B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AF59AA"/>
    <w:multiLevelType w:val="hybridMultilevel"/>
    <w:tmpl w:val="37C622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36C5A1E"/>
    <w:multiLevelType w:val="hybridMultilevel"/>
    <w:tmpl w:val="6374B0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3A30043"/>
    <w:multiLevelType w:val="hybridMultilevel"/>
    <w:tmpl w:val="3D681E2C"/>
    <w:lvl w:ilvl="0" w:tplc="D40ECE92">
      <w:start w:val="1"/>
      <w:numFmt w:val="decimal"/>
      <w:lvlText w:val="[%1]"/>
      <w:lvlJc w:val="left"/>
      <w:pPr>
        <w:ind w:left="360" w:hanging="360"/>
      </w:pPr>
      <w:rPr>
        <w:rFonts w:ascii="Times New Roman" w:hAnsi="Times New Roman" w:hint="default"/>
        <w:b w:val="0"/>
        <w:i w:val="0"/>
        <w:sz w:val="28"/>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43F02122"/>
    <w:multiLevelType w:val="hybridMultilevel"/>
    <w:tmpl w:val="DED2B2AC"/>
    <w:lvl w:ilvl="0" w:tplc="46CE99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0F555A"/>
    <w:multiLevelType w:val="hybridMultilevel"/>
    <w:tmpl w:val="663207AA"/>
    <w:lvl w:ilvl="0" w:tplc="720CAE0C">
      <w:start w:val="1"/>
      <w:numFmt w:val="lowerLetter"/>
      <w:lvlText w:val="(%1)"/>
      <w:lvlJc w:val="left"/>
      <w:pPr>
        <w:ind w:left="1440" w:hanging="720"/>
      </w:pPr>
      <w:rPr>
        <w:rFonts w:ascii="Times New Roman" w:eastAsiaTheme="minorEastAsia" w:hAnsi="Times New Roman" w:cs="Times New Roman"/>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6B67112D"/>
    <w:multiLevelType w:val="hybridMultilevel"/>
    <w:tmpl w:val="4F24A2D8"/>
    <w:lvl w:ilvl="0" w:tplc="2BBC105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6D361067"/>
    <w:multiLevelType w:val="hybridMultilevel"/>
    <w:tmpl w:val="0166EF4C"/>
    <w:lvl w:ilvl="0" w:tplc="828E19CC">
      <w:start w:val="28"/>
      <w:numFmt w:val="decimal"/>
      <w:lvlText w:val="[%1]"/>
      <w:lvlJc w:val="left"/>
      <w:pPr>
        <w:ind w:left="0" w:firstLine="0"/>
      </w:pPr>
      <w:rPr>
        <w:rFonts w:ascii="Times New Roman" w:hAnsi="Times New Roman" w:hint="default"/>
        <w:b w:val="0"/>
        <w:i w:val="0"/>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F32151D"/>
    <w:multiLevelType w:val="hybridMultilevel"/>
    <w:tmpl w:val="8AB4B00A"/>
    <w:lvl w:ilvl="0" w:tplc="045A4286">
      <w:numFmt w:val="bullet"/>
      <w:lvlText w:val="-"/>
      <w:lvlJc w:val="left"/>
      <w:pPr>
        <w:ind w:left="435" w:hanging="360"/>
      </w:pPr>
      <w:rPr>
        <w:rFonts w:ascii="Times New Roman" w:eastAsiaTheme="minorHAns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0" w15:restartNumberingAfterBreak="0">
    <w:nsid w:val="755A535D"/>
    <w:multiLevelType w:val="hybridMultilevel"/>
    <w:tmpl w:val="2D3CA81E"/>
    <w:lvl w:ilvl="0" w:tplc="FC248338">
      <w:start w:val="1"/>
      <w:numFmt w:val="lowerLetter"/>
      <w:lvlText w:val="%1)"/>
      <w:lvlJc w:val="left"/>
      <w:pPr>
        <w:ind w:left="3240" w:hanging="360"/>
      </w:pPr>
      <w:rPr>
        <w:rFonts w:ascii="Times New Roman" w:eastAsiaTheme="minorHAnsi"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16cid:durableId="1124929450">
    <w:abstractNumId w:val="10"/>
  </w:num>
  <w:num w:numId="2" w16cid:durableId="1791315650">
    <w:abstractNumId w:val="15"/>
  </w:num>
  <w:num w:numId="3" w16cid:durableId="661616021">
    <w:abstractNumId w:val="5"/>
  </w:num>
  <w:num w:numId="4" w16cid:durableId="254871605">
    <w:abstractNumId w:val="0"/>
  </w:num>
  <w:num w:numId="5" w16cid:durableId="16007778">
    <w:abstractNumId w:val="19"/>
  </w:num>
  <w:num w:numId="6" w16cid:durableId="672878410">
    <w:abstractNumId w:val="2"/>
  </w:num>
  <w:num w:numId="7" w16cid:durableId="1596550887">
    <w:abstractNumId w:val="4"/>
  </w:num>
  <w:num w:numId="8" w16cid:durableId="1667316835">
    <w:abstractNumId w:val="1"/>
  </w:num>
  <w:num w:numId="9" w16cid:durableId="390545566">
    <w:abstractNumId w:val="11"/>
  </w:num>
  <w:num w:numId="10" w16cid:durableId="1540363385">
    <w:abstractNumId w:val="9"/>
  </w:num>
  <w:num w:numId="11" w16cid:durableId="45492401">
    <w:abstractNumId w:val="18"/>
  </w:num>
  <w:num w:numId="12" w16cid:durableId="268196143">
    <w:abstractNumId w:val="7"/>
  </w:num>
  <w:num w:numId="13" w16cid:durableId="696541404">
    <w:abstractNumId w:val="12"/>
  </w:num>
  <w:num w:numId="14" w16cid:durableId="1887135259">
    <w:abstractNumId w:val="14"/>
  </w:num>
  <w:num w:numId="15" w16cid:durableId="960578420">
    <w:abstractNumId w:val="6"/>
  </w:num>
  <w:num w:numId="16" w16cid:durableId="2012443033">
    <w:abstractNumId w:val="20"/>
  </w:num>
  <w:num w:numId="17" w16cid:durableId="2050956939">
    <w:abstractNumId w:val="8"/>
  </w:num>
  <w:num w:numId="18" w16cid:durableId="1616516377">
    <w:abstractNumId w:val="13"/>
  </w:num>
  <w:num w:numId="19" w16cid:durableId="1210150416">
    <w:abstractNumId w:val="3"/>
  </w:num>
  <w:num w:numId="20" w16cid:durableId="495806584">
    <w:abstractNumId w:val="17"/>
  </w:num>
  <w:num w:numId="21" w16cid:durableId="4109628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E43"/>
    <w:rsid w:val="0000296C"/>
    <w:rsid w:val="00004A71"/>
    <w:rsid w:val="000056BE"/>
    <w:rsid w:val="00005E7A"/>
    <w:rsid w:val="00006813"/>
    <w:rsid w:val="00006A74"/>
    <w:rsid w:val="0001699C"/>
    <w:rsid w:val="0003120A"/>
    <w:rsid w:val="00055988"/>
    <w:rsid w:val="0005687C"/>
    <w:rsid w:val="00057540"/>
    <w:rsid w:val="00062518"/>
    <w:rsid w:val="0006659D"/>
    <w:rsid w:val="00075447"/>
    <w:rsid w:val="000812FA"/>
    <w:rsid w:val="00086E43"/>
    <w:rsid w:val="000979B2"/>
    <w:rsid w:val="000A02B6"/>
    <w:rsid w:val="000A039B"/>
    <w:rsid w:val="000A21A4"/>
    <w:rsid w:val="000A35CC"/>
    <w:rsid w:val="000A3766"/>
    <w:rsid w:val="000A5120"/>
    <w:rsid w:val="000C025A"/>
    <w:rsid w:val="000C2B13"/>
    <w:rsid w:val="000D2AD1"/>
    <w:rsid w:val="000E0858"/>
    <w:rsid w:val="000E0CB6"/>
    <w:rsid w:val="000E1388"/>
    <w:rsid w:val="000E5036"/>
    <w:rsid w:val="000E54CF"/>
    <w:rsid w:val="000F02DC"/>
    <w:rsid w:val="000F53DB"/>
    <w:rsid w:val="00102340"/>
    <w:rsid w:val="00110056"/>
    <w:rsid w:val="00115512"/>
    <w:rsid w:val="001158E3"/>
    <w:rsid w:val="001159B2"/>
    <w:rsid w:val="00115E43"/>
    <w:rsid w:val="00115FB8"/>
    <w:rsid w:val="00117532"/>
    <w:rsid w:val="00124F16"/>
    <w:rsid w:val="00142877"/>
    <w:rsid w:val="00154197"/>
    <w:rsid w:val="0016024A"/>
    <w:rsid w:val="001617E0"/>
    <w:rsid w:val="0016194C"/>
    <w:rsid w:val="00163416"/>
    <w:rsid w:val="00163503"/>
    <w:rsid w:val="001637C9"/>
    <w:rsid w:val="00174F95"/>
    <w:rsid w:val="00182532"/>
    <w:rsid w:val="001911C0"/>
    <w:rsid w:val="001922F6"/>
    <w:rsid w:val="001925EA"/>
    <w:rsid w:val="00194ABC"/>
    <w:rsid w:val="001A21D9"/>
    <w:rsid w:val="001A2EAD"/>
    <w:rsid w:val="001A3CE0"/>
    <w:rsid w:val="001B341D"/>
    <w:rsid w:val="001B5613"/>
    <w:rsid w:val="001B5D6A"/>
    <w:rsid w:val="001B7074"/>
    <w:rsid w:val="001C1DCF"/>
    <w:rsid w:val="001D303E"/>
    <w:rsid w:val="001E0F8F"/>
    <w:rsid w:val="001E459E"/>
    <w:rsid w:val="001F1B81"/>
    <w:rsid w:val="001F20EA"/>
    <w:rsid w:val="001F4FEB"/>
    <w:rsid w:val="001F5970"/>
    <w:rsid w:val="00204A6E"/>
    <w:rsid w:val="00206627"/>
    <w:rsid w:val="00207E2B"/>
    <w:rsid w:val="00215664"/>
    <w:rsid w:val="002163DE"/>
    <w:rsid w:val="002178AF"/>
    <w:rsid w:val="00231B65"/>
    <w:rsid w:val="0023366A"/>
    <w:rsid w:val="00235875"/>
    <w:rsid w:val="00236DAE"/>
    <w:rsid w:val="00236EF8"/>
    <w:rsid w:val="00242BE8"/>
    <w:rsid w:val="002513D1"/>
    <w:rsid w:val="00255E9F"/>
    <w:rsid w:val="00266742"/>
    <w:rsid w:val="00277109"/>
    <w:rsid w:val="00281021"/>
    <w:rsid w:val="002A52A5"/>
    <w:rsid w:val="002A5F39"/>
    <w:rsid w:val="002A63E1"/>
    <w:rsid w:val="002B28A3"/>
    <w:rsid w:val="002B3702"/>
    <w:rsid w:val="002B5C72"/>
    <w:rsid w:val="002D59FA"/>
    <w:rsid w:val="002E229E"/>
    <w:rsid w:val="002E45D9"/>
    <w:rsid w:val="002F21F4"/>
    <w:rsid w:val="002F3671"/>
    <w:rsid w:val="00300431"/>
    <w:rsid w:val="003031B5"/>
    <w:rsid w:val="00303329"/>
    <w:rsid w:val="0030334C"/>
    <w:rsid w:val="00306DE7"/>
    <w:rsid w:val="003079CA"/>
    <w:rsid w:val="003106E3"/>
    <w:rsid w:val="00313626"/>
    <w:rsid w:val="003138DE"/>
    <w:rsid w:val="003146BC"/>
    <w:rsid w:val="003204AD"/>
    <w:rsid w:val="00321645"/>
    <w:rsid w:val="00322117"/>
    <w:rsid w:val="00323549"/>
    <w:rsid w:val="0032647A"/>
    <w:rsid w:val="00330D14"/>
    <w:rsid w:val="003365BE"/>
    <w:rsid w:val="00336FAB"/>
    <w:rsid w:val="00343C54"/>
    <w:rsid w:val="003444B3"/>
    <w:rsid w:val="00345D14"/>
    <w:rsid w:val="00347B62"/>
    <w:rsid w:val="00352FF7"/>
    <w:rsid w:val="0035763B"/>
    <w:rsid w:val="0035794F"/>
    <w:rsid w:val="003617F3"/>
    <w:rsid w:val="00364F1F"/>
    <w:rsid w:val="00365554"/>
    <w:rsid w:val="003665E1"/>
    <w:rsid w:val="003669FF"/>
    <w:rsid w:val="00371DDD"/>
    <w:rsid w:val="00377F1F"/>
    <w:rsid w:val="003806AE"/>
    <w:rsid w:val="003815FE"/>
    <w:rsid w:val="00383B01"/>
    <w:rsid w:val="00385819"/>
    <w:rsid w:val="003935E1"/>
    <w:rsid w:val="00393A6A"/>
    <w:rsid w:val="003A275B"/>
    <w:rsid w:val="003A3E55"/>
    <w:rsid w:val="003B045A"/>
    <w:rsid w:val="003B5E64"/>
    <w:rsid w:val="003B7AA8"/>
    <w:rsid w:val="003C2C86"/>
    <w:rsid w:val="003C334D"/>
    <w:rsid w:val="003C373F"/>
    <w:rsid w:val="003D37AC"/>
    <w:rsid w:val="003D3E8C"/>
    <w:rsid w:val="003E1F87"/>
    <w:rsid w:val="003F06EF"/>
    <w:rsid w:val="003F2753"/>
    <w:rsid w:val="003F2B8B"/>
    <w:rsid w:val="003F76A2"/>
    <w:rsid w:val="0040420F"/>
    <w:rsid w:val="00423626"/>
    <w:rsid w:val="00426710"/>
    <w:rsid w:val="00427EEA"/>
    <w:rsid w:val="0043283E"/>
    <w:rsid w:val="00442E65"/>
    <w:rsid w:val="00446950"/>
    <w:rsid w:val="00446E40"/>
    <w:rsid w:val="00452C78"/>
    <w:rsid w:val="00455003"/>
    <w:rsid w:val="00457485"/>
    <w:rsid w:val="00460A07"/>
    <w:rsid w:val="0046366D"/>
    <w:rsid w:val="00465C84"/>
    <w:rsid w:val="00465CBE"/>
    <w:rsid w:val="00466B42"/>
    <w:rsid w:val="00467A6D"/>
    <w:rsid w:val="00470085"/>
    <w:rsid w:val="00470587"/>
    <w:rsid w:val="004731CC"/>
    <w:rsid w:val="004739DF"/>
    <w:rsid w:val="004803E9"/>
    <w:rsid w:val="00481216"/>
    <w:rsid w:val="004B1ED2"/>
    <w:rsid w:val="004B26F5"/>
    <w:rsid w:val="004B5E1C"/>
    <w:rsid w:val="004B78DD"/>
    <w:rsid w:val="004C119C"/>
    <w:rsid w:val="004C1942"/>
    <w:rsid w:val="004C2B06"/>
    <w:rsid w:val="004C3E7C"/>
    <w:rsid w:val="004D0D65"/>
    <w:rsid w:val="004D1550"/>
    <w:rsid w:val="004D1B29"/>
    <w:rsid w:val="004D38E8"/>
    <w:rsid w:val="004D43D2"/>
    <w:rsid w:val="004D67C4"/>
    <w:rsid w:val="004E3513"/>
    <w:rsid w:val="004F0138"/>
    <w:rsid w:val="004F14AC"/>
    <w:rsid w:val="004F225C"/>
    <w:rsid w:val="00501407"/>
    <w:rsid w:val="005040FF"/>
    <w:rsid w:val="00512C5E"/>
    <w:rsid w:val="00512DB1"/>
    <w:rsid w:val="005146F8"/>
    <w:rsid w:val="0052111D"/>
    <w:rsid w:val="00527990"/>
    <w:rsid w:val="00533F06"/>
    <w:rsid w:val="005357A7"/>
    <w:rsid w:val="005425F8"/>
    <w:rsid w:val="00546B4F"/>
    <w:rsid w:val="00550FD1"/>
    <w:rsid w:val="005537B5"/>
    <w:rsid w:val="00556AFD"/>
    <w:rsid w:val="00565E44"/>
    <w:rsid w:val="005717AB"/>
    <w:rsid w:val="005763EC"/>
    <w:rsid w:val="00580DC8"/>
    <w:rsid w:val="005846D0"/>
    <w:rsid w:val="00585638"/>
    <w:rsid w:val="00591F5B"/>
    <w:rsid w:val="00592B60"/>
    <w:rsid w:val="00594C85"/>
    <w:rsid w:val="005960CE"/>
    <w:rsid w:val="005A50BD"/>
    <w:rsid w:val="005B5B19"/>
    <w:rsid w:val="005C01FF"/>
    <w:rsid w:val="005C56F2"/>
    <w:rsid w:val="005D57DD"/>
    <w:rsid w:val="005F5DD2"/>
    <w:rsid w:val="00601BAB"/>
    <w:rsid w:val="006106A1"/>
    <w:rsid w:val="0061129A"/>
    <w:rsid w:val="006153F5"/>
    <w:rsid w:val="00615F63"/>
    <w:rsid w:val="00617EA5"/>
    <w:rsid w:val="00626386"/>
    <w:rsid w:val="00630D50"/>
    <w:rsid w:val="00631C79"/>
    <w:rsid w:val="00631E01"/>
    <w:rsid w:val="00635F44"/>
    <w:rsid w:val="0063651C"/>
    <w:rsid w:val="0063717F"/>
    <w:rsid w:val="006525BB"/>
    <w:rsid w:val="0066108F"/>
    <w:rsid w:val="0066396B"/>
    <w:rsid w:val="006641F4"/>
    <w:rsid w:val="00670A74"/>
    <w:rsid w:val="00674A0E"/>
    <w:rsid w:val="00675733"/>
    <w:rsid w:val="00676592"/>
    <w:rsid w:val="00680738"/>
    <w:rsid w:val="006818BB"/>
    <w:rsid w:val="00681EFE"/>
    <w:rsid w:val="00682247"/>
    <w:rsid w:val="00684657"/>
    <w:rsid w:val="00687381"/>
    <w:rsid w:val="00691FB7"/>
    <w:rsid w:val="00695F9D"/>
    <w:rsid w:val="00696837"/>
    <w:rsid w:val="006A186A"/>
    <w:rsid w:val="006A5D3C"/>
    <w:rsid w:val="006B0E57"/>
    <w:rsid w:val="006B6E12"/>
    <w:rsid w:val="006C4F77"/>
    <w:rsid w:val="006D28E5"/>
    <w:rsid w:val="006D2F9B"/>
    <w:rsid w:val="006E0998"/>
    <w:rsid w:val="006E7916"/>
    <w:rsid w:val="006F22C4"/>
    <w:rsid w:val="006F39B9"/>
    <w:rsid w:val="006F5D30"/>
    <w:rsid w:val="006F6FC0"/>
    <w:rsid w:val="006F7F09"/>
    <w:rsid w:val="00705DF1"/>
    <w:rsid w:val="00705F68"/>
    <w:rsid w:val="00707EAE"/>
    <w:rsid w:val="007172DF"/>
    <w:rsid w:val="00717BCC"/>
    <w:rsid w:val="007200C0"/>
    <w:rsid w:val="007212EE"/>
    <w:rsid w:val="007215B4"/>
    <w:rsid w:val="00724D90"/>
    <w:rsid w:val="00726916"/>
    <w:rsid w:val="00731924"/>
    <w:rsid w:val="007404D1"/>
    <w:rsid w:val="00740811"/>
    <w:rsid w:val="00745A79"/>
    <w:rsid w:val="00756DD9"/>
    <w:rsid w:val="0076058B"/>
    <w:rsid w:val="00764076"/>
    <w:rsid w:val="00767DED"/>
    <w:rsid w:val="00770B2F"/>
    <w:rsid w:val="00771042"/>
    <w:rsid w:val="00777B6B"/>
    <w:rsid w:val="00777EF1"/>
    <w:rsid w:val="007802D1"/>
    <w:rsid w:val="00780395"/>
    <w:rsid w:val="0078355C"/>
    <w:rsid w:val="0079331F"/>
    <w:rsid w:val="007A6539"/>
    <w:rsid w:val="007A77D3"/>
    <w:rsid w:val="007B0A50"/>
    <w:rsid w:val="007B5A95"/>
    <w:rsid w:val="007B6556"/>
    <w:rsid w:val="007B7092"/>
    <w:rsid w:val="007C2FA2"/>
    <w:rsid w:val="007C4711"/>
    <w:rsid w:val="007C5A2B"/>
    <w:rsid w:val="007C6085"/>
    <w:rsid w:val="007C7B4C"/>
    <w:rsid w:val="007D09B2"/>
    <w:rsid w:val="007D79D6"/>
    <w:rsid w:val="007E09EE"/>
    <w:rsid w:val="007E4421"/>
    <w:rsid w:val="007F2511"/>
    <w:rsid w:val="007F760D"/>
    <w:rsid w:val="0080023D"/>
    <w:rsid w:val="00802862"/>
    <w:rsid w:val="00811AF5"/>
    <w:rsid w:val="0081355D"/>
    <w:rsid w:val="008262A5"/>
    <w:rsid w:val="008303F4"/>
    <w:rsid w:val="00832080"/>
    <w:rsid w:val="00836214"/>
    <w:rsid w:val="00837FFD"/>
    <w:rsid w:val="008402AF"/>
    <w:rsid w:val="008432ED"/>
    <w:rsid w:val="00845368"/>
    <w:rsid w:val="008513BE"/>
    <w:rsid w:val="008513D6"/>
    <w:rsid w:val="0085198B"/>
    <w:rsid w:val="00852397"/>
    <w:rsid w:val="00854D09"/>
    <w:rsid w:val="00860DED"/>
    <w:rsid w:val="00861D49"/>
    <w:rsid w:val="00865243"/>
    <w:rsid w:val="00866B24"/>
    <w:rsid w:val="00866E9A"/>
    <w:rsid w:val="00872416"/>
    <w:rsid w:val="00873754"/>
    <w:rsid w:val="0087384B"/>
    <w:rsid w:val="008749E7"/>
    <w:rsid w:val="00885453"/>
    <w:rsid w:val="00896674"/>
    <w:rsid w:val="00896CA7"/>
    <w:rsid w:val="008A373B"/>
    <w:rsid w:val="008B5F4C"/>
    <w:rsid w:val="008C09DB"/>
    <w:rsid w:val="008C140F"/>
    <w:rsid w:val="008C3FDE"/>
    <w:rsid w:val="008C4E6D"/>
    <w:rsid w:val="008D10C7"/>
    <w:rsid w:val="008D4122"/>
    <w:rsid w:val="008D4293"/>
    <w:rsid w:val="008D5F09"/>
    <w:rsid w:val="008E3DBD"/>
    <w:rsid w:val="008E57C1"/>
    <w:rsid w:val="008E7740"/>
    <w:rsid w:val="008F14DF"/>
    <w:rsid w:val="008F56D0"/>
    <w:rsid w:val="008F71FF"/>
    <w:rsid w:val="008F760D"/>
    <w:rsid w:val="00903D59"/>
    <w:rsid w:val="009050BC"/>
    <w:rsid w:val="00906189"/>
    <w:rsid w:val="00911A99"/>
    <w:rsid w:val="00911C04"/>
    <w:rsid w:val="00915447"/>
    <w:rsid w:val="0092283C"/>
    <w:rsid w:val="0092316B"/>
    <w:rsid w:val="00923481"/>
    <w:rsid w:val="00931AE0"/>
    <w:rsid w:val="009338A5"/>
    <w:rsid w:val="00934591"/>
    <w:rsid w:val="009354EE"/>
    <w:rsid w:val="00940211"/>
    <w:rsid w:val="0094481F"/>
    <w:rsid w:val="00946241"/>
    <w:rsid w:val="0094755E"/>
    <w:rsid w:val="00960847"/>
    <w:rsid w:val="00962DC3"/>
    <w:rsid w:val="00966B99"/>
    <w:rsid w:val="00966D78"/>
    <w:rsid w:val="00967D4E"/>
    <w:rsid w:val="00974606"/>
    <w:rsid w:val="00987D86"/>
    <w:rsid w:val="009A2E66"/>
    <w:rsid w:val="009A4A9F"/>
    <w:rsid w:val="009A7187"/>
    <w:rsid w:val="009B2273"/>
    <w:rsid w:val="009C2CC4"/>
    <w:rsid w:val="009C474B"/>
    <w:rsid w:val="009C5F7F"/>
    <w:rsid w:val="009D2ECB"/>
    <w:rsid w:val="009D4C53"/>
    <w:rsid w:val="009D4DF6"/>
    <w:rsid w:val="009D7942"/>
    <w:rsid w:val="009E024A"/>
    <w:rsid w:val="009E33CE"/>
    <w:rsid w:val="009E4A10"/>
    <w:rsid w:val="009E5D14"/>
    <w:rsid w:val="009E67C7"/>
    <w:rsid w:val="009E7ECB"/>
    <w:rsid w:val="009F0E0D"/>
    <w:rsid w:val="009F18D2"/>
    <w:rsid w:val="009F1F12"/>
    <w:rsid w:val="009F4EE7"/>
    <w:rsid w:val="00A0231E"/>
    <w:rsid w:val="00A04D11"/>
    <w:rsid w:val="00A06F57"/>
    <w:rsid w:val="00A137FB"/>
    <w:rsid w:val="00A14279"/>
    <w:rsid w:val="00A16D2D"/>
    <w:rsid w:val="00A31AC6"/>
    <w:rsid w:val="00A3395A"/>
    <w:rsid w:val="00A364C5"/>
    <w:rsid w:val="00A376DE"/>
    <w:rsid w:val="00A3798D"/>
    <w:rsid w:val="00A40B5A"/>
    <w:rsid w:val="00A40E84"/>
    <w:rsid w:val="00A46835"/>
    <w:rsid w:val="00A46B37"/>
    <w:rsid w:val="00A46DED"/>
    <w:rsid w:val="00A52763"/>
    <w:rsid w:val="00A54730"/>
    <w:rsid w:val="00A55495"/>
    <w:rsid w:val="00A57498"/>
    <w:rsid w:val="00A61880"/>
    <w:rsid w:val="00A62DC8"/>
    <w:rsid w:val="00A65CCF"/>
    <w:rsid w:val="00A72D7E"/>
    <w:rsid w:val="00A82C88"/>
    <w:rsid w:val="00A82DC7"/>
    <w:rsid w:val="00A84262"/>
    <w:rsid w:val="00A84D6A"/>
    <w:rsid w:val="00A91150"/>
    <w:rsid w:val="00A928FC"/>
    <w:rsid w:val="00AA234A"/>
    <w:rsid w:val="00AA4049"/>
    <w:rsid w:val="00AA468C"/>
    <w:rsid w:val="00AB1856"/>
    <w:rsid w:val="00AB564C"/>
    <w:rsid w:val="00AD170B"/>
    <w:rsid w:val="00AE2019"/>
    <w:rsid w:val="00AE709E"/>
    <w:rsid w:val="00AF1E9D"/>
    <w:rsid w:val="00AF2283"/>
    <w:rsid w:val="00AF25E1"/>
    <w:rsid w:val="00B02019"/>
    <w:rsid w:val="00B12C2C"/>
    <w:rsid w:val="00B179E4"/>
    <w:rsid w:val="00B364CC"/>
    <w:rsid w:val="00B40693"/>
    <w:rsid w:val="00B44547"/>
    <w:rsid w:val="00B47368"/>
    <w:rsid w:val="00B474B5"/>
    <w:rsid w:val="00B512D6"/>
    <w:rsid w:val="00B5240C"/>
    <w:rsid w:val="00B705C5"/>
    <w:rsid w:val="00B735D7"/>
    <w:rsid w:val="00B755B3"/>
    <w:rsid w:val="00B76670"/>
    <w:rsid w:val="00B84CCB"/>
    <w:rsid w:val="00B928B8"/>
    <w:rsid w:val="00B94F8E"/>
    <w:rsid w:val="00BA03A5"/>
    <w:rsid w:val="00BA1BB1"/>
    <w:rsid w:val="00BA3900"/>
    <w:rsid w:val="00BA6AB5"/>
    <w:rsid w:val="00BB3B24"/>
    <w:rsid w:val="00BC697B"/>
    <w:rsid w:val="00BD4DEC"/>
    <w:rsid w:val="00BD7170"/>
    <w:rsid w:val="00BE45B3"/>
    <w:rsid w:val="00BE57EA"/>
    <w:rsid w:val="00BE724E"/>
    <w:rsid w:val="00C00E47"/>
    <w:rsid w:val="00C01A2C"/>
    <w:rsid w:val="00C10531"/>
    <w:rsid w:val="00C105FF"/>
    <w:rsid w:val="00C307E8"/>
    <w:rsid w:val="00C33D48"/>
    <w:rsid w:val="00C346AB"/>
    <w:rsid w:val="00C415F7"/>
    <w:rsid w:val="00C41BCF"/>
    <w:rsid w:val="00C42CC2"/>
    <w:rsid w:val="00C50D55"/>
    <w:rsid w:val="00C516EB"/>
    <w:rsid w:val="00C52F4C"/>
    <w:rsid w:val="00C572E4"/>
    <w:rsid w:val="00C71E0F"/>
    <w:rsid w:val="00C72973"/>
    <w:rsid w:val="00C72AB7"/>
    <w:rsid w:val="00C73C07"/>
    <w:rsid w:val="00C746F4"/>
    <w:rsid w:val="00C76C7B"/>
    <w:rsid w:val="00C86E8C"/>
    <w:rsid w:val="00C94602"/>
    <w:rsid w:val="00C965B0"/>
    <w:rsid w:val="00CA05D7"/>
    <w:rsid w:val="00CA073D"/>
    <w:rsid w:val="00CA135F"/>
    <w:rsid w:val="00CA2D09"/>
    <w:rsid w:val="00CB4397"/>
    <w:rsid w:val="00CB5A2C"/>
    <w:rsid w:val="00CD0C63"/>
    <w:rsid w:val="00CD2DC2"/>
    <w:rsid w:val="00CD5892"/>
    <w:rsid w:val="00CE051B"/>
    <w:rsid w:val="00CE1DC4"/>
    <w:rsid w:val="00CE1F82"/>
    <w:rsid w:val="00CE4EEE"/>
    <w:rsid w:val="00CF009C"/>
    <w:rsid w:val="00CF4587"/>
    <w:rsid w:val="00CF5359"/>
    <w:rsid w:val="00D0058E"/>
    <w:rsid w:val="00D01CCE"/>
    <w:rsid w:val="00D1083B"/>
    <w:rsid w:val="00D1137A"/>
    <w:rsid w:val="00D140D6"/>
    <w:rsid w:val="00D15521"/>
    <w:rsid w:val="00D162A0"/>
    <w:rsid w:val="00D170D0"/>
    <w:rsid w:val="00D171AE"/>
    <w:rsid w:val="00D253B9"/>
    <w:rsid w:val="00D258A3"/>
    <w:rsid w:val="00D355A5"/>
    <w:rsid w:val="00D37D2F"/>
    <w:rsid w:val="00D40055"/>
    <w:rsid w:val="00D4017E"/>
    <w:rsid w:val="00D4091E"/>
    <w:rsid w:val="00D525CF"/>
    <w:rsid w:val="00D630ED"/>
    <w:rsid w:val="00D656AD"/>
    <w:rsid w:val="00D75B8A"/>
    <w:rsid w:val="00D81593"/>
    <w:rsid w:val="00D84D15"/>
    <w:rsid w:val="00D853BB"/>
    <w:rsid w:val="00D87BCB"/>
    <w:rsid w:val="00D87DDD"/>
    <w:rsid w:val="00D9441B"/>
    <w:rsid w:val="00DA1525"/>
    <w:rsid w:val="00DA2923"/>
    <w:rsid w:val="00DA2B27"/>
    <w:rsid w:val="00DA44A4"/>
    <w:rsid w:val="00DA6587"/>
    <w:rsid w:val="00DB3FA2"/>
    <w:rsid w:val="00DC4B5C"/>
    <w:rsid w:val="00DD04CA"/>
    <w:rsid w:val="00DD54BA"/>
    <w:rsid w:val="00DE07AA"/>
    <w:rsid w:val="00DE342D"/>
    <w:rsid w:val="00DE3AD7"/>
    <w:rsid w:val="00DF22B3"/>
    <w:rsid w:val="00DF3589"/>
    <w:rsid w:val="00DF5931"/>
    <w:rsid w:val="00DF78A7"/>
    <w:rsid w:val="00E0101A"/>
    <w:rsid w:val="00E07862"/>
    <w:rsid w:val="00E13897"/>
    <w:rsid w:val="00E1561C"/>
    <w:rsid w:val="00E174CD"/>
    <w:rsid w:val="00E20149"/>
    <w:rsid w:val="00E21510"/>
    <w:rsid w:val="00E23354"/>
    <w:rsid w:val="00E245F4"/>
    <w:rsid w:val="00E25703"/>
    <w:rsid w:val="00E27059"/>
    <w:rsid w:val="00E30158"/>
    <w:rsid w:val="00E3500D"/>
    <w:rsid w:val="00E4246E"/>
    <w:rsid w:val="00E528A5"/>
    <w:rsid w:val="00E53595"/>
    <w:rsid w:val="00E5444B"/>
    <w:rsid w:val="00E60478"/>
    <w:rsid w:val="00E60661"/>
    <w:rsid w:val="00E607E5"/>
    <w:rsid w:val="00E6239A"/>
    <w:rsid w:val="00E6256D"/>
    <w:rsid w:val="00E628BE"/>
    <w:rsid w:val="00E81CF8"/>
    <w:rsid w:val="00E8790A"/>
    <w:rsid w:val="00E927A8"/>
    <w:rsid w:val="00E962FF"/>
    <w:rsid w:val="00EA1148"/>
    <w:rsid w:val="00EA15D9"/>
    <w:rsid w:val="00EA5FBC"/>
    <w:rsid w:val="00EC19C3"/>
    <w:rsid w:val="00EC296B"/>
    <w:rsid w:val="00EC40D6"/>
    <w:rsid w:val="00EC598F"/>
    <w:rsid w:val="00EC66BD"/>
    <w:rsid w:val="00ED094F"/>
    <w:rsid w:val="00ED4F83"/>
    <w:rsid w:val="00ED6BFF"/>
    <w:rsid w:val="00EE3E65"/>
    <w:rsid w:val="00EE5178"/>
    <w:rsid w:val="00EE726B"/>
    <w:rsid w:val="00EF1617"/>
    <w:rsid w:val="00EF21D2"/>
    <w:rsid w:val="00F00013"/>
    <w:rsid w:val="00F05DB0"/>
    <w:rsid w:val="00F10C52"/>
    <w:rsid w:val="00F16EDE"/>
    <w:rsid w:val="00F21972"/>
    <w:rsid w:val="00F3139D"/>
    <w:rsid w:val="00F37E48"/>
    <w:rsid w:val="00F43AFB"/>
    <w:rsid w:val="00F45E3D"/>
    <w:rsid w:val="00F47D90"/>
    <w:rsid w:val="00F60BE5"/>
    <w:rsid w:val="00F61849"/>
    <w:rsid w:val="00F70898"/>
    <w:rsid w:val="00F73216"/>
    <w:rsid w:val="00F7359F"/>
    <w:rsid w:val="00F85334"/>
    <w:rsid w:val="00F85B81"/>
    <w:rsid w:val="00F87489"/>
    <w:rsid w:val="00F90702"/>
    <w:rsid w:val="00F92D4A"/>
    <w:rsid w:val="00F95D61"/>
    <w:rsid w:val="00F971EB"/>
    <w:rsid w:val="00FA57F8"/>
    <w:rsid w:val="00FB104A"/>
    <w:rsid w:val="00FB2FC0"/>
    <w:rsid w:val="00FB6233"/>
    <w:rsid w:val="00FC02D4"/>
    <w:rsid w:val="00FC3DA0"/>
    <w:rsid w:val="00FC7D31"/>
    <w:rsid w:val="00FD0FFD"/>
    <w:rsid w:val="00FD12D3"/>
    <w:rsid w:val="00FD5F42"/>
    <w:rsid w:val="00FD655E"/>
    <w:rsid w:val="00FD6751"/>
    <w:rsid w:val="00FE282E"/>
    <w:rsid w:val="00FE45CE"/>
    <w:rsid w:val="00FE4EFF"/>
    <w:rsid w:val="00FF0B95"/>
    <w:rsid w:val="00FF6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A9D30D"/>
  <w15:docId w15:val="{3E3009B5-B769-4785-8274-CBCD825EF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F8E"/>
    <w:pPr>
      <w:ind w:left="720"/>
      <w:contextualSpacing/>
    </w:pPr>
  </w:style>
  <w:style w:type="paragraph" w:styleId="BalloonText">
    <w:name w:val="Balloon Text"/>
    <w:basedOn w:val="Normal"/>
    <w:link w:val="BalloonTextChar"/>
    <w:uiPriority w:val="99"/>
    <w:semiHidden/>
    <w:unhideWhenUsed/>
    <w:rsid w:val="00533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F06"/>
    <w:rPr>
      <w:rFonts w:ascii="Tahoma" w:hAnsi="Tahoma" w:cs="Tahoma"/>
      <w:sz w:val="16"/>
      <w:szCs w:val="16"/>
    </w:rPr>
  </w:style>
  <w:style w:type="paragraph" w:styleId="Header">
    <w:name w:val="header"/>
    <w:basedOn w:val="Normal"/>
    <w:link w:val="HeaderChar"/>
    <w:uiPriority w:val="99"/>
    <w:unhideWhenUsed/>
    <w:rsid w:val="005B5B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B19"/>
  </w:style>
  <w:style w:type="paragraph" w:styleId="Footer">
    <w:name w:val="footer"/>
    <w:basedOn w:val="Normal"/>
    <w:link w:val="FooterChar"/>
    <w:uiPriority w:val="99"/>
    <w:unhideWhenUsed/>
    <w:rsid w:val="005B5B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B19"/>
  </w:style>
  <w:style w:type="paragraph" w:styleId="NoSpacing">
    <w:name w:val="No Spacing"/>
    <w:uiPriority w:val="1"/>
    <w:qFormat/>
    <w:rsid w:val="00707EAE"/>
    <w:pPr>
      <w:spacing w:after="0" w:line="240" w:lineRule="auto"/>
      <w:jc w:val="both"/>
    </w:pPr>
    <w:rPr>
      <w:rFonts w:ascii="Arial" w:eastAsiaTheme="minorHAnsi" w:hAnsi="Arial"/>
      <w:lang w:val="en-US" w:eastAsia="en-US"/>
    </w:rPr>
  </w:style>
  <w:style w:type="table" w:styleId="TableGrid">
    <w:name w:val="Table Grid"/>
    <w:basedOn w:val="TableNormal"/>
    <w:uiPriority w:val="59"/>
    <w:rsid w:val="00707EAE"/>
    <w:pPr>
      <w:spacing w:after="0" w:line="240" w:lineRule="auto"/>
    </w:pPr>
    <w:rPr>
      <w:rFonts w:eastAsia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evel11">
    <w:name w:val="level11"/>
    <w:basedOn w:val="Normal"/>
    <w:rsid w:val="00DF3589"/>
    <w:pPr>
      <w:autoSpaceDE w:val="0"/>
      <w:autoSpaceDN w:val="0"/>
      <w:spacing w:after="0" w:line="240" w:lineRule="auto"/>
    </w:pPr>
    <w:rPr>
      <w:rFonts w:ascii="Times New Roman" w:eastAsia="Times New Roman" w:hAnsi="Times New Roman" w:cs="Times New Roman"/>
      <w:sz w:val="28"/>
      <w:szCs w:val="28"/>
      <w:lang w:val="en-US" w:eastAsia="en-US"/>
    </w:rPr>
  </w:style>
  <w:style w:type="character" w:customStyle="1" w:styleId="term110">
    <w:name w:val="term110"/>
    <w:basedOn w:val="DefaultParagraphFont"/>
    <w:rsid w:val="00DF3589"/>
    <w:rPr>
      <w:shd w:val="clear" w:color="auto" w:fill="F3BFFD"/>
    </w:rPr>
  </w:style>
  <w:style w:type="character" w:customStyle="1" w:styleId="term111">
    <w:name w:val="term111"/>
    <w:basedOn w:val="DefaultParagraphFont"/>
    <w:rsid w:val="00DF3589"/>
    <w:rPr>
      <w:shd w:val="clear" w:color="auto" w:fill="F3BFFD"/>
    </w:rPr>
  </w:style>
  <w:style w:type="character" w:styleId="Hyperlink">
    <w:name w:val="Hyperlink"/>
    <w:basedOn w:val="DefaultParagraphFont"/>
    <w:uiPriority w:val="99"/>
    <w:unhideWhenUsed/>
    <w:rsid w:val="00AA234A"/>
    <w:rPr>
      <w:color w:val="0000FF" w:themeColor="hyperlink"/>
      <w:u w:val="single"/>
    </w:rPr>
  </w:style>
  <w:style w:type="paragraph" w:styleId="NormalWeb">
    <w:name w:val="Normal (Web)"/>
    <w:basedOn w:val="Normal"/>
    <w:uiPriority w:val="99"/>
    <w:unhideWhenUsed/>
    <w:rsid w:val="00854D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lex">
    <w:name w:val="reflex"/>
    <w:basedOn w:val="DefaultParagraphFont"/>
    <w:rsid w:val="00124F16"/>
  </w:style>
  <w:style w:type="character" w:customStyle="1" w:styleId="reflex3-block">
    <w:name w:val="reflex3-block"/>
    <w:basedOn w:val="DefaultParagraphFont"/>
    <w:rsid w:val="00124F16"/>
  </w:style>
  <w:style w:type="character" w:customStyle="1" w:styleId="reflex3-alt">
    <w:name w:val="reflex3-alt"/>
    <w:basedOn w:val="DefaultParagraphFont"/>
    <w:rsid w:val="00124F16"/>
  </w:style>
  <w:style w:type="paragraph" w:customStyle="1" w:styleId="doublequotation">
    <w:name w:val="doublequotation"/>
    <w:basedOn w:val="Normal"/>
    <w:rsid w:val="009338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wlabel2">
    <w:name w:val="lawlabel2"/>
    <w:basedOn w:val="DefaultParagraphFont"/>
    <w:rsid w:val="009338A5"/>
  </w:style>
  <w:style w:type="character" w:styleId="CommentReference">
    <w:name w:val="annotation reference"/>
    <w:basedOn w:val="DefaultParagraphFont"/>
    <w:uiPriority w:val="99"/>
    <w:semiHidden/>
    <w:unhideWhenUsed/>
    <w:rsid w:val="0092316B"/>
    <w:rPr>
      <w:sz w:val="16"/>
      <w:szCs w:val="16"/>
    </w:rPr>
  </w:style>
  <w:style w:type="paragraph" w:styleId="CommentText">
    <w:name w:val="annotation text"/>
    <w:basedOn w:val="Normal"/>
    <w:link w:val="CommentTextChar"/>
    <w:uiPriority w:val="99"/>
    <w:unhideWhenUsed/>
    <w:rsid w:val="0092316B"/>
    <w:pPr>
      <w:spacing w:line="240" w:lineRule="auto"/>
    </w:pPr>
    <w:rPr>
      <w:sz w:val="20"/>
      <w:szCs w:val="20"/>
    </w:rPr>
  </w:style>
  <w:style w:type="character" w:customStyle="1" w:styleId="CommentTextChar">
    <w:name w:val="Comment Text Char"/>
    <w:basedOn w:val="DefaultParagraphFont"/>
    <w:link w:val="CommentText"/>
    <w:uiPriority w:val="99"/>
    <w:rsid w:val="0092316B"/>
    <w:rPr>
      <w:sz w:val="20"/>
      <w:szCs w:val="20"/>
    </w:rPr>
  </w:style>
  <w:style w:type="paragraph" w:styleId="CommentSubject">
    <w:name w:val="annotation subject"/>
    <w:basedOn w:val="CommentText"/>
    <w:next w:val="CommentText"/>
    <w:link w:val="CommentSubjectChar"/>
    <w:uiPriority w:val="99"/>
    <w:semiHidden/>
    <w:unhideWhenUsed/>
    <w:rsid w:val="0092316B"/>
    <w:rPr>
      <w:b/>
      <w:bCs/>
    </w:rPr>
  </w:style>
  <w:style w:type="character" w:customStyle="1" w:styleId="CommentSubjectChar">
    <w:name w:val="Comment Subject Char"/>
    <w:basedOn w:val="CommentTextChar"/>
    <w:link w:val="CommentSubject"/>
    <w:uiPriority w:val="99"/>
    <w:semiHidden/>
    <w:rsid w:val="0092316B"/>
    <w:rPr>
      <w:b/>
      <w:bCs/>
      <w:sz w:val="20"/>
      <w:szCs w:val="20"/>
    </w:rPr>
  </w:style>
  <w:style w:type="paragraph" w:styleId="Revision">
    <w:name w:val="Revision"/>
    <w:hidden/>
    <w:uiPriority w:val="99"/>
    <w:semiHidden/>
    <w:rsid w:val="003A275B"/>
    <w:pPr>
      <w:spacing w:after="0" w:line="240" w:lineRule="auto"/>
    </w:pPr>
  </w:style>
  <w:style w:type="character" w:styleId="UnresolvedMention">
    <w:name w:val="Unresolved Mention"/>
    <w:basedOn w:val="DefaultParagraphFont"/>
    <w:uiPriority w:val="99"/>
    <w:semiHidden/>
    <w:unhideWhenUsed/>
    <w:rsid w:val="006765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90753">
      <w:bodyDiv w:val="1"/>
      <w:marLeft w:val="0"/>
      <w:marRight w:val="0"/>
      <w:marTop w:val="0"/>
      <w:marBottom w:val="0"/>
      <w:divBdr>
        <w:top w:val="none" w:sz="0" w:space="0" w:color="auto"/>
        <w:left w:val="none" w:sz="0" w:space="0" w:color="auto"/>
        <w:bottom w:val="none" w:sz="0" w:space="0" w:color="auto"/>
        <w:right w:val="none" w:sz="0" w:space="0" w:color="auto"/>
      </w:divBdr>
    </w:div>
    <w:div w:id="253051433">
      <w:bodyDiv w:val="1"/>
      <w:marLeft w:val="0"/>
      <w:marRight w:val="0"/>
      <w:marTop w:val="0"/>
      <w:marBottom w:val="0"/>
      <w:divBdr>
        <w:top w:val="none" w:sz="0" w:space="0" w:color="auto"/>
        <w:left w:val="none" w:sz="0" w:space="0" w:color="auto"/>
        <w:bottom w:val="none" w:sz="0" w:space="0" w:color="auto"/>
        <w:right w:val="none" w:sz="0" w:space="0" w:color="auto"/>
      </w:divBdr>
    </w:div>
    <w:div w:id="261231951">
      <w:bodyDiv w:val="1"/>
      <w:marLeft w:val="0"/>
      <w:marRight w:val="0"/>
      <w:marTop w:val="0"/>
      <w:marBottom w:val="0"/>
      <w:divBdr>
        <w:top w:val="none" w:sz="0" w:space="0" w:color="auto"/>
        <w:left w:val="none" w:sz="0" w:space="0" w:color="auto"/>
        <w:bottom w:val="none" w:sz="0" w:space="0" w:color="auto"/>
        <w:right w:val="none" w:sz="0" w:space="0" w:color="auto"/>
      </w:divBdr>
    </w:div>
    <w:div w:id="1301107233">
      <w:bodyDiv w:val="1"/>
      <w:marLeft w:val="0"/>
      <w:marRight w:val="0"/>
      <w:marTop w:val="0"/>
      <w:marBottom w:val="0"/>
      <w:divBdr>
        <w:top w:val="none" w:sz="0" w:space="0" w:color="auto"/>
        <w:left w:val="none" w:sz="0" w:space="0" w:color="auto"/>
        <w:bottom w:val="none" w:sz="0" w:space="0" w:color="auto"/>
        <w:right w:val="none" w:sz="0" w:space="0" w:color="auto"/>
      </w:divBdr>
      <w:divsChild>
        <w:div w:id="1453094912">
          <w:marLeft w:val="0"/>
          <w:marRight w:val="0"/>
          <w:marTop w:val="0"/>
          <w:marBottom w:val="0"/>
          <w:divBdr>
            <w:top w:val="none" w:sz="0" w:space="0" w:color="auto"/>
            <w:left w:val="none" w:sz="0" w:space="0" w:color="auto"/>
            <w:bottom w:val="none" w:sz="0" w:space="0" w:color="auto"/>
            <w:right w:val="none" w:sz="0" w:space="0" w:color="auto"/>
          </w:divBdr>
          <w:divsChild>
            <w:div w:id="366682543">
              <w:marLeft w:val="0"/>
              <w:marRight w:val="0"/>
              <w:marTop w:val="0"/>
              <w:marBottom w:val="0"/>
              <w:divBdr>
                <w:top w:val="none" w:sz="0" w:space="0" w:color="auto"/>
                <w:left w:val="none" w:sz="0" w:space="0" w:color="auto"/>
                <w:bottom w:val="none" w:sz="0" w:space="0" w:color="auto"/>
                <w:right w:val="none" w:sz="0" w:space="0" w:color="auto"/>
              </w:divBdr>
              <w:divsChild>
                <w:div w:id="1169441630">
                  <w:marLeft w:val="0"/>
                  <w:marRight w:val="0"/>
                  <w:marTop w:val="0"/>
                  <w:marBottom w:val="0"/>
                  <w:divBdr>
                    <w:top w:val="none" w:sz="0" w:space="0" w:color="auto"/>
                    <w:left w:val="none" w:sz="0" w:space="0" w:color="auto"/>
                    <w:bottom w:val="none" w:sz="0" w:space="0" w:color="auto"/>
                    <w:right w:val="none" w:sz="0" w:space="0" w:color="auto"/>
                  </w:divBdr>
                  <w:divsChild>
                    <w:div w:id="191280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SO690.XSL" StyleName="ISO 690 - First Element and Date" Version="1987"/>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3bc3cd8-da25-40f9-958f-c13e000bdc16">
      <Terms xmlns="http://schemas.microsoft.com/office/infopath/2007/PartnerControls"/>
    </lcf76f155ced4ddcb4097134ff3c332f>
    <TaxCatchAll xmlns="375bca7b-c53c-4fd7-b0ac-aee1bc09b69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8070878C79D4408E9B8E13FB885CC9" ma:contentTypeVersion="13" ma:contentTypeDescription="Create a new document." ma:contentTypeScope="" ma:versionID="0545214912202ea9cad6915f7e236ae1">
  <xsd:schema xmlns:xsd="http://www.w3.org/2001/XMLSchema" xmlns:xs="http://www.w3.org/2001/XMLSchema" xmlns:p="http://schemas.microsoft.com/office/2006/metadata/properties" xmlns:ns2="83bc3cd8-da25-40f9-958f-c13e000bdc16" xmlns:ns3="375bca7b-c53c-4fd7-b0ac-aee1bc09b69d" targetNamespace="http://schemas.microsoft.com/office/2006/metadata/properties" ma:root="true" ma:fieldsID="02f104b277bf8dce45b091df63b15985" ns2:_="" ns3:_="">
    <xsd:import namespace="83bc3cd8-da25-40f9-958f-c13e000bdc16"/>
    <xsd:import namespace="375bca7b-c53c-4fd7-b0ac-aee1bc09b69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c3cd8-da25-40f9-958f-c13e000bdc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d4da1b9-cdce-4e3f-b20e-ce27030b6da3"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5bca7b-c53c-4fd7-b0ac-aee1bc09b69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6fb148d-7269-48d9-b175-b5edecdd02a7}" ma:internalName="TaxCatchAll" ma:showField="CatchAllData" ma:web="375bca7b-c53c-4fd7-b0ac-aee1bc09b69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EBA0E6-60FC-45D3-9825-72A5324B3D22}">
  <ds:schemaRefs>
    <ds:schemaRef ds:uri="http://schemas.openxmlformats.org/officeDocument/2006/bibliography"/>
  </ds:schemaRefs>
</ds:datastoreItem>
</file>

<file path=customXml/itemProps2.xml><?xml version="1.0" encoding="utf-8"?>
<ds:datastoreItem xmlns:ds="http://schemas.openxmlformats.org/officeDocument/2006/customXml" ds:itemID="{F82A7C44-FE1B-49D7-87EA-5EB298B82040}">
  <ds:schemaRefs>
    <ds:schemaRef ds:uri="http://schemas.microsoft.com/office/2006/metadata/properties"/>
    <ds:schemaRef ds:uri="http://schemas.microsoft.com/office/infopath/2007/PartnerControls"/>
    <ds:schemaRef ds:uri="83bc3cd8-da25-40f9-958f-c13e000bdc16"/>
    <ds:schemaRef ds:uri="375bca7b-c53c-4fd7-b0ac-aee1bc09b69d"/>
  </ds:schemaRefs>
</ds:datastoreItem>
</file>

<file path=customXml/itemProps3.xml><?xml version="1.0" encoding="utf-8"?>
<ds:datastoreItem xmlns:ds="http://schemas.openxmlformats.org/officeDocument/2006/customXml" ds:itemID="{AAEE1A48-3A58-4FE1-9569-42D961564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c3cd8-da25-40f9-958f-c13e000bdc16"/>
    <ds:schemaRef ds:uri="375bca7b-c53c-4fd7-b0ac-aee1bc09b6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153920-F5EA-41ED-B33F-74F7DF2923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2831</Words>
  <Characters>16143</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GNWT, Justice</Company>
  <LinksUpToDate>false</LinksUpToDate>
  <CharactersWithSpaces>18937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peterse</dc:creator>
  <cp:lastModifiedBy>Tyler Vibert</cp:lastModifiedBy>
  <cp:revision>2</cp:revision>
  <cp:lastPrinted>2024-02-22T22:06:00Z</cp:lastPrinted>
  <dcterms:created xsi:type="dcterms:W3CDTF">2024-02-23T23:39:00Z</dcterms:created>
  <dcterms:modified xsi:type="dcterms:W3CDTF">2024-02-23T23:39:00Z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0x010100598070878C79D4408E9B8E13FB885CC9</vt:lpwstr>
  </property>
  <property fmtid="{D5CDD505-2E9C-101B-9397-08002B2CF9AE}" pid="3" name="Order">
    <vt:r8>2265600</vt:r8>
  </property>
  <property fmtid="{D5CDD505-2E9C-101B-9397-08002B2CF9AE}" pid="4" name="MSIP_Label_defa4170-0d19-0005-0004-bc88714345d2_Enabled">
    <vt:lpwstr>true</vt:lpwstr>
  </property>
  <property fmtid="{D5CDD505-2E9C-101B-9397-08002B2CF9AE}" pid="5" name="MSIP_Label_defa4170-0d19-0005-0004-bc88714345d2_SetDate">
    <vt:lpwstr>2024-01-04T16:14:38Z</vt:lpwstr>
  </property>
  <property fmtid="{D5CDD505-2E9C-101B-9397-08002B2CF9AE}" pid="6" name="MSIP_Label_defa4170-0d19-0005-0004-bc88714345d2_Method">
    <vt:lpwstr>Standard</vt:lpwstr>
  </property>
  <property fmtid="{D5CDD505-2E9C-101B-9397-08002B2CF9AE}" pid="7" name="MSIP_Label_defa4170-0d19-0005-0004-bc88714345d2_Name">
    <vt:lpwstr>defa4170-0d19-0005-0004-bc88714345d2</vt:lpwstr>
  </property>
  <property fmtid="{D5CDD505-2E9C-101B-9397-08002B2CF9AE}" pid="8" name="MSIP_Label_defa4170-0d19-0005-0004-bc88714345d2_SiteId">
    <vt:lpwstr>619a88ff-cb67-4298-9781-66cc0cc776f1</vt:lpwstr>
  </property>
  <property fmtid="{D5CDD505-2E9C-101B-9397-08002B2CF9AE}" pid="9" name="MSIP_Label_defa4170-0d19-0005-0004-bc88714345d2_ActionId">
    <vt:lpwstr>2556cbdc-cdfc-46d4-ac88-c31b03c1fe04</vt:lpwstr>
  </property>
  <property fmtid="{D5CDD505-2E9C-101B-9397-08002B2CF9AE}" pid="10" name="MSIP_Label_defa4170-0d19-0005-0004-bc88714345d2_ContentBits">
    <vt:lpwstr>0</vt:lpwstr>
  </property>
  <property fmtid="{D5CDD505-2E9C-101B-9397-08002B2CF9AE}" pid="11" name="MediaServiceImageTags">
    <vt:lpwstr/>
  </property>
</Properties>
</file>