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4F1F" w14:textId="2D8249D2" w:rsidR="007D17EA" w:rsidRPr="007D17EA" w:rsidRDefault="007D17EA" w:rsidP="007D17EA">
      <w:pPr>
        <w:widowControl/>
        <w:rPr>
          <w:lang w:val="en-GB"/>
        </w:rPr>
      </w:pPr>
      <w:r>
        <w:rPr>
          <w:i/>
          <w:iCs/>
          <w:lang w:val="en-GB"/>
        </w:rPr>
        <w:t xml:space="preserve">Crozier v Northview Fund, </w:t>
      </w:r>
      <w:r w:rsidR="00C84F25">
        <w:rPr>
          <w:lang w:val="en-GB"/>
        </w:rPr>
        <w:t>2024 NWTSC 7</w:t>
      </w:r>
    </w:p>
    <w:p w14:paraId="16C66282" w14:textId="4DBB5EB0" w:rsidR="006A2C1C" w:rsidRPr="006A2C1C" w:rsidRDefault="006A2C1C" w:rsidP="006A2C1C">
      <w:pPr>
        <w:widowControl/>
        <w:jc w:val="right"/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>Date: 202</w:t>
      </w:r>
      <w:r w:rsidR="00175D86">
        <w:rPr>
          <w:sz w:val="28"/>
          <w:szCs w:val="28"/>
          <w:lang w:val="en-GB"/>
        </w:rPr>
        <w:t>4</w:t>
      </w:r>
      <w:r w:rsidRPr="006A2C1C">
        <w:rPr>
          <w:sz w:val="28"/>
          <w:szCs w:val="28"/>
          <w:lang w:val="en-GB"/>
        </w:rPr>
        <w:t xml:space="preserve"> </w:t>
      </w:r>
      <w:r w:rsidR="002F41A8">
        <w:rPr>
          <w:sz w:val="28"/>
          <w:szCs w:val="28"/>
          <w:lang w:val="en-GB"/>
        </w:rPr>
        <w:t xml:space="preserve">02 </w:t>
      </w:r>
      <w:r w:rsidR="00BE709E">
        <w:rPr>
          <w:sz w:val="28"/>
          <w:szCs w:val="28"/>
          <w:lang w:val="en-GB"/>
        </w:rPr>
        <w:t>0</w:t>
      </w:r>
      <w:r w:rsidR="00F46D73">
        <w:rPr>
          <w:sz w:val="28"/>
          <w:szCs w:val="28"/>
          <w:lang w:val="en-GB"/>
        </w:rPr>
        <w:t>6</w:t>
      </w:r>
    </w:p>
    <w:p w14:paraId="16C66283" w14:textId="01449EA9" w:rsidR="006A2C1C" w:rsidRPr="006A2C1C" w:rsidRDefault="006A2C1C" w:rsidP="006A2C1C">
      <w:pPr>
        <w:widowControl/>
        <w:jc w:val="right"/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>Docket:</w:t>
      </w:r>
      <w:bookmarkStart w:id="0" w:name="a2"/>
      <w:r w:rsidRPr="006A2C1C">
        <w:rPr>
          <w:sz w:val="28"/>
          <w:szCs w:val="28"/>
          <w:lang w:val="en-GB"/>
        </w:rPr>
        <w:t xml:space="preserve"> S-1-</w:t>
      </w:r>
      <w:bookmarkEnd w:id="0"/>
      <w:r w:rsidRPr="006A2C1C">
        <w:rPr>
          <w:sz w:val="28"/>
          <w:szCs w:val="28"/>
          <w:lang w:val="en-GB"/>
        </w:rPr>
        <w:t>CV-202</w:t>
      </w:r>
      <w:r w:rsidR="00175D86">
        <w:rPr>
          <w:sz w:val="28"/>
          <w:szCs w:val="28"/>
          <w:lang w:val="en-GB"/>
        </w:rPr>
        <w:t>3</w:t>
      </w:r>
      <w:r w:rsidRPr="006A2C1C">
        <w:rPr>
          <w:sz w:val="28"/>
          <w:szCs w:val="28"/>
          <w:lang w:val="en-GB"/>
        </w:rPr>
        <w:t>-000</w:t>
      </w:r>
      <w:r w:rsidR="00175D86">
        <w:rPr>
          <w:sz w:val="28"/>
          <w:szCs w:val="28"/>
          <w:lang w:val="en-GB"/>
        </w:rPr>
        <w:t>204</w:t>
      </w:r>
    </w:p>
    <w:p w14:paraId="16C66284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5" w14:textId="77777777" w:rsidR="006A2C1C" w:rsidRPr="006A2C1C" w:rsidRDefault="006A2C1C" w:rsidP="006A2C1C">
      <w:pPr>
        <w:widowControl/>
        <w:tabs>
          <w:tab w:val="center" w:pos="4680"/>
        </w:tabs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ab/>
        <w:t>IN THE SUPREME COURT OF THE NORTHWEST TERRITORIES</w:t>
      </w:r>
    </w:p>
    <w:p w14:paraId="16C66286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7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>BETWEEN:</w:t>
      </w:r>
      <w:r w:rsidRPr="006A2C1C">
        <w:rPr>
          <w:sz w:val="28"/>
          <w:szCs w:val="28"/>
          <w:lang w:val="en-GB"/>
        </w:rPr>
        <w:tab/>
      </w:r>
      <w:r w:rsidRPr="006A2C1C">
        <w:rPr>
          <w:sz w:val="28"/>
          <w:szCs w:val="28"/>
          <w:lang w:val="en-GB"/>
        </w:rPr>
        <w:tab/>
      </w:r>
      <w:r w:rsidRPr="006A2C1C">
        <w:rPr>
          <w:sz w:val="28"/>
          <w:szCs w:val="28"/>
          <w:lang w:val="en-GB"/>
        </w:rPr>
        <w:tab/>
      </w:r>
    </w:p>
    <w:p w14:paraId="16C66288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9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A" w14:textId="129CB0B7" w:rsidR="006A2C1C" w:rsidRPr="006A2C1C" w:rsidRDefault="00175D86" w:rsidP="006A2C1C">
      <w:pPr>
        <w:widowControl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KAYLA CROZIER</w:t>
      </w:r>
    </w:p>
    <w:p w14:paraId="16C6628B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C" w14:textId="77777777" w:rsidR="006A2C1C" w:rsidRPr="006A2C1C" w:rsidRDefault="006A2C1C" w:rsidP="006A2C1C">
      <w:pPr>
        <w:widowControl/>
        <w:tabs>
          <w:tab w:val="right" w:pos="9360"/>
        </w:tabs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ab/>
      </w:r>
      <w:r w:rsidRPr="006A2C1C">
        <w:rPr>
          <w:sz w:val="28"/>
          <w:szCs w:val="28"/>
          <w:lang w:val="en-GB"/>
        </w:rPr>
        <w:tab/>
        <w:t>Appellant</w:t>
      </w:r>
    </w:p>
    <w:p w14:paraId="16C6628D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8E" w14:textId="77777777" w:rsidR="006A2C1C" w:rsidRPr="006A2C1C" w:rsidRDefault="006A2C1C" w:rsidP="006A2C1C">
      <w:pPr>
        <w:widowControl/>
        <w:tabs>
          <w:tab w:val="center" w:pos="4680"/>
        </w:tabs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ab/>
        <w:t>- and -</w:t>
      </w:r>
    </w:p>
    <w:p w14:paraId="16C6628F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90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91" w14:textId="2034252A" w:rsidR="006A2C1C" w:rsidRPr="006A2C1C" w:rsidRDefault="006A2C1C" w:rsidP="006A2C1C">
      <w:pPr>
        <w:widowControl/>
        <w:jc w:val="center"/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>NORTHVIEW FUND</w:t>
      </w:r>
    </w:p>
    <w:p w14:paraId="16C66292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93" w14:textId="77777777" w:rsidR="006A2C1C" w:rsidRPr="006A2C1C" w:rsidRDefault="006A2C1C" w:rsidP="006A2C1C">
      <w:pPr>
        <w:widowControl/>
        <w:tabs>
          <w:tab w:val="right" w:pos="9360"/>
        </w:tabs>
        <w:rPr>
          <w:sz w:val="28"/>
          <w:szCs w:val="28"/>
          <w:lang w:val="en-GB"/>
        </w:rPr>
      </w:pPr>
      <w:r w:rsidRPr="006A2C1C">
        <w:rPr>
          <w:sz w:val="28"/>
          <w:szCs w:val="28"/>
          <w:lang w:val="en-GB"/>
        </w:rPr>
        <w:tab/>
        <w:t>Respondent</w:t>
      </w:r>
    </w:p>
    <w:p w14:paraId="16C66294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16C66295" w14:textId="2B41C402" w:rsidR="006A2C1C" w:rsidRPr="006A2C1C" w:rsidRDefault="006A2C1C" w:rsidP="006A2C1C">
      <w:pPr>
        <w:widowControl/>
        <w:jc w:val="center"/>
        <w:rPr>
          <w:sz w:val="28"/>
          <w:szCs w:val="28"/>
          <w:lang w:val="en-GB"/>
        </w:rPr>
      </w:pPr>
      <w:r w:rsidRPr="006A2C1C">
        <w:rPr>
          <w:sz w:val="28"/>
          <w:szCs w:val="28"/>
          <w:u w:val="single"/>
          <w:lang w:val="en-GB"/>
        </w:rPr>
        <w:t xml:space="preserve">MEMORANDUM OF JUDGMENT </w:t>
      </w:r>
    </w:p>
    <w:p w14:paraId="16C66296" w14:textId="77777777" w:rsidR="006A2C1C" w:rsidRPr="006A2C1C" w:rsidRDefault="006A2C1C" w:rsidP="006A2C1C">
      <w:pPr>
        <w:widowControl/>
        <w:rPr>
          <w:sz w:val="28"/>
          <w:szCs w:val="28"/>
          <w:lang w:val="en-GB"/>
        </w:rPr>
      </w:pPr>
    </w:p>
    <w:p w14:paraId="457FD093" w14:textId="1FD6B0B1" w:rsidR="006754DE" w:rsidRPr="006754DE" w:rsidRDefault="006A2C1C" w:rsidP="00481370">
      <w:pPr>
        <w:widowControl/>
        <w:numPr>
          <w:ilvl w:val="0"/>
          <w:numId w:val="2"/>
        </w:numPr>
        <w:spacing w:before="240" w:after="280"/>
        <w:ind w:left="0" w:firstLine="0"/>
        <w:jc w:val="both"/>
        <w:rPr>
          <w:sz w:val="28"/>
          <w:szCs w:val="28"/>
        </w:rPr>
      </w:pPr>
      <w:r w:rsidRPr="006A2C1C">
        <w:rPr>
          <w:sz w:val="28"/>
          <w:szCs w:val="28"/>
        </w:rPr>
        <w:t>T</w:t>
      </w:r>
      <w:r w:rsidRPr="006A2C1C">
        <w:rPr>
          <w:rFonts w:cstheme="minorHAnsi"/>
          <w:sz w:val="28"/>
          <w:szCs w:val="28"/>
        </w:rPr>
        <w:t xml:space="preserve">his is </w:t>
      </w:r>
      <w:r>
        <w:rPr>
          <w:rFonts w:cstheme="minorHAnsi"/>
          <w:sz w:val="28"/>
          <w:szCs w:val="28"/>
        </w:rPr>
        <w:t>a</w:t>
      </w:r>
      <w:r w:rsidR="00E635B5">
        <w:rPr>
          <w:rFonts w:cstheme="minorHAnsi"/>
          <w:sz w:val="28"/>
          <w:szCs w:val="28"/>
        </w:rPr>
        <w:t xml:space="preserve"> statutory appeal from a decision of the Rental Officer made pursuant </w:t>
      </w:r>
      <w:r w:rsidRPr="00E635B5">
        <w:rPr>
          <w:rFonts w:cstheme="minorHAnsi"/>
          <w:sz w:val="28"/>
          <w:szCs w:val="28"/>
        </w:rPr>
        <w:t xml:space="preserve">to the </w:t>
      </w:r>
      <w:r w:rsidRPr="00E635B5">
        <w:rPr>
          <w:rFonts w:cstheme="minorHAnsi"/>
          <w:i/>
          <w:sz w:val="28"/>
          <w:szCs w:val="28"/>
        </w:rPr>
        <w:t>Residential Tenancies Act</w:t>
      </w:r>
      <w:r w:rsidR="00DC3007" w:rsidRPr="00E635B5">
        <w:rPr>
          <w:rFonts w:cstheme="minorHAnsi"/>
          <w:i/>
          <w:sz w:val="28"/>
          <w:szCs w:val="28"/>
        </w:rPr>
        <w:t xml:space="preserve">, </w:t>
      </w:r>
      <w:r w:rsidR="00DC3007" w:rsidRPr="00E635B5">
        <w:rPr>
          <w:rFonts w:cstheme="minorHAnsi"/>
          <w:sz w:val="28"/>
          <w:szCs w:val="28"/>
        </w:rPr>
        <w:t>RSNWT 1988, c R-5</w:t>
      </w:r>
      <w:r w:rsidR="00481370">
        <w:rPr>
          <w:rFonts w:cstheme="minorHAnsi"/>
          <w:sz w:val="28"/>
          <w:szCs w:val="28"/>
        </w:rPr>
        <w:t xml:space="preserve"> (the </w:t>
      </w:r>
      <w:r w:rsidR="00481370">
        <w:rPr>
          <w:rFonts w:cstheme="minorHAnsi"/>
          <w:i/>
          <w:iCs/>
          <w:sz w:val="28"/>
          <w:szCs w:val="28"/>
        </w:rPr>
        <w:t>Act</w:t>
      </w:r>
      <w:r w:rsidR="00481370">
        <w:rPr>
          <w:rFonts w:cstheme="minorHAnsi"/>
          <w:sz w:val="28"/>
          <w:szCs w:val="28"/>
        </w:rPr>
        <w:t>)</w:t>
      </w:r>
      <w:r w:rsidRPr="00E635B5">
        <w:rPr>
          <w:rFonts w:cstheme="minorHAnsi"/>
          <w:sz w:val="28"/>
          <w:szCs w:val="28"/>
        </w:rPr>
        <w:t xml:space="preserve">.  </w:t>
      </w:r>
    </w:p>
    <w:p w14:paraId="2D6BDA0B" w14:textId="448050DE" w:rsidR="006754DE" w:rsidRPr="00E635B5" w:rsidRDefault="006754DE" w:rsidP="006754DE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E635B5">
        <w:rPr>
          <w:rFonts w:cstheme="minorHAnsi"/>
          <w:sz w:val="28"/>
          <w:szCs w:val="28"/>
        </w:rPr>
        <w:t xml:space="preserve">The Respondent Northview Fund filed an application with the </w:t>
      </w:r>
      <w:r w:rsidR="0044537C">
        <w:rPr>
          <w:rFonts w:cstheme="minorHAnsi"/>
          <w:sz w:val="28"/>
          <w:szCs w:val="28"/>
        </w:rPr>
        <w:t>R</w:t>
      </w:r>
      <w:r w:rsidRPr="00E635B5">
        <w:rPr>
          <w:rFonts w:cstheme="minorHAnsi"/>
          <w:sz w:val="28"/>
          <w:szCs w:val="28"/>
        </w:rPr>
        <w:t xml:space="preserve">ental </w:t>
      </w:r>
      <w:r w:rsidR="0044537C">
        <w:rPr>
          <w:rFonts w:cstheme="minorHAnsi"/>
          <w:sz w:val="28"/>
          <w:szCs w:val="28"/>
        </w:rPr>
        <w:t>O</w:t>
      </w:r>
      <w:r w:rsidRPr="00E635B5">
        <w:rPr>
          <w:rFonts w:cstheme="minorHAnsi"/>
          <w:sz w:val="28"/>
          <w:szCs w:val="28"/>
        </w:rPr>
        <w:t xml:space="preserve">fficer claiming that the Appellant </w:t>
      </w:r>
      <w:r>
        <w:rPr>
          <w:rFonts w:cstheme="minorHAnsi"/>
          <w:sz w:val="28"/>
          <w:szCs w:val="28"/>
        </w:rPr>
        <w:t>Kayla Crozier</w:t>
      </w:r>
      <w:r w:rsidRPr="00E635B5">
        <w:rPr>
          <w:rFonts w:cstheme="minorHAnsi"/>
          <w:sz w:val="28"/>
          <w:szCs w:val="28"/>
        </w:rPr>
        <w:t xml:space="preserve"> had repeatedly failed to pay h</w:t>
      </w:r>
      <w:r>
        <w:rPr>
          <w:rFonts w:cstheme="minorHAnsi"/>
          <w:sz w:val="28"/>
          <w:szCs w:val="28"/>
        </w:rPr>
        <w:t>er</w:t>
      </w:r>
      <w:r w:rsidRPr="00E635B5">
        <w:rPr>
          <w:rFonts w:cstheme="minorHAnsi"/>
          <w:sz w:val="28"/>
          <w:szCs w:val="28"/>
        </w:rPr>
        <w:t xml:space="preserve"> rent </w:t>
      </w:r>
      <w:r>
        <w:rPr>
          <w:rFonts w:cstheme="minorHAnsi"/>
          <w:sz w:val="28"/>
          <w:szCs w:val="28"/>
        </w:rPr>
        <w:t>in full when due and had repeatedly accumulated rental arrears.  The Respondent sought payment of the rental arrears, r</w:t>
      </w:r>
      <w:r w:rsidRPr="00E635B5">
        <w:rPr>
          <w:rFonts w:cstheme="minorHAnsi"/>
          <w:sz w:val="28"/>
          <w:szCs w:val="28"/>
        </w:rPr>
        <w:t>equest</w:t>
      </w:r>
      <w:r>
        <w:rPr>
          <w:rFonts w:cstheme="minorHAnsi"/>
          <w:sz w:val="28"/>
          <w:szCs w:val="28"/>
        </w:rPr>
        <w:t xml:space="preserve">ed </w:t>
      </w:r>
      <w:r w:rsidRPr="00E635B5">
        <w:rPr>
          <w:rFonts w:cstheme="minorHAnsi"/>
          <w:sz w:val="28"/>
          <w:szCs w:val="28"/>
        </w:rPr>
        <w:t>the termination of the tenancy</w:t>
      </w:r>
      <w:r>
        <w:rPr>
          <w:rFonts w:cstheme="minorHAnsi"/>
          <w:sz w:val="28"/>
          <w:szCs w:val="28"/>
        </w:rPr>
        <w:t xml:space="preserve"> and the </w:t>
      </w:r>
      <w:r w:rsidRPr="00E635B5">
        <w:rPr>
          <w:rFonts w:cstheme="minorHAnsi"/>
          <w:sz w:val="28"/>
          <w:szCs w:val="28"/>
        </w:rPr>
        <w:t>eviction of the tenant.</w:t>
      </w:r>
    </w:p>
    <w:p w14:paraId="5E8ADD5C" w14:textId="3E5552EC" w:rsidR="005E0BEB" w:rsidRPr="00ED4DD8" w:rsidRDefault="006754DE" w:rsidP="00E635B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ED4DD8">
        <w:rPr>
          <w:rFonts w:cstheme="minorHAnsi"/>
          <w:sz w:val="28"/>
          <w:szCs w:val="28"/>
        </w:rPr>
        <w:t>A hearing was held on May 31, 2023</w:t>
      </w:r>
      <w:r w:rsidR="00186000">
        <w:rPr>
          <w:rFonts w:cstheme="minorHAnsi"/>
          <w:sz w:val="28"/>
          <w:szCs w:val="28"/>
        </w:rPr>
        <w:t xml:space="preserve">.  Ms. Crozier was not present at the hearing </w:t>
      </w:r>
      <w:r w:rsidRPr="00ED4DD8">
        <w:rPr>
          <w:rFonts w:cstheme="minorHAnsi"/>
          <w:sz w:val="28"/>
          <w:szCs w:val="28"/>
        </w:rPr>
        <w:t>and the Rental Officer granted the application</w:t>
      </w:r>
      <w:r w:rsidR="00E34C35">
        <w:rPr>
          <w:rFonts w:cstheme="minorHAnsi"/>
          <w:sz w:val="28"/>
          <w:szCs w:val="28"/>
        </w:rPr>
        <w:t xml:space="preserve"> after hearing from representatives of Northview Fund</w:t>
      </w:r>
      <w:r w:rsidR="00ED4DD8" w:rsidRPr="00ED4DD8">
        <w:rPr>
          <w:rFonts w:cstheme="minorHAnsi"/>
          <w:sz w:val="28"/>
          <w:szCs w:val="28"/>
        </w:rPr>
        <w:t xml:space="preserve">.  </w:t>
      </w:r>
      <w:r w:rsidR="005E0BEB" w:rsidRPr="00ED4DD8">
        <w:rPr>
          <w:rFonts w:cstheme="minorHAnsi"/>
          <w:sz w:val="28"/>
          <w:szCs w:val="28"/>
        </w:rPr>
        <w:t xml:space="preserve">The Rental Officer </w:t>
      </w:r>
      <w:r w:rsidR="0021361F" w:rsidRPr="00ED4DD8">
        <w:rPr>
          <w:rFonts w:cstheme="minorHAnsi"/>
          <w:sz w:val="28"/>
          <w:szCs w:val="28"/>
        </w:rPr>
        <w:t xml:space="preserve">issued an Order and Eviction Order on June 2, </w:t>
      </w:r>
      <w:proofErr w:type="gramStart"/>
      <w:r w:rsidR="0021361F" w:rsidRPr="00ED4DD8">
        <w:rPr>
          <w:rFonts w:cstheme="minorHAnsi"/>
          <w:sz w:val="28"/>
          <w:szCs w:val="28"/>
        </w:rPr>
        <w:t>2023</w:t>
      </w:r>
      <w:proofErr w:type="gramEnd"/>
      <w:r w:rsidR="00E95631" w:rsidRPr="00ED4DD8">
        <w:rPr>
          <w:rFonts w:cstheme="minorHAnsi"/>
          <w:sz w:val="28"/>
          <w:szCs w:val="28"/>
        </w:rPr>
        <w:t xml:space="preserve"> </w:t>
      </w:r>
      <w:r w:rsidR="00B97F5B" w:rsidRPr="00ED4DD8">
        <w:rPr>
          <w:rFonts w:cstheme="minorHAnsi"/>
          <w:sz w:val="28"/>
          <w:szCs w:val="28"/>
        </w:rPr>
        <w:t>finding that Kayla Crozier owed rental arrears of $6115.75 to Northview Fund</w:t>
      </w:r>
      <w:r w:rsidR="007840D4" w:rsidRPr="00ED4DD8">
        <w:rPr>
          <w:rFonts w:cstheme="minorHAnsi"/>
          <w:sz w:val="28"/>
          <w:szCs w:val="28"/>
        </w:rPr>
        <w:t>, terminating th</w:t>
      </w:r>
      <w:r w:rsidR="00F67979">
        <w:rPr>
          <w:rFonts w:cstheme="minorHAnsi"/>
          <w:sz w:val="28"/>
          <w:szCs w:val="28"/>
        </w:rPr>
        <w:t>e</w:t>
      </w:r>
      <w:r w:rsidR="007840D4" w:rsidRPr="00ED4DD8">
        <w:rPr>
          <w:rFonts w:cstheme="minorHAnsi"/>
          <w:sz w:val="28"/>
          <w:szCs w:val="28"/>
        </w:rPr>
        <w:t xml:space="preserve"> tenancy agreement and ordering th</w:t>
      </w:r>
      <w:r w:rsidR="00F3722B" w:rsidRPr="00ED4DD8">
        <w:rPr>
          <w:rFonts w:cstheme="minorHAnsi"/>
          <w:sz w:val="28"/>
          <w:szCs w:val="28"/>
        </w:rPr>
        <w:t>e Appellant to vacate the rental premises.</w:t>
      </w:r>
      <w:r w:rsidR="007840D4" w:rsidRPr="00ED4DD8">
        <w:rPr>
          <w:rFonts w:cstheme="minorHAnsi"/>
          <w:sz w:val="28"/>
          <w:szCs w:val="28"/>
        </w:rPr>
        <w:t xml:space="preserve"> </w:t>
      </w:r>
    </w:p>
    <w:p w14:paraId="16C66299" w14:textId="24B76C35" w:rsidR="006A2C1C" w:rsidRPr="00240286" w:rsidRDefault="0012335F" w:rsidP="003016EA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Ms. Crozier</w:t>
      </w:r>
      <w:r w:rsidR="006A2C1C" w:rsidRPr="003016EA">
        <w:rPr>
          <w:rFonts w:cstheme="minorHAnsi"/>
          <w:sz w:val="28"/>
          <w:szCs w:val="28"/>
        </w:rPr>
        <w:t xml:space="preserve"> filed an Originating Notice of Appeal on the ground that </w:t>
      </w:r>
      <w:r w:rsidR="00297D5E">
        <w:rPr>
          <w:rFonts w:cstheme="minorHAnsi"/>
          <w:sz w:val="28"/>
          <w:szCs w:val="28"/>
        </w:rPr>
        <w:t>s</w:t>
      </w:r>
      <w:r w:rsidR="006A2C1C" w:rsidRPr="003016EA">
        <w:rPr>
          <w:rFonts w:cstheme="minorHAnsi"/>
          <w:sz w:val="28"/>
          <w:szCs w:val="28"/>
        </w:rPr>
        <w:t xml:space="preserve">he was not </w:t>
      </w:r>
      <w:r w:rsidR="00297D5E">
        <w:rPr>
          <w:rFonts w:cstheme="minorHAnsi"/>
          <w:sz w:val="28"/>
          <w:szCs w:val="28"/>
        </w:rPr>
        <w:t>served a copy of the filed application</w:t>
      </w:r>
      <w:r w:rsidR="005F0D73">
        <w:rPr>
          <w:rFonts w:cstheme="minorHAnsi"/>
          <w:sz w:val="28"/>
          <w:szCs w:val="28"/>
        </w:rPr>
        <w:t xml:space="preserve">.  She seeks to have the </w:t>
      </w:r>
      <w:r w:rsidR="00E46C9F">
        <w:rPr>
          <w:rFonts w:cstheme="minorHAnsi"/>
          <w:sz w:val="28"/>
          <w:szCs w:val="28"/>
        </w:rPr>
        <w:t xml:space="preserve">eviction cancelled and the </w:t>
      </w:r>
      <w:r w:rsidR="005F0D73">
        <w:rPr>
          <w:rFonts w:cstheme="minorHAnsi"/>
          <w:sz w:val="28"/>
          <w:szCs w:val="28"/>
        </w:rPr>
        <w:t>hearing rescheduled</w:t>
      </w:r>
      <w:r w:rsidR="006A2C1C" w:rsidRPr="003016EA">
        <w:rPr>
          <w:rFonts w:cstheme="minorHAnsi"/>
          <w:sz w:val="28"/>
          <w:szCs w:val="28"/>
        </w:rPr>
        <w:t>.</w:t>
      </w:r>
    </w:p>
    <w:p w14:paraId="5E73C5BB" w14:textId="62F96E2F" w:rsidR="0042783E" w:rsidRPr="0042783E" w:rsidRDefault="006A142D" w:rsidP="00EC279D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Section 87 of the </w:t>
      </w:r>
      <w:r>
        <w:rPr>
          <w:i/>
          <w:iCs/>
          <w:sz w:val="28"/>
          <w:szCs w:val="28"/>
        </w:rPr>
        <w:t xml:space="preserve">Act </w:t>
      </w:r>
      <w:r w:rsidR="009D7862">
        <w:rPr>
          <w:sz w:val="28"/>
          <w:szCs w:val="28"/>
        </w:rPr>
        <w:t xml:space="preserve">allows </w:t>
      </w:r>
      <w:r w:rsidR="009129E3">
        <w:rPr>
          <w:sz w:val="28"/>
          <w:szCs w:val="28"/>
        </w:rPr>
        <w:t xml:space="preserve">for an appeal of </w:t>
      </w:r>
      <w:r w:rsidR="00481370">
        <w:rPr>
          <w:sz w:val="28"/>
          <w:szCs w:val="28"/>
        </w:rPr>
        <w:t>the decision of a rental officer to th</w:t>
      </w:r>
      <w:r w:rsidR="00F76F6D">
        <w:rPr>
          <w:sz w:val="28"/>
          <w:szCs w:val="28"/>
        </w:rPr>
        <w:t>e Supreme</w:t>
      </w:r>
      <w:r w:rsidR="00481370">
        <w:rPr>
          <w:sz w:val="28"/>
          <w:szCs w:val="28"/>
        </w:rPr>
        <w:t xml:space="preserve"> Court.  </w:t>
      </w:r>
      <w:r w:rsidR="00E937DD">
        <w:rPr>
          <w:sz w:val="28"/>
          <w:szCs w:val="28"/>
        </w:rPr>
        <w:t xml:space="preserve">The </w:t>
      </w:r>
      <w:r w:rsidR="00E937DD">
        <w:rPr>
          <w:i/>
          <w:iCs/>
          <w:sz w:val="28"/>
          <w:szCs w:val="28"/>
        </w:rPr>
        <w:t xml:space="preserve">Act </w:t>
      </w:r>
      <w:r w:rsidR="00E937DD">
        <w:rPr>
          <w:sz w:val="28"/>
          <w:szCs w:val="28"/>
        </w:rPr>
        <w:t>does not prescribe a</w:t>
      </w:r>
      <w:r w:rsidR="00647A25">
        <w:rPr>
          <w:sz w:val="28"/>
          <w:szCs w:val="28"/>
        </w:rPr>
        <w:t xml:space="preserve">n appellate standard of review.  </w:t>
      </w:r>
      <w:r w:rsidR="0050619E">
        <w:rPr>
          <w:sz w:val="28"/>
          <w:szCs w:val="28"/>
        </w:rPr>
        <w:t xml:space="preserve">In </w:t>
      </w:r>
      <w:r w:rsidR="00B651C6" w:rsidRPr="00B651C6">
        <w:rPr>
          <w:rFonts w:cstheme="minorHAnsi"/>
          <w:i/>
          <w:sz w:val="28"/>
          <w:szCs w:val="28"/>
        </w:rPr>
        <w:t>Canada (Minister of Citizenship and Immigration) v Vavilov</w:t>
      </w:r>
      <w:r w:rsidR="00B651C6" w:rsidRPr="00B651C6">
        <w:rPr>
          <w:rFonts w:cstheme="minorHAnsi"/>
          <w:sz w:val="28"/>
          <w:szCs w:val="28"/>
        </w:rPr>
        <w:t>, 2019 SCC 65</w:t>
      </w:r>
      <w:r w:rsidR="0050619E">
        <w:rPr>
          <w:rFonts w:cstheme="minorHAnsi"/>
          <w:sz w:val="28"/>
          <w:szCs w:val="28"/>
        </w:rPr>
        <w:t>, the Supreme Court of Canada</w:t>
      </w:r>
      <w:r w:rsidR="00B651C6" w:rsidRPr="00B651C6">
        <w:rPr>
          <w:rFonts w:cstheme="minorHAnsi"/>
          <w:sz w:val="28"/>
          <w:szCs w:val="28"/>
        </w:rPr>
        <w:t xml:space="preserve"> clarified the </w:t>
      </w:r>
      <w:r w:rsidR="00F76F6D">
        <w:rPr>
          <w:rFonts w:cstheme="minorHAnsi"/>
          <w:sz w:val="28"/>
          <w:szCs w:val="28"/>
        </w:rPr>
        <w:t xml:space="preserve">law with respect to </w:t>
      </w:r>
      <w:r w:rsidR="00B651C6" w:rsidRPr="00B651C6">
        <w:rPr>
          <w:rFonts w:cstheme="minorHAnsi"/>
          <w:sz w:val="28"/>
          <w:szCs w:val="28"/>
        </w:rPr>
        <w:t xml:space="preserve">standards of review for judicial reviews and statutory appeals.  </w:t>
      </w:r>
    </w:p>
    <w:p w14:paraId="0A503AAE" w14:textId="5C4F35E9" w:rsidR="0022163D" w:rsidRDefault="00B651C6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42783E">
        <w:rPr>
          <w:rFonts w:cstheme="minorHAnsi"/>
          <w:sz w:val="28"/>
          <w:szCs w:val="28"/>
        </w:rPr>
        <w:t>Where there is a statutory right of appeal of an administrative decision</w:t>
      </w:r>
      <w:r w:rsidR="00802D34">
        <w:rPr>
          <w:rFonts w:cstheme="minorHAnsi"/>
          <w:sz w:val="28"/>
          <w:szCs w:val="28"/>
        </w:rPr>
        <w:t xml:space="preserve"> and no standard of appeal is prescribed in the legislation</w:t>
      </w:r>
      <w:r w:rsidRPr="0042783E">
        <w:rPr>
          <w:rFonts w:cstheme="minorHAnsi"/>
          <w:sz w:val="28"/>
          <w:szCs w:val="28"/>
        </w:rPr>
        <w:t>, the appellate standard</w:t>
      </w:r>
      <w:r w:rsidR="00AB296A">
        <w:rPr>
          <w:rFonts w:cstheme="minorHAnsi"/>
          <w:sz w:val="28"/>
          <w:szCs w:val="28"/>
        </w:rPr>
        <w:t>s</w:t>
      </w:r>
      <w:r w:rsidRPr="0042783E">
        <w:rPr>
          <w:rFonts w:cstheme="minorHAnsi"/>
          <w:sz w:val="28"/>
          <w:szCs w:val="28"/>
        </w:rPr>
        <w:t xml:space="preserve"> of review</w:t>
      </w:r>
      <w:r w:rsidR="00E8055A" w:rsidRPr="0042783E">
        <w:rPr>
          <w:rFonts w:cstheme="minorHAnsi"/>
          <w:sz w:val="28"/>
          <w:szCs w:val="28"/>
        </w:rPr>
        <w:t xml:space="preserve"> which </w:t>
      </w:r>
      <w:r w:rsidR="00130C34">
        <w:rPr>
          <w:rFonts w:cstheme="minorHAnsi"/>
          <w:sz w:val="28"/>
          <w:szCs w:val="28"/>
        </w:rPr>
        <w:t>were</w:t>
      </w:r>
      <w:r w:rsidR="00303891" w:rsidRPr="0042783E">
        <w:rPr>
          <w:rFonts w:cstheme="minorHAnsi"/>
          <w:sz w:val="28"/>
          <w:szCs w:val="28"/>
        </w:rPr>
        <w:t xml:space="preserve"> </w:t>
      </w:r>
      <w:r w:rsidR="00E8055A" w:rsidRPr="0042783E">
        <w:rPr>
          <w:rFonts w:cstheme="minorHAnsi"/>
          <w:sz w:val="28"/>
          <w:szCs w:val="28"/>
        </w:rPr>
        <w:t xml:space="preserve">stated in </w:t>
      </w:r>
      <w:proofErr w:type="spellStart"/>
      <w:r w:rsidR="00780CEB" w:rsidRPr="0042783E">
        <w:rPr>
          <w:i/>
          <w:iCs/>
          <w:sz w:val="28"/>
          <w:szCs w:val="28"/>
        </w:rPr>
        <w:t>Housen</w:t>
      </w:r>
      <w:proofErr w:type="spellEnd"/>
      <w:r w:rsidR="00780CEB" w:rsidRPr="0042783E">
        <w:rPr>
          <w:i/>
          <w:iCs/>
          <w:sz w:val="28"/>
          <w:szCs w:val="28"/>
        </w:rPr>
        <w:t xml:space="preserve"> v </w:t>
      </w:r>
      <w:proofErr w:type="spellStart"/>
      <w:r w:rsidR="00780CEB" w:rsidRPr="0042783E">
        <w:rPr>
          <w:i/>
          <w:iCs/>
          <w:sz w:val="28"/>
          <w:szCs w:val="28"/>
        </w:rPr>
        <w:t>Nikolaisen</w:t>
      </w:r>
      <w:proofErr w:type="spellEnd"/>
      <w:r w:rsidR="00780CEB" w:rsidRPr="0042783E">
        <w:rPr>
          <w:sz w:val="28"/>
          <w:szCs w:val="28"/>
        </w:rPr>
        <w:t>, 2002 SCC 33</w:t>
      </w:r>
      <w:r w:rsidR="00AB296A">
        <w:rPr>
          <w:sz w:val="28"/>
          <w:szCs w:val="28"/>
        </w:rPr>
        <w:t xml:space="preserve"> are applicable</w:t>
      </w:r>
      <w:r w:rsidR="00EC279D" w:rsidRPr="0042783E">
        <w:rPr>
          <w:sz w:val="28"/>
          <w:szCs w:val="28"/>
        </w:rPr>
        <w:t>.</w:t>
      </w:r>
      <w:r w:rsidR="0042783E" w:rsidRPr="0042783E">
        <w:rPr>
          <w:sz w:val="28"/>
          <w:szCs w:val="28"/>
        </w:rPr>
        <w:t xml:space="preserve">  </w:t>
      </w:r>
      <w:r w:rsidR="00EC279D" w:rsidRPr="0042783E">
        <w:rPr>
          <w:rFonts w:cstheme="minorHAnsi"/>
          <w:sz w:val="28"/>
          <w:szCs w:val="28"/>
        </w:rPr>
        <w:t xml:space="preserve">If the issue on appeal is a question of law, including questions of statutory interpretation and the scope of the decision maker’s authority, the standard of review is correctness. </w:t>
      </w:r>
      <w:r w:rsidR="003B163C">
        <w:rPr>
          <w:rFonts w:cstheme="minorHAnsi"/>
          <w:sz w:val="28"/>
          <w:szCs w:val="28"/>
        </w:rPr>
        <w:t xml:space="preserve"> </w:t>
      </w:r>
      <w:r w:rsidR="00EC279D" w:rsidRPr="0042783E">
        <w:rPr>
          <w:rFonts w:cstheme="minorHAnsi"/>
          <w:sz w:val="28"/>
          <w:szCs w:val="28"/>
        </w:rPr>
        <w:t>If the issue on appeal is a question of fact or mixed fact and law where the legal principle is not readily extricable, the standard of review is palpable and overriding error.</w:t>
      </w:r>
      <w:r w:rsidR="00FE192A">
        <w:rPr>
          <w:rFonts w:cstheme="minorHAnsi"/>
          <w:sz w:val="28"/>
          <w:szCs w:val="28"/>
        </w:rPr>
        <w:t xml:space="preserve">  This is an error that can be plainly seen.  See </w:t>
      </w:r>
      <w:r w:rsidR="00FE192A">
        <w:rPr>
          <w:rFonts w:cstheme="minorHAnsi"/>
          <w:i/>
          <w:iCs/>
          <w:sz w:val="28"/>
          <w:szCs w:val="28"/>
        </w:rPr>
        <w:t xml:space="preserve">St Croix v Yellowknife Housing Authority, </w:t>
      </w:r>
      <w:r w:rsidR="00FE192A">
        <w:rPr>
          <w:rFonts w:cstheme="minorHAnsi"/>
          <w:sz w:val="28"/>
          <w:szCs w:val="28"/>
        </w:rPr>
        <w:t>2021 NWTSC 31 at para</w:t>
      </w:r>
      <w:r w:rsidR="007A4E08">
        <w:rPr>
          <w:rFonts w:cstheme="minorHAnsi"/>
          <w:sz w:val="28"/>
          <w:szCs w:val="28"/>
        </w:rPr>
        <w:t>18.</w:t>
      </w:r>
    </w:p>
    <w:p w14:paraId="27602DD3" w14:textId="0F9A9826" w:rsidR="007A4E08" w:rsidRDefault="00A021B5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7A4E08">
        <w:rPr>
          <w:sz w:val="28"/>
          <w:szCs w:val="28"/>
        </w:rPr>
        <w:t xml:space="preserve">The issue of whether Ms. Crozier had notice of </w:t>
      </w:r>
      <w:r w:rsidR="00FF18C0" w:rsidRPr="007A4E08">
        <w:rPr>
          <w:sz w:val="28"/>
          <w:szCs w:val="28"/>
        </w:rPr>
        <w:t xml:space="preserve">the hearing before </w:t>
      </w:r>
      <w:r w:rsidR="009C7770">
        <w:rPr>
          <w:sz w:val="28"/>
          <w:szCs w:val="28"/>
        </w:rPr>
        <w:t>the</w:t>
      </w:r>
      <w:r w:rsidR="00FF18C0" w:rsidRPr="007A4E08">
        <w:rPr>
          <w:sz w:val="28"/>
          <w:szCs w:val="28"/>
        </w:rPr>
        <w:t xml:space="preserve"> Rental Officer is a question of mixed fact and law for which the standard of review is palpable and overriding error.  </w:t>
      </w:r>
    </w:p>
    <w:p w14:paraId="741C7BEA" w14:textId="1C5E3BF4" w:rsidR="009C3C51" w:rsidRDefault="004B1383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filing an application with the Rental Officer, an applicant is required to </w:t>
      </w:r>
      <w:r w:rsidR="008B4361">
        <w:rPr>
          <w:sz w:val="28"/>
          <w:szCs w:val="28"/>
        </w:rPr>
        <w:t xml:space="preserve">serve a copy of the filed application on the other party at least five business days before </w:t>
      </w:r>
      <w:r w:rsidR="00EC3B66">
        <w:rPr>
          <w:sz w:val="28"/>
          <w:szCs w:val="28"/>
        </w:rPr>
        <w:t>the hearing or within a</w:t>
      </w:r>
      <w:r w:rsidR="00530D61">
        <w:rPr>
          <w:sz w:val="28"/>
          <w:szCs w:val="28"/>
        </w:rPr>
        <w:t>nother</w:t>
      </w:r>
      <w:r w:rsidR="00EC3B66">
        <w:rPr>
          <w:sz w:val="28"/>
          <w:szCs w:val="28"/>
        </w:rPr>
        <w:t xml:space="preserve"> period specified by the rental officer:  </w:t>
      </w:r>
      <w:r>
        <w:rPr>
          <w:sz w:val="28"/>
          <w:szCs w:val="28"/>
        </w:rPr>
        <w:t>s. 76</w:t>
      </w:r>
      <w:r w:rsidR="00EC3B66"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Act</w:t>
      </w:r>
      <w:r w:rsidR="00EC3B66">
        <w:rPr>
          <w:sz w:val="28"/>
          <w:szCs w:val="28"/>
        </w:rPr>
        <w:t>.</w:t>
      </w:r>
    </w:p>
    <w:p w14:paraId="04F20827" w14:textId="3332AD2D" w:rsidR="005762E1" w:rsidRDefault="00864069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Service is addressed both in t</w:t>
      </w:r>
      <w:r w:rsidR="006C4B7C">
        <w:rPr>
          <w:sz w:val="28"/>
          <w:szCs w:val="28"/>
        </w:rPr>
        <w:t xml:space="preserve">he </w:t>
      </w:r>
      <w:r w:rsidR="006C4B7C">
        <w:rPr>
          <w:i/>
          <w:iCs/>
          <w:sz w:val="28"/>
          <w:szCs w:val="28"/>
        </w:rPr>
        <w:t xml:space="preserve">Act </w:t>
      </w:r>
      <w:r>
        <w:rPr>
          <w:sz w:val="28"/>
          <w:szCs w:val="28"/>
        </w:rPr>
        <w:t xml:space="preserve">and the </w:t>
      </w:r>
      <w:r>
        <w:rPr>
          <w:i/>
          <w:iCs/>
          <w:sz w:val="28"/>
          <w:szCs w:val="28"/>
        </w:rPr>
        <w:t>Residential Tenancies Regulations</w:t>
      </w:r>
      <w:r w:rsidR="00287724">
        <w:rPr>
          <w:i/>
          <w:iCs/>
          <w:sz w:val="28"/>
          <w:szCs w:val="28"/>
        </w:rPr>
        <w:t xml:space="preserve">, </w:t>
      </w:r>
      <w:r w:rsidR="00287724">
        <w:rPr>
          <w:sz w:val="28"/>
          <w:szCs w:val="28"/>
        </w:rPr>
        <w:t>R-052-2010</w:t>
      </w:r>
      <w:r w:rsidR="009559A1">
        <w:rPr>
          <w:sz w:val="28"/>
          <w:szCs w:val="28"/>
        </w:rPr>
        <w:t xml:space="preserve"> (the </w:t>
      </w:r>
      <w:r w:rsidR="009559A1">
        <w:rPr>
          <w:i/>
          <w:iCs/>
          <w:sz w:val="28"/>
          <w:szCs w:val="28"/>
        </w:rPr>
        <w:t>Regulations</w:t>
      </w:r>
      <w:r w:rsidR="009559A1">
        <w:rPr>
          <w:sz w:val="28"/>
          <w:szCs w:val="28"/>
        </w:rPr>
        <w:t>)</w:t>
      </w:r>
      <w:r w:rsidR="000C0087">
        <w:rPr>
          <w:sz w:val="28"/>
          <w:szCs w:val="28"/>
        </w:rPr>
        <w:t xml:space="preserve">.  </w:t>
      </w:r>
      <w:r w:rsidR="006916E7">
        <w:rPr>
          <w:sz w:val="28"/>
          <w:szCs w:val="28"/>
        </w:rPr>
        <w:t xml:space="preserve">There are several methods by which a landlord or tenant can serve the other with an application </w:t>
      </w:r>
      <w:r w:rsidR="009F6C50">
        <w:rPr>
          <w:sz w:val="28"/>
          <w:szCs w:val="28"/>
        </w:rPr>
        <w:t xml:space="preserve">to be heard by the Rental Officer.  </w:t>
      </w:r>
      <w:r w:rsidR="00A93CCE">
        <w:rPr>
          <w:sz w:val="28"/>
          <w:szCs w:val="28"/>
        </w:rPr>
        <w:t xml:space="preserve">The </w:t>
      </w:r>
      <w:r w:rsidR="00A93CCE">
        <w:rPr>
          <w:i/>
          <w:iCs/>
          <w:sz w:val="28"/>
          <w:szCs w:val="28"/>
        </w:rPr>
        <w:t xml:space="preserve">Act </w:t>
      </w:r>
      <w:r w:rsidR="00A93CCE">
        <w:rPr>
          <w:sz w:val="28"/>
          <w:szCs w:val="28"/>
        </w:rPr>
        <w:t xml:space="preserve">allows for </w:t>
      </w:r>
      <w:r w:rsidR="003F39BC">
        <w:rPr>
          <w:sz w:val="28"/>
          <w:szCs w:val="28"/>
        </w:rPr>
        <w:t xml:space="preserve">service by personal service, registered mail, </w:t>
      </w:r>
      <w:proofErr w:type="gramStart"/>
      <w:r w:rsidR="003F39BC">
        <w:rPr>
          <w:sz w:val="28"/>
          <w:szCs w:val="28"/>
        </w:rPr>
        <w:t>fax</w:t>
      </w:r>
      <w:proofErr w:type="gramEnd"/>
      <w:r w:rsidR="003F39BC">
        <w:rPr>
          <w:sz w:val="28"/>
          <w:szCs w:val="28"/>
        </w:rPr>
        <w:t xml:space="preserve"> or a method set out in the regulations</w:t>
      </w:r>
      <w:r w:rsidR="005762E1">
        <w:rPr>
          <w:sz w:val="28"/>
          <w:szCs w:val="28"/>
        </w:rPr>
        <w:t xml:space="preserve">:  s. 71(1). </w:t>
      </w:r>
    </w:p>
    <w:p w14:paraId="239A0B7C" w14:textId="18CAE27E" w:rsidR="009559A1" w:rsidRDefault="002B3C3A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02DAC">
        <w:rPr>
          <w:sz w:val="28"/>
          <w:szCs w:val="28"/>
        </w:rPr>
        <w:t xml:space="preserve">he </w:t>
      </w:r>
      <w:r w:rsidR="00202DAC">
        <w:rPr>
          <w:i/>
          <w:iCs/>
          <w:sz w:val="28"/>
          <w:szCs w:val="28"/>
        </w:rPr>
        <w:t>Regulations</w:t>
      </w:r>
      <w:r>
        <w:rPr>
          <w:i/>
          <w:iCs/>
          <w:sz w:val="28"/>
          <w:szCs w:val="28"/>
        </w:rPr>
        <w:t xml:space="preserve"> </w:t>
      </w:r>
      <w:r w:rsidR="009F6C50">
        <w:rPr>
          <w:sz w:val="28"/>
          <w:szCs w:val="28"/>
        </w:rPr>
        <w:t xml:space="preserve">also </w:t>
      </w:r>
      <w:r w:rsidR="00E04498">
        <w:rPr>
          <w:sz w:val="28"/>
          <w:szCs w:val="28"/>
        </w:rPr>
        <w:t xml:space="preserve">permit service of a notice or another document </w:t>
      </w:r>
      <w:r w:rsidR="00A44B02">
        <w:rPr>
          <w:sz w:val="28"/>
          <w:szCs w:val="28"/>
        </w:rPr>
        <w:t xml:space="preserve">on a landlord or tenant </w:t>
      </w:r>
      <w:r w:rsidR="00E04498">
        <w:rPr>
          <w:sz w:val="28"/>
          <w:szCs w:val="28"/>
        </w:rPr>
        <w:t xml:space="preserve">by e-mail if the receiver provides </w:t>
      </w:r>
      <w:r w:rsidR="00A44B02">
        <w:rPr>
          <w:sz w:val="28"/>
          <w:szCs w:val="28"/>
        </w:rPr>
        <w:t>their e-mail address for that purpose</w:t>
      </w:r>
      <w:r w:rsidR="00667691">
        <w:rPr>
          <w:sz w:val="28"/>
          <w:szCs w:val="28"/>
        </w:rPr>
        <w:t>.  A document served by e-mail is deemed to have been received three days after being sent</w:t>
      </w:r>
      <w:r w:rsidR="00B7702E">
        <w:rPr>
          <w:sz w:val="28"/>
          <w:szCs w:val="28"/>
        </w:rPr>
        <w:t xml:space="preserve">:  s. 4, </w:t>
      </w:r>
      <w:r w:rsidR="00B7702E">
        <w:rPr>
          <w:i/>
          <w:iCs/>
          <w:sz w:val="28"/>
          <w:szCs w:val="28"/>
        </w:rPr>
        <w:t>Regulations.</w:t>
      </w:r>
    </w:p>
    <w:p w14:paraId="1BB0DF8B" w14:textId="07F61895" w:rsidR="009735FD" w:rsidRDefault="0059341C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Kayla Crozier</w:t>
      </w:r>
      <w:r w:rsidR="00507772">
        <w:rPr>
          <w:sz w:val="28"/>
          <w:szCs w:val="28"/>
        </w:rPr>
        <w:t xml:space="preserve"> entered into a Tenancy Agreement with the </w:t>
      </w:r>
      <w:r w:rsidR="00443072">
        <w:rPr>
          <w:sz w:val="28"/>
          <w:szCs w:val="28"/>
        </w:rPr>
        <w:t>Respondent</w:t>
      </w:r>
      <w:r w:rsidR="009735FD">
        <w:rPr>
          <w:sz w:val="28"/>
          <w:szCs w:val="28"/>
        </w:rPr>
        <w:t xml:space="preserve">.  </w:t>
      </w:r>
      <w:r w:rsidR="00313BF1">
        <w:rPr>
          <w:sz w:val="28"/>
          <w:szCs w:val="28"/>
        </w:rPr>
        <w:t xml:space="preserve">Clause 10 of the Tenancy Agreement </w:t>
      </w:r>
      <w:r w:rsidR="007657A0">
        <w:rPr>
          <w:sz w:val="28"/>
          <w:szCs w:val="28"/>
        </w:rPr>
        <w:t xml:space="preserve">deals with Service of Documents and Notices.  It allows the landlord and tenant to state </w:t>
      </w:r>
      <w:r w:rsidR="00AD65D2">
        <w:rPr>
          <w:sz w:val="28"/>
          <w:szCs w:val="28"/>
        </w:rPr>
        <w:t xml:space="preserve">the address </w:t>
      </w:r>
      <w:r w:rsidR="007657A0">
        <w:rPr>
          <w:sz w:val="28"/>
          <w:szCs w:val="28"/>
        </w:rPr>
        <w:t xml:space="preserve">where documents </w:t>
      </w:r>
      <w:r w:rsidR="00AB1D5D">
        <w:rPr>
          <w:sz w:val="28"/>
          <w:szCs w:val="28"/>
        </w:rPr>
        <w:t>are to be served, by personal service o</w:t>
      </w:r>
      <w:r w:rsidR="000F3542">
        <w:rPr>
          <w:sz w:val="28"/>
          <w:szCs w:val="28"/>
        </w:rPr>
        <w:t>r</w:t>
      </w:r>
      <w:r w:rsidR="00AB1D5D">
        <w:rPr>
          <w:sz w:val="28"/>
          <w:szCs w:val="28"/>
        </w:rPr>
        <w:t xml:space="preserve"> registered mail</w:t>
      </w:r>
      <w:r w:rsidR="001F26FB">
        <w:rPr>
          <w:sz w:val="28"/>
          <w:szCs w:val="28"/>
        </w:rPr>
        <w:t xml:space="preserve">.  An address for service was included for both </w:t>
      </w:r>
      <w:r w:rsidR="00007629">
        <w:rPr>
          <w:sz w:val="28"/>
          <w:szCs w:val="28"/>
        </w:rPr>
        <w:t xml:space="preserve">and in addition, Ms. Crozier agreed to allow notices to be served </w:t>
      </w:r>
      <w:r w:rsidR="003F00F0">
        <w:rPr>
          <w:sz w:val="28"/>
          <w:szCs w:val="28"/>
        </w:rPr>
        <w:t xml:space="preserve">on her </w:t>
      </w:r>
      <w:r w:rsidR="00007629">
        <w:rPr>
          <w:sz w:val="28"/>
          <w:szCs w:val="28"/>
        </w:rPr>
        <w:t>electronically at an e</w:t>
      </w:r>
      <w:r w:rsidR="00237FAC">
        <w:rPr>
          <w:sz w:val="28"/>
          <w:szCs w:val="28"/>
        </w:rPr>
        <w:t>-</w:t>
      </w:r>
      <w:r w:rsidR="00007629">
        <w:rPr>
          <w:sz w:val="28"/>
          <w:szCs w:val="28"/>
        </w:rPr>
        <w:t>mail address</w:t>
      </w:r>
      <w:r w:rsidR="00D50655">
        <w:rPr>
          <w:sz w:val="28"/>
          <w:szCs w:val="28"/>
        </w:rPr>
        <w:t xml:space="preserve"> which is stated in the Tenancy Agreement</w:t>
      </w:r>
      <w:r w:rsidR="00007629">
        <w:rPr>
          <w:sz w:val="28"/>
          <w:szCs w:val="28"/>
        </w:rPr>
        <w:t xml:space="preserve">. </w:t>
      </w:r>
      <w:r w:rsidR="004175EB">
        <w:rPr>
          <w:sz w:val="28"/>
          <w:szCs w:val="28"/>
        </w:rPr>
        <w:t xml:space="preserve"> </w:t>
      </w:r>
      <w:r w:rsidR="00007629">
        <w:rPr>
          <w:sz w:val="28"/>
          <w:szCs w:val="28"/>
        </w:rPr>
        <w:t xml:space="preserve">The Tenancy Agreement </w:t>
      </w:r>
      <w:r w:rsidR="00D50655">
        <w:rPr>
          <w:sz w:val="28"/>
          <w:szCs w:val="28"/>
        </w:rPr>
        <w:t xml:space="preserve">also </w:t>
      </w:r>
      <w:r w:rsidR="00007629">
        <w:rPr>
          <w:sz w:val="28"/>
          <w:szCs w:val="28"/>
        </w:rPr>
        <w:t>stated that “Notices sent via email are deemed to be received three days after they have been sent.”</w:t>
      </w:r>
    </w:p>
    <w:p w14:paraId="278E4D47" w14:textId="0020D0B4" w:rsidR="005107A0" w:rsidRPr="002126B8" w:rsidRDefault="005107A0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2126B8">
        <w:rPr>
          <w:sz w:val="28"/>
          <w:szCs w:val="28"/>
        </w:rPr>
        <w:t xml:space="preserve">The Respondent filed the Application to a Rental Officer on May 1, 2023.  The Rental Office filed the application and set a hearing date of May 31, 2023.  An e-mail was sent to a representative of the Northview Fund on May 3, </w:t>
      </w:r>
      <w:proofErr w:type="gramStart"/>
      <w:r w:rsidRPr="002126B8">
        <w:rPr>
          <w:sz w:val="28"/>
          <w:szCs w:val="28"/>
        </w:rPr>
        <w:t>2023</w:t>
      </w:r>
      <w:proofErr w:type="gramEnd"/>
      <w:r w:rsidRPr="002126B8">
        <w:rPr>
          <w:sz w:val="28"/>
          <w:szCs w:val="28"/>
        </w:rPr>
        <w:t xml:space="preserve"> which included copies of the filed application and notices of attendance addressed to each party.  The e-mail noted that it was the obligation of Northview Fund to serve Ms. Crozier with the filed application and notice of attendance</w:t>
      </w:r>
      <w:r w:rsidR="002126B8">
        <w:rPr>
          <w:sz w:val="28"/>
          <w:szCs w:val="28"/>
        </w:rPr>
        <w:t>.</w:t>
      </w:r>
    </w:p>
    <w:p w14:paraId="4C5F366A" w14:textId="4D5FA705" w:rsidR="00237FAC" w:rsidRDefault="008432DE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Northview Fund presented </w:t>
      </w:r>
      <w:r w:rsidR="00E27147">
        <w:rPr>
          <w:sz w:val="28"/>
          <w:szCs w:val="28"/>
        </w:rPr>
        <w:t xml:space="preserve">materials </w:t>
      </w:r>
      <w:r>
        <w:rPr>
          <w:sz w:val="28"/>
          <w:szCs w:val="28"/>
        </w:rPr>
        <w:t>to</w:t>
      </w:r>
      <w:r w:rsidR="00E27147">
        <w:rPr>
          <w:sz w:val="28"/>
          <w:szCs w:val="28"/>
        </w:rPr>
        <w:t xml:space="preserve"> the Rental Officer </w:t>
      </w:r>
      <w:r>
        <w:rPr>
          <w:sz w:val="28"/>
          <w:szCs w:val="28"/>
        </w:rPr>
        <w:t xml:space="preserve">that claimed that Ms. Crozier had been provided with notice of the hearing.  </w:t>
      </w:r>
      <w:r w:rsidR="00205C72">
        <w:rPr>
          <w:sz w:val="28"/>
          <w:szCs w:val="28"/>
        </w:rPr>
        <w:t>A</w:t>
      </w:r>
      <w:r w:rsidR="0054753F">
        <w:rPr>
          <w:sz w:val="28"/>
          <w:szCs w:val="28"/>
        </w:rPr>
        <w:t xml:space="preserve"> document entitled</w:t>
      </w:r>
      <w:r w:rsidR="00205C72">
        <w:rPr>
          <w:sz w:val="28"/>
          <w:szCs w:val="28"/>
        </w:rPr>
        <w:t xml:space="preserve"> Proof of Service of Documents stated that the do</w:t>
      </w:r>
      <w:r w:rsidR="000D0146">
        <w:rPr>
          <w:sz w:val="28"/>
          <w:szCs w:val="28"/>
        </w:rPr>
        <w:t>cuments were sent to the email address</w:t>
      </w:r>
      <w:r w:rsidR="00DE057D">
        <w:rPr>
          <w:sz w:val="28"/>
          <w:szCs w:val="28"/>
        </w:rPr>
        <w:t xml:space="preserve"> provided by Ms. Crozier in the Tenancy Agreement on May 16, 2023.  </w:t>
      </w:r>
      <w:r w:rsidR="009C4106">
        <w:rPr>
          <w:sz w:val="28"/>
          <w:szCs w:val="28"/>
        </w:rPr>
        <w:t>Attached to the Proof of Service was an e-mail sent by Cesar Cervantes, Regional Administrator for Northview Fund addressed to Ms. Crozier at her e-mail address</w:t>
      </w:r>
      <w:r w:rsidR="00034111">
        <w:rPr>
          <w:sz w:val="28"/>
          <w:szCs w:val="28"/>
        </w:rPr>
        <w:t xml:space="preserve">.  Within the body of the email was </w:t>
      </w:r>
      <w:r w:rsidR="002247EA">
        <w:rPr>
          <w:sz w:val="28"/>
          <w:szCs w:val="28"/>
        </w:rPr>
        <w:t xml:space="preserve">information </w:t>
      </w:r>
      <w:r w:rsidR="00133990">
        <w:rPr>
          <w:sz w:val="28"/>
          <w:szCs w:val="28"/>
        </w:rPr>
        <w:t xml:space="preserve">informing Ms. Crozier about the </w:t>
      </w:r>
      <w:r w:rsidR="00CC59E5">
        <w:rPr>
          <w:sz w:val="28"/>
          <w:szCs w:val="28"/>
        </w:rPr>
        <w:t>application</w:t>
      </w:r>
      <w:r w:rsidR="007C3567">
        <w:rPr>
          <w:sz w:val="28"/>
          <w:szCs w:val="28"/>
        </w:rPr>
        <w:t xml:space="preserve"> and</w:t>
      </w:r>
      <w:r w:rsidR="00CC59E5">
        <w:rPr>
          <w:sz w:val="28"/>
          <w:szCs w:val="28"/>
        </w:rPr>
        <w:t xml:space="preserve"> advising of the date and time of t</w:t>
      </w:r>
      <w:r w:rsidR="002247EA">
        <w:rPr>
          <w:sz w:val="28"/>
          <w:szCs w:val="28"/>
        </w:rPr>
        <w:t>he scheduled hearing</w:t>
      </w:r>
      <w:r w:rsidR="00CC59E5">
        <w:rPr>
          <w:sz w:val="28"/>
          <w:szCs w:val="28"/>
        </w:rPr>
        <w:t>.  The</w:t>
      </w:r>
      <w:r w:rsidR="002247EA">
        <w:rPr>
          <w:sz w:val="28"/>
          <w:szCs w:val="28"/>
        </w:rPr>
        <w:t xml:space="preserve"> e-mail indicated that </w:t>
      </w:r>
      <w:r w:rsidR="00133990">
        <w:rPr>
          <w:sz w:val="28"/>
          <w:szCs w:val="28"/>
        </w:rPr>
        <w:t xml:space="preserve">there were attachments including the </w:t>
      </w:r>
      <w:r w:rsidR="00CC59E5">
        <w:rPr>
          <w:sz w:val="28"/>
          <w:szCs w:val="28"/>
        </w:rPr>
        <w:t>a</w:t>
      </w:r>
      <w:r w:rsidR="00133990">
        <w:rPr>
          <w:sz w:val="28"/>
          <w:szCs w:val="28"/>
        </w:rPr>
        <w:t xml:space="preserve">pplication form, </w:t>
      </w:r>
      <w:r w:rsidR="00CC59E5">
        <w:rPr>
          <w:sz w:val="28"/>
          <w:szCs w:val="28"/>
        </w:rPr>
        <w:t>h</w:t>
      </w:r>
      <w:r w:rsidR="00133990">
        <w:rPr>
          <w:sz w:val="28"/>
          <w:szCs w:val="28"/>
        </w:rPr>
        <w:t>earing information sheet</w:t>
      </w:r>
      <w:r w:rsidR="00CC59E5">
        <w:rPr>
          <w:sz w:val="28"/>
          <w:szCs w:val="28"/>
        </w:rPr>
        <w:t xml:space="preserve"> and other supporting documents.</w:t>
      </w:r>
    </w:p>
    <w:p w14:paraId="60A3949D" w14:textId="595FB07D" w:rsidR="002126B8" w:rsidRDefault="002126B8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hearing, the Rental Officer </w:t>
      </w:r>
      <w:r w:rsidR="002510EE">
        <w:rPr>
          <w:sz w:val="28"/>
          <w:szCs w:val="28"/>
        </w:rPr>
        <w:t>accepted the Proof of Service finding</w:t>
      </w:r>
      <w:r w:rsidR="00085CEA">
        <w:rPr>
          <w:sz w:val="28"/>
          <w:szCs w:val="28"/>
        </w:rPr>
        <w:t xml:space="preserve"> (at page 1 of the Transcript of the Hearing before the Rental Officer)</w:t>
      </w:r>
      <w:r w:rsidR="002510EE">
        <w:rPr>
          <w:sz w:val="28"/>
          <w:szCs w:val="28"/>
        </w:rPr>
        <w:t>:</w:t>
      </w:r>
    </w:p>
    <w:p w14:paraId="07A50622" w14:textId="341658F7" w:rsidR="002510EE" w:rsidRPr="00FB65AE" w:rsidRDefault="002510EE" w:rsidP="00FB65AE">
      <w:pPr>
        <w:widowControl/>
        <w:spacing w:after="280"/>
        <w:ind w:left="720" w:right="571"/>
        <w:jc w:val="both"/>
        <w:rPr>
          <w:i/>
          <w:iCs/>
        </w:rPr>
      </w:pPr>
      <w:r w:rsidRPr="00FB65AE">
        <w:t xml:space="preserve">I can confirm that Ms. Crozier was served with the filed application and notice of this hearing by e-mail deemed received on May 19, 2023, pursuant to section 4(4) of the </w:t>
      </w:r>
      <w:r w:rsidRPr="00FB65AE">
        <w:rPr>
          <w:i/>
          <w:iCs/>
        </w:rPr>
        <w:t>Residential Tenancies Regulations.</w:t>
      </w:r>
      <w:r w:rsidRPr="00FB65AE">
        <w:t xml:space="preserve">  As such, I am satisfied she is aware of the application and her opportunity to speak to it.</w:t>
      </w:r>
      <w:r w:rsidR="00240CD4" w:rsidRPr="00FB65AE">
        <w:t xml:space="preserve">  I am prepared to proceed in her absence pursuant to section 80(2) of the </w:t>
      </w:r>
      <w:r w:rsidR="00240CD4" w:rsidRPr="00FB65AE">
        <w:rPr>
          <w:i/>
          <w:iCs/>
        </w:rPr>
        <w:t xml:space="preserve">Residential Tenancies </w:t>
      </w:r>
      <w:r w:rsidR="00C70A79" w:rsidRPr="00FB65AE">
        <w:rPr>
          <w:i/>
          <w:iCs/>
        </w:rPr>
        <w:t>Act.</w:t>
      </w:r>
    </w:p>
    <w:p w14:paraId="52824379" w14:textId="7D42B0B4" w:rsidR="004471B2" w:rsidRPr="0099126B" w:rsidRDefault="00E049E5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99126B">
        <w:rPr>
          <w:sz w:val="28"/>
          <w:szCs w:val="28"/>
        </w:rPr>
        <w:t xml:space="preserve">Ms. Crozier </w:t>
      </w:r>
      <w:r w:rsidR="00BE7569" w:rsidRPr="0099126B">
        <w:rPr>
          <w:sz w:val="28"/>
          <w:szCs w:val="28"/>
        </w:rPr>
        <w:t xml:space="preserve">argues that she did not </w:t>
      </w:r>
      <w:r w:rsidR="00610652" w:rsidRPr="0099126B">
        <w:rPr>
          <w:sz w:val="28"/>
          <w:szCs w:val="28"/>
        </w:rPr>
        <w:t>see</w:t>
      </w:r>
      <w:r w:rsidR="00BE7569" w:rsidRPr="0099126B">
        <w:rPr>
          <w:sz w:val="28"/>
          <w:szCs w:val="28"/>
        </w:rPr>
        <w:t xml:space="preserve"> the e-mail </w:t>
      </w:r>
      <w:r w:rsidR="008F392F" w:rsidRPr="0099126B">
        <w:rPr>
          <w:sz w:val="28"/>
          <w:szCs w:val="28"/>
        </w:rPr>
        <w:t>sent by Mr. Cervantes</w:t>
      </w:r>
      <w:r w:rsidR="00957711" w:rsidRPr="0099126B">
        <w:rPr>
          <w:sz w:val="28"/>
          <w:szCs w:val="28"/>
        </w:rPr>
        <w:t xml:space="preserve"> </w:t>
      </w:r>
      <w:r w:rsidR="001C4847" w:rsidRPr="0099126B">
        <w:rPr>
          <w:sz w:val="28"/>
          <w:szCs w:val="28"/>
        </w:rPr>
        <w:t>because it</w:t>
      </w:r>
      <w:r w:rsidR="001C4847" w:rsidRPr="00FC657A">
        <w:rPr>
          <w:sz w:val="28"/>
          <w:szCs w:val="28"/>
        </w:rPr>
        <w:t xml:space="preserve"> </w:t>
      </w:r>
      <w:r w:rsidR="00AB09CE" w:rsidRPr="00FC657A">
        <w:rPr>
          <w:sz w:val="28"/>
          <w:szCs w:val="28"/>
        </w:rPr>
        <w:t>went</w:t>
      </w:r>
      <w:r w:rsidR="00AB09CE" w:rsidRPr="0099126B">
        <w:rPr>
          <w:sz w:val="28"/>
          <w:szCs w:val="28"/>
        </w:rPr>
        <w:t xml:space="preserve"> into</w:t>
      </w:r>
      <w:r w:rsidR="001C4847" w:rsidRPr="0099126B">
        <w:rPr>
          <w:sz w:val="28"/>
          <w:szCs w:val="28"/>
        </w:rPr>
        <w:t xml:space="preserve"> her junk mail folder</w:t>
      </w:r>
      <w:r w:rsidR="00CB6AB5" w:rsidRPr="0099126B">
        <w:rPr>
          <w:sz w:val="28"/>
          <w:szCs w:val="28"/>
        </w:rPr>
        <w:t xml:space="preserve">.  She also claims that she did not know Mr. Cervantes </w:t>
      </w:r>
      <w:r w:rsidR="00610652" w:rsidRPr="0099126B">
        <w:rPr>
          <w:sz w:val="28"/>
          <w:szCs w:val="28"/>
        </w:rPr>
        <w:t>and had never dealt with him before so likely would not have opene</w:t>
      </w:r>
      <w:r w:rsidR="00F543ED" w:rsidRPr="0099126B">
        <w:rPr>
          <w:sz w:val="28"/>
          <w:szCs w:val="28"/>
        </w:rPr>
        <w:t xml:space="preserve">d an email from him.  Ms. Crozier says that she </w:t>
      </w:r>
      <w:r w:rsidR="00CB6AB5" w:rsidRPr="0099126B">
        <w:rPr>
          <w:sz w:val="28"/>
          <w:szCs w:val="28"/>
        </w:rPr>
        <w:t xml:space="preserve">had previously received e-mails </w:t>
      </w:r>
      <w:r w:rsidR="00C86185" w:rsidRPr="0099126B">
        <w:rPr>
          <w:sz w:val="28"/>
          <w:szCs w:val="28"/>
        </w:rPr>
        <w:t xml:space="preserve">sent on </w:t>
      </w:r>
      <w:r w:rsidR="00CB6AB5" w:rsidRPr="0099126B">
        <w:rPr>
          <w:sz w:val="28"/>
          <w:szCs w:val="28"/>
        </w:rPr>
        <w:lastRenderedPageBreak/>
        <w:t>Northview Fund</w:t>
      </w:r>
      <w:r w:rsidR="00C86185" w:rsidRPr="0099126B">
        <w:rPr>
          <w:sz w:val="28"/>
          <w:szCs w:val="28"/>
        </w:rPr>
        <w:t>’s behalf</w:t>
      </w:r>
      <w:r w:rsidR="00CB6AB5" w:rsidRPr="0099126B">
        <w:rPr>
          <w:sz w:val="28"/>
          <w:szCs w:val="28"/>
        </w:rPr>
        <w:t xml:space="preserve"> from </w:t>
      </w:r>
      <w:r w:rsidR="00F543ED" w:rsidRPr="0099126B">
        <w:rPr>
          <w:sz w:val="28"/>
          <w:szCs w:val="28"/>
        </w:rPr>
        <w:t xml:space="preserve">either </w:t>
      </w:r>
      <w:r w:rsidR="00CB6AB5" w:rsidRPr="0099126B">
        <w:rPr>
          <w:sz w:val="28"/>
          <w:szCs w:val="28"/>
        </w:rPr>
        <w:t xml:space="preserve">Katherine Cullum or an </w:t>
      </w:r>
      <w:r w:rsidR="00882B53" w:rsidRPr="0099126B">
        <w:rPr>
          <w:sz w:val="28"/>
          <w:szCs w:val="28"/>
        </w:rPr>
        <w:t>e-mail address called Northview Fund.</w:t>
      </w:r>
      <w:r w:rsidR="0099126B" w:rsidRPr="0099126B">
        <w:rPr>
          <w:sz w:val="28"/>
          <w:szCs w:val="28"/>
        </w:rPr>
        <w:t xml:space="preserve">  </w:t>
      </w:r>
      <w:r w:rsidR="004471B2" w:rsidRPr="0099126B">
        <w:rPr>
          <w:sz w:val="28"/>
          <w:szCs w:val="28"/>
        </w:rPr>
        <w:t xml:space="preserve">Ms. Crozier referred to a previous application before the Rental Officer where Northview Fund had </w:t>
      </w:r>
      <w:r w:rsidR="00720B17" w:rsidRPr="0099126B">
        <w:rPr>
          <w:sz w:val="28"/>
          <w:szCs w:val="28"/>
        </w:rPr>
        <w:t xml:space="preserve">served her and </w:t>
      </w:r>
      <w:r w:rsidR="0099126B" w:rsidRPr="0099126B">
        <w:rPr>
          <w:sz w:val="28"/>
          <w:szCs w:val="28"/>
        </w:rPr>
        <w:t>sent</w:t>
      </w:r>
      <w:r w:rsidR="00720B17" w:rsidRPr="0099126B">
        <w:rPr>
          <w:sz w:val="28"/>
          <w:szCs w:val="28"/>
        </w:rPr>
        <w:t xml:space="preserve"> her a reminder of the hearing.  </w:t>
      </w:r>
      <w:r w:rsidR="009D2363" w:rsidRPr="0099126B">
        <w:rPr>
          <w:sz w:val="28"/>
          <w:szCs w:val="28"/>
        </w:rPr>
        <w:t>In that case, communications had come from Katherine Cullum.</w:t>
      </w:r>
    </w:p>
    <w:p w14:paraId="2859081C" w14:textId="2BCB90A0" w:rsidR="00AF180A" w:rsidRDefault="00EA002E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Ms. Crozier may not have dealt with Mr. Cervantes </w:t>
      </w:r>
      <w:r w:rsidR="0089711F">
        <w:rPr>
          <w:sz w:val="28"/>
          <w:szCs w:val="28"/>
        </w:rPr>
        <w:t xml:space="preserve">before, there was no requirement that Northview Fund </w:t>
      </w:r>
      <w:r w:rsidR="003F4F68">
        <w:rPr>
          <w:sz w:val="28"/>
          <w:szCs w:val="28"/>
        </w:rPr>
        <w:t>communicate with her through a specifi</w:t>
      </w:r>
      <w:r w:rsidR="00D26891">
        <w:rPr>
          <w:sz w:val="28"/>
          <w:szCs w:val="28"/>
        </w:rPr>
        <w:t>c</w:t>
      </w:r>
      <w:r w:rsidR="003F4F68">
        <w:rPr>
          <w:sz w:val="28"/>
          <w:szCs w:val="28"/>
        </w:rPr>
        <w:t xml:space="preserve"> e-mail address</w:t>
      </w:r>
      <w:r w:rsidR="003C0282">
        <w:rPr>
          <w:sz w:val="28"/>
          <w:szCs w:val="28"/>
        </w:rPr>
        <w:t xml:space="preserve"> or through a specific method.  In the </w:t>
      </w:r>
      <w:r w:rsidR="009C2E63">
        <w:rPr>
          <w:sz w:val="28"/>
          <w:szCs w:val="28"/>
        </w:rPr>
        <w:t>Tenancy Agreement, Ms. Crozier agreed to receive</w:t>
      </w:r>
      <w:r w:rsidR="00B03CF4">
        <w:rPr>
          <w:sz w:val="28"/>
          <w:szCs w:val="28"/>
        </w:rPr>
        <w:t xml:space="preserve"> notices electronically at her e-</w:t>
      </w:r>
      <w:r w:rsidR="00B358CC">
        <w:rPr>
          <w:sz w:val="28"/>
          <w:szCs w:val="28"/>
        </w:rPr>
        <w:t>ma</w:t>
      </w:r>
      <w:r w:rsidR="00B03CF4">
        <w:rPr>
          <w:sz w:val="28"/>
          <w:szCs w:val="28"/>
        </w:rPr>
        <w:t xml:space="preserve">il address in addition to </w:t>
      </w:r>
      <w:r w:rsidR="003B393D">
        <w:rPr>
          <w:sz w:val="28"/>
          <w:szCs w:val="28"/>
        </w:rPr>
        <w:t xml:space="preserve">receiving documents by personal service or registered mail.  Any of these options were open to Northview Fund to serve Ms. Crozier with </w:t>
      </w:r>
      <w:r w:rsidR="00B358CC">
        <w:rPr>
          <w:sz w:val="28"/>
          <w:szCs w:val="28"/>
        </w:rPr>
        <w:t>notice of the application and the hearing date.</w:t>
      </w:r>
    </w:p>
    <w:p w14:paraId="096124D4" w14:textId="7862AF8A" w:rsidR="00994118" w:rsidRDefault="00AC64EB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Crozier claimed that in addition to not knowing who Mr. Cervantes was, she receives spam e-mail from </w:t>
      </w:r>
      <w:r w:rsidR="00072ECB">
        <w:rPr>
          <w:sz w:val="28"/>
          <w:szCs w:val="28"/>
        </w:rPr>
        <w:t>online gambling sites</w:t>
      </w:r>
      <w:r>
        <w:rPr>
          <w:sz w:val="28"/>
          <w:szCs w:val="28"/>
        </w:rPr>
        <w:t xml:space="preserve"> and </w:t>
      </w:r>
      <w:r w:rsidR="00A435C3">
        <w:rPr>
          <w:sz w:val="28"/>
          <w:szCs w:val="28"/>
        </w:rPr>
        <w:t xml:space="preserve">an e-mail from someone named “Caesar” would have been overlooked as being from </w:t>
      </w:r>
      <w:r w:rsidR="00072ECB">
        <w:rPr>
          <w:sz w:val="28"/>
          <w:szCs w:val="28"/>
        </w:rPr>
        <w:t xml:space="preserve">an online casino.  </w:t>
      </w:r>
      <w:r w:rsidR="00E3038F">
        <w:rPr>
          <w:sz w:val="28"/>
          <w:szCs w:val="28"/>
        </w:rPr>
        <w:t xml:space="preserve">While </w:t>
      </w:r>
      <w:r w:rsidR="006762CA">
        <w:rPr>
          <w:sz w:val="28"/>
          <w:szCs w:val="28"/>
        </w:rPr>
        <w:t xml:space="preserve">Ms. Crozier may have overlooked the </w:t>
      </w:r>
      <w:r w:rsidR="000072B7">
        <w:rPr>
          <w:sz w:val="28"/>
          <w:szCs w:val="28"/>
        </w:rPr>
        <w:t>e-mail</w:t>
      </w:r>
      <w:r w:rsidR="00AD7F26">
        <w:rPr>
          <w:sz w:val="28"/>
          <w:szCs w:val="28"/>
        </w:rPr>
        <w:t xml:space="preserve">, </w:t>
      </w:r>
      <w:r w:rsidR="00994118">
        <w:rPr>
          <w:sz w:val="28"/>
          <w:szCs w:val="28"/>
        </w:rPr>
        <w:t>the subject of Mr. Cervantes</w:t>
      </w:r>
      <w:r w:rsidR="00153C44">
        <w:rPr>
          <w:sz w:val="28"/>
          <w:szCs w:val="28"/>
        </w:rPr>
        <w:t>’</w:t>
      </w:r>
      <w:r w:rsidR="00994118">
        <w:rPr>
          <w:sz w:val="28"/>
          <w:szCs w:val="28"/>
        </w:rPr>
        <w:t xml:space="preserve"> e-mail </w:t>
      </w:r>
      <w:r w:rsidR="00254380">
        <w:rPr>
          <w:sz w:val="28"/>
          <w:szCs w:val="28"/>
        </w:rPr>
        <w:t>was “Notice of Attendance for Rental Court”</w:t>
      </w:r>
      <w:r w:rsidR="00E150E8">
        <w:rPr>
          <w:sz w:val="28"/>
          <w:szCs w:val="28"/>
        </w:rPr>
        <w:t>.</w:t>
      </w:r>
      <w:r w:rsidR="00254380">
        <w:rPr>
          <w:sz w:val="28"/>
          <w:szCs w:val="28"/>
        </w:rPr>
        <w:t xml:space="preserve">  </w:t>
      </w:r>
      <w:r w:rsidR="00153C44">
        <w:rPr>
          <w:sz w:val="28"/>
          <w:szCs w:val="28"/>
        </w:rPr>
        <w:t>This would have been visible to Ms. Crozier and should have caught her attention.</w:t>
      </w:r>
    </w:p>
    <w:p w14:paraId="16C6FFB6" w14:textId="6E34FBC9" w:rsidR="00D87C86" w:rsidRPr="00AF1375" w:rsidRDefault="00313092" w:rsidP="00AF1375">
      <w:pPr>
        <w:widowControl/>
        <w:numPr>
          <w:ilvl w:val="0"/>
          <w:numId w:val="2"/>
        </w:numPr>
        <w:spacing w:after="280"/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While it is unfortunate that Ms. Crozier did not view the </w:t>
      </w:r>
      <w:r w:rsidR="00EB6E0C">
        <w:rPr>
          <w:sz w:val="28"/>
          <w:szCs w:val="28"/>
        </w:rPr>
        <w:t xml:space="preserve">e-mail from Mr. Cervantes in time to attend the hearing before the Rental Officer, Northview Fund complied with the </w:t>
      </w:r>
      <w:r w:rsidR="007D0ACE">
        <w:rPr>
          <w:sz w:val="28"/>
          <w:szCs w:val="28"/>
        </w:rPr>
        <w:t xml:space="preserve">requirements for service under the </w:t>
      </w:r>
      <w:r w:rsidR="007D0ACE">
        <w:rPr>
          <w:i/>
          <w:iCs/>
          <w:sz w:val="28"/>
          <w:szCs w:val="28"/>
        </w:rPr>
        <w:t xml:space="preserve">Act </w:t>
      </w:r>
      <w:r w:rsidR="007D0ACE">
        <w:rPr>
          <w:sz w:val="28"/>
          <w:szCs w:val="28"/>
        </w:rPr>
        <w:t xml:space="preserve">and </w:t>
      </w:r>
      <w:r w:rsidR="007D0ACE">
        <w:rPr>
          <w:i/>
          <w:iCs/>
          <w:sz w:val="28"/>
          <w:szCs w:val="28"/>
        </w:rPr>
        <w:t>Regulations.</w:t>
      </w:r>
      <w:r w:rsidR="00AF2542">
        <w:rPr>
          <w:i/>
          <w:iCs/>
          <w:sz w:val="28"/>
          <w:szCs w:val="28"/>
        </w:rPr>
        <w:t xml:space="preserve"> </w:t>
      </w:r>
    </w:p>
    <w:p w14:paraId="267F1461" w14:textId="607C2C93" w:rsidR="00B71990" w:rsidRDefault="007D0ACE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E5871">
        <w:rPr>
          <w:sz w:val="28"/>
          <w:szCs w:val="28"/>
        </w:rPr>
        <w:t xml:space="preserve">She was served with the documents by e-mail </w:t>
      </w:r>
      <w:r w:rsidR="00EE3A50">
        <w:rPr>
          <w:sz w:val="28"/>
          <w:szCs w:val="28"/>
        </w:rPr>
        <w:t xml:space="preserve">as permitted by the </w:t>
      </w:r>
      <w:r w:rsidR="00EE3A50">
        <w:rPr>
          <w:i/>
          <w:iCs/>
          <w:sz w:val="28"/>
          <w:szCs w:val="28"/>
        </w:rPr>
        <w:t xml:space="preserve">Regulations </w:t>
      </w:r>
      <w:r w:rsidR="00EE3A50">
        <w:rPr>
          <w:sz w:val="28"/>
          <w:szCs w:val="28"/>
        </w:rPr>
        <w:t xml:space="preserve">and after three days, the e-mail was deemed received.  There was no requirement for </w:t>
      </w:r>
      <w:r w:rsidR="00B71990">
        <w:rPr>
          <w:sz w:val="28"/>
          <w:szCs w:val="28"/>
        </w:rPr>
        <w:t xml:space="preserve">Northview Fund to remind Ms. Crozier of the hearing.  </w:t>
      </w:r>
    </w:p>
    <w:p w14:paraId="7D855213" w14:textId="0198559C" w:rsidR="00313092" w:rsidRDefault="002A48A1" w:rsidP="00E74A25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EE3A50">
        <w:rPr>
          <w:sz w:val="28"/>
          <w:szCs w:val="28"/>
        </w:rPr>
        <w:t>The</w:t>
      </w:r>
      <w:r>
        <w:rPr>
          <w:sz w:val="28"/>
          <w:szCs w:val="28"/>
        </w:rPr>
        <w:t xml:space="preserve"> Rental Officer accepted that the service on Ms. Crozier was proper and deemed service </w:t>
      </w:r>
      <w:r w:rsidR="00B71990">
        <w:rPr>
          <w:sz w:val="28"/>
          <w:szCs w:val="28"/>
        </w:rPr>
        <w:t>to have been made</w:t>
      </w:r>
      <w:r w:rsidR="00A470DE">
        <w:rPr>
          <w:sz w:val="28"/>
          <w:szCs w:val="28"/>
        </w:rPr>
        <w:t>.  There is no error in that conclusion.</w:t>
      </w:r>
    </w:p>
    <w:p w14:paraId="11F4991C" w14:textId="77777777" w:rsidR="00A440B5" w:rsidRDefault="003768EA" w:rsidP="00870B84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issue raised at the hearing by Ms. Crozier was </w:t>
      </w:r>
      <w:r w:rsidR="00B90C3E">
        <w:rPr>
          <w:sz w:val="28"/>
          <w:szCs w:val="28"/>
        </w:rPr>
        <w:t xml:space="preserve">her concern that the amount of arrears ordered was not correct.  </w:t>
      </w:r>
      <w:r w:rsidR="004A3361">
        <w:rPr>
          <w:sz w:val="28"/>
          <w:szCs w:val="28"/>
        </w:rPr>
        <w:t xml:space="preserve">Ms. Crozier’s rent had been paid by income assistance </w:t>
      </w:r>
      <w:proofErr w:type="gramStart"/>
      <w:r w:rsidR="004A3361">
        <w:rPr>
          <w:sz w:val="28"/>
          <w:szCs w:val="28"/>
        </w:rPr>
        <w:t>on a monthly basis</w:t>
      </w:r>
      <w:proofErr w:type="gramEnd"/>
      <w:r w:rsidR="004A3361">
        <w:rPr>
          <w:sz w:val="28"/>
          <w:szCs w:val="28"/>
        </w:rPr>
        <w:t xml:space="preserve"> and </w:t>
      </w:r>
      <w:r w:rsidR="00A440B5">
        <w:rPr>
          <w:sz w:val="28"/>
          <w:szCs w:val="28"/>
        </w:rPr>
        <w:t xml:space="preserve">she claimed </w:t>
      </w:r>
      <w:r w:rsidR="004A3361">
        <w:rPr>
          <w:sz w:val="28"/>
          <w:szCs w:val="28"/>
        </w:rPr>
        <w:t xml:space="preserve">there </w:t>
      </w:r>
      <w:r w:rsidR="00D0437D">
        <w:rPr>
          <w:sz w:val="28"/>
          <w:szCs w:val="28"/>
        </w:rPr>
        <w:t xml:space="preserve">was discrepancy with two of the months.  </w:t>
      </w:r>
      <w:r w:rsidR="00B90C3E">
        <w:rPr>
          <w:sz w:val="28"/>
          <w:szCs w:val="28"/>
        </w:rPr>
        <w:t xml:space="preserve">This was not a ground of </w:t>
      </w:r>
      <w:proofErr w:type="gramStart"/>
      <w:r w:rsidR="00B90C3E">
        <w:rPr>
          <w:sz w:val="28"/>
          <w:szCs w:val="28"/>
        </w:rPr>
        <w:t>appeal</w:t>
      </w:r>
      <w:proofErr w:type="gramEnd"/>
      <w:r w:rsidR="002371C2">
        <w:rPr>
          <w:sz w:val="28"/>
          <w:szCs w:val="28"/>
        </w:rPr>
        <w:t xml:space="preserve"> but it appears that </w:t>
      </w:r>
      <w:r w:rsidR="00FF60B0">
        <w:rPr>
          <w:sz w:val="28"/>
          <w:szCs w:val="28"/>
        </w:rPr>
        <w:t xml:space="preserve">there may be some confusion regarding some of the arrears.  </w:t>
      </w:r>
    </w:p>
    <w:p w14:paraId="49A0C8F2" w14:textId="40687919" w:rsidR="00A440B5" w:rsidRDefault="004A3361" w:rsidP="00870B84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Counsel for Northview Fund</w:t>
      </w:r>
      <w:r w:rsidR="00D0437D">
        <w:rPr>
          <w:sz w:val="28"/>
          <w:szCs w:val="28"/>
        </w:rPr>
        <w:t xml:space="preserve"> indicated that he was willing to meet with Ms. Crozier and a representative from income assistance to attempt to resolve this problem.  </w:t>
      </w:r>
      <w:r w:rsidR="003B07C2">
        <w:rPr>
          <w:sz w:val="28"/>
          <w:szCs w:val="28"/>
        </w:rPr>
        <w:t xml:space="preserve">At the end of the hearing, I encouraged the parties to meet to attempt to </w:t>
      </w:r>
      <w:r w:rsidR="003B07C2">
        <w:rPr>
          <w:sz w:val="28"/>
          <w:szCs w:val="28"/>
        </w:rPr>
        <w:lastRenderedPageBreak/>
        <w:t xml:space="preserve">resolve this issue.  </w:t>
      </w:r>
      <w:r w:rsidR="00AB09CE">
        <w:rPr>
          <w:sz w:val="28"/>
          <w:szCs w:val="28"/>
        </w:rPr>
        <w:t>I hope that this meeting has been arranged and the issue resolved to the satisfaction of both parties.</w:t>
      </w:r>
    </w:p>
    <w:p w14:paraId="16C662A1" w14:textId="43AA7C62" w:rsidR="006A2C1C" w:rsidRPr="00870B84" w:rsidRDefault="006A2C1C" w:rsidP="00870B84">
      <w:pPr>
        <w:widowControl/>
        <w:numPr>
          <w:ilvl w:val="0"/>
          <w:numId w:val="2"/>
        </w:numPr>
        <w:spacing w:after="280"/>
        <w:ind w:left="0" w:firstLine="0"/>
        <w:jc w:val="both"/>
        <w:rPr>
          <w:sz w:val="28"/>
          <w:szCs w:val="28"/>
        </w:rPr>
      </w:pPr>
      <w:r w:rsidRPr="00870B84">
        <w:rPr>
          <w:sz w:val="28"/>
          <w:szCs w:val="28"/>
        </w:rPr>
        <w:t>For the</w:t>
      </w:r>
      <w:r w:rsidR="00FA0845">
        <w:rPr>
          <w:sz w:val="28"/>
          <w:szCs w:val="28"/>
        </w:rPr>
        <w:t>se</w:t>
      </w:r>
      <w:r w:rsidRPr="00870B84">
        <w:rPr>
          <w:sz w:val="28"/>
          <w:szCs w:val="28"/>
        </w:rPr>
        <w:t xml:space="preserve"> reasons, </w:t>
      </w:r>
      <w:r w:rsidR="00870B84" w:rsidRPr="00870B84">
        <w:rPr>
          <w:sz w:val="28"/>
          <w:szCs w:val="28"/>
        </w:rPr>
        <w:t>the appeal is dismissed.</w:t>
      </w:r>
    </w:p>
    <w:p w14:paraId="16C662A3" w14:textId="77777777" w:rsidR="006A2C1C" w:rsidRPr="006A2C1C" w:rsidRDefault="006A2C1C" w:rsidP="006A2C1C">
      <w:pPr>
        <w:widowControl/>
        <w:ind w:firstLine="2160"/>
        <w:jc w:val="both"/>
        <w:rPr>
          <w:sz w:val="28"/>
          <w:szCs w:val="28"/>
        </w:rPr>
      </w:pPr>
    </w:p>
    <w:p w14:paraId="16C662A4" w14:textId="77777777" w:rsidR="006A2C1C" w:rsidRPr="006A2C1C" w:rsidRDefault="006A2C1C" w:rsidP="006A2C1C">
      <w:pPr>
        <w:widowControl/>
        <w:jc w:val="both"/>
        <w:rPr>
          <w:sz w:val="28"/>
          <w:szCs w:val="28"/>
        </w:rPr>
      </w:pPr>
    </w:p>
    <w:p w14:paraId="16C662A5" w14:textId="77777777" w:rsidR="006A2C1C" w:rsidRPr="006A2C1C" w:rsidRDefault="006A2C1C" w:rsidP="006A2C1C">
      <w:pPr>
        <w:widowControl/>
        <w:jc w:val="both"/>
        <w:rPr>
          <w:sz w:val="28"/>
          <w:szCs w:val="28"/>
        </w:rPr>
      </w:pPr>
    </w:p>
    <w:p w14:paraId="16C662A6" w14:textId="77777777" w:rsidR="006A2C1C" w:rsidRPr="006A2C1C" w:rsidRDefault="006A2C1C" w:rsidP="006A2C1C">
      <w:pPr>
        <w:widowControl/>
        <w:ind w:left="5760"/>
        <w:jc w:val="both"/>
        <w:rPr>
          <w:sz w:val="28"/>
          <w:szCs w:val="28"/>
        </w:rPr>
      </w:pPr>
      <w:r w:rsidRPr="006A2C1C">
        <w:rPr>
          <w:sz w:val="28"/>
          <w:szCs w:val="28"/>
        </w:rPr>
        <w:t>S.H. Smallwood</w:t>
      </w:r>
    </w:p>
    <w:p w14:paraId="16C662A7" w14:textId="13ABA65B" w:rsidR="006A2C1C" w:rsidRDefault="006A2C1C" w:rsidP="006A2C1C">
      <w:pPr>
        <w:widowControl/>
        <w:ind w:firstLine="5760"/>
        <w:jc w:val="both"/>
        <w:rPr>
          <w:sz w:val="28"/>
          <w:szCs w:val="28"/>
        </w:rPr>
      </w:pPr>
      <w:r w:rsidRPr="006A2C1C">
        <w:rPr>
          <w:sz w:val="28"/>
          <w:szCs w:val="28"/>
        </w:rPr>
        <w:t xml:space="preserve">   </w:t>
      </w:r>
      <w:r w:rsidR="00147AD8">
        <w:rPr>
          <w:sz w:val="28"/>
          <w:szCs w:val="28"/>
        </w:rPr>
        <w:t>Chief Justice</w:t>
      </w:r>
    </w:p>
    <w:p w14:paraId="5D4C137C" w14:textId="77777777" w:rsidR="00147AD8" w:rsidRDefault="00147AD8" w:rsidP="00AE3EB3">
      <w:pPr>
        <w:widowControl/>
        <w:rPr>
          <w:sz w:val="28"/>
          <w:szCs w:val="28"/>
        </w:rPr>
      </w:pPr>
    </w:p>
    <w:p w14:paraId="6B8E1CCA" w14:textId="421BA36B" w:rsidR="00AE3EB3" w:rsidRDefault="00AE3EB3" w:rsidP="00AE3EB3">
      <w:pPr>
        <w:widowControl/>
        <w:rPr>
          <w:sz w:val="28"/>
          <w:szCs w:val="28"/>
        </w:rPr>
      </w:pPr>
      <w:r>
        <w:rPr>
          <w:sz w:val="28"/>
          <w:szCs w:val="28"/>
        </w:rPr>
        <w:t>Dated</w:t>
      </w:r>
      <w:r w:rsidR="0041468F">
        <w:rPr>
          <w:sz w:val="28"/>
          <w:szCs w:val="28"/>
        </w:rPr>
        <w:t xml:space="preserve"> at Yellowknife, NT this</w:t>
      </w:r>
    </w:p>
    <w:p w14:paraId="2BFC989E" w14:textId="17204D91" w:rsidR="0041468F" w:rsidRDefault="00F46D73" w:rsidP="00AE3EB3">
      <w:pPr>
        <w:widowControl/>
        <w:rPr>
          <w:sz w:val="28"/>
          <w:szCs w:val="28"/>
        </w:rPr>
      </w:pPr>
      <w:r>
        <w:rPr>
          <w:sz w:val="28"/>
          <w:szCs w:val="28"/>
        </w:rPr>
        <w:t>6</w:t>
      </w:r>
      <w:r w:rsidR="0041468F" w:rsidRPr="0041468F">
        <w:rPr>
          <w:sz w:val="28"/>
          <w:szCs w:val="28"/>
          <w:vertAlign w:val="superscript"/>
        </w:rPr>
        <w:t>th</w:t>
      </w:r>
      <w:r w:rsidR="0041468F">
        <w:rPr>
          <w:sz w:val="28"/>
          <w:szCs w:val="28"/>
        </w:rPr>
        <w:t xml:space="preserve"> day of </w:t>
      </w:r>
      <w:proofErr w:type="gramStart"/>
      <w:r w:rsidR="0041468F">
        <w:rPr>
          <w:sz w:val="28"/>
          <w:szCs w:val="28"/>
        </w:rPr>
        <w:t>February,</w:t>
      </w:r>
      <w:proofErr w:type="gramEnd"/>
      <w:r w:rsidR="0041468F">
        <w:rPr>
          <w:sz w:val="28"/>
          <w:szCs w:val="28"/>
        </w:rPr>
        <w:t xml:space="preserve"> 2024</w:t>
      </w:r>
    </w:p>
    <w:p w14:paraId="3E4B2C49" w14:textId="77777777" w:rsidR="0041468F" w:rsidRDefault="0041468F" w:rsidP="00AE3EB3">
      <w:pPr>
        <w:widowControl/>
        <w:rPr>
          <w:sz w:val="28"/>
          <w:szCs w:val="28"/>
        </w:rPr>
      </w:pPr>
    </w:p>
    <w:p w14:paraId="33CFD08A" w14:textId="0F1A9322" w:rsidR="0041468F" w:rsidRDefault="0041468F" w:rsidP="00AE3EB3">
      <w:pPr>
        <w:widowControl/>
        <w:rPr>
          <w:sz w:val="28"/>
          <w:szCs w:val="28"/>
        </w:rPr>
      </w:pPr>
      <w:r>
        <w:rPr>
          <w:sz w:val="28"/>
          <w:szCs w:val="28"/>
        </w:rPr>
        <w:t>Counsel for the Appellant:</w:t>
      </w:r>
      <w:r>
        <w:rPr>
          <w:sz w:val="28"/>
          <w:szCs w:val="28"/>
        </w:rPr>
        <w:tab/>
        <w:t>Self-Represented</w:t>
      </w:r>
    </w:p>
    <w:p w14:paraId="3EA5041B" w14:textId="6B3EBDD6" w:rsidR="0041468F" w:rsidRDefault="0041468F" w:rsidP="00AE3EB3">
      <w:pPr>
        <w:widowControl/>
        <w:rPr>
          <w:sz w:val="28"/>
          <w:szCs w:val="28"/>
        </w:rPr>
      </w:pPr>
      <w:r>
        <w:rPr>
          <w:sz w:val="28"/>
          <w:szCs w:val="28"/>
        </w:rPr>
        <w:t>Counsel for the Respondent:</w:t>
      </w:r>
      <w:r>
        <w:rPr>
          <w:sz w:val="28"/>
          <w:szCs w:val="28"/>
        </w:rPr>
        <w:tab/>
      </w:r>
      <w:r w:rsidR="003B72F8">
        <w:rPr>
          <w:sz w:val="28"/>
          <w:szCs w:val="28"/>
        </w:rPr>
        <w:t>S</w:t>
      </w:r>
      <w:r w:rsidR="00D72D6C">
        <w:rPr>
          <w:sz w:val="28"/>
          <w:szCs w:val="28"/>
        </w:rPr>
        <w:t>imon</w:t>
      </w:r>
      <w:r w:rsidR="003B72F8">
        <w:rPr>
          <w:sz w:val="28"/>
          <w:szCs w:val="28"/>
        </w:rPr>
        <w:t xml:space="preserve"> Barry</w:t>
      </w:r>
    </w:p>
    <w:p w14:paraId="22E42CA9" w14:textId="77777777" w:rsidR="00AE3EB3" w:rsidRPr="006A2C1C" w:rsidRDefault="00AE3EB3" w:rsidP="00AE3EB3">
      <w:pPr>
        <w:widowControl/>
        <w:ind w:firstLine="5760"/>
        <w:rPr>
          <w:sz w:val="28"/>
          <w:szCs w:val="28"/>
        </w:rPr>
      </w:pPr>
    </w:p>
    <w:p w14:paraId="7CEFAFAC" w14:textId="77777777" w:rsidR="00951BE4" w:rsidRDefault="00951BE4">
      <w:pPr>
        <w:rPr>
          <w:sz w:val="28"/>
          <w:szCs w:val="28"/>
        </w:rPr>
        <w:sectPr w:rsidR="00951BE4" w:rsidSect="006A2C1C">
          <w:headerReference w:type="default" r:id="rId10"/>
          <w:pgSz w:w="12240" w:h="15840"/>
          <w:pgMar w:top="1350" w:right="1440" w:bottom="1350" w:left="1440" w:header="1350" w:footer="135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XSpec="right" w:tblpY="466"/>
        <w:tblW w:w="600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</w:tblGrid>
      <w:tr w:rsidR="00D5150D" w:rsidRPr="004629CC" w14:paraId="562C7513" w14:textId="77777777" w:rsidTr="00A93B9F">
        <w:trPr>
          <w:trHeight w:val="426"/>
        </w:trPr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4200FB" w14:textId="58F9DB2A" w:rsidR="00D5150D" w:rsidRPr="004629CC" w:rsidRDefault="00D5150D" w:rsidP="00A93B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6A2C1C">
              <w:rPr>
                <w:sz w:val="28"/>
                <w:szCs w:val="28"/>
                <w:lang w:val="en-GB"/>
              </w:rPr>
              <w:lastRenderedPageBreak/>
              <w:t>S-1-</w:t>
            </w:r>
            <w:r>
              <w:rPr>
                <w:sz w:val="28"/>
                <w:szCs w:val="28"/>
                <w:lang w:val="en-GB"/>
              </w:rPr>
              <w:t>CV</w:t>
            </w:r>
            <w:r w:rsidRPr="006A2C1C">
              <w:rPr>
                <w:sz w:val="28"/>
                <w:szCs w:val="28"/>
                <w:lang w:val="en-GB"/>
              </w:rPr>
              <w:t>-202</w:t>
            </w:r>
            <w:r>
              <w:rPr>
                <w:sz w:val="28"/>
                <w:szCs w:val="28"/>
                <w:lang w:val="en-GB"/>
              </w:rPr>
              <w:t>3</w:t>
            </w:r>
            <w:r w:rsidRPr="006A2C1C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000</w:t>
            </w:r>
            <w:r w:rsidR="00A93B9F">
              <w:rPr>
                <w:sz w:val="28"/>
                <w:szCs w:val="28"/>
                <w:lang w:val="en-GB"/>
              </w:rPr>
              <w:t>204</w:t>
            </w:r>
          </w:p>
        </w:tc>
      </w:tr>
      <w:tr w:rsidR="00D5150D" w:rsidRPr="004629CC" w14:paraId="4E3A1972" w14:textId="77777777" w:rsidTr="00A93B9F"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F0AD6E" w14:textId="20D496EA" w:rsidR="00D5150D" w:rsidRPr="004629CC" w:rsidRDefault="00D5150D" w:rsidP="00AF1375">
            <w:pPr>
              <w:widowControl/>
              <w:tabs>
                <w:tab w:val="center" w:pos="2784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en-GB" w:eastAsia="en-US"/>
              </w:rPr>
            </w:pPr>
            <w:r w:rsidRPr="004629CC">
              <w:rPr>
                <w:rFonts w:eastAsia="Times New Roman"/>
                <w:b/>
                <w:bCs/>
                <w:sz w:val="28"/>
                <w:szCs w:val="28"/>
                <w:lang w:val="en-GB" w:eastAsia="en-US"/>
              </w:rPr>
              <w:t>IN THE SUPREME COURT OF THE</w:t>
            </w:r>
            <w:r w:rsidR="00AF1375">
              <w:rPr>
                <w:rFonts w:eastAsia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Pr="004629CC">
              <w:rPr>
                <w:rFonts w:eastAsia="Times New Roman"/>
                <w:b/>
                <w:bCs/>
                <w:sz w:val="28"/>
                <w:szCs w:val="28"/>
                <w:lang w:val="en-GB" w:eastAsia="en-US"/>
              </w:rPr>
              <w:t>NORTHWEST TERRITORIES</w:t>
            </w:r>
          </w:p>
        </w:tc>
      </w:tr>
      <w:tr w:rsidR="00D5150D" w:rsidRPr="004629CC" w14:paraId="7C8A7996" w14:textId="77777777" w:rsidTr="00A93B9F"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EF1BFF" w14:textId="77777777" w:rsidR="00D5150D" w:rsidRDefault="00D5150D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  <w:lang w:val="en-GB" w:eastAsia="en-US"/>
              </w:rPr>
            </w:pPr>
          </w:p>
          <w:p w14:paraId="05891F11" w14:textId="77777777" w:rsidR="00D5150D" w:rsidRPr="00AF1375" w:rsidRDefault="00D5150D" w:rsidP="00A93B9F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F137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BETWEEN:</w:t>
            </w:r>
          </w:p>
          <w:p w14:paraId="78797769" w14:textId="77777777" w:rsidR="00D5150D" w:rsidRDefault="00D5150D" w:rsidP="00A93B9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6E6E5BD" w14:textId="77777777" w:rsidR="00D5150D" w:rsidRPr="004629CC" w:rsidRDefault="00D5150D" w:rsidP="00A93B9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DA37422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>KAYLA CROZIER</w:t>
            </w:r>
          </w:p>
          <w:p w14:paraId="42AB0927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  <w:p w14:paraId="368AFDFA" w14:textId="77777777" w:rsidR="00A93B9F" w:rsidRPr="00A93B9F" w:rsidRDefault="00A93B9F" w:rsidP="00A93B9F">
            <w:pPr>
              <w:widowControl/>
              <w:jc w:val="right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ab/>
            </w: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ab/>
              <w:t>Appellant</w:t>
            </w:r>
          </w:p>
          <w:p w14:paraId="0D3E2D60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  <w:p w14:paraId="255F6F47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ab/>
              <w:t>- and -</w:t>
            </w:r>
          </w:p>
          <w:p w14:paraId="593CC17F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  <w:p w14:paraId="0AD802A7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  <w:p w14:paraId="1BEA6828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>NORTHVIEW FUND</w:t>
            </w:r>
          </w:p>
          <w:p w14:paraId="0AAA95CF" w14:textId="77777777" w:rsidR="00A93B9F" w:rsidRPr="00A93B9F" w:rsidRDefault="00A93B9F" w:rsidP="00A93B9F">
            <w:pPr>
              <w:widowControl/>
              <w:jc w:val="center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  <w:p w14:paraId="4D41E06B" w14:textId="77777777" w:rsidR="00A93B9F" w:rsidRPr="00A93B9F" w:rsidRDefault="00A93B9F" w:rsidP="00A93B9F">
            <w:pPr>
              <w:widowControl/>
              <w:jc w:val="right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A93B9F">
              <w:rPr>
                <w:rFonts w:eastAsiaTheme="minorHAnsi"/>
                <w:sz w:val="28"/>
                <w:szCs w:val="28"/>
                <w:lang w:val="en-GB" w:eastAsia="en-US"/>
              </w:rPr>
              <w:tab/>
              <w:t>Respondent</w:t>
            </w:r>
          </w:p>
          <w:p w14:paraId="3B3D4573" w14:textId="77777777" w:rsidR="00D5150D" w:rsidRDefault="00D5150D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389E13BC" w14:textId="77777777" w:rsidR="00D5150D" w:rsidRDefault="00D5150D" w:rsidP="00A93B9F">
            <w:pPr>
              <w:widowControl/>
              <w:rPr>
                <w:lang w:eastAsia="fr-CA"/>
              </w:rPr>
            </w:pPr>
          </w:p>
          <w:p w14:paraId="6515487B" w14:textId="77777777" w:rsidR="00D5150D" w:rsidRPr="004629CC" w:rsidRDefault="00D5150D" w:rsidP="00AF1375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5150D" w:rsidRPr="004629CC" w14:paraId="10DE78F2" w14:textId="77777777" w:rsidTr="00A93B9F"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766B3" w14:textId="77777777" w:rsidR="00D5150D" w:rsidRPr="004629CC" w:rsidRDefault="00D5150D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GB" w:eastAsia="en-US"/>
              </w:rPr>
            </w:pPr>
          </w:p>
          <w:p w14:paraId="04DBE0EF" w14:textId="6290F91D" w:rsidR="00D5150D" w:rsidRDefault="00A93B9F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GB" w:eastAsia="en-US"/>
              </w:rPr>
            </w:pPr>
            <w:r>
              <w:rPr>
                <w:rFonts w:eastAsia="Times New Roman"/>
                <w:sz w:val="28"/>
                <w:szCs w:val="28"/>
                <w:lang w:val="en-GB" w:eastAsia="en-US"/>
              </w:rPr>
              <w:t>MEMORANDUM OF JUDGMENT</w:t>
            </w:r>
            <w:r w:rsidR="00D5150D">
              <w:rPr>
                <w:rFonts w:eastAsia="Times New Roman"/>
                <w:sz w:val="28"/>
                <w:szCs w:val="28"/>
                <w:lang w:val="en-GB" w:eastAsia="en-US"/>
              </w:rPr>
              <w:t xml:space="preserve"> OF THE </w:t>
            </w:r>
          </w:p>
          <w:p w14:paraId="0250E6A0" w14:textId="77777777" w:rsidR="00D5150D" w:rsidRPr="004629CC" w:rsidRDefault="00D5150D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GB" w:eastAsia="en-US"/>
              </w:rPr>
            </w:pPr>
            <w:r>
              <w:rPr>
                <w:rFonts w:eastAsia="Times New Roman"/>
                <w:sz w:val="28"/>
                <w:szCs w:val="28"/>
                <w:lang w:val="en-GB" w:eastAsia="en-US"/>
              </w:rPr>
              <w:t>HONOURABLE CHIEF JUSTICE S.H. SMALLWOOD</w:t>
            </w:r>
          </w:p>
          <w:p w14:paraId="74AC4BA2" w14:textId="77777777" w:rsidR="00D5150D" w:rsidRPr="004629CC" w:rsidRDefault="00D5150D" w:rsidP="00A93B9F">
            <w:pPr>
              <w:widowControl/>
              <w:tabs>
                <w:tab w:val="left" w:pos="720"/>
                <w:tab w:val="left" w:pos="1452"/>
                <w:tab w:val="left" w:pos="2392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GB" w:eastAsia="en-US"/>
              </w:rPr>
            </w:pPr>
          </w:p>
        </w:tc>
      </w:tr>
    </w:tbl>
    <w:p w14:paraId="16C662A8" w14:textId="77777777" w:rsidR="00DB64BD" w:rsidRPr="006A2C1C" w:rsidRDefault="00DB64BD">
      <w:pPr>
        <w:rPr>
          <w:sz w:val="28"/>
          <w:szCs w:val="28"/>
        </w:rPr>
      </w:pPr>
    </w:p>
    <w:sectPr w:rsidR="00DB64BD" w:rsidRPr="006A2C1C" w:rsidSect="006A2C1C">
      <w:pgSz w:w="12240" w:h="15840"/>
      <w:pgMar w:top="1350" w:right="1440" w:bottom="1350" w:left="1440" w:header="1350" w:footer="13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2B5C" w14:textId="77777777" w:rsidR="00CD09A9" w:rsidRDefault="00CD09A9">
      <w:r>
        <w:separator/>
      </w:r>
    </w:p>
  </w:endnote>
  <w:endnote w:type="continuationSeparator" w:id="0">
    <w:p w14:paraId="4C9FDA09" w14:textId="77777777" w:rsidR="00CD09A9" w:rsidRDefault="00CD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FFC6" w14:textId="77777777" w:rsidR="00CD09A9" w:rsidRDefault="00CD09A9">
      <w:r>
        <w:separator/>
      </w:r>
    </w:p>
  </w:footnote>
  <w:footnote w:type="continuationSeparator" w:id="0">
    <w:p w14:paraId="10EB3643" w14:textId="77777777" w:rsidR="00CD09A9" w:rsidRDefault="00CD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6ED" w14:textId="25EEF683" w:rsidR="002C3975" w:rsidRDefault="002C3975">
    <w:pPr>
      <w:pStyle w:val="Header"/>
      <w:jc w:val="right"/>
    </w:pPr>
    <w:r>
      <w:t xml:space="preserve">Page:  </w:t>
    </w:r>
    <w:sdt>
      <w:sdtPr>
        <w:id w:val="-1432096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C662AD" w14:textId="77777777" w:rsidR="00DB64BD" w:rsidRDefault="00DB6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Court"/>
    <w:lvl w:ilvl="0">
      <w:start w:val="1"/>
      <w:numFmt w:val="decimal"/>
      <w:pStyle w:val="Level1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22A4D"/>
    <w:multiLevelType w:val="hybridMultilevel"/>
    <w:tmpl w:val="AA96BD4A"/>
    <w:lvl w:ilvl="0" w:tplc="EF9E3F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A30043"/>
    <w:multiLevelType w:val="hybridMultilevel"/>
    <w:tmpl w:val="3D681E2C"/>
    <w:lvl w:ilvl="0" w:tplc="D40ECE9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2BE"/>
    <w:multiLevelType w:val="hybridMultilevel"/>
    <w:tmpl w:val="E7D8CC0C"/>
    <w:lvl w:ilvl="0" w:tplc="88246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D0EA6"/>
    <w:multiLevelType w:val="hybridMultilevel"/>
    <w:tmpl w:val="3D681E2C"/>
    <w:lvl w:ilvl="0" w:tplc="FFFFFFFF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5EE"/>
    <w:multiLevelType w:val="hybridMultilevel"/>
    <w:tmpl w:val="4BA0B230"/>
    <w:lvl w:ilvl="0" w:tplc="741CC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53624"/>
    <w:multiLevelType w:val="hybridMultilevel"/>
    <w:tmpl w:val="90EE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76269">
    <w:abstractNumId w:val="0"/>
    <w:lvlOverride w:ilvl="0">
      <w:startOverride w:val="1"/>
      <w:lvl w:ilvl="0">
        <w:start w:val="1"/>
        <w:numFmt w:val="decimal"/>
        <w:pStyle w:val="Level1"/>
        <w:lvlText w:val="[%1]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 w16cid:durableId="1942646848">
    <w:abstractNumId w:val="2"/>
  </w:num>
  <w:num w:numId="3" w16cid:durableId="711923555">
    <w:abstractNumId w:val="5"/>
  </w:num>
  <w:num w:numId="4" w16cid:durableId="1522352345">
    <w:abstractNumId w:val="6"/>
  </w:num>
  <w:num w:numId="5" w16cid:durableId="1763718578">
    <w:abstractNumId w:val="3"/>
  </w:num>
  <w:num w:numId="6" w16cid:durableId="1358850699">
    <w:abstractNumId w:val="1"/>
  </w:num>
  <w:num w:numId="7" w16cid:durableId="87854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1C"/>
    <w:rsid w:val="000072B7"/>
    <w:rsid w:val="00007629"/>
    <w:rsid w:val="00023291"/>
    <w:rsid w:val="00027B75"/>
    <w:rsid w:val="00034111"/>
    <w:rsid w:val="0005551D"/>
    <w:rsid w:val="00072ECB"/>
    <w:rsid w:val="00085CEA"/>
    <w:rsid w:val="000C0087"/>
    <w:rsid w:val="000C2C51"/>
    <w:rsid w:val="000D0146"/>
    <w:rsid w:val="000F3542"/>
    <w:rsid w:val="0012335F"/>
    <w:rsid w:val="00130C34"/>
    <w:rsid w:val="00133990"/>
    <w:rsid w:val="00147AD8"/>
    <w:rsid w:val="00153C44"/>
    <w:rsid w:val="00175D86"/>
    <w:rsid w:val="00186000"/>
    <w:rsid w:val="00197B20"/>
    <w:rsid w:val="001C4847"/>
    <w:rsid w:val="001E4B9E"/>
    <w:rsid w:val="001F26FB"/>
    <w:rsid w:val="00202DAC"/>
    <w:rsid w:val="00205C72"/>
    <w:rsid w:val="002126B8"/>
    <w:rsid w:val="0021361F"/>
    <w:rsid w:val="0022163D"/>
    <w:rsid w:val="002247EA"/>
    <w:rsid w:val="002371C2"/>
    <w:rsid w:val="00237FAC"/>
    <w:rsid w:val="00240286"/>
    <w:rsid w:val="00240CD4"/>
    <w:rsid w:val="002510EE"/>
    <w:rsid w:val="00254380"/>
    <w:rsid w:val="002702D8"/>
    <w:rsid w:val="00287724"/>
    <w:rsid w:val="002929D5"/>
    <w:rsid w:val="00297D5E"/>
    <w:rsid w:val="002A48A1"/>
    <w:rsid w:val="002B388B"/>
    <w:rsid w:val="002B3C3A"/>
    <w:rsid w:val="002C2273"/>
    <w:rsid w:val="002C3975"/>
    <w:rsid w:val="002E36C5"/>
    <w:rsid w:val="002F41A8"/>
    <w:rsid w:val="003016EA"/>
    <w:rsid w:val="00303891"/>
    <w:rsid w:val="00313092"/>
    <w:rsid w:val="00313BF1"/>
    <w:rsid w:val="00325D16"/>
    <w:rsid w:val="00364CB9"/>
    <w:rsid w:val="003768EA"/>
    <w:rsid w:val="003B07C2"/>
    <w:rsid w:val="003B163C"/>
    <w:rsid w:val="003B393D"/>
    <w:rsid w:val="003B72F8"/>
    <w:rsid w:val="003C0282"/>
    <w:rsid w:val="003E5871"/>
    <w:rsid w:val="003F00F0"/>
    <w:rsid w:val="003F39BC"/>
    <w:rsid w:val="003F4F68"/>
    <w:rsid w:val="0041468F"/>
    <w:rsid w:val="004175EB"/>
    <w:rsid w:val="004245FD"/>
    <w:rsid w:val="0042783E"/>
    <w:rsid w:val="00443072"/>
    <w:rsid w:val="0044537C"/>
    <w:rsid w:val="004471B2"/>
    <w:rsid w:val="00481370"/>
    <w:rsid w:val="004A1AE9"/>
    <w:rsid w:val="004A3361"/>
    <w:rsid w:val="004B0E27"/>
    <w:rsid w:val="004B1383"/>
    <w:rsid w:val="004F6B3C"/>
    <w:rsid w:val="005016D8"/>
    <w:rsid w:val="0050619E"/>
    <w:rsid w:val="00507772"/>
    <w:rsid w:val="005107A0"/>
    <w:rsid w:val="00530D61"/>
    <w:rsid w:val="0054753F"/>
    <w:rsid w:val="005762E1"/>
    <w:rsid w:val="00586D36"/>
    <w:rsid w:val="0059341C"/>
    <w:rsid w:val="005979DA"/>
    <w:rsid w:val="005E0BEB"/>
    <w:rsid w:val="005F0D73"/>
    <w:rsid w:val="006030B1"/>
    <w:rsid w:val="00610652"/>
    <w:rsid w:val="00647A25"/>
    <w:rsid w:val="00647B1D"/>
    <w:rsid w:val="00650121"/>
    <w:rsid w:val="00667691"/>
    <w:rsid w:val="006754DE"/>
    <w:rsid w:val="006762CA"/>
    <w:rsid w:val="006916E7"/>
    <w:rsid w:val="006A142D"/>
    <w:rsid w:val="006A2C1C"/>
    <w:rsid w:val="006C4B7C"/>
    <w:rsid w:val="00702F82"/>
    <w:rsid w:val="00720B17"/>
    <w:rsid w:val="0072388B"/>
    <w:rsid w:val="007657A0"/>
    <w:rsid w:val="00780CEB"/>
    <w:rsid w:val="0078325A"/>
    <w:rsid w:val="007840D4"/>
    <w:rsid w:val="007A4E08"/>
    <w:rsid w:val="007B6BDB"/>
    <w:rsid w:val="007C3567"/>
    <w:rsid w:val="007D0ACE"/>
    <w:rsid w:val="007D17EA"/>
    <w:rsid w:val="00802D34"/>
    <w:rsid w:val="00803964"/>
    <w:rsid w:val="008432DE"/>
    <w:rsid w:val="00856B53"/>
    <w:rsid w:val="00864069"/>
    <w:rsid w:val="008664E8"/>
    <w:rsid w:val="00870B84"/>
    <w:rsid w:val="008775CF"/>
    <w:rsid w:val="00882B53"/>
    <w:rsid w:val="0089711F"/>
    <w:rsid w:val="008A4F03"/>
    <w:rsid w:val="008B4361"/>
    <w:rsid w:val="008E70D9"/>
    <w:rsid w:val="008F392F"/>
    <w:rsid w:val="009129E3"/>
    <w:rsid w:val="00951BE4"/>
    <w:rsid w:val="00952B8C"/>
    <w:rsid w:val="009559A1"/>
    <w:rsid w:val="00957711"/>
    <w:rsid w:val="009735FD"/>
    <w:rsid w:val="0099126B"/>
    <w:rsid w:val="00994118"/>
    <w:rsid w:val="009A188F"/>
    <w:rsid w:val="009C2E63"/>
    <w:rsid w:val="009C3C51"/>
    <w:rsid w:val="009C4106"/>
    <w:rsid w:val="009C7770"/>
    <w:rsid w:val="009D2363"/>
    <w:rsid w:val="009D7862"/>
    <w:rsid w:val="009F29DC"/>
    <w:rsid w:val="009F6C50"/>
    <w:rsid w:val="00A021B5"/>
    <w:rsid w:val="00A435C3"/>
    <w:rsid w:val="00A440B5"/>
    <w:rsid w:val="00A44B02"/>
    <w:rsid w:val="00A470DE"/>
    <w:rsid w:val="00A62FF3"/>
    <w:rsid w:val="00A93B9F"/>
    <w:rsid w:val="00A93CCE"/>
    <w:rsid w:val="00A95E14"/>
    <w:rsid w:val="00AB09CE"/>
    <w:rsid w:val="00AB1D5D"/>
    <w:rsid w:val="00AB296A"/>
    <w:rsid w:val="00AC64EB"/>
    <w:rsid w:val="00AD65D2"/>
    <w:rsid w:val="00AD7F26"/>
    <w:rsid w:val="00AE0D36"/>
    <w:rsid w:val="00AE2A3A"/>
    <w:rsid w:val="00AE3EB3"/>
    <w:rsid w:val="00AF1375"/>
    <w:rsid w:val="00AF180A"/>
    <w:rsid w:val="00AF2542"/>
    <w:rsid w:val="00AF381D"/>
    <w:rsid w:val="00B03CF4"/>
    <w:rsid w:val="00B05104"/>
    <w:rsid w:val="00B06794"/>
    <w:rsid w:val="00B358CC"/>
    <w:rsid w:val="00B61E01"/>
    <w:rsid w:val="00B651C6"/>
    <w:rsid w:val="00B673C2"/>
    <w:rsid w:val="00B67609"/>
    <w:rsid w:val="00B71990"/>
    <w:rsid w:val="00B7702E"/>
    <w:rsid w:val="00B90C3E"/>
    <w:rsid w:val="00B97F5B"/>
    <w:rsid w:val="00BA378D"/>
    <w:rsid w:val="00BE709E"/>
    <w:rsid w:val="00BE7569"/>
    <w:rsid w:val="00BF469F"/>
    <w:rsid w:val="00C13BB9"/>
    <w:rsid w:val="00C56B94"/>
    <w:rsid w:val="00C70A79"/>
    <w:rsid w:val="00C84F25"/>
    <w:rsid w:val="00C86185"/>
    <w:rsid w:val="00C86EE9"/>
    <w:rsid w:val="00CA3F3B"/>
    <w:rsid w:val="00CB6AB5"/>
    <w:rsid w:val="00CC59E5"/>
    <w:rsid w:val="00CD09A9"/>
    <w:rsid w:val="00D0437D"/>
    <w:rsid w:val="00D26891"/>
    <w:rsid w:val="00D50655"/>
    <w:rsid w:val="00D5150D"/>
    <w:rsid w:val="00D72D6C"/>
    <w:rsid w:val="00D87C86"/>
    <w:rsid w:val="00DB0A3B"/>
    <w:rsid w:val="00DB64BD"/>
    <w:rsid w:val="00DB7C12"/>
    <w:rsid w:val="00DC3007"/>
    <w:rsid w:val="00DE057D"/>
    <w:rsid w:val="00E04498"/>
    <w:rsid w:val="00E049E5"/>
    <w:rsid w:val="00E150E8"/>
    <w:rsid w:val="00E27147"/>
    <w:rsid w:val="00E3038F"/>
    <w:rsid w:val="00E34C35"/>
    <w:rsid w:val="00E46C9F"/>
    <w:rsid w:val="00E635B5"/>
    <w:rsid w:val="00E74A25"/>
    <w:rsid w:val="00E8055A"/>
    <w:rsid w:val="00E937DD"/>
    <w:rsid w:val="00E95631"/>
    <w:rsid w:val="00EA002E"/>
    <w:rsid w:val="00EB6E0C"/>
    <w:rsid w:val="00EC279D"/>
    <w:rsid w:val="00EC3B66"/>
    <w:rsid w:val="00ED4DD8"/>
    <w:rsid w:val="00EE3A50"/>
    <w:rsid w:val="00F349FA"/>
    <w:rsid w:val="00F3722B"/>
    <w:rsid w:val="00F46D73"/>
    <w:rsid w:val="00F543ED"/>
    <w:rsid w:val="00F67979"/>
    <w:rsid w:val="00F76F6D"/>
    <w:rsid w:val="00FA0845"/>
    <w:rsid w:val="00FB65AE"/>
    <w:rsid w:val="00FC657A"/>
    <w:rsid w:val="00FE0742"/>
    <w:rsid w:val="00FE192A"/>
    <w:rsid w:val="00FF18C0"/>
    <w:rsid w:val="00FF60B0"/>
    <w:rsid w:val="00FF775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6282"/>
  <w15:chartTrackingRefBased/>
  <w15:docId w15:val="{438E313E-8EE6-4D1A-85B9-CF26FEA6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A2C1C"/>
    <w:pPr>
      <w:numPr>
        <w:numId w:val="1"/>
      </w:numPr>
      <w:outlineLvl w:val="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A2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75"/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75"/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070878C79D4408E9B8E13FB885CC9" ma:contentTypeVersion="13" ma:contentTypeDescription="Create a new document." ma:contentTypeScope="" ma:versionID="0545214912202ea9cad6915f7e236ae1">
  <xsd:schema xmlns:xsd="http://www.w3.org/2001/XMLSchema" xmlns:xs="http://www.w3.org/2001/XMLSchema" xmlns:p="http://schemas.microsoft.com/office/2006/metadata/properties" xmlns:ns2="83bc3cd8-da25-40f9-958f-c13e000bdc16" xmlns:ns3="375bca7b-c53c-4fd7-b0ac-aee1bc09b69d" targetNamespace="http://schemas.microsoft.com/office/2006/metadata/properties" ma:root="true" ma:fieldsID="02f104b277bf8dce45b091df63b15985" ns2:_="" ns3:_="">
    <xsd:import namespace="83bc3cd8-da25-40f9-958f-c13e000bdc16"/>
    <xsd:import namespace="375bca7b-c53c-4fd7-b0ac-aee1bc09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3cd8-da25-40f9-958f-c13e000bd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4da1b9-cdce-4e3f-b20e-ce27030b6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ca7b-c53c-4fd7-b0ac-aee1bc09b6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fb148d-7269-48d9-b175-b5edecdd02a7}" ma:internalName="TaxCatchAll" ma:showField="CatchAllData" ma:web="375bca7b-c53c-4fd7-b0ac-aee1bc09b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c3cd8-da25-40f9-958f-c13e000bdc16">
      <Terms xmlns="http://schemas.microsoft.com/office/infopath/2007/PartnerControls"/>
    </lcf76f155ced4ddcb4097134ff3c332f>
    <TaxCatchAll xmlns="375bca7b-c53c-4fd7-b0ac-aee1bc09b69d" xsi:nil="true"/>
  </documentManagement>
</p:properties>
</file>

<file path=customXml/itemProps1.xml><?xml version="1.0" encoding="utf-8"?>
<ds:datastoreItem xmlns:ds="http://schemas.openxmlformats.org/officeDocument/2006/customXml" ds:itemID="{A37E9A94-8A73-444C-8DAE-60E4FF6D6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3cd8-da25-40f9-958f-c13e000bdc16"/>
    <ds:schemaRef ds:uri="375bca7b-c53c-4fd7-b0ac-aee1bc09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3FC57-21E0-40E9-9850-A7DC912C0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DBCF0-08EA-45B8-9DA9-67FE2CC04395}">
  <ds:schemaRefs>
    <ds:schemaRef ds:uri="http://schemas.microsoft.com/office/2006/metadata/properties"/>
    <ds:schemaRef ds:uri="http://schemas.microsoft.com/office/infopath/2007/PartnerControls"/>
    <ds:schemaRef ds:uri="83bc3cd8-da25-40f9-958f-c13e000bdc16"/>
    <ds:schemaRef ds:uri="375bca7b-c53c-4fd7-b0ac-aee1bc09b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Smallwood</dc:creator>
  <cp:keywords/>
  <dc:description/>
  <cp:lastModifiedBy>Tyler Vibert</cp:lastModifiedBy>
  <cp:revision>2</cp:revision>
  <cp:lastPrinted>2024-02-06T21:51:00Z</cp:lastPrinted>
  <dcterms:created xsi:type="dcterms:W3CDTF">2024-02-06T23:42:00Z</dcterms:created>
  <dcterms:modified xsi:type="dcterms:W3CDTF">2024-02-06T23:42:00Z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2024-01-23T23:25:46Z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619a88ff-cb67-4298-9781-66cc0cc776f1</vt:lpwstr>
  </property>
  <property fmtid="{D5CDD505-2E9C-101B-9397-08002B2CF9AE}" pid="7" name="MSIP_Label_defa4170-0d19-0005-0004-bc88714345d2_ActionId">
    <vt:lpwstr>ecdca4fe-7308-4ead-98a4-33124601d95f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0x010100598070878C79D4408E9B8E13FB885CC9</vt:lpwstr>
  </property>
  <property fmtid="{D5CDD505-2E9C-101B-9397-08002B2CF9AE}" pid="10" name="MediaServiceImageTags">
    <vt:lpwstr/>
  </property>
</Properties>
</file>