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2989" w14:textId="021B3DA6" w:rsidR="00045DB9" w:rsidRDefault="00045DB9" w:rsidP="00045DB9">
      <w:pPr>
        <w:tabs>
          <w:tab w:val="clear" w:pos="360"/>
          <w:tab w:val="clear" w:pos="720"/>
          <w:tab w:val="clear" w:pos="1440"/>
          <w:tab w:val="clear" w:pos="1800"/>
          <w:tab w:val="right" w:pos="8640"/>
        </w:tabs>
        <w:autoSpaceDE/>
        <w:autoSpaceDN/>
        <w:adjustRightInd/>
        <w:spacing w:line="240" w:lineRule="auto"/>
        <w:rPr>
          <w:rFonts w:ascii="Arial" w:hAnsi="Arial" w:cs="Arial"/>
          <w:b/>
          <w:bCs/>
          <w:color w:val="000000"/>
          <w:spacing w:val="0"/>
          <w:sz w:val="24"/>
          <w:lang w:val="en-CA" w:eastAsia="en-CA"/>
        </w:rPr>
      </w:pPr>
      <w:bookmarkStart w:id="0" w:name="_Hlk126485374"/>
      <w:r w:rsidRPr="00CF732F">
        <w:rPr>
          <w:rFonts w:ascii="Arial" w:hAnsi="Arial" w:cs="Arial"/>
          <w:i/>
          <w:iCs/>
          <w:color w:val="000000"/>
          <w:spacing w:val="0"/>
          <w:sz w:val="24"/>
          <w:lang w:val="en-CA" w:eastAsia="en-CA"/>
        </w:rPr>
        <w:t xml:space="preserve">R v </w:t>
      </w:r>
      <w:r>
        <w:rPr>
          <w:rFonts w:ascii="Arial" w:hAnsi="Arial" w:cs="Arial"/>
          <w:i/>
          <w:iCs/>
          <w:color w:val="000000"/>
          <w:spacing w:val="0"/>
          <w:sz w:val="24"/>
          <w:lang w:val="en-CA" w:eastAsia="en-CA"/>
        </w:rPr>
        <w:t xml:space="preserve">Gauthier, </w:t>
      </w:r>
      <w:proofErr w:type="gramStart"/>
      <w:r>
        <w:rPr>
          <w:rFonts w:ascii="Arial" w:hAnsi="Arial" w:cs="Arial"/>
          <w:i/>
          <w:iCs/>
          <w:color w:val="000000"/>
          <w:spacing w:val="0"/>
          <w:sz w:val="24"/>
          <w:lang w:val="en-CA" w:eastAsia="en-CA"/>
        </w:rPr>
        <w:t>Maie</w:t>
      </w:r>
      <w:proofErr w:type="gramEnd"/>
      <w:r>
        <w:rPr>
          <w:rFonts w:ascii="Arial" w:hAnsi="Arial" w:cs="Arial"/>
          <w:i/>
          <w:iCs/>
          <w:color w:val="000000"/>
          <w:spacing w:val="0"/>
          <w:sz w:val="24"/>
          <w:lang w:val="en-CA" w:eastAsia="en-CA"/>
        </w:rPr>
        <w:t xml:space="preserve"> and Maye</w:t>
      </w:r>
      <w:r w:rsidRPr="00CF732F">
        <w:rPr>
          <w:rFonts w:ascii="Arial" w:hAnsi="Arial" w:cs="Arial"/>
          <w:color w:val="000000"/>
          <w:spacing w:val="0"/>
          <w:sz w:val="24"/>
          <w:lang w:val="en-CA" w:eastAsia="en-CA"/>
        </w:rPr>
        <w:t>, 202</w:t>
      </w:r>
      <w:r>
        <w:rPr>
          <w:rFonts w:ascii="Arial" w:hAnsi="Arial" w:cs="Arial"/>
          <w:color w:val="000000"/>
          <w:spacing w:val="0"/>
          <w:sz w:val="24"/>
          <w:lang w:val="en-CA" w:eastAsia="en-CA"/>
        </w:rPr>
        <w:t>4</w:t>
      </w:r>
      <w:r w:rsidRPr="00CF732F">
        <w:rPr>
          <w:rFonts w:ascii="Arial" w:hAnsi="Arial" w:cs="Arial"/>
          <w:color w:val="000000"/>
          <w:spacing w:val="0"/>
          <w:sz w:val="24"/>
          <w:lang w:val="en-CA" w:eastAsia="en-CA"/>
        </w:rPr>
        <w:t xml:space="preserve"> NWTSC </w:t>
      </w:r>
      <w:r>
        <w:rPr>
          <w:rFonts w:ascii="Arial" w:hAnsi="Arial" w:cs="Arial"/>
          <w:color w:val="000000"/>
          <w:spacing w:val="0"/>
          <w:sz w:val="24"/>
          <w:lang w:val="en-CA" w:eastAsia="en-CA"/>
        </w:rPr>
        <w:t>2</w:t>
      </w:r>
    </w:p>
    <w:p w14:paraId="756D45B5" w14:textId="64BB11E4" w:rsidR="009948F7" w:rsidRPr="00753600" w:rsidRDefault="00753600" w:rsidP="009948F7">
      <w:pPr>
        <w:tabs>
          <w:tab w:val="clear" w:pos="360"/>
          <w:tab w:val="clear" w:pos="720"/>
          <w:tab w:val="clear" w:pos="1440"/>
          <w:tab w:val="clear" w:pos="1800"/>
        </w:tabs>
        <w:autoSpaceDE/>
        <w:autoSpaceDN/>
        <w:adjustRightInd/>
        <w:spacing w:line="360" w:lineRule="auto"/>
        <w:jc w:val="right"/>
        <w:rPr>
          <w:rFonts w:ascii="Arial" w:hAnsi="Arial" w:cs="Arial"/>
          <w:b/>
          <w:bCs/>
          <w:color w:val="000000"/>
          <w:spacing w:val="0"/>
          <w:sz w:val="24"/>
          <w:lang w:val="en-CA" w:eastAsia="en-CA"/>
        </w:rPr>
      </w:pPr>
      <w:r w:rsidRPr="00753600">
        <w:rPr>
          <w:rFonts w:ascii="Arial" w:hAnsi="Arial" w:cs="Arial"/>
          <w:b/>
          <w:bCs/>
          <w:color w:val="000000"/>
          <w:spacing w:val="0"/>
          <w:sz w:val="24"/>
          <w:lang w:val="en-CA" w:eastAsia="en-CA"/>
        </w:rPr>
        <w:t>S-1-CR-2022-000110</w:t>
      </w:r>
    </w:p>
    <w:p w14:paraId="7C18189A" w14:textId="2584DC69" w:rsidR="009948F7" w:rsidRPr="005F3286" w:rsidRDefault="009948F7" w:rsidP="009948F7">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5F3286">
        <w:rPr>
          <w:rFonts w:ascii="Arial" w:hAnsi="Arial"/>
          <w:b/>
          <w:color w:val="000000"/>
          <w:sz w:val="24"/>
          <w:u w:val="single"/>
          <w:lang w:val="en-CA" w:eastAsia="en-CA"/>
        </w:rPr>
        <w:t>IN THE SUPREME COURT OF THE NORTHWEST TERRITORIES</w:t>
      </w:r>
    </w:p>
    <w:p w14:paraId="4374C2DB" w14:textId="77777777" w:rsidR="009948F7" w:rsidRPr="005F3286" w:rsidRDefault="009948F7" w:rsidP="009948F7">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71642F96" w14:textId="77777777" w:rsidR="009948F7" w:rsidRPr="005F3286" w:rsidRDefault="009948F7" w:rsidP="0011316D">
      <w:pPr>
        <w:tabs>
          <w:tab w:val="clear" w:pos="360"/>
          <w:tab w:val="clear" w:pos="720"/>
          <w:tab w:val="clear" w:pos="1440"/>
          <w:tab w:val="clear" w:pos="1800"/>
          <w:tab w:val="clear" w:pos="4680"/>
        </w:tabs>
        <w:autoSpaceDE/>
        <w:autoSpaceDN/>
        <w:adjustRightInd/>
        <w:spacing w:line="240" w:lineRule="auto"/>
        <w:outlineLvl w:val="0"/>
        <w:rPr>
          <w:rFonts w:ascii="Arial" w:hAnsi="Arial" w:cs="Times New Roman"/>
          <w:color w:val="000000"/>
          <w:spacing w:val="0"/>
          <w:sz w:val="24"/>
          <w:u w:val="single"/>
          <w:lang w:val="en-CA" w:eastAsia="en-CA"/>
        </w:rPr>
      </w:pPr>
      <w:r w:rsidRPr="005F3286">
        <w:rPr>
          <w:rFonts w:ascii="Arial" w:hAnsi="Arial"/>
          <w:b/>
          <w:color w:val="000000"/>
          <w:sz w:val="24"/>
          <w:u w:val="single"/>
          <w:lang w:val="en-CA" w:eastAsia="en-CA"/>
        </w:rPr>
        <w:t>IN THE MATTER OF:</w:t>
      </w:r>
    </w:p>
    <w:p w14:paraId="4794793D" w14:textId="77777777" w:rsidR="009948F7" w:rsidRPr="005F3286" w:rsidRDefault="009948F7" w:rsidP="009948F7">
      <w:pPr>
        <w:tabs>
          <w:tab w:val="clear" w:pos="360"/>
          <w:tab w:val="clear" w:pos="720"/>
          <w:tab w:val="clear" w:pos="1440"/>
          <w:tab w:val="clear" w:pos="1800"/>
          <w:tab w:val="clear" w:pos="4680"/>
        </w:tabs>
        <w:autoSpaceDE/>
        <w:autoSpaceDN/>
        <w:adjustRightInd/>
        <w:spacing w:line="240" w:lineRule="auto"/>
        <w:jc w:val="center"/>
        <w:rPr>
          <w:rFonts w:ascii="Arial" w:hAnsi="Arial" w:cs="Times New Roman"/>
          <w:color w:val="000000"/>
          <w:spacing w:val="0"/>
          <w:sz w:val="22"/>
          <w:szCs w:val="20"/>
          <w:lang w:val="en-CA" w:eastAsia="en-CA"/>
        </w:rPr>
      </w:pPr>
    </w:p>
    <w:p w14:paraId="25FC01E9" w14:textId="77777777" w:rsidR="009948F7" w:rsidRPr="005F3286" w:rsidRDefault="009948F7" w:rsidP="009948F7">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5F3286">
        <w:rPr>
          <w:rFonts w:ascii="Arial" w:hAnsi="Arial" w:cs="Arial"/>
          <w:b/>
          <w:color w:val="000000"/>
          <w:sz w:val="28"/>
          <w:szCs w:val="28"/>
          <w:lang w:val="en-CA" w:eastAsia="en-CA"/>
        </w:rPr>
        <w:t>HIS MAJESTY THE KING</w:t>
      </w:r>
    </w:p>
    <w:p w14:paraId="4FE21EEF" w14:textId="77777777" w:rsidR="009948F7" w:rsidRPr="005F3286" w:rsidRDefault="009948F7" w:rsidP="009948F7">
      <w:pPr>
        <w:tabs>
          <w:tab w:val="clear" w:pos="360"/>
          <w:tab w:val="clear" w:pos="720"/>
          <w:tab w:val="clear" w:pos="1440"/>
          <w:tab w:val="clear" w:pos="1800"/>
          <w:tab w:val="clear" w:pos="4680"/>
          <w:tab w:val="left" w:pos="9072"/>
        </w:tabs>
        <w:autoSpaceDE/>
        <w:autoSpaceDN/>
        <w:adjustRightInd/>
        <w:spacing w:line="480" w:lineRule="auto"/>
        <w:jc w:val="center"/>
        <w:rPr>
          <w:rFonts w:ascii="Arial" w:hAnsi="Arial" w:cs="Arial"/>
          <w:b/>
          <w:color w:val="000000"/>
          <w:spacing w:val="0"/>
          <w:sz w:val="28"/>
          <w:szCs w:val="28"/>
          <w:lang w:val="en-CA" w:eastAsia="en-CA"/>
        </w:rPr>
      </w:pPr>
    </w:p>
    <w:p w14:paraId="30C9A81E" w14:textId="3DBDA36C" w:rsidR="009948F7" w:rsidRPr="005F3286" w:rsidRDefault="009948F7" w:rsidP="009948F7">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5F3286">
        <w:rPr>
          <w:rFonts w:ascii="Arial" w:hAnsi="Arial" w:cs="Arial"/>
          <w:b/>
          <w:color w:val="000000"/>
          <w:spacing w:val="0"/>
          <w:sz w:val="28"/>
          <w:szCs w:val="28"/>
          <w:lang w:val="en-CA" w:eastAsia="en-CA"/>
        </w:rPr>
        <w:t>-</w:t>
      </w:r>
      <w:r w:rsidR="00753600">
        <w:rPr>
          <w:rFonts w:ascii="Arial" w:hAnsi="Arial" w:cs="Arial"/>
          <w:b/>
          <w:color w:val="000000"/>
          <w:spacing w:val="0"/>
          <w:sz w:val="28"/>
          <w:szCs w:val="28"/>
          <w:lang w:val="en-CA" w:eastAsia="en-CA"/>
        </w:rPr>
        <w:t xml:space="preserve"> </w:t>
      </w:r>
      <w:r w:rsidRPr="005F3286">
        <w:rPr>
          <w:rFonts w:ascii="Arial" w:hAnsi="Arial" w:cs="Arial"/>
          <w:b/>
          <w:color w:val="000000"/>
          <w:spacing w:val="0"/>
          <w:sz w:val="28"/>
          <w:szCs w:val="28"/>
          <w:lang w:val="en-CA" w:eastAsia="en-CA"/>
        </w:rPr>
        <w:t>v</w:t>
      </w:r>
      <w:r w:rsidR="00753600">
        <w:rPr>
          <w:rFonts w:ascii="Arial" w:hAnsi="Arial" w:cs="Arial"/>
          <w:b/>
          <w:color w:val="000000"/>
          <w:spacing w:val="0"/>
          <w:sz w:val="28"/>
          <w:szCs w:val="28"/>
          <w:lang w:val="en-CA" w:eastAsia="en-CA"/>
        </w:rPr>
        <w:t xml:space="preserve"> </w:t>
      </w:r>
      <w:r w:rsidRPr="005F3286">
        <w:rPr>
          <w:rFonts w:ascii="Arial" w:hAnsi="Arial" w:cs="Arial"/>
          <w:b/>
          <w:color w:val="000000"/>
          <w:spacing w:val="0"/>
          <w:sz w:val="28"/>
          <w:szCs w:val="28"/>
          <w:lang w:val="en-CA" w:eastAsia="en-CA"/>
        </w:rPr>
        <w:t>-</w:t>
      </w:r>
    </w:p>
    <w:p w14:paraId="434352F3" w14:textId="77777777" w:rsidR="009948F7" w:rsidRPr="005F3286" w:rsidRDefault="009948F7" w:rsidP="009948F7">
      <w:pPr>
        <w:tabs>
          <w:tab w:val="clear" w:pos="360"/>
          <w:tab w:val="clear" w:pos="720"/>
          <w:tab w:val="clear" w:pos="1440"/>
          <w:tab w:val="clear" w:pos="1800"/>
          <w:tab w:val="clear" w:pos="4680"/>
          <w:tab w:val="left" w:pos="9072"/>
        </w:tabs>
        <w:autoSpaceDE/>
        <w:autoSpaceDN/>
        <w:adjustRightInd/>
        <w:spacing w:line="480" w:lineRule="auto"/>
        <w:jc w:val="center"/>
        <w:rPr>
          <w:rFonts w:ascii="Arial" w:hAnsi="Arial" w:cs="Arial"/>
          <w:b/>
          <w:color w:val="000000"/>
          <w:spacing w:val="0"/>
          <w:sz w:val="28"/>
          <w:szCs w:val="28"/>
          <w:lang w:val="en-CA" w:eastAsia="en-CA"/>
        </w:rPr>
      </w:pPr>
    </w:p>
    <w:p w14:paraId="2FC0FC7C" w14:textId="4C456A50" w:rsidR="009948F7" w:rsidRPr="005F3286" w:rsidRDefault="009948F7" w:rsidP="009948F7">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sidRPr="005F3286">
        <w:rPr>
          <w:rFonts w:ascii="Arial" w:hAnsi="Arial" w:cs="Arial"/>
          <w:b/>
          <w:color w:val="000000"/>
          <w:spacing w:val="0"/>
          <w:sz w:val="28"/>
          <w:szCs w:val="28"/>
          <w:lang w:val="en-CA" w:eastAsia="en-CA"/>
        </w:rPr>
        <w:t>JOYCE GAUTHIER, FATHI MOHAMED MAIE and</w:t>
      </w:r>
    </w:p>
    <w:p w14:paraId="08D21C22" w14:textId="5F483570" w:rsidR="009948F7" w:rsidRPr="005F3286" w:rsidRDefault="009948F7" w:rsidP="0011316D">
      <w:pPr>
        <w:tabs>
          <w:tab w:val="clear" w:pos="360"/>
          <w:tab w:val="clear" w:pos="720"/>
          <w:tab w:val="clear" w:pos="1440"/>
          <w:tab w:val="clear" w:pos="1800"/>
          <w:tab w:val="clear" w:pos="4680"/>
        </w:tabs>
        <w:autoSpaceDE/>
        <w:autoSpaceDN/>
        <w:adjustRightInd/>
        <w:spacing w:line="240" w:lineRule="auto"/>
        <w:jc w:val="center"/>
        <w:rPr>
          <w:rFonts w:ascii="Arial" w:hAnsi="Arial" w:cs="Arial"/>
          <w:b/>
          <w:color w:val="000000"/>
          <w:spacing w:val="0"/>
          <w:sz w:val="28"/>
          <w:szCs w:val="28"/>
          <w:lang w:val="en-CA" w:eastAsia="en-CA"/>
        </w:rPr>
      </w:pPr>
      <w:r w:rsidRPr="005F3286">
        <w:rPr>
          <w:rFonts w:ascii="Arial" w:hAnsi="Arial" w:cs="Arial"/>
          <w:b/>
          <w:color w:val="000000"/>
          <w:spacing w:val="0"/>
          <w:sz w:val="28"/>
          <w:szCs w:val="28"/>
          <w:lang w:val="en-CA" w:eastAsia="en-CA"/>
        </w:rPr>
        <w:t xml:space="preserve">ABDULLAH OMAR MAYE </w:t>
      </w:r>
    </w:p>
    <w:p w14:paraId="10C7881B" w14:textId="77777777" w:rsidR="009948F7" w:rsidRPr="005F3286" w:rsidRDefault="009948F7" w:rsidP="0011316D">
      <w:pPr>
        <w:tabs>
          <w:tab w:val="clear" w:pos="360"/>
          <w:tab w:val="clear" w:pos="720"/>
          <w:tab w:val="clear" w:pos="1440"/>
          <w:tab w:val="clear" w:pos="1800"/>
          <w:tab w:val="clear" w:pos="4680"/>
        </w:tabs>
        <w:autoSpaceDE/>
        <w:autoSpaceDN/>
        <w:adjustRightInd/>
        <w:spacing w:line="240" w:lineRule="auto"/>
        <w:jc w:val="center"/>
        <w:rPr>
          <w:rFonts w:ascii="Arial" w:hAnsi="Arial" w:cs="Arial"/>
          <w:b/>
          <w:color w:val="000000"/>
          <w:spacing w:val="0"/>
          <w:sz w:val="28"/>
          <w:szCs w:val="28"/>
          <w:lang w:val="en-CA" w:eastAsia="en-CA"/>
        </w:rPr>
      </w:pPr>
    </w:p>
    <w:p w14:paraId="51BD3932" w14:textId="77777777" w:rsidR="009948F7" w:rsidRPr="005F3286" w:rsidRDefault="009948F7" w:rsidP="009948F7">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5F3286">
        <w:rPr>
          <w:rFonts w:ascii="Arial" w:hAnsi="Arial" w:cs="Arial"/>
          <w:b/>
          <w:color w:val="000000"/>
          <w:spacing w:val="0"/>
          <w:sz w:val="28"/>
          <w:szCs w:val="28"/>
          <w:lang w:val="en-CA" w:eastAsia="en-CA"/>
        </w:rPr>
        <w:t>_____________________</w:t>
      </w:r>
      <w:r w:rsidRPr="005F3286">
        <w:rPr>
          <w:rFonts w:ascii="Arial" w:hAnsi="Arial" w:cs="Arial"/>
          <w:b/>
          <w:color w:val="000000"/>
          <w:sz w:val="28"/>
          <w:szCs w:val="28"/>
          <w:lang w:val="en-CA" w:eastAsia="en-CA"/>
        </w:rPr>
        <w:t>___________________________________</w:t>
      </w:r>
    </w:p>
    <w:p w14:paraId="63480549" w14:textId="066E128F" w:rsidR="009948F7" w:rsidRPr="005F3286" w:rsidRDefault="003D0C2C" w:rsidP="00DC0880">
      <w:pPr>
        <w:tabs>
          <w:tab w:val="clear" w:pos="360"/>
          <w:tab w:val="clear" w:pos="720"/>
          <w:tab w:val="clear" w:pos="1440"/>
          <w:tab w:val="clear" w:pos="1800"/>
          <w:tab w:val="clear" w:pos="4680"/>
        </w:tabs>
        <w:autoSpaceDE/>
        <w:autoSpaceDN/>
        <w:adjustRightInd/>
        <w:spacing w:before="120" w:line="360" w:lineRule="auto"/>
        <w:outlineLvl w:val="0"/>
        <w:rPr>
          <w:rFonts w:ascii="Arial" w:hAnsi="Arial" w:cs="Arial"/>
          <w:b/>
          <w:color w:val="000000"/>
          <w:spacing w:val="0"/>
          <w:sz w:val="28"/>
          <w:szCs w:val="28"/>
          <w:lang w:val="en-CA" w:eastAsia="en-CA"/>
        </w:rPr>
      </w:pPr>
      <w:r w:rsidRPr="003D0C2C">
        <w:rPr>
          <w:rFonts w:ascii="Arial" w:hAnsi="Arial" w:cs="Arial"/>
          <w:b/>
          <w:color w:val="000000"/>
          <w:sz w:val="28"/>
          <w:szCs w:val="28"/>
          <w:lang w:val="en-CA" w:eastAsia="en-CA"/>
        </w:rPr>
        <w:t>Transcript o</w:t>
      </w:r>
      <w:r w:rsidR="002B26C8">
        <w:rPr>
          <w:rFonts w:ascii="Arial" w:hAnsi="Arial" w:cs="Arial"/>
          <w:b/>
          <w:color w:val="000000"/>
          <w:sz w:val="28"/>
          <w:szCs w:val="28"/>
          <w:lang w:val="en-CA" w:eastAsia="en-CA"/>
        </w:rPr>
        <w:t>f the Reasons for Decision</w:t>
      </w:r>
      <w:r w:rsidR="009948F7" w:rsidRPr="005F3286">
        <w:rPr>
          <w:rFonts w:ascii="Arial" w:hAnsi="Arial" w:cs="Arial"/>
          <w:b/>
          <w:color w:val="000000"/>
          <w:sz w:val="28"/>
          <w:szCs w:val="28"/>
          <w:lang w:val="en-CA" w:eastAsia="en-CA"/>
        </w:rPr>
        <w:t xml:space="preserve"> </w:t>
      </w:r>
      <w:r w:rsidR="002B26C8">
        <w:rPr>
          <w:rFonts w:ascii="Arial" w:hAnsi="Arial" w:cs="Arial"/>
          <w:b/>
          <w:color w:val="000000"/>
          <w:sz w:val="28"/>
          <w:szCs w:val="28"/>
          <w:lang w:val="en-CA" w:eastAsia="en-CA"/>
        </w:rPr>
        <w:t>of</w:t>
      </w:r>
      <w:r w:rsidR="009948F7" w:rsidRPr="005F3286">
        <w:rPr>
          <w:rFonts w:ascii="Arial" w:hAnsi="Arial" w:cs="Arial"/>
          <w:b/>
          <w:color w:val="000000"/>
          <w:sz w:val="28"/>
          <w:szCs w:val="28"/>
          <w:lang w:val="en-CA" w:eastAsia="en-CA"/>
        </w:rPr>
        <w:t xml:space="preserve"> the Honourable Chief Justice S.H. Smallwood, sitting in Yellowknife, in the Northwest Territories, on</w:t>
      </w:r>
      <w:r w:rsidR="00DC0880">
        <w:rPr>
          <w:rFonts w:ascii="Arial" w:hAnsi="Arial" w:cs="Arial"/>
          <w:b/>
          <w:color w:val="000000"/>
          <w:sz w:val="28"/>
          <w:szCs w:val="28"/>
          <w:lang w:val="en-CA" w:eastAsia="en-CA"/>
        </w:rPr>
        <w:t xml:space="preserve"> </w:t>
      </w:r>
      <w:r w:rsidR="009948F7" w:rsidRPr="005F3286">
        <w:rPr>
          <w:rFonts w:ascii="Arial" w:hAnsi="Arial" w:cs="Arial"/>
          <w:b/>
          <w:color w:val="000000"/>
          <w:sz w:val="28"/>
          <w:szCs w:val="28"/>
          <w:lang w:val="en-CA" w:eastAsia="en-CA"/>
        </w:rPr>
        <w:t>the 8</w:t>
      </w:r>
      <w:r w:rsidR="009948F7" w:rsidRPr="005F3286">
        <w:rPr>
          <w:rFonts w:ascii="Arial" w:hAnsi="Arial" w:cs="Arial"/>
          <w:b/>
          <w:color w:val="000000"/>
          <w:sz w:val="28"/>
          <w:szCs w:val="28"/>
          <w:vertAlign w:val="superscript"/>
          <w:lang w:val="en-CA" w:eastAsia="en-CA"/>
        </w:rPr>
        <w:t>th</w:t>
      </w:r>
      <w:r w:rsidR="009948F7" w:rsidRPr="005F3286">
        <w:rPr>
          <w:rFonts w:ascii="Arial" w:hAnsi="Arial" w:cs="Arial"/>
          <w:b/>
          <w:color w:val="000000"/>
          <w:sz w:val="28"/>
          <w:szCs w:val="28"/>
          <w:lang w:val="en-CA" w:eastAsia="en-CA"/>
        </w:rPr>
        <w:t xml:space="preserve"> day of December, 2023</w:t>
      </w:r>
    </w:p>
    <w:p w14:paraId="5CFF9E5B" w14:textId="77777777" w:rsidR="009948F7" w:rsidRPr="005F3286" w:rsidRDefault="009948F7" w:rsidP="00E8082A">
      <w:pPr>
        <w:tabs>
          <w:tab w:val="clear" w:pos="360"/>
          <w:tab w:val="clear" w:pos="720"/>
          <w:tab w:val="clear" w:pos="1440"/>
          <w:tab w:val="clear" w:pos="1800"/>
          <w:tab w:val="clear" w:pos="4680"/>
        </w:tabs>
        <w:spacing w:line="240" w:lineRule="auto"/>
        <w:rPr>
          <w:rFonts w:ascii="Arial" w:hAnsi="Arial" w:cs="Arial"/>
          <w:b/>
          <w:color w:val="000000"/>
          <w:sz w:val="28"/>
          <w:szCs w:val="28"/>
          <w:lang w:val="en-CA" w:eastAsia="en-CA"/>
        </w:rPr>
      </w:pPr>
      <w:r w:rsidRPr="005F3286">
        <w:rPr>
          <w:rFonts w:ascii="Arial" w:hAnsi="Arial" w:cs="Arial"/>
          <w:b/>
          <w:color w:val="000000"/>
          <w:spacing w:val="0"/>
          <w:sz w:val="28"/>
          <w:szCs w:val="28"/>
          <w:lang w:val="en-CA" w:eastAsia="en-CA"/>
        </w:rPr>
        <w:t>_____________________</w:t>
      </w:r>
      <w:r w:rsidRPr="005F3286">
        <w:rPr>
          <w:rFonts w:ascii="Arial" w:hAnsi="Arial" w:cs="Arial"/>
          <w:b/>
          <w:color w:val="000000"/>
          <w:sz w:val="28"/>
          <w:szCs w:val="28"/>
          <w:lang w:val="en-CA" w:eastAsia="en-CA"/>
        </w:rPr>
        <w:t>___________________________________</w:t>
      </w:r>
    </w:p>
    <w:p w14:paraId="556AE4EB" w14:textId="77777777" w:rsidR="009948F7" w:rsidRPr="005F3286" w:rsidRDefault="009948F7" w:rsidP="00406DD4">
      <w:pPr>
        <w:tabs>
          <w:tab w:val="clear" w:pos="360"/>
          <w:tab w:val="clear" w:pos="720"/>
          <w:tab w:val="clear" w:pos="1440"/>
          <w:tab w:val="clear" w:pos="1800"/>
          <w:tab w:val="clear" w:pos="4680"/>
        </w:tabs>
        <w:spacing w:line="240" w:lineRule="auto"/>
        <w:rPr>
          <w:rFonts w:ascii="Arial" w:hAnsi="Arial" w:cs="Arial"/>
          <w:color w:val="000000"/>
          <w:sz w:val="28"/>
          <w:szCs w:val="28"/>
          <w:lang w:val="en-CA" w:eastAsia="en-CA"/>
        </w:rPr>
      </w:pPr>
    </w:p>
    <w:p w14:paraId="00DCFFBD" w14:textId="77777777" w:rsidR="009948F7" w:rsidRPr="005F3286" w:rsidRDefault="009948F7" w:rsidP="009948F7">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5F3286">
        <w:rPr>
          <w:rFonts w:ascii="Arial" w:hAnsi="Arial" w:cs="Arial"/>
          <w:b/>
          <w:color w:val="000000"/>
          <w:sz w:val="24"/>
          <w:u w:val="single"/>
          <w:lang w:val="en-CA" w:eastAsia="en-CA"/>
        </w:rPr>
        <w:t>APPEARANCES:</w:t>
      </w:r>
    </w:p>
    <w:p w14:paraId="394BAC82" w14:textId="77777777" w:rsidR="009948F7" w:rsidRPr="005F3286" w:rsidRDefault="009948F7" w:rsidP="009948F7">
      <w:pPr>
        <w:tabs>
          <w:tab w:val="clear" w:pos="360"/>
          <w:tab w:val="clear" w:pos="720"/>
          <w:tab w:val="clear" w:pos="1440"/>
          <w:tab w:val="clear" w:pos="1800"/>
          <w:tab w:val="clear" w:pos="4680"/>
          <w:tab w:val="left" w:pos="5760"/>
        </w:tabs>
        <w:spacing w:line="360" w:lineRule="auto"/>
        <w:rPr>
          <w:rFonts w:ascii="Arial" w:hAnsi="Arial" w:cs="Arial"/>
          <w:color w:val="000000"/>
          <w:sz w:val="24"/>
          <w:lang w:val="en-CA" w:eastAsia="en-CA"/>
        </w:rPr>
      </w:pPr>
    </w:p>
    <w:p w14:paraId="2725CF92" w14:textId="77777777" w:rsidR="009948F7" w:rsidRPr="005F3286" w:rsidRDefault="009948F7" w:rsidP="009948F7">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5F3286">
        <w:rPr>
          <w:rFonts w:ascii="Arial" w:hAnsi="Arial" w:cs="Arial"/>
          <w:color w:val="000000"/>
          <w:spacing w:val="0"/>
          <w:sz w:val="24"/>
          <w:lang w:val="en-CA" w:eastAsia="en-CA"/>
        </w:rPr>
        <w:t xml:space="preserve">B. </w:t>
      </w:r>
      <w:proofErr w:type="spellStart"/>
      <w:r w:rsidRPr="005F3286">
        <w:rPr>
          <w:rFonts w:ascii="Arial" w:hAnsi="Arial" w:cs="Arial"/>
          <w:color w:val="000000"/>
          <w:spacing w:val="0"/>
          <w:sz w:val="24"/>
          <w:lang w:val="en-CA" w:eastAsia="en-CA"/>
        </w:rPr>
        <w:t>Wun</w:t>
      </w:r>
      <w:proofErr w:type="spellEnd"/>
      <w:r w:rsidRPr="005F3286">
        <w:rPr>
          <w:rFonts w:ascii="Arial" w:hAnsi="Arial" w:cs="Arial"/>
          <w:color w:val="000000"/>
          <w:spacing w:val="0"/>
          <w:sz w:val="24"/>
          <w:lang w:val="en-CA" w:eastAsia="en-CA"/>
        </w:rPr>
        <w:t>:</w:t>
      </w:r>
      <w:r w:rsidRPr="005F3286">
        <w:rPr>
          <w:rFonts w:ascii="Arial" w:hAnsi="Arial" w:cs="Arial"/>
          <w:color w:val="000000"/>
          <w:spacing w:val="0"/>
          <w:sz w:val="24"/>
          <w:lang w:val="en-CA" w:eastAsia="en-CA"/>
        </w:rPr>
        <w:tab/>
      </w:r>
      <w:r w:rsidRPr="005F3286">
        <w:rPr>
          <w:rFonts w:ascii="Arial" w:hAnsi="Arial" w:cs="Arial"/>
          <w:color w:val="000000"/>
          <w:sz w:val="24"/>
          <w:lang w:val="en-CA" w:eastAsia="en-CA"/>
        </w:rPr>
        <w:t>Counsel for the Crown</w:t>
      </w:r>
    </w:p>
    <w:p w14:paraId="68619E4C" w14:textId="24EBC6CD" w:rsidR="009948F7" w:rsidRPr="005F3286" w:rsidRDefault="009948F7" w:rsidP="009948F7">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5F3286">
        <w:rPr>
          <w:rFonts w:ascii="Arial" w:hAnsi="Arial" w:cs="Arial"/>
          <w:color w:val="000000"/>
          <w:sz w:val="24"/>
          <w:lang w:val="en-CA" w:eastAsia="en-CA"/>
        </w:rPr>
        <w:t>E. McIntyre:</w:t>
      </w:r>
      <w:r w:rsidRPr="005F3286">
        <w:rPr>
          <w:rFonts w:ascii="Arial" w:hAnsi="Arial" w:cs="Arial"/>
          <w:color w:val="000000"/>
          <w:sz w:val="24"/>
          <w:lang w:val="en-CA" w:eastAsia="en-CA"/>
        </w:rPr>
        <w:tab/>
        <w:t xml:space="preserve">Counsel for the Defendant appearing </w:t>
      </w:r>
    </w:p>
    <w:p w14:paraId="376FCB0F" w14:textId="376248D8" w:rsidR="009948F7" w:rsidRPr="005F3286" w:rsidRDefault="009948F7" w:rsidP="009948F7">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5F3286">
        <w:rPr>
          <w:rFonts w:ascii="Arial" w:hAnsi="Arial" w:cs="Arial"/>
          <w:color w:val="000000"/>
          <w:sz w:val="24"/>
          <w:lang w:val="en-CA" w:eastAsia="en-CA"/>
        </w:rPr>
        <w:tab/>
        <w:t xml:space="preserve">via teleconference </w:t>
      </w:r>
    </w:p>
    <w:p w14:paraId="104EDCE9" w14:textId="77777777" w:rsidR="009948F7" w:rsidRPr="005F3286" w:rsidRDefault="009948F7" w:rsidP="009948F7">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5F3286">
        <w:rPr>
          <w:rFonts w:ascii="Arial" w:hAnsi="Arial"/>
          <w:b/>
          <w:color w:val="000000"/>
          <w:sz w:val="24"/>
          <w:lang w:val="en-CA" w:eastAsia="en-CA"/>
        </w:rPr>
        <w:t>--------------------------------------------------------------------------</w:t>
      </w:r>
    </w:p>
    <w:p w14:paraId="3C14C713" w14:textId="77777777" w:rsidR="003A2A74" w:rsidRPr="005F3286" w:rsidRDefault="009948F7" w:rsidP="009948F7">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5F3286">
        <w:rPr>
          <w:rFonts w:ascii="Arial" w:hAnsi="Arial" w:cs="Arial"/>
          <w:color w:val="000000"/>
          <w:sz w:val="24"/>
          <w:lang w:val="en-CA" w:eastAsia="en-CA"/>
        </w:rPr>
        <w:t xml:space="preserve">Charges under s. 354(1), 95(1), 108(1)(b), 88(1), 94(1), 92(1), 90(1). 117.01(1) and </w:t>
      </w:r>
      <w:r w:rsidR="003A2A74" w:rsidRPr="005F3286">
        <w:rPr>
          <w:rFonts w:ascii="Arial" w:hAnsi="Arial" w:cs="Arial"/>
          <w:color w:val="000000"/>
          <w:sz w:val="24"/>
          <w:lang w:val="en-CA" w:eastAsia="en-CA"/>
        </w:rPr>
        <w:t>108(1)(b)</w:t>
      </w:r>
      <w:r w:rsidRPr="005F3286">
        <w:rPr>
          <w:rFonts w:ascii="Arial" w:hAnsi="Arial" w:cs="Arial"/>
          <w:color w:val="000000"/>
          <w:sz w:val="24"/>
          <w:lang w:val="en-CA" w:eastAsia="en-CA"/>
        </w:rPr>
        <w:t xml:space="preserve"> of the </w:t>
      </w:r>
      <w:r w:rsidRPr="005F3286">
        <w:rPr>
          <w:rFonts w:ascii="Arial" w:hAnsi="Arial" w:cs="Arial"/>
          <w:i/>
          <w:iCs/>
          <w:color w:val="000000"/>
          <w:sz w:val="24"/>
          <w:lang w:val="en-CA" w:eastAsia="en-CA"/>
        </w:rPr>
        <w:t xml:space="preserve">Criminal Code </w:t>
      </w:r>
      <w:r w:rsidRPr="005F3286">
        <w:rPr>
          <w:rFonts w:ascii="Arial" w:hAnsi="Arial" w:cs="Arial"/>
          <w:color w:val="000000"/>
          <w:sz w:val="24"/>
          <w:lang w:val="en-CA" w:eastAsia="en-CA"/>
        </w:rPr>
        <w:t xml:space="preserve">and s. 5(2) of the </w:t>
      </w:r>
    </w:p>
    <w:p w14:paraId="390B8335" w14:textId="053226C4" w:rsidR="009948F7" w:rsidRPr="005F3286" w:rsidRDefault="009948F7" w:rsidP="009948F7">
      <w:pPr>
        <w:tabs>
          <w:tab w:val="clear" w:pos="360"/>
          <w:tab w:val="clear" w:pos="720"/>
          <w:tab w:val="clear" w:pos="1440"/>
          <w:tab w:val="clear" w:pos="1800"/>
          <w:tab w:val="left" w:pos="5760"/>
        </w:tabs>
        <w:spacing w:line="360" w:lineRule="auto"/>
        <w:jc w:val="center"/>
        <w:rPr>
          <w:rFonts w:ascii="Arial" w:hAnsi="Arial"/>
          <w:color w:val="000000"/>
          <w:sz w:val="24"/>
          <w:lang w:val="en-CA" w:eastAsia="en-CA"/>
        </w:rPr>
      </w:pPr>
      <w:r w:rsidRPr="005F3286">
        <w:rPr>
          <w:rFonts w:ascii="Arial" w:hAnsi="Arial" w:cs="Arial"/>
          <w:i/>
          <w:iCs/>
          <w:color w:val="000000"/>
          <w:sz w:val="24"/>
          <w:lang w:val="en-CA" w:eastAsia="en-CA"/>
        </w:rPr>
        <w:t xml:space="preserve">Controlled Drugs and Substances Act </w:t>
      </w:r>
    </w:p>
    <w:p w14:paraId="09B55FD9" w14:textId="3F1A03FE" w:rsidR="009948F7" w:rsidRPr="005F3286" w:rsidRDefault="009948F7" w:rsidP="009948F7">
      <w:pPr>
        <w:pStyle w:val="Indextitle"/>
        <w:tabs>
          <w:tab w:val="clear" w:pos="900"/>
          <w:tab w:val="clear" w:pos="8640"/>
        </w:tabs>
        <w:ind w:left="0" w:firstLine="0"/>
        <w:rPr>
          <w:rFonts w:ascii="Arial" w:hAnsi="Arial" w:cs="Arial"/>
          <w:sz w:val="24"/>
          <w:szCs w:val="24"/>
        </w:rPr>
        <w:sectPr w:rsidR="009948F7" w:rsidRPr="005F3286" w:rsidSect="00A54039">
          <w:footerReference w:type="default" r:id="rId8"/>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bookmarkEnd w:id="0"/>
    <w:p w14:paraId="68615A9D" w14:textId="77777777" w:rsidR="008B072D" w:rsidRPr="005F3286" w:rsidRDefault="008B072D" w:rsidP="00EA6E79">
      <w:pPr>
        <w:pStyle w:val="Index"/>
        <w:rPr>
          <w:rFonts w:ascii="Arial" w:hAnsi="Arial" w:cs="Arial"/>
          <w:sz w:val="24"/>
          <w:szCs w:val="24"/>
        </w:rPr>
      </w:pPr>
    </w:p>
    <w:p w14:paraId="79DE37E3" w14:textId="77777777" w:rsidR="00F529E1" w:rsidRPr="005F3286" w:rsidRDefault="00F529E1" w:rsidP="00F529E1">
      <w:pPr>
        <w:pStyle w:val="Index"/>
        <w:jc w:val="center"/>
        <w:rPr>
          <w:rFonts w:ascii="Arial" w:hAnsi="Arial" w:cs="Arial"/>
          <w:b/>
          <w:sz w:val="24"/>
          <w:szCs w:val="24"/>
          <w:u w:val="single"/>
        </w:rPr>
      </w:pPr>
      <w:r w:rsidRPr="005F3286">
        <w:rPr>
          <w:rFonts w:ascii="Arial" w:hAnsi="Arial" w:cs="Arial"/>
          <w:b/>
          <w:sz w:val="24"/>
          <w:szCs w:val="24"/>
          <w:u w:val="single"/>
        </w:rPr>
        <w:t>I N D E X</w:t>
      </w:r>
    </w:p>
    <w:p w14:paraId="5D12ED29" w14:textId="77777777" w:rsidR="00F529E1" w:rsidRPr="005F3286"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5F3286">
        <w:rPr>
          <w:rFonts w:ascii="Arial" w:hAnsi="Arial" w:cs="Arial"/>
          <w:b/>
          <w:sz w:val="24"/>
          <w:szCs w:val="24"/>
        </w:rPr>
        <w:tab/>
        <w:t>PAGE</w:t>
      </w:r>
    </w:p>
    <w:p w14:paraId="3A2114BD" w14:textId="77777777" w:rsidR="00F529E1" w:rsidRPr="005F3286" w:rsidRDefault="00F529E1" w:rsidP="00F529E1">
      <w:pPr>
        <w:pStyle w:val="Index"/>
        <w:rPr>
          <w:rFonts w:ascii="Arial" w:hAnsi="Arial" w:cs="Arial"/>
          <w:sz w:val="24"/>
          <w:szCs w:val="24"/>
        </w:rPr>
      </w:pPr>
    </w:p>
    <w:p w14:paraId="5FB9F9E4" w14:textId="77777777" w:rsidR="00F529E1" w:rsidRPr="005F3286"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778A9B36" w14:textId="77777777" w:rsidR="00F529E1" w:rsidRPr="005F3286"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5F3286">
        <w:rPr>
          <w:rFonts w:ascii="Arial" w:hAnsi="Arial" w:cs="Arial"/>
          <w:b/>
          <w:sz w:val="24"/>
          <w:szCs w:val="24"/>
        </w:rPr>
        <w:t>RULINGS, REASONS</w:t>
      </w:r>
    </w:p>
    <w:p w14:paraId="1B715524" w14:textId="77777777" w:rsidR="00F529E1" w:rsidRPr="005F3286"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65DBF68E" w14:textId="27047564" w:rsidR="00F529E1" w:rsidRPr="005F3286" w:rsidRDefault="001F70E7"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5F3286">
        <w:rPr>
          <w:rFonts w:ascii="Arial" w:hAnsi="Arial" w:cs="Arial"/>
          <w:sz w:val="24"/>
          <w:szCs w:val="24"/>
        </w:rPr>
        <w:t xml:space="preserve">Reasons for decision </w:t>
      </w:r>
      <w:r w:rsidR="00F529E1" w:rsidRPr="005F3286">
        <w:rPr>
          <w:rFonts w:ascii="Arial" w:hAnsi="Arial" w:cs="Arial"/>
          <w:sz w:val="24"/>
          <w:szCs w:val="24"/>
        </w:rPr>
        <w:tab/>
      </w:r>
      <w:r w:rsidR="00753600">
        <w:rPr>
          <w:rFonts w:ascii="Arial" w:hAnsi="Arial" w:cs="Arial"/>
          <w:sz w:val="24"/>
          <w:szCs w:val="24"/>
        </w:rPr>
        <w:t xml:space="preserve">  </w:t>
      </w:r>
      <w:r w:rsidRPr="005F3286">
        <w:rPr>
          <w:rFonts w:ascii="Arial" w:hAnsi="Arial" w:cs="Arial"/>
          <w:sz w:val="24"/>
          <w:szCs w:val="24"/>
        </w:rPr>
        <w:t>1</w:t>
      </w:r>
    </w:p>
    <w:p w14:paraId="428E936E" w14:textId="7D9DA3BA" w:rsidR="00F529E1" w:rsidRDefault="00F529E1"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5F3286">
        <w:rPr>
          <w:rFonts w:ascii="Arial" w:hAnsi="Arial" w:cs="Arial"/>
          <w:sz w:val="24"/>
          <w:szCs w:val="24"/>
        </w:rPr>
        <w:t xml:space="preserve">Order re </w:t>
      </w:r>
      <w:r w:rsidR="001F70E7" w:rsidRPr="005F3286">
        <w:rPr>
          <w:rFonts w:ascii="Arial" w:hAnsi="Arial" w:cs="Arial"/>
          <w:sz w:val="24"/>
          <w:szCs w:val="24"/>
        </w:rPr>
        <w:t xml:space="preserve">granting of </w:t>
      </w:r>
      <w:r w:rsidR="001F70E7" w:rsidRPr="005F3286">
        <w:rPr>
          <w:rFonts w:ascii="Arial" w:hAnsi="Arial" w:cs="Arial"/>
          <w:i/>
          <w:iCs/>
          <w:sz w:val="24"/>
          <w:szCs w:val="24"/>
        </w:rPr>
        <w:t xml:space="preserve">certiorari </w:t>
      </w:r>
      <w:r w:rsidR="001F70E7" w:rsidRPr="005F3286">
        <w:rPr>
          <w:rFonts w:ascii="Arial" w:hAnsi="Arial" w:cs="Arial"/>
          <w:sz w:val="24"/>
          <w:szCs w:val="24"/>
        </w:rPr>
        <w:t xml:space="preserve">and </w:t>
      </w:r>
      <w:r w:rsidR="001F70E7" w:rsidRPr="005F3286">
        <w:rPr>
          <w:rFonts w:ascii="Arial" w:hAnsi="Arial" w:cs="Arial"/>
          <w:i/>
          <w:iCs/>
          <w:sz w:val="24"/>
          <w:szCs w:val="24"/>
        </w:rPr>
        <w:t>mandamus</w:t>
      </w:r>
      <w:r w:rsidR="001F70E7" w:rsidRPr="005F3286">
        <w:rPr>
          <w:rFonts w:ascii="Arial" w:hAnsi="Arial" w:cs="Arial"/>
          <w:sz w:val="24"/>
          <w:szCs w:val="24"/>
        </w:rPr>
        <w:t xml:space="preserve"> </w:t>
      </w:r>
      <w:r w:rsidRPr="005F3286">
        <w:rPr>
          <w:rFonts w:ascii="Arial" w:hAnsi="Arial" w:cs="Arial"/>
          <w:sz w:val="24"/>
          <w:szCs w:val="24"/>
        </w:rPr>
        <w:tab/>
      </w:r>
      <w:r w:rsidR="001F70E7" w:rsidRPr="005F3286">
        <w:rPr>
          <w:rFonts w:ascii="Arial" w:hAnsi="Arial" w:cs="Arial"/>
          <w:sz w:val="24"/>
          <w:szCs w:val="24"/>
        </w:rPr>
        <w:t>14</w:t>
      </w:r>
    </w:p>
    <w:p w14:paraId="6AED4B3A" w14:textId="52BF9D5C" w:rsidR="005F3286" w:rsidRPr="005F3286" w:rsidRDefault="005F3286"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Adjournment </w:t>
      </w:r>
      <w:r>
        <w:rPr>
          <w:rFonts w:ascii="Arial" w:hAnsi="Arial" w:cs="Arial"/>
          <w:sz w:val="24"/>
          <w:szCs w:val="24"/>
        </w:rPr>
        <w:tab/>
        <w:t>14</w:t>
      </w:r>
    </w:p>
    <w:p w14:paraId="72BAC7BD" w14:textId="77777777" w:rsidR="00E8293E" w:rsidRPr="005F3286" w:rsidRDefault="00E8293E" w:rsidP="00E8293E">
      <w:pPr>
        <w:pStyle w:val="Index"/>
        <w:rPr>
          <w:rFonts w:ascii="Arial" w:hAnsi="Arial" w:cs="Arial"/>
          <w:sz w:val="24"/>
          <w:szCs w:val="24"/>
        </w:rPr>
        <w:sectPr w:rsidR="00E8293E" w:rsidRPr="005F3286" w:rsidSect="00A54039">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48FC0B84" w14:textId="5065DE62" w:rsidR="00733445" w:rsidRPr="005F3286" w:rsidRDefault="00733445" w:rsidP="00733445">
      <w:pPr>
        <w:pStyle w:val="OTR"/>
        <w:rPr>
          <w:lang w:val="en-CA"/>
        </w:rPr>
      </w:pPr>
      <w:r w:rsidRPr="005F3286">
        <w:rPr>
          <w:lang w:val="en-CA"/>
        </w:rPr>
        <w:lastRenderedPageBreak/>
        <w:t>(TELECONFERENCE COMMENCES)</w:t>
      </w:r>
    </w:p>
    <w:p w14:paraId="7D061EB8" w14:textId="6DFCA5AC" w:rsidR="00733445" w:rsidRPr="005F3286" w:rsidRDefault="00733445" w:rsidP="00733445">
      <w:pPr>
        <w:pStyle w:val="Coll"/>
        <w:rPr>
          <w:lang w:val="en-CA"/>
        </w:rPr>
      </w:pPr>
      <w:r w:rsidRPr="005F3286">
        <w:t xml:space="preserve">THE CLERK:            </w:t>
      </w:r>
      <w:r w:rsidRPr="005F3286">
        <w:rPr>
          <w:lang w:val="en-CA"/>
        </w:rPr>
        <w:t xml:space="preserve">Order.  All rise.  This sitting of the Supreme Court of the Northwest Territories is now in session, the Honourable Chief Justice Smallwood presiding.  Please be seated. </w:t>
      </w:r>
    </w:p>
    <w:p w14:paraId="54AF99B1" w14:textId="2C9F799B" w:rsidR="00733445" w:rsidRPr="005F3286" w:rsidRDefault="00733445" w:rsidP="00733445">
      <w:pPr>
        <w:pStyle w:val="Coll"/>
        <w:rPr>
          <w:lang w:val="en-CA"/>
        </w:rPr>
      </w:pPr>
      <w:r w:rsidRPr="005F3286">
        <w:t xml:space="preserve">THE COURT:            </w:t>
      </w:r>
      <w:r w:rsidRPr="005F3286">
        <w:rPr>
          <w:lang w:val="en-CA"/>
        </w:rPr>
        <w:t>Good afternoon.</w:t>
      </w:r>
    </w:p>
    <w:p w14:paraId="6B1A2735" w14:textId="7829C3C5" w:rsidR="00733445" w:rsidRPr="005F3286" w:rsidRDefault="00733445" w:rsidP="00733445">
      <w:pPr>
        <w:pStyle w:val="Coll"/>
        <w:rPr>
          <w:lang w:val="en-CA"/>
        </w:rPr>
      </w:pPr>
      <w:r w:rsidRPr="005F3286">
        <w:t xml:space="preserve">B. WUN:            </w:t>
      </w:r>
      <w:r w:rsidRPr="005F3286">
        <w:rPr>
          <w:lang w:val="en-CA"/>
        </w:rPr>
        <w:t xml:space="preserve">Good afternoon.  </w:t>
      </w:r>
    </w:p>
    <w:p w14:paraId="7704F91F" w14:textId="6EA37898" w:rsidR="00733445" w:rsidRPr="005F3286" w:rsidRDefault="00733445" w:rsidP="00733445">
      <w:pPr>
        <w:pStyle w:val="Coll"/>
        <w:rPr>
          <w:lang w:val="en-CA"/>
        </w:rPr>
      </w:pPr>
      <w:r w:rsidRPr="005F3286">
        <w:t xml:space="preserve">THE COURT:            </w:t>
      </w:r>
      <w:r w:rsidRPr="005F3286">
        <w:rPr>
          <w:lang w:val="en-CA"/>
        </w:rPr>
        <w:t xml:space="preserve">All right.  </w:t>
      </w:r>
      <w:r w:rsidR="00753600">
        <w:rPr>
          <w:lang w:val="en-CA"/>
        </w:rPr>
        <w:t>Mr. </w:t>
      </w:r>
      <w:r w:rsidRPr="005F3286">
        <w:rPr>
          <w:lang w:val="en-CA"/>
        </w:rPr>
        <w:t>McIntyre, I understand you are on the line?</w:t>
      </w:r>
    </w:p>
    <w:p w14:paraId="05AEC0E9" w14:textId="4CC6B86A" w:rsidR="00733445" w:rsidRPr="005F3286" w:rsidRDefault="00733445" w:rsidP="00733445">
      <w:pPr>
        <w:pStyle w:val="Coll"/>
        <w:rPr>
          <w:lang w:val="en-CA"/>
        </w:rPr>
      </w:pPr>
      <w:r w:rsidRPr="005F3286">
        <w:rPr>
          <w:lang w:val="en-CA"/>
        </w:rPr>
        <w:t xml:space="preserve">E. MCINTYRE:            I am, Your Honour.  Good afternoon.  </w:t>
      </w:r>
    </w:p>
    <w:p w14:paraId="20D75732" w14:textId="233BC160" w:rsidR="00733445" w:rsidRPr="005F3286" w:rsidRDefault="00733445" w:rsidP="00733445">
      <w:pPr>
        <w:pStyle w:val="Coll"/>
        <w:rPr>
          <w:lang w:val="en-CA"/>
        </w:rPr>
      </w:pPr>
      <w:r w:rsidRPr="005F3286">
        <w:t xml:space="preserve">THE COURT:            </w:t>
      </w:r>
      <w:r w:rsidRPr="005F3286">
        <w:rPr>
          <w:lang w:val="en-CA"/>
        </w:rPr>
        <w:t xml:space="preserve">Good afternoon.  This is an application by the Crown for </w:t>
      </w:r>
      <w:r w:rsidRPr="005F3286">
        <w:rPr>
          <w:i/>
          <w:iCs/>
          <w:lang w:val="en-CA"/>
        </w:rPr>
        <w:t>certiorari</w:t>
      </w:r>
      <w:r w:rsidRPr="005F3286">
        <w:rPr>
          <w:lang w:val="en-CA"/>
        </w:rPr>
        <w:t xml:space="preserve"> and </w:t>
      </w:r>
      <w:r w:rsidRPr="005F3286">
        <w:rPr>
          <w:i/>
          <w:iCs/>
          <w:lang w:val="en-CA"/>
        </w:rPr>
        <w:t>mandamus</w:t>
      </w:r>
      <w:r w:rsidRPr="005F3286">
        <w:rPr>
          <w:lang w:val="en-CA"/>
        </w:rPr>
        <w:t xml:space="preserve"> in relation to Joyce Steinwand-Gauthier’s discharge at preliminary inquiry on seven offences.  The Crown is seeking to quash Joyce Gauthier’s discharge on those seven offences and</w:t>
      </w:r>
      <w:r w:rsidR="0042029C">
        <w:rPr>
          <w:lang w:val="en-CA"/>
        </w:rPr>
        <w:t xml:space="preserve"> is</w:t>
      </w:r>
      <w:r w:rsidRPr="005F3286">
        <w:rPr>
          <w:lang w:val="en-CA"/>
        </w:rPr>
        <w:t xml:space="preserve"> seeking an order of </w:t>
      </w:r>
      <w:r w:rsidRPr="005F3286">
        <w:rPr>
          <w:i/>
          <w:iCs/>
          <w:lang w:val="en-CA"/>
        </w:rPr>
        <w:t>mandamus</w:t>
      </w:r>
      <w:r w:rsidRPr="005F3286">
        <w:rPr>
          <w:lang w:val="en-CA"/>
        </w:rPr>
        <w:t xml:space="preserve"> requiring the Territorial Court to commit </w:t>
      </w:r>
      <w:r w:rsidR="00753600">
        <w:rPr>
          <w:lang w:val="en-CA"/>
        </w:rPr>
        <w:t>Ms. </w:t>
      </w:r>
      <w:r w:rsidRPr="005F3286">
        <w:rPr>
          <w:lang w:val="en-CA"/>
        </w:rPr>
        <w:t>Gauthier to stand trial on those charges.</w:t>
      </w:r>
    </w:p>
    <w:p w14:paraId="0C364124" w14:textId="172D8D76" w:rsidR="0042029C" w:rsidRDefault="00733445" w:rsidP="00733445">
      <w:pPr>
        <w:pStyle w:val="Coll"/>
        <w:rPr>
          <w:lang w:val="en-CA"/>
        </w:rPr>
      </w:pPr>
      <w:r w:rsidRPr="005F3286">
        <w:rPr>
          <w:lang w:val="en-CA"/>
        </w:rPr>
        <w:tab/>
      </w:r>
      <w:r w:rsidRPr="005F3286">
        <w:rPr>
          <w:lang w:val="en-CA"/>
        </w:rPr>
        <w:tab/>
        <w:t xml:space="preserve">Joyce Gauthier was charged along with three co-accused, Dawson </w:t>
      </w:r>
      <w:proofErr w:type="spellStart"/>
      <w:r w:rsidRPr="005F3286">
        <w:rPr>
          <w:lang w:val="en-CA"/>
        </w:rPr>
        <w:t>Tecomba</w:t>
      </w:r>
      <w:proofErr w:type="spellEnd"/>
      <w:r w:rsidRPr="005F3286">
        <w:rPr>
          <w:lang w:val="en-CA"/>
        </w:rPr>
        <w:t xml:space="preserve">, Fathi Mohamed </w:t>
      </w:r>
      <w:proofErr w:type="gramStart"/>
      <w:r w:rsidRPr="005F3286">
        <w:rPr>
          <w:lang w:val="en-CA"/>
        </w:rPr>
        <w:t>Maie</w:t>
      </w:r>
      <w:proofErr w:type="gramEnd"/>
      <w:r w:rsidRPr="005F3286">
        <w:rPr>
          <w:lang w:val="en-CA"/>
        </w:rPr>
        <w:t xml:space="preserve"> and Abdulah Omar Maye on an Information with 11</w:t>
      </w:r>
      <w:r w:rsidR="00F07C9E">
        <w:rPr>
          <w:lang w:val="en-CA"/>
        </w:rPr>
        <w:t> </w:t>
      </w:r>
      <w:r w:rsidRPr="005F3286">
        <w:rPr>
          <w:lang w:val="en-CA"/>
        </w:rPr>
        <w:t>offences, eight of which were applicable to Joyce Gauthier</w:t>
      </w:r>
      <w:r w:rsidR="00D20605">
        <w:rPr>
          <w:lang w:val="en-CA"/>
        </w:rPr>
        <w:t>:</w:t>
      </w:r>
      <w:r w:rsidRPr="005F3286">
        <w:rPr>
          <w:lang w:val="en-CA"/>
        </w:rPr>
        <w:t xml:space="preserve">  Count 1, section 354(1)(a) of the </w:t>
      </w:r>
      <w:r w:rsidRPr="005F3286">
        <w:rPr>
          <w:i/>
          <w:iCs/>
          <w:lang w:val="en-CA"/>
        </w:rPr>
        <w:t>Criminal Code</w:t>
      </w:r>
      <w:r w:rsidRPr="005F3286">
        <w:rPr>
          <w:lang w:val="en-CA"/>
        </w:rPr>
        <w:t>, possession of property obtained by crime</w:t>
      </w:r>
      <w:r w:rsidR="00D20605">
        <w:rPr>
          <w:lang w:val="en-CA"/>
        </w:rPr>
        <w:t>;</w:t>
      </w:r>
      <w:r w:rsidRPr="005F3286">
        <w:rPr>
          <w:lang w:val="en-CA"/>
        </w:rPr>
        <w:t xml:space="preserve"> count</w:t>
      </w:r>
      <w:r w:rsidR="0042029C">
        <w:rPr>
          <w:lang w:val="en-CA"/>
        </w:rPr>
        <w:t> </w:t>
      </w:r>
      <w:r w:rsidRPr="005F3286">
        <w:rPr>
          <w:lang w:val="en-CA"/>
        </w:rPr>
        <w:t xml:space="preserve">2, section 5(2) of the </w:t>
      </w:r>
      <w:r w:rsidRPr="005F3286">
        <w:rPr>
          <w:i/>
          <w:iCs/>
          <w:lang w:val="en-CA"/>
        </w:rPr>
        <w:t>Controlled Drugs and Substances Act</w:t>
      </w:r>
      <w:r w:rsidRPr="005F3286">
        <w:rPr>
          <w:lang w:val="en-CA"/>
        </w:rPr>
        <w:t xml:space="preserve">, possession of a controlled </w:t>
      </w:r>
    </w:p>
    <w:p w14:paraId="4712F5CF" w14:textId="19C40D5B" w:rsidR="00733445" w:rsidRPr="005F3286" w:rsidRDefault="0042029C" w:rsidP="00733445">
      <w:pPr>
        <w:pStyle w:val="Coll"/>
        <w:rPr>
          <w:lang w:val="en-CA"/>
        </w:rPr>
      </w:pPr>
      <w:r>
        <w:rPr>
          <w:lang w:val="en-CA"/>
        </w:rPr>
        <w:tab/>
      </w:r>
      <w:r w:rsidR="00733445" w:rsidRPr="005F3286">
        <w:rPr>
          <w:lang w:val="en-CA"/>
        </w:rPr>
        <w:t>substance</w:t>
      </w:r>
      <w:r w:rsidR="00753600">
        <w:rPr>
          <w:lang w:val="en-CA"/>
        </w:rPr>
        <w:t> --</w:t>
      </w:r>
      <w:r w:rsidR="00733445" w:rsidRPr="005F3286">
        <w:rPr>
          <w:lang w:val="en-CA"/>
        </w:rPr>
        <w:t xml:space="preserve"> in this case cocaine</w:t>
      </w:r>
      <w:r w:rsidR="00753600">
        <w:rPr>
          <w:lang w:val="en-CA"/>
        </w:rPr>
        <w:t> --</w:t>
      </w:r>
      <w:r w:rsidR="00733445" w:rsidRPr="005F3286">
        <w:rPr>
          <w:lang w:val="en-CA"/>
        </w:rPr>
        <w:t xml:space="preserve"> for the purposes </w:t>
      </w:r>
      <w:r w:rsidR="00733445" w:rsidRPr="005F3286">
        <w:rPr>
          <w:lang w:val="en-CA"/>
        </w:rPr>
        <w:lastRenderedPageBreak/>
        <w:t>of</w:t>
      </w:r>
      <w:r w:rsidR="0011316D">
        <w:rPr>
          <w:lang w:val="en-CA"/>
        </w:rPr>
        <w:t> </w:t>
      </w:r>
      <w:r w:rsidR="00733445" w:rsidRPr="005F3286">
        <w:rPr>
          <w:lang w:val="en-CA"/>
        </w:rPr>
        <w:t>trafficking</w:t>
      </w:r>
      <w:r w:rsidR="00D20605">
        <w:rPr>
          <w:lang w:val="en-CA"/>
        </w:rPr>
        <w:t>; c</w:t>
      </w:r>
      <w:r w:rsidR="00733445" w:rsidRPr="005F3286">
        <w:rPr>
          <w:lang w:val="en-CA"/>
        </w:rPr>
        <w:t xml:space="preserve">ount 3, section 95(1) of the </w:t>
      </w:r>
      <w:r w:rsidR="00733445" w:rsidRPr="005F3286">
        <w:rPr>
          <w:i/>
          <w:iCs/>
          <w:lang w:val="en-CA"/>
        </w:rPr>
        <w:t>Criminal Code</w:t>
      </w:r>
      <w:r w:rsidR="00733445" w:rsidRPr="005F3286">
        <w:rPr>
          <w:lang w:val="en-CA"/>
        </w:rPr>
        <w:t xml:space="preserve">, possession of a loaded prohibited or restricted firearm without a licence; count 4, section 108(1)(b) of the </w:t>
      </w:r>
      <w:r w:rsidR="00733445" w:rsidRPr="005F3286">
        <w:rPr>
          <w:i/>
          <w:iCs/>
          <w:lang w:val="en-CA"/>
        </w:rPr>
        <w:t>Criminal Code</w:t>
      </w:r>
      <w:r w:rsidR="00733445" w:rsidRPr="005F3286">
        <w:rPr>
          <w:lang w:val="en-CA"/>
        </w:rPr>
        <w:t xml:space="preserve">, possession of a firearm with an altered or defaced serial number; count 5, section 88(1) of the </w:t>
      </w:r>
      <w:r w:rsidR="00733445" w:rsidRPr="005F3286">
        <w:rPr>
          <w:i/>
          <w:iCs/>
          <w:lang w:val="en-CA"/>
        </w:rPr>
        <w:t>Criminal Code</w:t>
      </w:r>
      <w:r w:rsidR="00733445" w:rsidRPr="005F3286">
        <w:rPr>
          <w:lang w:val="en-CA"/>
        </w:rPr>
        <w:t>, possession of a weapon for a purpose dangerous to the public peace</w:t>
      </w:r>
      <w:r w:rsidR="00D20605">
        <w:rPr>
          <w:lang w:val="en-CA"/>
        </w:rPr>
        <w:t>; c</w:t>
      </w:r>
      <w:r w:rsidR="00733445" w:rsidRPr="005F3286">
        <w:rPr>
          <w:lang w:val="en-CA"/>
        </w:rPr>
        <w:t>ount</w:t>
      </w:r>
      <w:r w:rsidR="00D20605">
        <w:rPr>
          <w:lang w:val="en-CA"/>
        </w:rPr>
        <w:t> </w:t>
      </w:r>
      <w:r w:rsidR="00733445" w:rsidRPr="005F3286">
        <w:rPr>
          <w:lang w:val="en-CA"/>
        </w:rPr>
        <w:t xml:space="preserve">6, </w:t>
      </w:r>
      <w:r w:rsidR="00617A45" w:rsidRPr="005F3286">
        <w:rPr>
          <w:lang w:val="en-CA"/>
        </w:rPr>
        <w:t>section</w:t>
      </w:r>
      <w:r w:rsidR="00D20605">
        <w:rPr>
          <w:lang w:val="en-CA"/>
        </w:rPr>
        <w:t> </w:t>
      </w:r>
      <w:r w:rsidR="00617A45" w:rsidRPr="005F3286">
        <w:rPr>
          <w:lang w:val="en-CA"/>
        </w:rPr>
        <w:t xml:space="preserve">95(2) of the </w:t>
      </w:r>
      <w:r w:rsidR="00617A45" w:rsidRPr="005F3286">
        <w:rPr>
          <w:i/>
          <w:iCs/>
          <w:lang w:val="en-CA"/>
        </w:rPr>
        <w:t>Criminal Code</w:t>
      </w:r>
      <w:r w:rsidR="00617A45" w:rsidRPr="005F3286">
        <w:rPr>
          <w:lang w:val="en-CA"/>
        </w:rPr>
        <w:t>, being an occupant of a motor vehicle in which they knew there was a prohibited or a restricted firearm; count</w:t>
      </w:r>
      <w:r w:rsidR="00F07C9E">
        <w:rPr>
          <w:lang w:val="en-CA"/>
        </w:rPr>
        <w:t> </w:t>
      </w:r>
      <w:r w:rsidR="00617A45" w:rsidRPr="005F3286">
        <w:rPr>
          <w:lang w:val="en-CA"/>
        </w:rPr>
        <w:t xml:space="preserve">7, section 92(1) of the </w:t>
      </w:r>
      <w:r w:rsidR="00617A45" w:rsidRPr="005F3286">
        <w:rPr>
          <w:i/>
          <w:iCs/>
          <w:lang w:val="en-CA"/>
        </w:rPr>
        <w:t>Criminal Code</w:t>
      </w:r>
      <w:r w:rsidR="00617A45" w:rsidRPr="005F3286">
        <w:rPr>
          <w:lang w:val="en-CA"/>
        </w:rPr>
        <w:t>, unauthorized possession of a prohibited or restricted firearm</w:t>
      </w:r>
      <w:r w:rsidR="00D20605">
        <w:rPr>
          <w:lang w:val="en-CA"/>
        </w:rPr>
        <w:t>;</w:t>
      </w:r>
      <w:r w:rsidR="00617A45" w:rsidRPr="005F3286">
        <w:rPr>
          <w:lang w:val="en-CA"/>
        </w:rPr>
        <w:t xml:space="preserve"> and count 8, section</w:t>
      </w:r>
      <w:r w:rsidR="00D20605">
        <w:rPr>
          <w:lang w:val="en-CA"/>
        </w:rPr>
        <w:t> </w:t>
      </w:r>
      <w:r w:rsidR="00617A45" w:rsidRPr="005F3286">
        <w:rPr>
          <w:lang w:val="en-CA"/>
        </w:rPr>
        <w:t xml:space="preserve">90(1) of the </w:t>
      </w:r>
      <w:r w:rsidR="00617A45" w:rsidRPr="005F3286">
        <w:rPr>
          <w:i/>
          <w:iCs/>
          <w:lang w:val="en-CA"/>
        </w:rPr>
        <w:t>Criminal Code</w:t>
      </w:r>
      <w:r w:rsidR="00617A45" w:rsidRPr="005F3286">
        <w:rPr>
          <w:lang w:val="en-CA"/>
        </w:rPr>
        <w:t xml:space="preserve">, carrying a concealed weapon.  </w:t>
      </w:r>
    </w:p>
    <w:p w14:paraId="086B8A50" w14:textId="7880C8FC" w:rsidR="00617A45" w:rsidRPr="005F3286" w:rsidRDefault="00617A45" w:rsidP="00733445">
      <w:pPr>
        <w:pStyle w:val="Coll"/>
        <w:rPr>
          <w:lang w:val="en-CA"/>
        </w:rPr>
      </w:pPr>
      <w:r w:rsidRPr="005F3286">
        <w:rPr>
          <w:lang w:val="en-CA"/>
        </w:rPr>
        <w:tab/>
      </w:r>
      <w:r w:rsidRPr="005F3286">
        <w:rPr>
          <w:lang w:val="en-CA"/>
        </w:rPr>
        <w:tab/>
      </w:r>
      <w:proofErr w:type="gramStart"/>
      <w:r w:rsidRPr="005F3286">
        <w:rPr>
          <w:lang w:val="en-CA"/>
        </w:rPr>
        <w:t>All of</w:t>
      </w:r>
      <w:proofErr w:type="gramEnd"/>
      <w:r w:rsidRPr="005F3286">
        <w:rPr>
          <w:lang w:val="en-CA"/>
        </w:rPr>
        <w:t xml:space="preserve"> these charges arose from a traffic stop conducted by the RCMP on October 25, 2021, in Yellowknife where Joyce Gauthier was the driver of a motor vehicle along with the three co-accused who were passengers.  During a search of the vehicle, the RCMP located cocaine, money alleged to be the proceeds of crime, a loaded </w:t>
      </w:r>
      <w:proofErr w:type="gramStart"/>
      <w:r w:rsidRPr="005F3286">
        <w:rPr>
          <w:lang w:val="en-CA"/>
        </w:rPr>
        <w:t>handgun</w:t>
      </w:r>
      <w:proofErr w:type="gramEnd"/>
      <w:r w:rsidRPr="005F3286">
        <w:rPr>
          <w:lang w:val="en-CA"/>
        </w:rPr>
        <w:t xml:space="preserve"> and other items.</w:t>
      </w:r>
    </w:p>
    <w:p w14:paraId="54C3E332" w14:textId="77777777" w:rsidR="00DA7AC8" w:rsidRDefault="00617A45" w:rsidP="00733445">
      <w:pPr>
        <w:pStyle w:val="Coll"/>
        <w:rPr>
          <w:lang w:val="en-CA"/>
        </w:rPr>
      </w:pPr>
      <w:r w:rsidRPr="005F3286">
        <w:rPr>
          <w:lang w:val="en-CA"/>
        </w:rPr>
        <w:tab/>
      </w:r>
      <w:r w:rsidRPr="005F3286">
        <w:rPr>
          <w:lang w:val="en-CA"/>
        </w:rPr>
        <w:tab/>
      </w:r>
      <w:r w:rsidR="00753600">
        <w:rPr>
          <w:lang w:val="en-CA"/>
        </w:rPr>
        <w:t>Ms. </w:t>
      </w:r>
      <w:r w:rsidRPr="005F3286">
        <w:rPr>
          <w:lang w:val="en-CA"/>
        </w:rPr>
        <w:t xml:space="preserve">Gauthier and the three other occupants of the vehicle were arrested and charged with </w:t>
      </w:r>
      <w:proofErr w:type="gramStart"/>
      <w:r w:rsidRPr="005F3286">
        <w:rPr>
          <w:lang w:val="en-CA"/>
        </w:rPr>
        <w:t>a number of</w:t>
      </w:r>
      <w:proofErr w:type="gramEnd"/>
      <w:r w:rsidRPr="005F3286">
        <w:rPr>
          <w:lang w:val="en-CA"/>
        </w:rPr>
        <w:t xml:space="preserve"> offences.  </w:t>
      </w:r>
      <w:r w:rsidR="00753600">
        <w:rPr>
          <w:lang w:val="en-CA"/>
        </w:rPr>
        <w:t>Ms. </w:t>
      </w:r>
      <w:r w:rsidRPr="005F3286">
        <w:rPr>
          <w:lang w:val="en-CA"/>
        </w:rPr>
        <w:t>Gauthier elected trial by judge and jury and requested a preliminary inquiry which was held on November 22 and 23, 2022, and December</w:t>
      </w:r>
      <w:r w:rsidR="00F07C9E">
        <w:rPr>
          <w:lang w:val="en-CA"/>
        </w:rPr>
        <w:t> </w:t>
      </w:r>
      <w:r w:rsidRPr="005F3286">
        <w:rPr>
          <w:lang w:val="en-CA"/>
        </w:rPr>
        <w:t xml:space="preserve">20, 2022, in Territorial Court.  </w:t>
      </w:r>
    </w:p>
    <w:p w14:paraId="75D6C673" w14:textId="7B603572" w:rsidR="00617A45" w:rsidRPr="005F3286" w:rsidRDefault="00DA7AC8" w:rsidP="00733445">
      <w:pPr>
        <w:pStyle w:val="Coll"/>
        <w:rPr>
          <w:lang w:val="en-CA"/>
        </w:rPr>
      </w:pPr>
      <w:r>
        <w:rPr>
          <w:lang w:val="en-CA"/>
        </w:rPr>
        <w:lastRenderedPageBreak/>
        <w:tab/>
      </w:r>
      <w:r>
        <w:rPr>
          <w:lang w:val="en-CA"/>
        </w:rPr>
        <w:tab/>
      </w:r>
      <w:r w:rsidR="00617A45" w:rsidRPr="005F3286">
        <w:rPr>
          <w:lang w:val="en-CA"/>
        </w:rPr>
        <w:t xml:space="preserve">Following the preliminary inquiry, the Territorial Court judge committed </w:t>
      </w:r>
      <w:r w:rsidR="00753600">
        <w:rPr>
          <w:lang w:val="en-CA"/>
        </w:rPr>
        <w:t>Ms. </w:t>
      </w:r>
      <w:r w:rsidR="00617A45" w:rsidRPr="005F3286">
        <w:rPr>
          <w:lang w:val="en-CA"/>
        </w:rPr>
        <w:t xml:space="preserve">Gauthier to stand trial on the </w:t>
      </w:r>
      <w:r w:rsidR="00617A45" w:rsidRPr="005F3286">
        <w:rPr>
          <w:i/>
          <w:iCs/>
          <w:lang w:val="en-CA"/>
        </w:rPr>
        <w:t>CDSA</w:t>
      </w:r>
      <w:r w:rsidR="00617A45" w:rsidRPr="005F3286">
        <w:rPr>
          <w:lang w:val="en-CA"/>
        </w:rPr>
        <w:t xml:space="preserve"> charge, the possession for the purpose of trafficking charge, which was count 2 on the Information but discharged her on the </w:t>
      </w:r>
      <w:r w:rsidR="00617A45" w:rsidRPr="005F3286">
        <w:rPr>
          <w:i/>
          <w:iCs/>
          <w:lang w:val="en-CA"/>
        </w:rPr>
        <w:t>Criminal Code</w:t>
      </w:r>
      <w:r w:rsidR="00617A45" w:rsidRPr="005F3286">
        <w:rPr>
          <w:lang w:val="en-CA"/>
        </w:rPr>
        <w:t xml:space="preserve"> offences which were counts 1, 3 through 8 on the Information.  </w:t>
      </w:r>
    </w:p>
    <w:p w14:paraId="37ED6961" w14:textId="5250CBA4" w:rsidR="00617A45" w:rsidRPr="005F3286" w:rsidRDefault="00617A45" w:rsidP="00733445">
      <w:pPr>
        <w:pStyle w:val="Coll"/>
        <w:rPr>
          <w:lang w:val="en-CA"/>
        </w:rPr>
      </w:pPr>
      <w:r w:rsidRPr="005F3286">
        <w:rPr>
          <w:lang w:val="en-CA"/>
        </w:rPr>
        <w:tab/>
      </w:r>
      <w:r w:rsidRPr="005F3286">
        <w:rPr>
          <w:lang w:val="en-CA"/>
        </w:rPr>
        <w:tab/>
        <w:t>In discharging the accused on the other counts, the preliminary inquiry judge stated</w:t>
      </w:r>
      <w:r w:rsidR="00406DBD">
        <w:rPr>
          <w:lang w:val="en-CA"/>
        </w:rPr>
        <w:t>:</w:t>
      </w:r>
    </w:p>
    <w:p w14:paraId="1117A73F" w14:textId="77777777" w:rsidR="00617A45" w:rsidRPr="005F3286" w:rsidRDefault="00617A45" w:rsidP="00617A45">
      <w:pPr>
        <w:pStyle w:val="Quote1"/>
        <w:rPr>
          <w:lang w:val="en-CA"/>
        </w:rPr>
      </w:pPr>
      <w:r w:rsidRPr="005F3286">
        <w:rPr>
          <w:lang w:val="en-CA"/>
        </w:rPr>
        <w:t xml:space="preserve">In a case like this if the evidence at the inquiry in respect of the main transaction that the same facts and witnesses cannot meet the low threshold required for committal, it would be contrary to the intent of Parliament, in my opinion, to have these charges sent up to the Superior Court involving further delay and a second involvement of judicial resources and time and effort, energy of witnesses and the victims.  </w:t>
      </w:r>
    </w:p>
    <w:p w14:paraId="19B16CDE" w14:textId="4E911893" w:rsidR="00617A45" w:rsidRPr="005F3286" w:rsidRDefault="00617A45" w:rsidP="00617A45">
      <w:pPr>
        <w:pStyle w:val="Quote1"/>
        <w:rPr>
          <w:lang w:val="en-CA"/>
        </w:rPr>
      </w:pPr>
      <w:r w:rsidRPr="005F3286">
        <w:rPr>
          <w:lang w:val="en-CA"/>
        </w:rPr>
        <w:tab/>
        <w:t xml:space="preserve">Where the charges are so related to the plus-14 offences like the case here, I </w:t>
      </w:r>
      <w:proofErr w:type="gramStart"/>
      <w:r w:rsidRPr="005F3286">
        <w:rPr>
          <w:lang w:val="en-CA"/>
        </w:rPr>
        <w:t>am of the opinion that</w:t>
      </w:r>
      <w:proofErr w:type="gramEnd"/>
      <w:r w:rsidRPr="005F3286">
        <w:rPr>
          <w:lang w:val="en-CA"/>
        </w:rPr>
        <w:t xml:space="preserve"> I have the power under 548(2) to discharge where there is no sufficient case to put the accused on trial, applying the test that has been cited many times.  </w:t>
      </w:r>
    </w:p>
    <w:p w14:paraId="2677E359" w14:textId="5D67E85C" w:rsidR="00617A45" w:rsidRPr="005F3286" w:rsidRDefault="00617A45" w:rsidP="00617A45">
      <w:pPr>
        <w:pStyle w:val="unquote"/>
        <w:rPr>
          <w:lang w:val="en-CA"/>
        </w:rPr>
      </w:pPr>
      <w:r w:rsidRPr="005F3286">
        <w:rPr>
          <w:lang w:val="en-CA"/>
        </w:rPr>
        <w:t xml:space="preserve">In 2019 the </w:t>
      </w:r>
      <w:r w:rsidRPr="005F3286">
        <w:rPr>
          <w:i/>
          <w:iCs/>
          <w:lang w:val="en-CA"/>
        </w:rPr>
        <w:t>Criminal Code</w:t>
      </w:r>
      <w:r w:rsidRPr="005F3286">
        <w:rPr>
          <w:lang w:val="en-CA"/>
        </w:rPr>
        <w:t xml:space="preserve"> was amended to restrict the availability of preliminary inquiries to offences </w:t>
      </w:r>
      <w:r w:rsidRPr="005F3286">
        <w:rPr>
          <w:lang w:val="en-CA"/>
        </w:rPr>
        <w:lastRenderedPageBreak/>
        <w:t xml:space="preserve">punishable by 14 years or more of imprisonment.  Of the offences that </w:t>
      </w:r>
      <w:r w:rsidR="00753600">
        <w:rPr>
          <w:lang w:val="en-CA"/>
        </w:rPr>
        <w:t>Ms. </w:t>
      </w:r>
      <w:r w:rsidRPr="005F3286">
        <w:rPr>
          <w:lang w:val="en-CA"/>
        </w:rPr>
        <w:t>Gauthier was charge</w:t>
      </w:r>
      <w:r w:rsidR="0042029C">
        <w:rPr>
          <w:lang w:val="en-CA"/>
        </w:rPr>
        <w:t>d</w:t>
      </w:r>
      <w:r w:rsidRPr="005F3286">
        <w:rPr>
          <w:lang w:val="en-CA"/>
        </w:rPr>
        <w:t xml:space="preserve"> with, the </w:t>
      </w:r>
      <w:r w:rsidRPr="005F3286">
        <w:rPr>
          <w:i/>
          <w:iCs/>
          <w:lang w:val="en-CA"/>
        </w:rPr>
        <w:t>Criminal Code</w:t>
      </w:r>
      <w:r w:rsidRPr="005F3286">
        <w:rPr>
          <w:lang w:val="en-CA"/>
        </w:rPr>
        <w:t xml:space="preserve"> offence </w:t>
      </w:r>
      <w:r w:rsidR="00DC0880">
        <w:rPr>
          <w:lang w:val="en-CA"/>
        </w:rPr>
        <w:t>is</w:t>
      </w:r>
      <w:r w:rsidRPr="005F3286">
        <w:rPr>
          <w:lang w:val="en-CA"/>
        </w:rPr>
        <w:t xml:space="preserve"> punishable by less than 14</w:t>
      </w:r>
      <w:r w:rsidR="001725CC">
        <w:rPr>
          <w:lang w:val="en-CA"/>
        </w:rPr>
        <w:t> </w:t>
      </w:r>
      <w:r w:rsidRPr="005F3286">
        <w:rPr>
          <w:lang w:val="en-CA"/>
        </w:rPr>
        <w:t xml:space="preserve">years of imprisonment, the </w:t>
      </w:r>
      <w:r w:rsidRPr="005F3286">
        <w:rPr>
          <w:i/>
          <w:iCs/>
          <w:lang w:val="en-CA"/>
        </w:rPr>
        <w:t>CDSA</w:t>
      </w:r>
      <w:r w:rsidRPr="005F3286">
        <w:rPr>
          <w:lang w:val="en-CA"/>
        </w:rPr>
        <w:t xml:space="preserve"> offence punishable by imprisonment for more than 14 years.</w:t>
      </w:r>
    </w:p>
    <w:p w14:paraId="269C6C15" w14:textId="6ED6BFDF" w:rsidR="00955D30" w:rsidRPr="005F3286" w:rsidRDefault="00617A45" w:rsidP="00617A45">
      <w:pPr>
        <w:pStyle w:val="unquote"/>
        <w:rPr>
          <w:lang w:val="en-CA"/>
        </w:rPr>
      </w:pPr>
      <w:r w:rsidRPr="005F3286">
        <w:rPr>
          <w:lang w:val="en-CA"/>
        </w:rPr>
        <w:tab/>
        <w:t xml:space="preserve">The issue is not whether the </w:t>
      </w:r>
      <w:r w:rsidR="00955D30" w:rsidRPr="005F3286">
        <w:rPr>
          <w:lang w:val="en-CA"/>
        </w:rPr>
        <w:t>preliminary inquiry judge made the correct decision to discharge the accused on the seven other offences, but it is whether the preliminary inquiry judge had jurisdiction to inquire into the other offences which were on the Information, that is, the offences for which the maximum punishment was imprisonment for less than 14</w:t>
      </w:r>
      <w:r w:rsidR="00F07C9E">
        <w:rPr>
          <w:lang w:val="en-CA"/>
        </w:rPr>
        <w:t> </w:t>
      </w:r>
      <w:r w:rsidR="00955D30" w:rsidRPr="005F3286">
        <w:rPr>
          <w:lang w:val="en-CA"/>
        </w:rPr>
        <w:t xml:space="preserve">years. </w:t>
      </w:r>
    </w:p>
    <w:p w14:paraId="56214B9C" w14:textId="77777777" w:rsidR="0042029C" w:rsidRDefault="00955D30" w:rsidP="00617A45">
      <w:pPr>
        <w:pStyle w:val="unquote"/>
        <w:rPr>
          <w:lang w:val="en-CA"/>
        </w:rPr>
      </w:pPr>
      <w:r w:rsidRPr="005F3286">
        <w:rPr>
          <w:lang w:val="en-CA"/>
        </w:rPr>
        <w:tab/>
      </w:r>
      <w:proofErr w:type="gramStart"/>
      <w:r w:rsidRPr="005F3286">
        <w:rPr>
          <w:lang w:val="en-CA"/>
        </w:rPr>
        <w:t>For the reasons that</w:t>
      </w:r>
      <w:proofErr w:type="gramEnd"/>
      <w:r w:rsidRPr="005F3286">
        <w:rPr>
          <w:lang w:val="en-CA"/>
        </w:rPr>
        <w:t xml:space="preserve"> follow, I conclude that the preliminary inquiry judge did not have jurisdiction to inquire into those offences and he exceeded his jurisdiction by doing so.</w:t>
      </w:r>
      <w:r w:rsidR="0042029C">
        <w:rPr>
          <w:lang w:val="en-CA"/>
        </w:rPr>
        <w:t xml:space="preserve">  </w:t>
      </w:r>
    </w:p>
    <w:p w14:paraId="1C06FA72" w14:textId="2E844503" w:rsidR="00955D30" w:rsidRPr="005F3286" w:rsidRDefault="0042029C" w:rsidP="00617A45">
      <w:pPr>
        <w:pStyle w:val="unquote"/>
        <w:rPr>
          <w:lang w:val="en-CA"/>
        </w:rPr>
      </w:pPr>
      <w:r>
        <w:rPr>
          <w:lang w:val="en-CA"/>
        </w:rPr>
        <w:tab/>
      </w:r>
      <w:r w:rsidR="00955D30" w:rsidRPr="005F3286">
        <w:rPr>
          <w:lang w:val="en-CA"/>
        </w:rPr>
        <w:t xml:space="preserve">As mentioned, in 2019 the </w:t>
      </w:r>
      <w:r w:rsidR="00955D30" w:rsidRPr="0042029C">
        <w:rPr>
          <w:i/>
          <w:iCs/>
          <w:lang w:val="en-CA"/>
        </w:rPr>
        <w:t>Criminal Code</w:t>
      </w:r>
      <w:r w:rsidR="00955D30" w:rsidRPr="005F3286">
        <w:rPr>
          <w:lang w:val="en-CA"/>
        </w:rPr>
        <w:t xml:space="preserve"> was amended to restrict the availability of preliminary inquiries.  The relevant provisions of the </w:t>
      </w:r>
      <w:r w:rsidR="00955D30" w:rsidRPr="0042029C">
        <w:rPr>
          <w:i/>
          <w:iCs/>
          <w:lang w:val="en-CA"/>
        </w:rPr>
        <w:t>Criminal Code</w:t>
      </w:r>
      <w:r w:rsidR="00955D30" w:rsidRPr="005F3286">
        <w:rPr>
          <w:lang w:val="en-CA"/>
        </w:rPr>
        <w:t xml:space="preserve"> are section 535 of the </w:t>
      </w:r>
      <w:r w:rsidR="00955D30" w:rsidRPr="0042029C">
        <w:rPr>
          <w:i/>
          <w:iCs/>
          <w:lang w:val="en-CA"/>
        </w:rPr>
        <w:t>Criminal Code</w:t>
      </w:r>
      <w:r w:rsidR="00955D30" w:rsidRPr="005F3286">
        <w:rPr>
          <w:lang w:val="en-CA"/>
        </w:rPr>
        <w:t xml:space="preserve"> which now states:</w:t>
      </w:r>
    </w:p>
    <w:p w14:paraId="6385AD68" w14:textId="1A760E58" w:rsidR="00955D30" w:rsidRPr="005F3286" w:rsidRDefault="00955D30" w:rsidP="00955D30">
      <w:pPr>
        <w:pStyle w:val="Quote1"/>
        <w:rPr>
          <w:lang w:val="en-CA"/>
        </w:rPr>
      </w:pPr>
      <w:r w:rsidRPr="005F3286">
        <w:rPr>
          <w:lang w:val="en-CA"/>
        </w:rPr>
        <w:t>If an accused who is charged with an indictable offence that is punishable by 14 years or more of imprisonment is before a justice and a request has been made for a preliminary inquiry under subsection</w:t>
      </w:r>
      <w:r w:rsidR="001725CC">
        <w:rPr>
          <w:lang w:val="en-CA"/>
        </w:rPr>
        <w:t> </w:t>
      </w:r>
      <w:r w:rsidRPr="005F3286">
        <w:rPr>
          <w:lang w:val="en-CA"/>
        </w:rPr>
        <w:t xml:space="preserve">536(4) or 536.1(3), the justice shall in accordance with this </w:t>
      </w:r>
      <w:r w:rsidR="001725CC" w:rsidRPr="005F3286">
        <w:rPr>
          <w:lang w:val="en-CA"/>
        </w:rPr>
        <w:t xml:space="preserve">Part </w:t>
      </w:r>
      <w:r w:rsidRPr="005F3286">
        <w:rPr>
          <w:lang w:val="en-CA"/>
        </w:rPr>
        <w:t xml:space="preserve">inquire into the charge </w:t>
      </w:r>
      <w:r w:rsidRPr="005F3286">
        <w:rPr>
          <w:lang w:val="en-CA"/>
        </w:rPr>
        <w:lastRenderedPageBreak/>
        <w:t xml:space="preserve">and any other indictable offence in respect of the same transaction founded on the facts that are disclosed by the evidence taken in accordance with this </w:t>
      </w:r>
      <w:r w:rsidR="001725CC" w:rsidRPr="005F3286">
        <w:rPr>
          <w:lang w:val="en-CA"/>
        </w:rPr>
        <w:t>Part</w:t>
      </w:r>
      <w:r w:rsidRPr="005F3286">
        <w:rPr>
          <w:lang w:val="en-CA"/>
        </w:rPr>
        <w:t>.</w:t>
      </w:r>
    </w:p>
    <w:p w14:paraId="7C6C7B8D" w14:textId="317BB19C" w:rsidR="00617A45" w:rsidRPr="005F3286" w:rsidRDefault="00955D30" w:rsidP="00955D30">
      <w:pPr>
        <w:pStyle w:val="unquote"/>
        <w:rPr>
          <w:lang w:val="en-CA"/>
        </w:rPr>
      </w:pPr>
      <w:r w:rsidRPr="005F3286">
        <w:rPr>
          <w:lang w:val="en-CA"/>
        </w:rPr>
        <w:t xml:space="preserve">Section 536(4) of the </w:t>
      </w:r>
      <w:r w:rsidRPr="005F3286">
        <w:rPr>
          <w:i/>
          <w:iCs/>
          <w:lang w:val="en-CA"/>
        </w:rPr>
        <w:t>Criminal Code</w:t>
      </w:r>
      <w:r w:rsidRPr="005F3286">
        <w:rPr>
          <w:lang w:val="en-CA"/>
        </w:rPr>
        <w:t xml:space="preserve"> states in part:</w:t>
      </w:r>
    </w:p>
    <w:p w14:paraId="5A6A863C" w14:textId="191E273A" w:rsidR="00955D30" w:rsidRPr="005F3286" w:rsidRDefault="00955D30" w:rsidP="00955D30">
      <w:pPr>
        <w:pStyle w:val="Quote1"/>
        <w:rPr>
          <w:lang w:val="en-CA"/>
        </w:rPr>
      </w:pPr>
      <w:r w:rsidRPr="005F3286">
        <w:rPr>
          <w:lang w:val="en-CA"/>
        </w:rPr>
        <w:t>If an accused referred to in subsection (2) elects to be tried by a judge without a jury or by a court composed of a judge and jury, the justice shall on the request of the accused or the prosecutor hold a preliminary inquiry into the charge.</w:t>
      </w:r>
    </w:p>
    <w:p w14:paraId="77E66D15" w14:textId="77777777" w:rsidR="00EC1084" w:rsidRDefault="00955D30" w:rsidP="00955D30">
      <w:pPr>
        <w:pStyle w:val="unquote"/>
        <w:rPr>
          <w:lang w:val="en-CA"/>
        </w:rPr>
      </w:pPr>
      <w:r w:rsidRPr="005F3286">
        <w:rPr>
          <w:lang w:val="en-CA"/>
        </w:rPr>
        <w:t xml:space="preserve">Under section 548(1) of the </w:t>
      </w:r>
      <w:r w:rsidRPr="005F3286">
        <w:rPr>
          <w:i/>
          <w:iCs/>
          <w:lang w:val="en-CA"/>
        </w:rPr>
        <w:t>Criminal Code</w:t>
      </w:r>
      <w:r w:rsidRPr="005F3286">
        <w:rPr>
          <w:lang w:val="en-CA"/>
        </w:rPr>
        <w:t xml:space="preserve"> when </w:t>
      </w:r>
      <w:proofErr w:type="gramStart"/>
      <w:r w:rsidRPr="005F3286">
        <w:rPr>
          <w:lang w:val="en-CA"/>
        </w:rPr>
        <w:t>all of</w:t>
      </w:r>
      <w:proofErr w:type="gramEnd"/>
      <w:r w:rsidRPr="005F3286">
        <w:rPr>
          <w:lang w:val="en-CA"/>
        </w:rPr>
        <w:t xml:space="preserve"> the evidence has been taken, the judge shall either</w:t>
      </w:r>
      <w:r w:rsidR="00EC1084">
        <w:rPr>
          <w:lang w:val="en-CA"/>
        </w:rPr>
        <w:t>:</w:t>
      </w:r>
    </w:p>
    <w:p w14:paraId="7E088B12" w14:textId="77777777" w:rsidR="00EC1084" w:rsidRDefault="00955D30" w:rsidP="00406DD4">
      <w:pPr>
        <w:pStyle w:val="unquote"/>
        <w:numPr>
          <w:ilvl w:val="0"/>
          <w:numId w:val="26"/>
        </w:numPr>
        <w:ind w:left="1980" w:hanging="540"/>
        <w:rPr>
          <w:lang w:val="en-CA"/>
        </w:rPr>
      </w:pPr>
      <w:r w:rsidRPr="005F3286">
        <w:rPr>
          <w:lang w:val="en-CA"/>
        </w:rPr>
        <w:t xml:space="preserve">if in his opinion there is sufficient evidence to put the accused on trial for the offence charged or any other indictable offence in respect of the same transaction order the accused to stand trial or </w:t>
      </w:r>
    </w:p>
    <w:p w14:paraId="7F190888" w14:textId="1F486D1A" w:rsidR="00955D30" w:rsidRPr="005F3286" w:rsidRDefault="00955D30" w:rsidP="00406DD4">
      <w:pPr>
        <w:pStyle w:val="unquote"/>
        <w:numPr>
          <w:ilvl w:val="0"/>
          <w:numId w:val="26"/>
        </w:numPr>
        <w:ind w:left="1980" w:hanging="540"/>
        <w:rPr>
          <w:lang w:val="en-CA"/>
        </w:rPr>
      </w:pPr>
      <w:r w:rsidRPr="005F3286">
        <w:rPr>
          <w:lang w:val="en-CA"/>
        </w:rPr>
        <w:t>discharge the accused if in his opinion on the whole of the evidence, no sufficient case is made out to put the accused on trial for the offence charged or any other indictable offence in respect of the same transaction.</w:t>
      </w:r>
    </w:p>
    <w:p w14:paraId="2C16F0B5" w14:textId="77777777" w:rsidR="00EC1084" w:rsidRDefault="00955D30" w:rsidP="00955D30">
      <w:pPr>
        <w:pStyle w:val="unquote"/>
        <w:rPr>
          <w:lang w:val="en-CA"/>
        </w:rPr>
      </w:pPr>
      <w:r w:rsidRPr="005F3286">
        <w:rPr>
          <w:lang w:val="en-CA"/>
        </w:rPr>
        <w:tab/>
        <w:t xml:space="preserve">If there is sufficient evidence to put the accused on trial, the preliminary inquiry judge must commit the accused to stand trial.  At a preliminary inquiry the Crown must present some evidence against the accused on every essential element of the offence </w:t>
      </w:r>
      <w:proofErr w:type="gramStart"/>
      <w:r w:rsidRPr="005F3286">
        <w:rPr>
          <w:lang w:val="en-CA"/>
        </w:rPr>
        <w:t>in order for</w:t>
      </w:r>
      <w:proofErr w:type="gramEnd"/>
      <w:r w:rsidRPr="005F3286">
        <w:rPr>
          <w:lang w:val="en-CA"/>
        </w:rPr>
        <w:t xml:space="preserve"> the accused to be committed to stand trial.  </w:t>
      </w:r>
    </w:p>
    <w:p w14:paraId="5D863C73" w14:textId="7328CDE0" w:rsidR="00955D30" w:rsidRPr="005F3286" w:rsidRDefault="00EC1084" w:rsidP="00955D30">
      <w:pPr>
        <w:pStyle w:val="unquote"/>
        <w:rPr>
          <w:lang w:val="en-CA"/>
        </w:rPr>
      </w:pPr>
      <w:r>
        <w:rPr>
          <w:lang w:val="en-CA"/>
        </w:rPr>
        <w:lastRenderedPageBreak/>
        <w:tab/>
      </w:r>
      <w:r w:rsidR="00955D30" w:rsidRPr="005F3286">
        <w:rPr>
          <w:lang w:val="en-CA"/>
        </w:rPr>
        <w:t xml:space="preserve">The preliminary inquiry serves as a screening purpose to ensure that there is sufficient evidence to commit the accused to stand trial.  It also allows the accused to discover the Crown’s case and to assess the nature and strength of the Crown’s case, but it is not meant to decide the accused’s guilt or innocence.  </w:t>
      </w:r>
      <w:r w:rsidR="00955D30" w:rsidRPr="005F3286">
        <w:rPr>
          <w:i/>
          <w:iCs/>
          <w:lang w:val="en-CA"/>
        </w:rPr>
        <w:t>R v Russell</w:t>
      </w:r>
      <w:r w:rsidR="00955D30" w:rsidRPr="005F3286">
        <w:rPr>
          <w:lang w:val="en-CA"/>
        </w:rPr>
        <w:t>, 2001 SCC 53 at paragraph</w:t>
      </w:r>
      <w:r>
        <w:rPr>
          <w:lang w:val="en-CA"/>
        </w:rPr>
        <w:t> </w:t>
      </w:r>
      <w:r w:rsidR="00955D30" w:rsidRPr="005F3286">
        <w:rPr>
          <w:lang w:val="en-CA"/>
        </w:rPr>
        <w:t xml:space="preserve">20.  </w:t>
      </w:r>
    </w:p>
    <w:p w14:paraId="402B3E48" w14:textId="5CAB16A0" w:rsidR="00955D30" w:rsidRPr="005F3286" w:rsidRDefault="00955D30" w:rsidP="00955D30">
      <w:pPr>
        <w:pStyle w:val="unquote"/>
        <w:rPr>
          <w:lang w:val="en-CA"/>
        </w:rPr>
      </w:pPr>
      <w:r w:rsidRPr="005F3286">
        <w:rPr>
          <w:lang w:val="en-CA"/>
        </w:rPr>
        <w:tab/>
        <w:t xml:space="preserve">A preliminary inquiry is a process conducted by a statutory court that can only exercise the power that has been </w:t>
      </w:r>
      <w:r w:rsidR="00457909" w:rsidRPr="005F3286">
        <w:rPr>
          <w:lang w:val="en-CA"/>
        </w:rPr>
        <w:t xml:space="preserve">granted by the </w:t>
      </w:r>
      <w:r w:rsidR="00457909" w:rsidRPr="005F3286">
        <w:rPr>
          <w:i/>
          <w:iCs/>
          <w:lang w:val="en-CA"/>
        </w:rPr>
        <w:t>Criminal Code</w:t>
      </w:r>
      <w:r w:rsidR="00457909" w:rsidRPr="005F3286">
        <w:rPr>
          <w:lang w:val="en-CA"/>
        </w:rPr>
        <w:t xml:space="preserve">.  There is no constitutional or stand-alone right to a preliminary inquiry.  </w:t>
      </w:r>
      <w:r w:rsidR="00457909" w:rsidRPr="005F3286">
        <w:rPr>
          <w:i/>
          <w:iCs/>
          <w:lang w:val="en-CA"/>
        </w:rPr>
        <w:t>R v R.S.</w:t>
      </w:r>
      <w:r w:rsidR="00457909" w:rsidRPr="005F3286">
        <w:rPr>
          <w:lang w:val="en-CA"/>
        </w:rPr>
        <w:t>, 2019 ONCA 906 at paragraphs</w:t>
      </w:r>
      <w:r w:rsidR="00F07C9E">
        <w:rPr>
          <w:lang w:val="en-CA"/>
        </w:rPr>
        <w:t> </w:t>
      </w:r>
      <w:r w:rsidR="00457909" w:rsidRPr="005F3286">
        <w:rPr>
          <w:lang w:val="en-CA"/>
        </w:rPr>
        <w:t xml:space="preserve">48 to 50.  </w:t>
      </w:r>
    </w:p>
    <w:p w14:paraId="3F625D09" w14:textId="5DCA35C7" w:rsidR="00457909" w:rsidRPr="005F3286" w:rsidRDefault="00457909" w:rsidP="00955D30">
      <w:pPr>
        <w:pStyle w:val="unquote"/>
        <w:rPr>
          <w:lang w:val="en-CA"/>
        </w:rPr>
      </w:pPr>
      <w:r w:rsidRPr="005F3286">
        <w:rPr>
          <w:lang w:val="en-CA"/>
        </w:rPr>
        <w:tab/>
        <w:t xml:space="preserve">With respect to preliminary inquiries in </w:t>
      </w:r>
      <w:r w:rsidRPr="005F3286">
        <w:rPr>
          <w:i/>
          <w:iCs/>
          <w:lang w:val="en-CA"/>
        </w:rPr>
        <w:t>R</w:t>
      </w:r>
      <w:r w:rsidR="00F07C9E">
        <w:rPr>
          <w:i/>
          <w:iCs/>
          <w:lang w:val="en-CA"/>
        </w:rPr>
        <w:t> </w:t>
      </w:r>
      <w:r w:rsidRPr="005F3286">
        <w:rPr>
          <w:i/>
          <w:iCs/>
          <w:lang w:val="en-CA"/>
        </w:rPr>
        <w:t xml:space="preserve">v </w:t>
      </w:r>
      <w:proofErr w:type="spellStart"/>
      <w:r w:rsidRPr="005F3286">
        <w:rPr>
          <w:i/>
          <w:iCs/>
          <w:lang w:val="en-CA"/>
        </w:rPr>
        <w:t>Sazant</w:t>
      </w:r>
      <w:proofErr w:type="spellEnd"/>
      <w:r w:rsidRPr="005F3286">
        <w:rPr>
          <w:lang w:val="en-CA"/>
        </w:rPr>
        <w:t xml:space="preserve">, 2004 SCC 77, the Supreme Court of Canada considered the application of </w:t>
      </w:r>
      <w:r w:rsidRPr="005F3286">
        <w:rPr>
          <w:i/>
          <w:iCs/>
          <w:lang w:val="en-CA"/>
        </w:rPr>
        <w:t>certiorari</w:t>
      </w:r>
      <w:r w:rsidRPr="005F3286">
        <w:rPr>
          <w:lang w:val="en-CA"/>
        </w:rPr>
        <w:t xml:space="preserve"> in the context of preliminary inquiries</w:t>
      </w:r>
      <w:r w:rsidR="009C3E8C">
        <w:rPr>
          <w:lang w:val="en-CA"/>
        </w:rPr>
        <w:t>,</w:t>
      </w:r>
      <w:r w:rsidRPr="005F3286">
        <w:rPr>
          <w:lang w:val="en-CA"/>
        </w:rPr>
        <w:t xml:space="preserve"> stating at paragraph</w:t>
      </w:r>
      <w:r w:rsidR="00F07C9E">
        <w:rPr>
          <w:lang w:val="en-CA"/>
        </w:rPr>
        <w:t> </w:t>
      </w:r>
      <w:r w:rsidRPr="005F3286">
        <w:rPr>
          <w:lang w:val="en-CA"/>
        </w:rPr>
        <w:t>14:</w:t>
      </w:r>
    </w:p>
    <w:p w14:paraId="3534A717" w14:textId="77777777" w:rsidR="009C3E8C" w:rsidRDefault="00457909" w:rsidP="00457909">
      <w:pPr>
        <w:pStyle w:val="Quote1"/>
        <w:rPr>
          <w:lang w:val="en-US"/>
        </w:rPr>
      </w:pPr>
      <w:r w:rsidRPr="005F3286">
        <w:rPr>
          <w:lang w:val="en-US"/>
        </w:rPr>
        <w:t xml:space="preserve">The purpose of the preliminary inquiry is to ensure that there is sufficient evidence to commit the accused to trial.  The preliminary inquiry is therefore a pretrial screening procedure that also serves as a discovery mechanism to the accused.  Guilt or innocence is determined at trial.  </w:t>
      </w:r>
    </w:p>
    <w:p w14:paraId="4343B128" w14:textId="2D201AAE" w:rsidR="00457909" w:rsidRPr="005F3286" w:rsidRDefault="009C3E8C" w:rsidP="00457909">
      <w:pPr>
        <w:pStyle w:val="Quote1"/>
        <w:rPr>
          <w:lang w:val="en-US"/>
        </w:rPr>
      </w:pPr>
      <w:r>
        <w:rPr>
          <w:lang w:val="en-US"/>
        </w:rPr>
        <w:tab/>
      </w:r>
      <w:r w:rsidR="00457909" w:rsidRPr="005F3286">
        <w:rPr>
          <w:lang w:val="en-US"/>
        </w:rPr>
        <w:t xml:space="preserve">The preliminary inquiry judge’s decision to discharge or commit the accused to trial cannot be appealed.  While the decision can be </w:t>
      </w:r>
      <w:r w:rsidR="00457909" w:rsidRPr="005F3286">
        <w:rPr>
          <w:lang w:val="en-US"/>
        </w:rPr>
        <w:lastRenderedPageBreak/>
        <w:t>challenged by way of </w:t>
      </w:r>
      <w:r w:rsidR="00457909" w:rsidRPr="005F3286">
        <w:rPr>
          <w:i/>
          <w:iCs/>
          <w:lang w:val="en-US"/>
        </w:rPr>
        <w:t>certiorari</w:t>
      </w:r>
      <w:r w:rsidR="00457909" w:rsidRPr="005F3286">
        <w:rPr>
          <w:lang w:val="en-US"/>
        </w:rPr>
        <w:t>, the reviewing court should only intervene where the preliminary inquiry judge committed a jurisdictional error.</w:t>
      </w:r>
    </w:p>
    <w:p w14:paraId="69E1E7BC" w14:textId="11CA678F" w:rsidR="00457909" w:rsidRPr="005F3286" w:rsidRDefault="0049286D" w:rsidP="00457909">
      <w:pPr>
        <w:pStyle w:val="unquote"/>
        <w:rPr>
          <w:lang w:val="en-CA"/>
        </w:rPr>
      </w:pPr>
      <w:r w:rsidRPr="005F3286">
        <w:rPr>
          <w:lang w:val="en-CA"/>
        </w:rPr>
        <w:t xml:space="preserve">The scope of review on </w:t>
      </w:r>
      <w:r w:rsidRPr="005F3286">
        <w:rPr>
          <w:i/>
          <w:iCs/>
          <w:lang w:val="en-CA"/>
        </w:rPr>
        <w:t>certiorari</w:t>
      </w:r>
      <w:r w:rsidRPr="005F3286">
        <w:rPr>
          <w:lang w:val="en-CA"/>
        </w:rPr>
        <w:t xml:space="preserve"> is limited and is mainly limited to jurisdictional review by a superior court.  </w:t>
      </w:r>
      <w:r w:rsidRPr="005F3286">
        <w:rPr>
          <w:i/>
          <w:iCs/>
          <w:lang w:val="en-CA"/>
        </w:rPr>
        <w:t>Certiorari</w:t>
      </w:r>
      <w:r w:rsidRPr="005F3286">
        <w:rPr>
          <w:lang w:val="en-CA"/>
        </w:rPr>
        <w:t xml:space="preserve"> permits review only where a lower court or tribunal has acted </w:t>
      </w:r>
      <w:proofErr w:type="gramStart"/>
      <w:r w:rsidRPr="005F3286">
        <w:rPr>
          <w:lang w:val="en-CA"/>
        </w:rPr>
        <w:t>in excess of</w:t>
      </w:r>
      <w:proofErr w:type="gramEnd"/>
      <w:r w:rsidRPr="005F3286">
        <w:rPr>
          <w:lang w:val="en-CA"/>
        </w:rPr>
        <w:t xml:space="preserve"> its statutory jurisdiction.  </w:t>
      </w:r>
      <w:r w:rsidRPr="005F3286">
        <w:rPr>
          <w:i/>
          <w:iCs/>
          <w:lang w:val="en-CA"/>
        </w:rPr>
        <w:t>Russell</w:t>
      </w:r>
      <w:r w:rsidRPr="005F3286">
        <w:rPr>
          <w:lang w:val="en-CA"/>
        </w:rPr>
        <w:t xml:space="preserve"> at paragraph</w:t>
      </w:r>
      <w:r w:rsidR="00F07C9E">
        <w:rPr>
          <w:lang w:val="en-CA"/>
        </w:rPr>
        <w:t> </w:t>
      </w:r>
      <w:r w:rsidRPr="005F3286">
        <w:rPr>
          <w:lang w:val="en-CA"/>
        </w:rPr>
        <w:t xml:space="preserve">19.  </w:t>
      </w:r>
    </w:p>
    <w:p w14:paraId="1B23D488" w14:textId="2053D9E6" w:rsidR="0049286D" w:rsidRPr="005F3286" w:rsidRDefault="0049286D" w:rsidP="00457909">
      <w:pPr>
        <w:pStyle w:val="unquote"/>
        <w:rPr>
          <w:lang w:val="en-CA"/>
        </w:rPr>
      </w:pPr>
      <w:r w:rsidRPr="005F3286">
        <w:rPr>
          <w:lang w:val="en-CA"/>
        </w:rPr>
        <w:tab/>
        <w:t xml:space="preserve">The availability and scope of a preliminary inquiry is determined by the wording of the relevant provisions of the </w:t>
      </w:r>
      <w:r w:rsidRPr="005F3286">
        <w:rPr>
          <w:i/>
          <w:iCs/>
          <w:lang w:val="en-CA"/>
        </w:rPr>
        <w:t>Criminal Code</w:t>
      </w:r>
      <w:r w:rsidRPr="005F3286">
        <w:rPr>
          <w:lang w:val="en-CA"/>
        </w:rPr>
        <w:t xml:space="preserve">.  On a review of the wording of section 535, </w:t>
      </w:r>
      <w:proofErr w:type="gramStart"/>
      <w:r w:rsidRPr="005F3286">
        <w:rPr>
          <w:lang w:val="en-CA"/>
        </w:rPr>
        <w:t>it is clear that a</w:t>
      </w:r>
      <w:proofErr w:type="gramEnd"/>
      <w:r w:rsidRPr="005F3286">
        <w:rPr>
          <w:lang w:val="en-CA"/>
        </w:rPr>
        <w:t xml:space="preserve"> prerequisite to requesting a preliminary inquiry is that the accused be:</w:t>
      </w:r>
    </w:p>
    <w:p w14:paraId="2E3F1651" w14:textId="69543566" w:rsidR="0049286D" w:rsidRPr="005F3286" w:rsidRDefault="0049286D" w:rsidP="0049286D">
      <w:pPr>
        <w:pStyle w:val="Quote1"/>
        <w:rPr>
          <w:lang w:val="en-CA"/>
        </w:rPr>
      </w:pPr>
      <w:r w:rsidRPr="005F3286">
        <w:rPr>
          <w:lang w:val="en-CA"/>
        </w:rPr>
        <w:t>Charged with an indictable offence that is punishable by 14 years or more of imprisonment.</w:t>
      </w:r>
    </w:p>
    <w:p w14:paraId="589CDB24" w14:textId="4BE2A2CC" w:rsidR="0049286D" w:rsidRPr="005F3286" w:rsidRDefault="0049286D" w:rsidP="0049286D">
      <w:pPr>
        <w:pStyle w:val="unquote"/>
        <w:rPr>
          <w:lang w:val="en-CA"/>
        </w:rPr>
      </w:pPr>
      <w:r w:rsidRPr="005F3286">
        <w:rPr>
          <w:lang w:val="en-CA"/>
        </w:rPr>
        <w:t xml:space="preserve">An accused person who is charged with an indictable offence that is not punishable by 14 years or more of imprisonment is not entitled to request a preliminary inquiry.  That is apparent on a plain reading of this section and is something that has been confirmed by </w:t>
      </w:r>
      <w:proofErr w:type="gramStart"/>
      <w:r w:rsidRPr="005F3286">
        <w:rPr>
          <w:lang w:val="en-CA"/>
        </w:rPr>
        <w:t>a number of</w:t>
      </w:r>
      <w:proofErr w:type="gramEnd"/>
      <w:r w:rsidRPr="005F3286">
        <w:rPr>
          <w:lang w:val="en-CA"/>
        </w:rPr>
        <w:t xml:space="preserve"> courts across Canada since the amendments to the </w:t>
      </w:r>
      <w:r w:rsidRPr="005F3286">
        <w:rPr>
          <w:i/>
          <w:iCs/>
          <w:lang w:val="en-CA"/>
        </w:rPr>
        <w:t>Criminal Code</w:t>
      </w:r>
      <w:r w:rsidRPr="005F3286">
        <w:rPr>
          <w:lang w:val="en-CA"/>
        </w:rPr>
        <w:t>.  See</w:t>
      </w:r>
      <w:r w:rsidR="00535751">
        <w:rPr>
          <w:lang w:val="en-CA"/>
        </w:rPr>
        <w:t>,</w:t>
      </w:r>
      <w:r w:rsidRPr="005F3286">
        <w:rPr>
          <w:lang w:val="en-CA"/>
        </w:rPr>
        <w:t xml:space="preserve"> for example</w:t>
      </w:r>
      <w:r w:rsidR="00535751">
        <w:rPr>
          <w:lang w:val="en-CA"/>
        </w:rPr>
        <w:t>,</w:t>
      </w:r>
      <w:r w:rsidRPr="005F3286">
        <w:rPr>
          <w:lang w:val="en-CA"/>
        </w:rPr>
        <w:t xml:space="preserve"> </w:t>
      </w:r>
      <w:r w:rsidRPr="005F3286">
        <w:rPr>
          <w:i/>
          <w:iCs/>
          <w:lang w:val="en-CA"/>
        </w:rPr>
        <w:t>R v C.T.B</w:t>
      </w:r>
      <w:r w:rsidRPr="005F3286">
        <w:rPr>
          <w:lang w:val="en-CA"/>
        </w:rPr>
        <w:t xml:space="preserve">., 2021 NSCA 58 </w:t>
      </w:r>
      <w:r w:rsidR="0072528C">
        <w:rPr>
          <w:lang w:val="en-CA"/>
        </w:rPr>
        <w:t>and</w:t>
      </w:r>
      <w:r w:rsidRPr="005F3286">
        <w:rPr>
          <w:lang w:val="en-CA"/>
        </w:rPr>
        <w:t xml:space="preserve"> </w:t>
      </w:r>
      <w:r w:rsidRPr="005F3286">
        <w:rPr>
          <w:i/>
          <w:iCs/>
          <w:lang w:val="en-CA"/>
        </w:rPr>
        <w:t>R.S.</w:t>
      </w:r>
      <w:r w:rsidRPr="005F3286">
        <w:rPr>
          <w:lang w:val="en-CA"/>
        </w:rPr>
        <w:t xml:space="preserve"> at paragraph</w:t>
      </w:r>
      <w:r w:rsidR="00F07C9E">
        <w:rPr>
          <w:lang w:val="en-CA"/>
        </w:rPr>
        <w:t> </w:t>
      </w:r>
      <w:r w:rsidRPr="005F3286">
        <w:rPr>
          <w:lang w:val="en-CA"/>
        </w:rPr>
        <w:t xml:space="preserve">14.  </w:t>
      </w:r>
    </w:p>
    <w:p w14:paraId="37CA1C75" w14:textId="0F31FD29" w:rsidR="0049286D" w:rsidRPr="005F3286" w:rsidRDefault="0049286D" w:rsidP="0049286D">
      <w:pPr>
        <w:pStyle w:val="unquote"/>
        <w:rPr>
          <w:lang w:val="en-CA"/>
        </w:rPr>
      </w:pPr>
      <w:r w:rsidRPr="005F3286">
        <w:rPr>
          <w:lang w:val="en-CA"/>
        </w:rPr>
        <w:tab/>
        <w:t xml:space="preserve">The legislative amendments with respect </w:t>
      </w:r>
      <w:r w:rsidRPr="005F3286">
        <w:rPr>
          <w:lang w:val="en-CA"/>
        </w:rPr>
        <w:lastRenderedPageBreak/>
        <w:t xml:space="preserve">to preliminary inquiries have been considered by </w:t>
      </w:r>
      <w:proofErr w:type="gramStart"/>
      <w:r w:rsidRPr="005F3286">
        <w:rPr>
          <w:lang w:val="en-CA"/>
        </w:rPr>
        <w:t>a number of</w:t>
      </w:r>
      <w:proofErr w:type="gramEnd"/>
      <w:r w:rsidRPr="005F3286">
        <w:rPr>
          <w:lang w:val="en-CA"/>
        </w:rPr>
        <w:t xml:space="preserve"> courts in a variety of factual circumstances.  In this case the accused has been charged with multiple offences on the same Information, one of which is eligible for a preliminary inquiry, as it is an offence for which the maximum punishment is 14</w:t>
      </w:r>
      <w:r w:rsidR="0072528C">
        <w:rPr>
          <w:lang w:val="en-CA"/>
        </w:rPr>
        <w:t> </w:t>
      </w:r>
      <w:r w:rsidRPr="005F3286">
        <w:rPr>
          <w:lang w:val="en-CA"/>
        </w:rPr>
        <w:t>years or more</w:t>
      </w:r>
      <w:r w:rsidR="00535751">
        <w:rPr>
          <w:lang w:val="en-CA"/>
        </w:rPr>
        <w:t>,</w:t>
      </w:r>
      <w:r w:rsidRPr="005F3286">
        <w:rPr>
          <w:lang w:val="en-CA"/>
        </w:rPr>
        <w:t xml:space="preserve"> and there </w:t>
      </w:r>
      <w:r w:rsidR="0072528C">
        <w:rPr>
          <w:lang w:val="en-CA"/>
        </w:rPr>
        <w:t>are</w:t>
      </w:r>
      <w:r w:rsidRPr="005F3286">
        <w:rPr>
          <w:lang w:val="en-CA"/>
        </w:rPr>
        <w:t xml:space="preserve"> also seven offences</w:t>
      </w:r>
      <w:r w:rsidR="00535751">
        <w:rPr>
          <w:lang w:val="en-CA"/>
        </w:rPr>
        <w:t>,</w:t>
      </w:r>
      <w:r w:rsidRPr="005F3286">
        <w:rPr>
          <w:lang w:val="en-CA"/>
        </w:rPr>
        <w:t xml:space="preserve"> which are not eligible for a preliminary inquiry because their maximum punishment is not 14 years imprisonment or more.</w:t>
      </w:r>
    </w:p>
    <w:p w14:paraId="66B1B5A0" w14:textId="29C69457" w:rsidR="0049286D" w:rsidRPr="005F3286" w:rsidRDefault="0049286D" w:rsidP="0049286D">
      <w:pPr>
        <w:pStyle w:val="unquote"/>
        <w:rPr>
          <w:lang w:val="en-CA"/>
        </w:rPr>
      </w:pPr>
      <w:r w:rsidRPr="005F3286">
        <w:rPr>
          <w:lang w:val="en-CA"/>
        </w:rPr>
        <w:tab/>
        <w:t xml:space="preserve">This is the same issue that was faced in </w:t>
      </w:r>
      <w:r w:rsidRPr="005F3286">
        <w:rPr>
          <w:i/>
          <w:iCs/>
          <w:lang w:val="en-CA"/>
        </w:rPr>
        <w:t>R v Davis</w:t>
      </w:r>
      <w:r w:rsidRPr="005F3286">
        <w:rPr>
          <w:lang w:val="en-CA"/>
        </w:rPr>
        <w:t>, 2019 ONCJ 679 where the accused was charged with 16 offences pursuant</w:t>
      </w:r>
      <w:r w:rsidR="0072528C">
        <w:rPr>
          <w:lang w:val="en-CA"/>
        </w:rPr>
        <w:t xml:space="preserve"> to</w:t>
      </w:r>
      <w:r w:rsidRPr="005F3286">
        <w:rPr>
          <w:lang w:val="en-CA"/>
        </w:rPr>
        <w:t xml:space="preserve"> both the </w:t>
      </w:r>
      <w:r w:rsidRPr="005F3286">
        <w:rPr>
          <w:i/>
          <w:iCs/>
          <w:lang w:val="en-CA"/>
        </w:rPr>
        <w:t xml:space="preserve">Criminal Code </w:t>
      </w:r>
      <w:r w:rsidRPr="005F3286">
        <w:rPr>
          <w:lang w:val="en-CA"/>
        </w:rPr>
        <w:t xml:space="preserve">and the </w:t>
      </w:r>
      <w:r w:rsidRPr="005F3286">
        <w:rPr>
          <w:i/>
          <w:iCs/>
          <w:lang w:val="en-CA"/>
        </w:rPr>
        <w:t>CDSA</w:t>
      </w:r>
      <w:r w:rsidRPr="005F3286">
        <w:rPr>
          <w:lang w:val="en-CA"/>
        </w:rPr>
        <w:t xml:space="preserve">.  Four of those offences had a maximum punishment of 14 years or more, while the remaining 12 counts had a maximum punishment of less than 14 years.  </w:t>
      </w:r>
    </w:p>
    <w:p w14:paraId="054A63AC" w14:textId="4EAD0E58" w:rsidR="0049286D" w:rsidRPr="005F3286" w:rsidRDefault="0049286D" w:rsidP="0049286D">
      <w:pPr>
        <w:pStyle w:val="unquote"/>
        <w:rPr>
          <w:lang w:val="en-CA"/>
        </w:rPr>
      </w:pPr>
      <w:r w:rsidRPr="005F3286">
        <w:rPr>
          <w:lang w:val="en-CA"/>
        </w:rPr>
        <w:tab/>
        <w:t xml:space="preserve">In </w:t>
      </w:r>
      <w:r w:rsidRPr="00535751">
        <w:rPr>
          <w:i/>
          <w:iCs/>
          <w:lang w:val="en-CA"/>
        </w:rPr>
        <w:t>Davis</w:t>
      </w:r>
      <w:r w:rsidRPr="005F3286">
        <w:rPr>
          <w:lang w:val="en-CA"/>
        </w:rPr>
        <w:t xml:space="preserve"> the Court held that “the charge” referred to in section 536(4) referred to the charge in subsection</w:t>
      </w:r>
      <w:r w:rsidR="0072528C">
        <w:rPr>
          <w:lang w:val="en-CA"/>
        </w:rPr>
        <w:t> </w:t>
      </w:r>
      <w:r w:rsidRPr="005F3286">
        <w:rPr>
          <w:lang w:val="en-CA"/>
        </w:rPr>
        <w:t>(2), namely</w:t>
      </w:r>
      <w:r w:rsidR="00535751">
        <w:rPr>
          <w:lang w:val="en-CA"/>
        </w:rPr>
        <w:t>,</w:t>
      </w:r>
      <w:r w:rsidRPr="005F3286">
        <w:rPr>
          <w:lang w:val="en-CA"/>
        </w:rPr>
        <w:t xml:space="preserve"> an indictable offence punishable by 14</w:t>
      </w:r>
      <w:r w:rsidR="0072528C">
        <w:rPr>
          <w:lang w:val="en-CA"/>
        </w:rPr>
        <w:t> </w:t>
      </w:r>
      <w:r w:rsidRPr="005F3286">
        <w:rPr>
          <w:lang w:val="en-CA"/>
        </w:rPr>
        <w:t>years or more and at section</w:t>
      </w:r>
      <w:r w:rsidR="0072528C">
        <w:rPr>
          <w:lang w:val="en-CA"/>
        </w:rPr>
        <w:t> </w:t>
      </w:r>
      <w:r w:rsidRPr="005F3286">
        <w:rPr>
          <w:lang w:val="en-CA"/>
        </w:rPr>
        <w:t>536(4) did not refer to an inquiry into the Information as a whole.  This supported an interpretation where the preliminary inquiry is restricted to offences which are punishable by imprisonment of 14</w:t>
      </w:r>
      <w:r w:rsidR="00F07C9E">
        <w:rPr>
          <w:lang w:val="en-CA"/>
        </w:rPr>
        <w:t> </w:t>
      </w:r>
      <w:r w:rsidRPr="005F3286">
        <w:rPr>
          <w:lang w:val="en-CA"/>
        </w:rPr>
        <w:t>years or more.</w:t>
      </w:r>
    </w:p>
    <w:p w14:paraId="556614D7" w14:textId="77777777" w:rsidR="00F313E0" w:rsidRPr="005F3286" w:rsidRDefault="0049286D" w:rsidP="0049286D">
      <w:pPr>
        <w:pStyle w:val="unquote"/>
        <w:rPr>
          <w:lang w:val="en-CA"/>
        </w:rPr>
      </w:pPr>
      <w:r w:rsidRPr="005F3286">
        <w:rPr>
          <w:lang w:val="en-CA"/>
        </w:rPr>
        <w:tab/>
        <w:t>I agree that a plain reading of section</w:t>
      </w:r>
      <w:r w:rsidR="00F313E0" w:rsidRPr="005F3286">
        <w:rPr>
          <w:lang w:val="en-CA"/>
        </w:rPr>
        <w:t> </w:t>
      </w:r>
      <w:r w:rsidRPr="005F3286">
        <w:rPr>
          <w:lang w:val="en-CA"/>
        </w:rPr>
        <w:t xml:space="preserve">536(4) requires a judge to hold a preliminary </w:t>
      </w:r>
      <w:r w:rsidRPr="005F3286">
        <w:rPr>
          <w:lang w:val="en-CA"/>
        </w:rPr>
        <w:lastRenderedPageBreak/>
        <w:t xml:space="preserve">inquiry into the charge which is an indictable offence punishable by 14 years or more imprisonment.  That </w:t>
      </w:r>
    </w:p>
    <w:p w14:paraId="7D7DE882" w14:textId="58091304" w:rsidR="0049286D" w:rsidRPr="005F3286" w:rsidRDefault="0049286D" w:rsidP="0049286D">
      <w:pPr>
        <w:pStyle w:val="unquote"/>
        <w:rPr>
          <w:lang w:val="en-CA"/>
        </w:rPr>
      </w:pPr>
      <w:r w:rsidRPr="005F3286">
        <w:rPr>
          <w:lang w:val="en-CA"/>
        </w:rPr>
        <w:t xml:space="preserve">is not </w:t>
      </w:r>
      <w:r w:rsidR="0072528C">
        <w:rPr>
          <w:lang w:val="en-CA"/>
        </w:rPr>
        <w:t>i</w:t>
      </w:r>
      <w:r w:rsidRPr="005F3286">
        <w:rPr>
          <w:lang w:val="en-CA"/>
        </w:rPr>
        <w:t xml:space="preserve">n issue </w:t>
      </w:r>
      <w:r w:rsidR="00F313E0" w:rsidRPr="005F3286">
        <w:rPr>
          <w:lang w:val="en-CA"/>
        </w:rPr>
        <w:t xml:space="preserve">here; the issue is the scope of that inquiry.  </w:t>
      </w:r>
    </w:p>
    <w:p w14:paraId="4505A755" w14:textId="45B66C60" w:rsidR="00F313E0" w:rsidRPr="005F3286" w:rsidRDefault="00F313E0" w:rsidP="0049286D">
      <w:pPr>
        <w:pStyle w:val="unquote"/>
        <w:rPr>
          <w:lang w:val="en-CA"/>
        </w:rPr>
      </w:pPr>
      <w:r w:rsidRPr="005F3286">
        <w:rPr>
          <w:lang w:val="en-CA"/>
        </w:rPr>
        <w:tab/>
        <w:t xml:space="preserve">The defence argues that because section 548 was not amended by Parliament in 2019, that section gives a preliminary inquiry justice jurisdiction to discharge the accused on “any other indictable offence in respect of the same transaction.” </w:t>
      </w:r>
    </w:p>
    <w:p w14:paraId="5FFAA8F8" w14:textId="03146ECD" w:rsidR="00F313E0" w:rsidRPr="005F3286" w:rsidRDefault="00F313E0" w:rsidP="0049286D">
      <w:pPr>
        <w:pStyle w:val="unquote"/>
        <w:rPr>
          <w:lang w:val="en-CA"/>
        </w:rPr>
      </w:pPr>
      <w:r w:rsidRPr="005F3286">
        <w:rPr>
          <w:lang w:val="en-CA"/>
        </w:rPr>
        <w:tab/>
        <w:t>The argu</w:t>
      </w:r>
      <w:r w:rsidR="00535751">
        <w:rPr>
          <w:lang w:val="en-CA"/>
        </w:rPr>
        <w:t>ment</w:t>
      </w:r>
      <w:r w:rsidRPr="005F3286">
        <w:rPr>
          <w:lang w:val="en-CA"/>
        </w:rPr>
        <w:t xml:space="preserve"> is that once a preliminary inquiry is requested on an indictable offence punishable by 14</w:t>
      </w:r>
      <w:r w:rsidR="00F07C9E">
        <w:rPr>
          <w:lang w:val="en-CA"/>
        </w:rPr>
        <w:t> </w:t>
      </w:r>
      <w:r w:rsidRPr="005F3286">
        <w:rPr>
          <w:lang w:val="en-CA"/>
        </w:rPr>
        <w:t>years or more</w:t>
      </w:r>
      <w:r w:rsidR="00535751">
        <w:rPr>
          <w:lang w:val="en-CA"/>
        </w:rPr>
        <w:t xml:space="preserve"> of</w:t>
      </w:r>
      <w:r w:rsidRPr="005F3286">
        <w:rPr>
          <w:lang w:val="en-CA"/>
        </w:rPr>
        <w:t xml:space="preserve"> imprisonment, the preliminary inquiry judge can then inquire into </w:t>
      </w:r>
      <w:proofErr w:type="gramStart"/>
      <w:r w:rsidRPr="005F3286">
        <w:rPr>
          <w:lang w:val="en-CA"/>
        </w:rPr>
        <w:t>all of</w:t>
      </w:r>
      <w:proofErr w:type="gramEnd"/>
      <w:r w:rsidRPr="005F3286">
        <w:rPr>
          <w:lang w:val="en-CA"/>
        </w:rPr>
        <w:t xml:space="preserve"> the counts on the Information</w:t>
      </w:r>
      <w:r w:rsidR="00792C4E">
        <w:rPr>
          <w:lang w:val="en-CA"/>
        </w:rPr>
        <w:t xml:space="preserve"> in respect of the same transaction</w:t>
      </w:r>
      <w:r w:rsidRPr="005F3286">
        <w:rPr>
          <w:lang w:val="en-CA"/>
        </w:rPr>
        <w:t xml:space="preserve">, whether they are eligible for a preliminary inquiry or not.  This was the reasoning of the preliminary inquiry judge.  </w:t>
      </w:r>
    </w:p>
    <w:p w14:paraId="6B3201A2" w14:textId="7FE3C414" w:rsidR="00F313E0" w:rsidRPr="005F3286" w:rsidRDefault="00F313E0" w:rsidP="0049286D">
      <w:pPr>
        <w:pStyle w:val="unquote"/>
        <w:rPr>
          <w:lang w:val="en-CA"/>
        </w:rPr>
      </w:pPr>
      <w:r w:rsidRPr="005F3286">
        <w:rPr>
          <w:lang w:val="en-CA"/>
        </w:rPr>
        <w:tab/>
        <w:t>He view</w:t>
      </w:r>
      <w:r w:rsidR="00F84FFF">
        <w:rPr>
          <w:lang w:val="en-CA"/>
        </w:rPr>
        <w:t>ed</w:t>
      </w:r>
      <w:r w:rsidRPr="005F3286">
        <w:rPr>
          <w:lang w:val="en-CA"/>
        </w:rPr>
        <w:t xml:space="preserve"> the plain reading of section 548(1) as granting him the authority to discharge on the other offences.  The preliminary judge in his decision reviewed the other relevant sections of the </w:t>
      </w:r>
      <w:r w:rsidRPr="00F84FFF">
        <w:rPr>
          <w:i/>
          <w:iCs/>
          <w:lang w:val="en-CA"/>
        </w:rPr>
        <w:t>Criminal Code</w:t>
      </w:r>
      <w:r w:rsidRPr="005F3286">
        <w:rPr>
          <w:lang w:val="en-CA"/>
        </w:rPr>
        <w:t xml:space="preserve"> as well as the case law which had been provided to him before ultimately concluding that if there was not sufficient evidence for committal on the other offences:</w:t>
      </w:r>
    </w:p>
    <w:p w14:paraId="1A8C11BD" w14:textId="0366AF82" w:rsidR="00F313E0" w:rsidRPr="005F3286" w:rsidRDefault="00F313E0" w:rsidP="00F313E0">
      <w:pPr>
        <w:pStyle w:val="Quote1"/>
        <w:rPr>
          <w:lang w:val="en-CA"/>
        </w:rPr>
      </w:pPr>
      <w:r w:rsidRPr="005F3286">
        <w:rPr>
          <w:lang w:val="en-CA"/>
        </w:rPr>
        <w:t>It would be contrary to the intent of Parliament, in my opinion, to have these charges sent up to the superior court.</w:t>
      </w:r>
    </w:p>
    <w:p w14:paraId="2C66C953" w14:textId="738956F0" w:rsidR="00F313E0" w:rsidRPr="005F3286" w:rsidRDefault="00F313E0" w:rsidP="00F313E0">
      <w:pPr>
        <w:pStyle w:val="unquote"/>
        <w:rPr>
          <w:lang w:val="en-CA"/>
        </w:rPr>
      </w:pPr>
      <w:r w:rsidRPr="005F3286">
        <w:rPr>
          <w:lang w:val="en-CA"/>
        </w:rPr>
        <w:lastRenderedPageBreak/>
        <w:t>In my view</w:t>
      </w:r>
      <w:r w:rsidR="00792C4E">
        <w:rPr>
          <w:lang w:val="en-CA"/>
        </w:rPr>
        <w:t>,</w:t>
      </w:r>
      <w:r w:rsidRPr="005F3286">
        <w:rPr>
          <w:lang w:val="en-CA"/>
        </w:rPr>
        <w:t xml:space="preserve"> that statement was an error.  The issue was not whether there was sufficient evidence but whether he had the jurisdiction to consider those offences at the preliminary inquiry stage.  The preliminary inquiry judge went on to conclude that he did have jurisdiction, stating:</w:t>
      </w:r>
    </w:p>
    <w:p w14:paraId="796DA94E" w14:textId="1F4E51B0" w:rsidR="00F313E0" w:rsidRPr="005F3286" w:rsidRDefault="00F313E0" w:rsidP="00F313E0">
      <w:pPr>
        <w:pStyle w:val="Quote1"/>
        <w:rPr>
          <w:lang w:val="en-CA"/>
        </w:rPr>
      </w:pPr>
      <w:r w:rsidRPr="005F3286">
        <w:rPr>
          <w:lang w:val="en-CA"/>
        </w:rPr>
        <w:t xml:space="preserve">Where the charges are so related to the plus-14 offences like the case here, I </w:t>
      </w:r>
      <w:proofErr w:type="gramStart"/>
      <w:r w:rsidRPr="005F3286">
        <w:rPr>
          <w:lang w:val="en-CA"/>
        </w:rPr>
        <w:t>am of the opinion that</w:t>
      </w:r>
      <w:proofErr w:type="gramEnd"/>
      <w:r w:rsidRPr="005F3286">
        <w:rPr>
          <w:lang w:val="en-CA"/>
        </w:rPr>
        <w:t xml:space="preserve"> I have the power under 548(2) to discharge.</w:t>
      </w:r>
    </w:p>
    <w:p w14:paraId="68049B7C" w14:textId="56ECD2B4" w:rsidR="00F313E0" w:rsidRPr="005F3286" w:rsidRDefault="00F313E0" w:rsidP="00F313E0">
      <w:pPr>
        <w:pStyle w:val="unquote"/>
        <w:rPr>
          <w:lang w:val="en-CA"/>
        </w:rPr>
      </w:pPr>
      <w:r w:rsidRPr="005F3286">
        <w:rPr>
          <w:lang w:val="en-CA"/>
        </w:rPr>
        <w:t xml:space="preserve">The wording in section 548 is </w:t>
      </w:r>
      <w:proofErr w:type="gramStart"/>
      <w:r w:rsidRPr="005F3286">
        <w:rPr>
          <w:lang w:val="en-CA"/>
        </w:rPr>
        <w:t>similar to</w:t>
      </w:r>
      <w:proofErr w:type="gramEnd"/>
      <w:r w:rsidRPr="005F3286">
        <w:rPr>
          <w:lang w:val="en-CA"/>
        </w:rPr>
        <w:t xml:space="preserve"> the wording in section</w:t>
      </w:r>
      <w:r w:rsidR="00792C4E">
        <w:rPr>
          <w:lang w:val="en-CA"/>
        </w:rPr>
        <w:t> </w:t>
      </w:r>
      <w:r w:rsidRPr="005F3286">
        <w:rPr>
          <w:lang w:val="en-CA"/>
        </w:rPr>
        <w:t>535, which also refers to an inquiry into the charge and:</w:t>
      </w:r>
    </w:p>
    <w:p w14:paraId="34728B24" w14:textId="51A1238C" w:rsidR="00F313E0" w:rsidRPr="005F3286" w:rsidRDefault="00F313E0" w:rsidP="00F313E0">
      <w:pPr>
        <w:pStyle w:val="Quote1"/>
        <w:rPr>
          <w:lang w:val="en-CA"/>
        </w:rPr>
      </w:pPr>
      <w:r w:rsidRPr="005F3286">
        <w:rPr>
          <w:lang w:val="en-CA"/>
        </w:rPr>
        <w:t>Any other indictable offence in respect of the same transaction.</w:t>
      </w:r>
    </w:p>
    <w:p w14:paraId="2A6A663E" w14:textId="2209FCA2" w:rsidR="00F313E0" w:rsidRPr="005F3286" w:rsidRDefault="00F313E0" w:rsidP="00F313E0">
      <w:pPr>
        <w:pStyle w:val="unquote"/>
        <w:rPr>
          <w:lang w:val="en-CA"/>
        </w:rPr>
      </w:pPr>
      <w:r w:rsidRPr="005F3286">
        <w:rPr>
          <w:lang w:val="en-CA"/>
        </w:rPr>
        <w:t>Section 535 differs in that it goes on to limit the inquiry to:</w:t>
      </w:r>
    </w:p>
    <w:p w14:paraId="1609B735" w14:textId="08A67E06" w:rsidR="00F313E0" w:rsidRPr="005F3286" w:rsidRDefault="00F313E0" w:rsidP="00F313E0">
      <w:pPr>
        <w:pStyle w:val="Quote1"/>
        <w:rPr>
          <w:lang w:val="en-CA"/>
        </w:rPr>
      </w:pPr>
      <w:r w:rsidRPr="005F3286">
        <w:rPr>
          <w:lang w:val="en-CA"/>
        </w:rPr>
        <w:t xml:space="preserve">Founded on the facts that are disclosed by the evidence.  </w:t>
      </w:r>
    </w:p>
    <w:p w14:paraId="6351C13E" w14:textId="77379AA6" w:rsidR="00F313E0" w:rsidRPr="005F3286" w:rsidRDefault="00F313E0" w:rsidP="00F313E0">
      <w:pPr>
        <w:pStyle w:val="unquote"/>
        <w:rPr>
          <w:lang w:val="en-CA"/>
        </w:rPr>
      </w:pPr>
      <w:r w:rsidRPr="005F3286">
        <w:rPr>
          <w:lang w:val="en-CA"/>
        </w:rPr>
        <w:t xml:space="preserve">Section 535 directs an inquiry into both the 14-plus charge and any other indictable offence in respect of the same transaction as the 14-plus offence.  Section 548 also mandates that the justice consider committal and discharge on the 14-plus charge but also in respect of any other indictable offence in respect of the same transaction.  </w:t>
      </w:r>
    </w:p>
    <w:p w14:paraId="1415F9AB" w14:textId="77777777" w:rsidR="00F313E0" w:rsidRPr="005F3286" w:rsidRDefault="00F313E0" w:rsidP="00F313E0">
      <w:pPr>
        <w:pStyle w:val="unquote"/>
        <w:rPr>
          <w:lang w:val="en-CA"/>
        </w:rPr>
      </w:pPr>
      <w:r w:rsidRPr="005F3286">
        <w:rPr>
          <w:lang w:val="en-CA"/>
        </w:rPr>
        <w:tab/>
        <w:t xml:space="preserve">This could mean that the scope of the inquiry would extend beyond the 14-plus offences and </w:t>
      </w:r>
      <w:r w:rsidRPr="005F3286">
        <w:rPr>
          <w:lang w:val="en-CA"/>
        </w:rPr>
        <w:lastRenderedPageBreak/>
        <w:t xml:space="preserve">include any other indictable offences in respect of the same transaction, including other indictable offences on an Information which are not 14-plus offences.  That is a plausible reading of these provisions.  </w:t>
      </w:r>
    </w:p>
    <w:p w14:paraId="30CB68FE" w14:textId="1052F906" w:rsidR="00F313E0" w:rsidRPr="005F3286" w:rsidRDefault="00F313E0" w:rsidP="00F313E0">
      <w:pPr>
        <w:pStyle w:val="unquote"/>
        <w:rPr>
          <w:lang w:val="en-CA"/>
        </w:rPr>
      </w:pPr>
      <w:r w:rsidRPr="005F3286">
        <w:rPr>
          <w:lang w:val="en-CA"/>
        </w:rPr>
        <w:tab/>
        <w:t xml:space="preserve">This would require the Crown to call sufficient evidence on not just the 14-plus offence or offences but for all other indictable offences in respect of the same transaction.  So instead of the Crown calling evidence on just the offence or offences for which a preliminary inquiry was available, they would have to call evidence relating to </w:t>
      </w:r>
      <w:proofErr w:type="gramStart"/>
      <w:r w:rsidRPr="005F3286">
        <w:rPr>
          <w:lang w:val="en-CA"/>
        </w:rPr>
        <w:t>all of</w:t>
      </w:r>
      <w:proofErr w:type="gramEnd"/>
      <w:r w:rsidRPr="005F3286">
        <w:rPr>
          <w:lang w:val="en-CA"/>
        </w:rPr>
        <w:t xml:space="preserve"> the charges on the Information in order to ensure committal.</w:t>
      </w:r>
    </w:p>
    <w:p w14:paraId="1B0A6872" w14:textId="7A15A94D" w:rsidR="00F313E0" w:rsidRPr="005F3286" w:rsidRDefault="00F313E0" w:rsidP="00F313E0">
      <w:pPr>
        <w:pStyle w:val="unquote"/>
        <w:rPr>
          <w:lang w:val="en-CA"/>
        </w:rPr>
      </w:pPr>
      <w:r w:rsidRPr="005F3286">
        <w:rPr>
          <w:lang w:val="en-CA"/>
        </w:rPr>
        <w:tab/>
      </w:r>
      <w:r w:rsidR="00953D02" w:rsidRPr="005F3286">
        <w:rPr>
          <w:lang w:val="en-CA"/>
        </w:rPr>
        <w:t>This would have the effect of lengthen</w:t>
      </w:r>
      <w:r w:rsidR="00B7400F">
        <w:rPr>
          <w:lang w:val="en-CA"/>
        </w:rPr>
        <w:t>ing</w:t>
      </w:r>
      <w:r w:rsidR="00953D02" w:rsidRPr="005F3286">
        <w:rPr>
          <w:lang w:val="en-CA"/>
        </w:rPr>
        <w:t xml:space="preserve"> preliminary inquiries and this is not a situation which would be rare or unique.  It is not uncommon for multiple offences to be charged on an Information and for offences which have a maximum term of imprisonment of 14 years or more and offences with less than 14 years imprisonment to be on the same Information.</w:t>
      </w:r>
    </w:p>
    <w:p w14:paraId="13C7937B" w14:textId="52A2D934" w:rsidR="00953D02" w:rsidRPr="005F3286" w:rsidRDefault="00953D02" w:rsidP="00F313E0">
      <w:pPr>
        <w:pStyle w:val="unquote"/>
        <w:rPr>
          <w:lang w:val="en-CA"/>
        </w:rPr>
      </w:pPr>
      <w:r w:rsidRPr="005F3286">
        <w:rPr>
          <w:lang w:val="en-CA"/>
        </w:rPr>
        <w:tab/>
        <w:t>This approach would seem to be contrary to the wording of section</w:t>
      </w:r>
      <w:r w:rsidR="00166D40">
        <w:rPr>
          <w:lang w:val="en-CA"/>
        </w:rPr>
        <w:t> </w:t>
      </w:r>
      <w:r w:rsidRPr="005F3286">
        <w:rPr>
          <w:lang w:val="en-CA"/>
        </w:rPr>
        <w:t>536(4), which states that the preliminary inquiry is into</w:t>
      </w:r>
      <w:r w:rsidR="00B7400F">
        <w:rPr>
          <w:lang w:val="en-CA"/>
        </w:rPr>
        <w:t xml:space="preserve"> </w:t>
      </w:r>
      <w:r w:rsidRPr="005F3286">
        <w:rPr>
          <w:lang w:val="en-CA"/>
        </w:rPr>
        <w:t>“the charge</w:t>
      </w:r>
      <w:r w:rsidR="00B7400F">
        <w:rPr>
          <w:lang w:val="en-CA"/>
        </w:rPr>
        <w:t>.</w:t>
      </w:r>
      <w:r w:rsidRPr="005F3286">
        <w:rPr>
          <w:lang w:val="en-CA"/>
        </w:rPr>
        <w:t>”</w:t>
      </w:r>
      <w:r w:rsidR="00B7400F">
        <w:rPr>
          <w:lang w:val="en-CA"/>
        </w:rPr>
        <w:t xml:space="preserve">  </w:t>
      </w:r>
      <w:r w:rsidRPr="005F3286">
        <w:rPr>
          <w:lang w:val="en-CA"/>
        </w:rPr>
        <w:t>It would also seem contrary to common sense that an accused person could be discharged for an offence for which they were not entitled to a preliminary inquiry in the first</w:t>
      </w:r>
      <w:r w:rsidR="00166D40">
        <w:rPr>
          <w:lang w:val="en-CA"/>
        </w:rPr>
        <w:t> </w:t>
      </w:r>
      <w:r w:rsidRPr="005F3286">
        <w:rPr>
          <w:lang w:val="en-CA"/>
        </w:rPr>
        <w:t xml:space="preserve">place.  </w:t>
      </w:r>
    </w:p>
    <w:p w14:paraId="2BA33CD7" w14:textId="51D37472" w:rsidR="00953D02" w:rsidRPr="005F3286" w:rsidRDefault="00953D02" w:rsidP="00F313E0">
      <w:pPr>
        <w:pStyle w:val="unquote"/>
        <w:rPr>
          <w:lang w:val="en-CA"/>
        </w:rPr>
      </w:pPr>
      <w:r w:rsidRPr="005F3286">
        <w:rPr>
          <w:lang w:val="en-CA"/>
        </w:rPr>
        <w:lastRenderedPageBreak/>
        <w:tab/>
        <w:t xml:space="preserve">In </w:t>
      </w:r>
      <w:r w:rsidRPr="005F3286">
        <w:rPr>
          <w:i/>
          <w:iCs/>
          <w:lang w:val="en-CA"/>
        </w:rPr>
        <w:t>R.S.</w:t>
      </w:r>
      <w:r w:rsidRPr="005F3286">
        <w:rPr>
          <w:lang w:val="en-CA"/>
        </w:rPr>
        <w:t>, the Ontario Court of Appeal stated at paragraph</w:t>
      </w:r>
      <w:r w:rsidR="00166D40">
        <w:rPr>
          <w:lang w:val="en-CA"/>
        </w:rPr>
        <w:t> </w:t>
      </w:r>
      <w:r w:rsidRPr="005F3286">
        <w:rPr>
          <w:lang w:val="en-CA"/>
        </w:rPr>
        <w:t>13 that:</w:t>
      </w:r>
    </w:p>
    <w:p w14:paraId="340C686C" w14:textId="77777777" w:rsidR="00953D02" w:rsidRPr="005F3286" w:rsidRDefault="00953D02" w:rsidP="00953D02">
      <w:pPr>
        <w:pStyle w:val="Quote1"/>
        <w:rPr>
          <w:lang w:val="en-CA"/>
        </w:rPr>
      </w:pPr>
      <w:r w:rsidRPr="005F3286">
        <w:rPr>
          <w:lang w:val="en-CA"/>
        </w:rPr>
        <w:t xml:space="preserve">The jurisdiction to conduct a preliminary inquiry depended not only on the election for trial in a superior court but also on the requirement that the charge be punishable by 14 years imprisonment or more.   </w:t>
      </w:r>
    </w:p>
    <w:p w14:paraId="455C2A68" w14:textId="77777777" w:rsidR="00166D40" w:rsidRDefault="00953D02" w:rsidP="00953D02">
      <w:pPr>
        <w:pStyle w:val="unquote"/>
        <w:rPr>
          <w:lang w:val="en-CA"/>
        </w:rPr>
      </w:pPr>
      <w:r w:rsidRPr="005F3286">
        <w:t>It would also seem to be contrary to Parliament’s intention</w:t>
      </w:r>
      <w:r w:rsidR="00F84FFF">
        <w:rPr>
          <w:lang w:val="en-CA"/>
        </w:rPr>
        <w:t>,</w:t>
      </w:r>
      <w:r w:rsidRPr="005F3286">
        <w:t xml:space="preserve"> which was stated in the </w:t>
      </w:r>
      <w:r w:rsidRPr="005F3286">
        <w:rPr>
          <w:lang w:val="en-CA"/>
        </w:rPr>
        <w:t>legislative backgrounder for Bill C</w:t>
      </w:r>
      <w:r w:rsidR="00166D40">
        <w:rPr>
          <w:lang w:val="en-CA"/>
        </w:rPr>
        <w:t>-</w:t>
      </w:r>
      <w:r w:rsidRPr="005F3286">
        <w:rPr>
          <w:lang w:val="en-CA"/>
        </w:rPr>
        <w:t>75, the bill which amended the preliminary inquiry provisions as being to restrict the availability of preliminary inquiries to offences liable to a maximum term of imprisonment of 14 years, which would greatly reduce the number of preliminary inquiries and free up court time while alleviating the burden on some witnesses and victims by preventing them from having to testify twice.</w:t>
      </w:r>
      <w:r w:rsidR="00F17FA1">
        <w:rPr>
          <w:lang w:val="en-CA"/>
        </w:rPr>
        <w:t xml:space="preserve">  </w:t>
      </w:r>
    </w:p>
    <w:p w14:paraId="6E407FA1" w14:textId="09DD18D8" w:rsidR="00953D02" w:rsidRPr="005F3286" w:rsidRDefault="00953D02" w:rsidP="00953D02">
      <w:pPr>
        <w:pStyle w:val="unquote"/>
        <w:rPr>
          <w:lang w:val="en-CA"/>
        </w:rPr>
      </w:pPr>
      <w:r w:rsidRPr="005F3286">
        <w:rPr>
          <w:lang w:val="en-CA"/>
        </w:rPr>
        <w:t xml:space="preserve">As stated in </w:t>
      </w:r>
      <w:r w:rsidRPr="005F3286">
        <w:rPr>
          <w:i/>
          <w:iCs/>
          <w:lang w:val="en-CA"/>
        </w:rPr>
        <w:t>Davis</w:t>
      </w:r>
      <w:r w:rsidRPr="005F3286">
        <w:rPr>
          <w:lang w:val="en-CA"/>
        </w:rPr>
        <w:t xml:space="preserve"> at paragraph</w:t>
      </w:r>
      <w:r w:rsidR="00F07C9E">
        <w:rPr>
          <w:lang w:val="en-CA"/>
        </w:rPr>
        <w:t> </w:t>
      </w:r>
      <w:r w:rsidRPr="005F3286">
        <w:rPr>
          <w:lang w:val="en-CA"/>
        </w:rPr>
        <w:t>39:</w:t>
      </w:r>
    </w:p>
    <w:p w14:paraId="7C34D096" w14:textId="48E4B01C" w:rsidR="00953D02" w:rsidRPr="005F3286" w:rsidRDefault="00953D02" w:rsidP="00953D02">
      <w:pPr>
        <w:pStyle w:val="Quote1"/>
      </w:pPr>
      <w:r w:rsidRPr="005F3286">
        <w:rPr>
          <w:lang w:val="en-US"/>
        </w:rPr>
        <w:t xml:space="preserve">In restricting preliminary inquiries, Parliament sought to expedite proceedings, to protect vulnerable witnesses from being examined and cross-examined twice and to preserve the screening and disclosure functions of the preliminary inquiry for the most serious offences.  </w:t>
      </w:r>
      <w:proofErr w:type="gramStart"/>
      <w:r w:rsidRPr="005F3286">
        <w:rPr>
          <w:lang w:val="en-US"/>
        </w:rPr>
        <w:t>All of</w:t>
      </w:r>
      <w:proofErr w:type="gramEnd"/>
      <w:r w:rsidRPr="005F3286">
        <w:rPr>
          <w:lang w:val="en-US"/>
        </w:rPr>
        <w:t xml:space="preserve"> those purposes are advanced by restricting the scope of preliminary inquiries only to offences punishable by 14 years or more.</w:t>
      </w:r>
    </w:p>
    <w:p w14:paraId="64CD4F1D" w14:textId="4D02D78F" w:rsidR="00F17FA1" w:rsidRDefault="00953D02" w:rsidP="00953D02">
      <w:pPr>
        <w:pStyle w:val="unquote"/>
        <w:rPr>
          <w:lang w:val="en-CA"/>
        </w:rPr>
      </w:pPr>
      <w:r w:rsidRPr="005F3286">
        <w:rPr>
          <w:lang w:val="en-CA"/>
        </w:rPr>
        <w:lastRenderedPageBreak/>
        <w:t xml:space="preserve">It does not seem that Parliament’s intent was to permit preliminary inquiries in some situations for offences which would not be otherwise eligible for a preliminary inquiry.  That would not accord with Parliament’s stated intention to reduce the number of preliminary inquiries and to free up court time.  </w:t>
      </w:r>
    </w:p>
    <w:p w14:paraId="195250BD" w14:textId="3926E324" w:rsidR="00953D02" w:rsidRPr="005F3286" w:rsidRDefault="00F17FA1" w:rsidP="00953D02">
      <w:pPr>
        <w:pStyle w:val="unquote"/>
        <w:rPr>
          <w:lang w:val="en-CA"/>
        </w:rPr>
      </w:pPr>
      <w:r>
        <w:rPr>
          <w:lang w:val="en-CA"/>
        </w:rPr>
        <w:tab/>
      </w:r>
      <w:r w:rsidR="00953D02" w:rsidRPr="005F3286">
        <w:rPr>
          <w:lang w:val="en-CA"/>
        </w:rPr>
        <w:t>If Parliament wanted to proceed in that manner, then that exception could have been stated in section</w:t>
      </w:r>
      <w:r w:rsidR="00F07C9E">
        <w:rPr>
          <w:lang w:val="en-CA"/>
        </w:rPr>
        <w:t> </w:t>
      </w:r>
      <w:r w:rsidR="00953D02" w:rsidRPr="005F3286">
        <w:rPr>
          <w:lang w:val="en-CA"/>
        </w:rPr>
        <w:t xml:space="preserve">536.  The interpretation advanced by the defence would not comply with section 536(4), which </w:t>
      </w:r>
      <w:r w:rsidR="001F70E7" w:rsidRPr="005F3286">
        <w:rPr>
          <w:lang w:val="en-CA"/>
        </w:rPr>
        <w:t>requires that the preliminary inquiry be held into the charge</w:t>
      </w:r>
      <w:r>
        <w:rPr>
          <w:lang w:val="en-CA"/>
        </w:rPr>
        <w:t>,</w:t>
      </w:r>
      <w:r w:rsidR="001F70E7" w:rsidRPr="005F3286">
        <w:rPr>
          <w:lang w:val="en-CA"/>
        </w:rPr>
        <w:t xml:space="preserve"> and it does not meet Parliament’s objective of restricting the availability of preliminary inquiries to 14</w:t>
      </w:r>
      <w:r w:rsidR="001F70E7" w:rsidRPr="005F3286">
        <w:rPr>
          <w:lang w:val="en-CA"/>
        </w:rPr>
        <w:noBreakHyphen/>
        <w:t>plus offences.</w:t>
      </w:r>
    </w:p>
    <w:p w14:paraId="3880438B" w14:textId="0EB2885B" w:rsidR="001F70E7" w:rsidRPr="005F3286" w:rsidRDefault="001F70E7" w:rsidP="00953D02">
      <w:pPr>
        <w:pStyle w:val="unquote"/>
        <w:rPr>
          <w:lang w:val="en-CA"/>
        </w:rPr>
      </w:pPr>
      <w:r w:rsidRPr="005F3286">
        <w:rPr>
          <w:lang w:val="en-CA"/>
        </w:rPr>
        <w:tab/>
        <w:t>Restricting the availability of preliminary inquiries to the offences which are punishable by 14 years or more imprisonment reflects Parliament’s decision that certain indictable offences which carry a maximum penalty of less than 14 years are no longer subject to the screening function of a preliminary inquiry.  That is Parliament’s choice to make.</w:t>
      </w:r>
    </w:p>
    <w:p w14:paraId="2EAED3B6" w14:textId="76C3E9E6" w:rsidR="001F70E7" w:rsidRPr="005F3286" w:rsidRDefault="001F70E7" w:rsidP="00953D02">
      <w:pPr>
        <w:pStyle w:val="unquote"/>
        <w:rPr>
          <w:lang w:val="en-CA"/>
        </w:rPr>
      </w:pPr>
      <w:r w:rsidRPr="005F3286">
        <w:rPr>
          <w:lang w:val="en-CA"/>
        </w:rPr>
        <w:tab/>
      </w:r>
      <w:proofErr w:type="gramStart"/>
      <w:r w:rsidRPr="005F3286">
        <w:rPr>
          <w:lang w:val="en-CA"/>
        </w:rPr>
        <w:t>In order to</w:t>
      </w:r>
      <w:proofErr w:type="gramEnd"/>
      <w:r w:rsidRPr="005F3286">
        <w:rPr>
          <w:lang w:val="en-CA"/>
        </w:rPr>
        <w:t xml:space="preserve"> meet the requirements of the </w:t>
      </w:r>
      <w:r w:rsidRPr="005F3286">
        <w:rPr>
          <w:i/>
          <w:iCs/>
          <w:lang w:val="en-CA"/>
        </w:rPr>
        <w:t>Criminal Code</w:t>
      </w:r>
      <w:r w:rsidRPr="005F3286">
        <w:rPr>
          <w:lang w:val="en-CA"/>
        </w:rPr>
        <w:t xml:space="preserve"> and the legislative intent of Parliament, I find that the scope of the preliminary inquiry is limited to 14-plus offences</w:t>
      </w:r>
      <w:r w:rsidR="00F17FA1">
        <w:rPr>
          <w:lang w:val="en-CA"/>
        </w:rPr>
        <w:t>,</w:t>
      </w:r>
      <w:r w:rsidRPr="005F3286">
        <w:rPr>
          <w:lang w:val="en-CA"/>
        </w:rPr>
        <w:t xml:space="preserve"> and this includes where there is an Information which includes both 14-plus offences and offence</w:t>
      </w:r>
      <w:r w:rsidR="00F17FA1">
        <w:rPr>
          <w:lang w:val="en-CA"/>
        </w:rPr>
        <w:t>s</w:t>
      </w:r>
      <w:r w:rsidRPr="005F3286">
        <w:rPr>
          <w:lang w:val="en-CA"/>
        </w:rPr>
        <w:t xml:space="preserve"> which have a maximum punishment of less </w:t>
      </w:r>
      <w:r w:rsidRPr="005F3286">
        <w:rPr>
          <w:lang w:val="en-CA"/>
        </w:rPr>
        <w:lastRenderedPageBreak/>
        <w:t>than 14 years.</w:t>
      </w:r>
    </w:p>
    <w:p w14:paraId="0442A169" w14:textId="47EC5E8B" w:rsidR="001F70E7" w:rsidRPr="005F3286" w:rsidRDefault="001F70E7" w:rsidP="00953D02">
      <w:pPr>
        <w:pStyle w:val="unquote"/>
        <w:rPr>
          <w:lang w:val="en-CA"/>
        </w:rPr>
      </w:pPr>
      <w:r w:rsidRPr="005F3286">
        <w:rPr>
          <w:lang w:val="en-CA"/>
        </w:rPr>
        <w:tab/>
        <w:t xml:space="preserve">As such, the Crown’s application for </w:t>
      </w:r>
      <w:r w:rsidRPr="005F3286">
        <w:rPr>
          <w:i/>
          <w:iCs/>
          <w:lang w:val="en-CA"/>
        </w:rPr>
        <w:t xml:space="preserve">certiorari </w:t>
      </w:r>
      <w:r w:rsidRPr="005F3286">
        <w:rPr>
          <w:lang w:val="en-CA"/>
        </w:rPr>
        <w:t>is granted</w:t>
      </w:r>
      <w:r w:rsidR="00F17FA1">
        <w:rPr>
          <w:lang w:val="en-CA"/>
        </w:rPr>
        <w:t>,</w:t>
      </w:r>
      <w:r w:rsidRPr="005F3286">
        <w:rPr>
          <w:lang w:val="en-CA"/>
        </w:rPr>
        <w:t xml:space="preserve"> and the discharge on counts 1, 3 through 8 on the Information is quashed and the matter is remitted to the Territorial Court with an order of mandamus requiring the Territorial Court to commit the accused to stand trial on those charges.  </w:t>
      </w:r>
    </w:p>
    <w:p w14:paraId="44CDAE6E" w14:textId="02D8AC9C" w:rsidR="00E835E6" w:rsidRPr="005F3286" w:rsidRDefault="00E835E6" w:rsidP="00953D02">
      <w:pPr>
        <w:pStyle w:val="unquote"/>
        <w:rPr>
          <w:lang w:val="en-CA"/>
        </w:rPr>
      </w:pPr>
      <w:r w:rsidRPr="005F3286">
        <w:rPr>
          <w:lang w:val="en-CA"/>
        </w:rPr>
        <w:tab/>
        <w:t>So that concludes the decision.  I know that</w:t>
      </w:r>
      <w:r w:rsidR="00753600">
        <w:rPr>
          <w:lang w:val="en-CA"/>
        </w:rPr>
        <w:t> --</w:t>
      </w:r>
    </w:p>
    <w:p w14:paraId="3D3DDC8F" w14:textId="7FBDCCB1" w:rsidR="00E835E6" w:rsidRPr="005F3286" w:rsidRDefault="00E835E6" w:rsidP="00E835E6">
      <w:pPr>
        <w:pStyle w:val="Coll"/>
        <w:rPr>
          <w:lang w:val="en-CA"/>
        </w:rPr>
      </w:pPr>
      <w:r w:rsidRPr="005F3286">
        <w:t xml:space="preserve">E. MCINTYRE:            </w:t>
      </w:r>
      <w:r w:rsidRPr="005F3286">
        <w:rPr>
          <w:lang w:val="en-CA"/>
        </w:rPr>
        <w:t xml:space="preserve">Thank you, Your Honour. </w:t>
      </w:r>
    </w:p>
    <w:p w14:paraId="01BC4F64" w14:textId="5D1E9DFA" w:rsidR="00E835E6" w:rsidRPr="005F3286" w:rsidRDefault="00E835E6" w:rsidP="00E835E6">
      <w:pPr>
        <w:pStyle w:val="Coll"/>
        <w:rPr>
          <w:lang w:val="en-CA"/>
        </w:rPr>
      </w:pPr>
      <w:r w:rsidRPr="005F3286">
        <w:t xml:space="preserve">THE COURT:            </w:t>
      </w:r>
      <w:r w:rsidRPr="005F3286">
        <w:rPr>
          <w:lang w:val="en-CA"/>
        </w:rPr>
        <w:t xml:space="preserve">Thank you.  I know there is a pretrial conference set for Monday I think afternoon on this matter.  I do not know if there is anything else that needs to be addressed at this time, </w:t>
      </w:r>
      <w:r w:rsidR="00753600">
        <w:rPr>
          <w:lang w:val="en-CA"/>
        </w:rPr>
        <w:t>Mr. </w:t>
      </w:r>
      <w:proofErr w:type="spellStart"/>
      <w:r w:rsidRPr="005F3286">
        <w:rPr>
          <w:lang w:val="en-CA"/>
        </w:rPr>
        <w:t>Wun</w:t>
      </w:r>
      <w:proofErr w:type="spellEnd"/>
      <w:r w:rsidRPr="005F3286">
        <w:rPr>
          <w:lang w:val="en-CA"/>
        </w:rPr>
        <w:t>?</w:t>
      </w:r>
    </w:p>
    <w:p w14:paraId="3ECC4288" w14:textId="58239A86" w:rsidR="00E835E6" w:rsidRPr="005F3286" w:rsidRDefault="00E835E6" w:rsidP="00E835E6">
      <w:pPr>
        <w:pStyle w:val="Coll"/>
        <w:rPr>
          <w:lang w:val="en-CA"/>
        </w:rPr>
      </w:pPr>
      <w:r w:rsidRPr="005F3286">
        <w:t xml:space="preserve">B. WUN:            </w:t>
      </w:r>
      <w:r w:rsidRPr="005F3286">
        <w:rPr>
          <w:lang w:val="en-CA"/>
        </w:rPr>
        <w:t>No, thank you.</w:t>
      </w:r>
    </w:p>
    <w:p w14:paraId="0418B3E3" w14:textId="4FFD0605" w:rsidR="00E835E6" w:rsidRPr="005F3286" w:rsidRDefault="00E835E6" w:rsidP="00E835E6">
      <w:pPr>
        <w:pStyle w:val="Coll"/>
        <w:rPr>
          <w:lang w:val="en-CA"/>
        </w:rPr>
      </w:pPr>
      <w:r w:rsidRPr="005F3286">
        <w:t xml:space="preserve">THE COURT:            </w:t>
      </w:r>
      <w:r w:rsidRPr="005F3286">
        <w:rPr>
          <w:lang w:val="en-CA"/>
        </w:rPr>
        <w:t xml:space="preserve">Okay.  Thank you.  </w:t>
      </w:r>
      <w:r w:rsidR="00753600">
        <w:rPr>
          <w:lang w:val="en-CA"/>
        </w:rPr>
        <w:t>Mr. </w:t>
      </w:r>
      <w:r w:rsidRPr="005F3286">
        <w:rPr>
          <w:lang w:val="en-CA"/>
        </w:rPr>
        <w:t>McIntyre?</w:t>
      </w:r>
    </w:p>
    <w:p w14:paraId="463269EB" w14:textId="535A464A" w:rsidR="00E835E6" w:rsidRPr="005F3286" w:rsidRDefault="00E835E6" w:rsidP="00E835E6">
      <w:pPr>
        <w:pStyle w:val="Coll"/>
        <w:rPr>
          <w:lang w:val="en-CA"/>
        </w:rPr>
      </w:pPr>
      <w:r w:rsidRPr="005F3286">
        <w:t xml:space="preserve">E. MCINTYRE:            </w:t>
      </w:r>
      <w:r w:rsidRPr="005F3286">
        <w:rPr>
          <w:lang w:val="en-CA"/>
        </w:rPr>
        <w:t xml:space="preserve">Nothing for the defence at this time.  Thank you.  </w:t>
      </w:r>
    </w:p>
    <w:p w14:paraId="4979F70E" w14:textId="18A8CC75" w:rsidR="00E835E6" w:rsidRPr="005F3286" w:rsidRDefault="00E835E6" w:rsidP="00E835E6">
      <w:pPr>
        <w:pStyle w:val="Coll"/>
        <w:rPr>
          <w:lang w:val="en-CA"/>
        </w:rPr>
      </w:pPr>
      <w:r w:rsidRPr="005F3286">
        <w:t xml:space="preserve">THE COURT:            </w:t>
      </w:r>
      <w:r w:rsidRPr="005F3286">
        <w:rPr>
          <w:lang w:val="en-CA"/>
        </w:rPr>
        <w:t xml:space="preserve">Okay.  Thank you.  All right.  So we will adjourn.  Thank you, counsel, for your submissions on this matter.  </w:t>
      </w:r>
    </w:p>
    <w:p w14:paraId="5F924A7C" w14:textId="3318A6F3" w:rsidR="00E835E6" w:rsidRPr="005F3286" w:rsidRDefault="00E835E6" w:rsidP="00E835E6">
      <w:pPr>
        <w:pStyle w:val="Coll"/>
        <w:rPr>
          <w:lang w:val="en-CA"/>
        </w:rPr>
      </w:pPr>
      <w:r w:rsidRPr="005F3286">
        <w:t xml:space="preserve">E. MCINTYRE:            </w:t>
      </w:r>
      <w:r w:rsidRPr="005F3286">
        <w:rPr>
          <w:lang w:val="en-CA"/>
        </w:rPr>
        <w:t>Have a good day.</w:t>
      </w:r>
    </w:p>
    <w:p w14:paraId="415A0565" w14:textId="741338BE" w:rsidR="00E835E6" w:rsidRPr="005F3286" w:rsidRDefault="00E835E6" w:rsidP="00E835E6">
      <w:pPr>
        <w:pStyle w:val="Coll"/>
        <w:rPr>
          <w:lang w:val="en-CA"/>
        </w:rPr>
      </w:pPr>
      <w:r w:rsidRPr="005F3286">
        <w:t xml:space="preserve">THE COURT:            </w:t>
      </w:r>
      <w:r w:rsidRPr="005F3286">
        <w:rPr>
          <w:lang w:val="en-CA"/>
        </w:rPr>
        <w:t>Thank you.</w:t>
      </w:r>
    </w:p>
    <w:p w14:paraId="6566962A" w14:textId="54F17BF0" w:rsidR="00E835E6" w:rsidRPr="005F3286" w:rsidRDefault="00E835E6" w:rsidP="00E835E6">
      <w:pPr>
        <w:pStyle w:val="Coll"/>
        <w:rPr>
          <w:lang w:val="en-CA"/>
        </w:rPr>
      </w:pPr>
      <w:r w:rsidRPr="005F3286">
        <w:t xml:space="preserve">THE CLERK:            </w:t>
      </w:r>
      <w:r w:rsidRPr="005F3286">
        <w:rPr>
          <w:lang w:val="en-CA"/>
        </w:rPr>
        <w:t xml:space="preserve">All rise.  </w:t>
      </w:r>
    </w:p>
    <w:p w14:paraId="330FFE76" w14:textId="77777777" w:rsidR="00733445" w:rsidRPr="005F3286" w:rsidRDefault="00733445" w:rsidP="00733445">
      <w:pPr>
        <w:pStyle w:val="OTR"/>
        <w:rPr>
          <w:lang w:val="en-CA"/>
        </w:rPr>
      </w:pPr>
      <w:r w:rsidRPr="005F3286">
        <w:rPr>
          <w:lang w:val="en-CA"/>
        </w:rPr>
        <w:t>(TELECONFERENCE CONCLUDES)</w:t>
      </w:r>
    </w:p>
    <w:p w14:paraId="19A3722B" w14:textId="5E0C0DA8" w:rsidR="005A45EC" w:rsidRPr="005F3286"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5F3286">
        <w:rPr>
          <w:rFonts w:ascii="Arial" w:hAnsi="Arial" w:cs="Arial"/>
          <w:b/>
          <w:sz w:val="24"/>
          <w:lang w:val="en-CA"/>
        </w:rPr>
        <w:t>(</w:t>
      </w:r>
      <w:r w:rsidR="005A45EC" w:rsidRPr="005F3286">
        <w:rPr>
          <w:rFonts w:ascii="Arial" w:hAnsi="Arial" w:cs="Arial"/>
          <w:b/>
          <w:sz w:val="24"/>
          <w:lang w:val="en-CA"/>
        </w:rPr>
        <w:t xml:space="preserve">PROCEEDINGS ADJOURNED </w:t>
      </w:r>
      <w:r w:rsidR="00605B60" w:rsidRPr="005F3286">
        <w:rPr>
          <w:rFonts w:ascii="Arial" w:hAnsi="Arial" w:cs="Arial"/>
          <w:b/>
          <w:sz w:val="24"/>
          <w:lang w:val="en-CA"/>
        </w:rPr>
        <w:t>TO</w:t>
      </w:r>
      <w:r w:rsidR="00FE2E81" w:rsidRPr="005F3286">
        <w:rPr>
          <w:rFonts w:ascii="Arial" w:hAnsi="Arial" w:cs="Arial"/>
          <w:b/>
          <w:sz w:val="24"/>
          <w:lang w:val="en-CA"/>
        </w:rPr>
        <w:t xml:space="preserve"> </w:t>
      </w:r>
      <w:r w:rsidR="005F3286" w:rsidRPr="005F3286">
        <w:rPr>
          <w:rFonts w:ascii="Arial" w:hAnsi="Arial" w:cs="Arial"/>
          <w:b/>
          <w:sz w:val="24"/>
          <w:lang w:val="en-CA"/>
        </w:rPr>
        <w:t xml:space="preserve">DECEMBER </w:t>
      </w:r>
      <w:r w:rsidR="005A45EC" w:rsidRPr="005F3286">
        <w:rPr>
          <w:rFonts w:ascii="Arial" w:hAnsi="Arial" w:cs="Arial"/>
          <w:b/>
          <w:sz w:val="24"/>
          <w:lang w:val="en-CA"/>
        </w:rPr>
        <w:t>11, 20</w:t>
      </w:r>
      <w:r w:rsidR="005F3286" w:rsidRPr="005F3286">
        <w:rPr>
          <w:rFonts w:ascii="Arial" w:hAnsi="Arial" w:cs="Arial"/>
          <w:b/>
          <w:sz w:val="24"/>
          <w:lang w:val="en-CA"/>
        </w:rPr>
        <w:t>23</w:t>
      </w:r>
      <w:r w:rsidR="00FE2E81" w:rsidRPr="005F3286">
        <w:rPr>
          <w:rFonts w:ascii="Arial" w:hAnsi="Arial" w:cs="Arial"/>
          <w:b/>
          <w:sz w:val="24"/>
          <w:lang w:val="en-CA"/>
        </w:rPr>
        <w:t>,</w:t>
      </w:r>
      <w:r w:rsidR="00605B60" w:rsidRPr="005F3286">
        <w:rPr>
          <w:rFonts w:ascii="Arial" w:hAnsi="Arial" w:cs="Arial"/>
          <w:b/>
          <w:sz w:val="24"/>
          <w:lang w:val="en-CA"/>
        </w:rPr>
        <w:t xml:space="preserve"> </w:t>
      </w:r>
      <w:r w:rsidR="005F3286" w:rsidRPr="005F3286">
        <w:rPr>
          <w:rFonts w:ascii="Arial" w:hAnsi="Arial" w:cs="Arial"/>
          <w:b/>
          <w:sz w:val="24"/>
          <w:lang w:val="en-CA"/>
        </w:rPr>
        <w:t>YELLOWKNIFE</w:t>
      </w:r>
      <w:r w:rsidRPr="005F3286">
        <w:rPr>
          <w:rFonts w:ascii="Arial" w:hAnsi="Arial" w:cs="Arial"/>
          <w:b/>
          <w:sz w:val="24"/>
          <w:lang w:val="en-CA"/>
        </w:rPr>
        <w:t>)</w:t>
      </w:r>
      <w:r w:rsidR="005A45EC" w:rsidRPr="005F3286">
        <w:rPr>
          <w:rFonts w:ascii="Arial" w:hAnsi="Arial" w:cs="Arial"/>
          <w:b/>
          <w:sz w:val="24"/>
          <w:lang w:val="en-CA"/>
        </w:rPr>
        <w:t xml:space="preserve"> </w:t>
      </w:r>
    </w:p>
    <w:p w14:paraId="63D95EC8" w14:textId="77777777" w:rsidR="003A2A74" w:rsidRPr="005F3286" w:rsidRDefault="003A2A74" w:rsidP="003A2A74">
      <w:pPr>
        <w:pStyle w:val="ProcEnd"/>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r w:rsidRPr="005F3286">
        <w:rPr>
          <w:rFonts w:ascii="Arial" w:hAnsi="Arial" w:cs="Arial"/>
          <w:b/>
          <w:bCs/>
          <w:color w:val="000000"/>
          <w:spacing w:val="0"/>
          <w:sz w:val="24"/>
          <w:lang w:val="en-CA"/>
        </w:rPr>
        <w:lastRenderedPageBreak/>
        <w:t xml:space="preserve">CERTIFICATE OF TRANSCRIPT </w:t>
      </w:r>
    </w:p>
    <w:p w14:paraId="25160995" w14:textId="56AC0B9C" w:rsidR="003A2A74" w:rsidRPr="005F3286" w:rsidRDefault="003A2A74" w:rsidP="003A2A74">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1" w:name="_Hlk40776886"/>
      <w:bookmarkStart w:id="2" w:name="_Hlk15487900"/>
      <w:bookmarkStart w:id="3" w:name="_Hlk46321225"/>
      <w:r w:rsidRPr="005F3286">
        <w:rPr>
          <w:rFonts w:ascii="Arial" w:hAnsi="Arial" w:cs="Arial"/>
          <w:color w:val="000000"/>
          <w:spacing w:val="0"/>
          <w:sz w:val="24"/>
          <w:lang w:val="en-CA"/>
        </w:rPr>
        <w:t xml:space="preserve">Veritext Legal Solutions, Canada, the undersigned, hereby certify that the foregoing pages are a complete and accurate transcript of the proceedings transcribed from the audio recording to the best of our skill and ability.  </w:t>
      </w:r>
      <w:r w:rsidR="007C1ABA" w:rsidRPr="007C1ABA">
        <w:rPr>
          <w:rFonts w:ascii="Arial" w:hAnsi="Arial" w:cs="Arial"/>
          <w:color w:val="000000"/>
          <w:spacing w:val="0"/>
          <w:sz w:val="24"/>
          <w:lang w:val="en-CA"/>
        </w:rPr>
        <w:t>Judicial amendments have been applied to this transcript.</w:t>
      </w:r>
    </w:p>
    <w:p w14:paraId="597A5452" w14:textId="77777777" w:rsidR="003A2A74" w:rsidRPr="005F3286" w:rsidRDefault="003A2A74" w:rsidP="003A2A74">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4501BAA9" w14:textId="77777777" w:rsidR="003A2A74" w:rsidRPr="005F3286" w:rsidRDefault="003A2A74" w:rsidP="003A2A74">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6E62BC4F" w14:textId="20590335" w:rsidR="003A2A74" w:rsidRPr="005F3286" w:rsidRDefault="003A2A74" w:rsidP="003A2A74">
      <w:pPr>
        <w:spacing w:line="396" w:lineRule="auto"/>
        <w:ind w:left="720"/>
        <w:rPr>
          <w:rFonts w:ascii="Arial" w:hAnsi="Arial" w:cs="Arial"/>
          <w:color w:val="000000"/>
          <w:spacing w:val="0"/>
          <w:sz w:val="24"/>
          <w:lang w:val="en-CA"/>
        </w:rPr>
      </w:pPr>
      <w:r w:rsidRPr="005F3286">
        <w:rPr>
          <w:rFonts w:ascii="Arial" w:hAnsi="Arial" w:cs="Arial"/>
          <w:color w:val="000000"/>
          <w:spacing w:val="0"/>
          <w:sz w:val="24"/>
          <w:lang w:val="en-CA"/>
        </w:rPr>
        <w:t xml:space="preserve">Dated at the City of Toronto, in the Province of Ontario, this </w:t>
      </w:r>
      <w:r w:rsidR="007C1ABA">
        <w:rPr>
          <w:rFonts w:ascii="Arial" w:hAnsi="Arial" w:cs="Arial"/>
          <w:color w:val="000000"/>
          <w:spacing w:val="0"/>
          <w:sz w:val="24"/>
          <w:lang w:val="en-CA"/>
        </w:rPr>
        <w:t>11th</w:t>
      </w:r>
      <w:r w:rsidRPr="005F3286">
        <w:rPr>
          <w:rFonts w:ascii="Arial" w:hAnsi="Arial" w:cs="Arial"/>
          <w:color w:val="000000"/>
          <w:spacing w:val="0"/>
          <w:sz w:val="24"/>
          <w:lang w:val="en-CA"/>
        </w:rPr>
        <w:t xml:space="preserve"> day of </w:t>
      </w:r>
      <w:r w:rsidR="007C1ABA">
        <w:rPr>
          <w:rFonts w:ascii="Arial" w:hAnsi="Arial" w:cs="Arial"/>
          <w:color w:val="000000"/>
          <w:spacing w:val="0"/>
          <w:sz w:val="24"/>
          <w:lang w:val="en-CA"/>
        </w:rPr>
        <w:t>January, 2024</w:t>
      </w:r>
      <w:r w:rsidRPr="005F3286">
        <w:rPr>
          <w:rFonts w:ascii="Arial" w:hAnsi="Arial" w:cs="Arial"/>
          <w:color w:val="000000"/>
          <w:spacing w:val="0"/>
          <w:sz w:val="24"/>
          <w:lang w:val="en-CA"/>
        </w:rPr>
        <w:t>.</w:t>
      </w:r>
    </w:p>
    <w:p w14:paraId="5CDF1783" w14:textId="77777777" w:rsidR="003A2A74" w:rsidRPr="005F3286" w:rsidRDefault="003A2A74" w:rsidP="003A2A74">
      <w:pPr>
        <w:spacing w:line="396" w:lineRule="auto"/>
        <w:ind w:left="720"/>
        <w:rPr>
          <w:rFonts w:ascii="Arial" w:hAnsi="Arial" w:cs="Arial"/>
          <w:sz w:val="24"/>
          <w:lang w:val="en-CA"/>
        </w:rPr>
      </w:pPr>
      <w:bookmarkStart w:id="4" w:name="_Hlk95132258"/>
    </w:p>
    <w:p w14:paraId="7595DD52" w14:textId="77777777" w:rsidR="003A2A74" w:rsidRPr="005F3286" w:rsidRDefault="003A2A74" w:rsidP="002718CF">
      <w:pPr>
        <w:spacing w:line="240" w:lineRule="auto"/>
        <w:ind w:left="720"/>
        <w:rPr>
          <w:rFonts w:ascii="Arial" w:hAnsi="Arial" w:cs="Arial"/>
          <w:sz w:val="24"/>
          <w:lang w:val="en-CA"/>
        </w:rPr>
      </w:pPr>
    </w:p>
    <w:p w14:paraId="11587FBD" w14:textId="77777777" w:rsidR="003A2A74" w:rsidRPr="005F3286" w:rsidRDefault="003A2A74" w:rsidP="002718CF">
      <w:pPr>
        <w:tabs>
          <w:tab w:val="clear" w:pos="360"/>
          <w:tab w:val="clear" w:pos="720"/>
          <w:tab w:val="clear" w:pos="1800"/>
          <w:tab w:val="clear" w:pos="4680"/>
        </w:tabs>
        <w:spacing w:before="120" w:line="240" w:lineRule="auto"/>
        <w:ind w:left="1440" w:hanging="720"/>
        <w:rPr>
          <w:rFonts w:ascii="Script MT Bold" w:hAnsi="Script MT Bold" w:cs="Arial"/>
          <w:noProof/>
          <w:color w:val="0070C0"/>
          <w:sz w:val="32"/>
          <w:szCs w:val="32"/>
          <w:lang w:val="x-none" w:eastAsia="x-none"/>
        </w:rPr>
      </w:pPr>
      <w:r w:rsidRPr="005F3286">
        <w:rPr>
          <w:rFonts w:ascii="Script MT Bold" w:hAnsi="Script MT Bold" w:cs="Arial"/>
          <w:noProof/>
          <w:color w:val="0070C0"/>
          <w:sz w:val="32"/>
          <w:szCs w:val="32"/>
          <w:lang w:val="x-none" w:eastAsia="x-none"/>
        </w:rPr>
        <w:t xml:space="preserve">Veritext </w:t>
      </w:r>
      <w:r w:rsidRPr="005F3286">
        <w:rPr>
          <w:rFonts w:ascii="Script MT Bold" w:hAnsi="Script MT Bold" w:cs="Arial"/>
          <w:noProof/>
          <w:color w:val="0070C0"/>
          <w:sz w:val="32"/>
          <w:szCs w:val="32"/>
          <w:lang w:eastAsia="x-none"/>
        </w:rPr>
        <w:t xml:space="preserve">Legal Solutions, </w:t>
      </w:r>
      <w:r w:rsidRPr="005F3286">
        <w:rPr>
          <w:rFonts w:ascii="Script MT Bold" w:hAnsi="Script MT Bold" w:cs="Arial"/>
          <w:noProof/>
          <w:color w:val="0070C0"/>
          <w:sz w:val="32"/>
          <w:szCs w:val="32"/>
          <w:lang w:val="x-none" w:eastAsia="x-none"/>
        </w:rPr>
        <w:t>Canada</w:t>
      </w:r>
    </w:p>
    <w:p w14:paraId="0B292D56" w14:textId="77777777" w:rsidR="003A2A74" w:rsidRPr="005F3286" w:rsidRDefault="003A2A74" w:rsidP="002718CF">
      <w:pPr>
        <w:tabs>
          <w:tab w:val="clear" w:pos="360"/>
          <w:tab w:val="clear" w:pos="720"/>
          <w:tab w:val="clear" w:pos="1800"/>
          <w:tab w:val="clear" w:pos="4680"/>
        </w:tabs>
        <w:spacing w:before="120" w:line="240" w:lineRule="auto"/>
        <w:ind w:left="1440" w:hanging="720"/>
        <w:rPr>
          <w:rFonts w:ascii="Script MT Bold" w:hAnsi="Script MT Bold" w:cs="Arial"/>
          <w:noProof/>
          <w:sz w:val="32"/>
          <w:szCs w:val="32"/>
          <w:lang w:val="x-none" w:eastAsia="x-none"/>
        </w:rPr>
      </w:pPr>
      <w:r w:rsidRPr="005F3286">
        <w:rPr>
          <w:rFonts w:ascii="Script MT Bold" w:hAnsi="Script MT Bold" w:cs="Arial"/>
          <w:noProof/>
          <w:sz w:val="32"/>
          <w:szCs w:val="32"/>
          <w:lang w:val="x-none" w:eastAsia="x-none"/>
        </w:rPr>
        <w:t>____________________________________</w:t>
      </w:r>
    </w:p>
    <w:p w14:paraId="45BCEE25" w14:textId="77777777" w:rsidR="003A2A74" w:rsidRDefault="003A2A74" w:rsidP="002718CF">
      <w:pPr>
        <w:tabs>
          <w:tab w:val="clear" w:pos="360"/>
          <w:tab w:val="clear" w:pos="1440"/>
          <w:tab w:val="clear" w:pos="1800"/>
          <w:tab w:val="clear" w:pos="4680"/>
        </w:tabs>
        <w:spacing w:before="120" w:line="360" w:lineRule="auto"/>
        <w:rPr>
          <w:lang w:val="en-CA"/>
        </w:rPr>
      </w:pPr>
      <w:r w:rsidRPr="005F3286">
        <w:rPr>
          <w:lang w:val="x-none" w:eastAsia="x-none"/>
        </w:rPr>
        <w:tab/>
      </w:r>
      <w:r w:rsidRPr="005F3286">
        <w:rPr>
          <w:rFonts w:ascii="Arial" w:hAnsi="Arial" w:cs="Arial"/>
          <w:sz w:val="24"/>
          <w:lang w:eastAsia="x-none"/>
        </w:rPr>
        <w:t>Veritext Legal Solutions, Canada</w:t>
      </w:r>
      <w:bookmarkEnd w:id="1"/>
      <w:bookmarkEnd w:id="2"/>
      <w:bookmarkEnd w:id="3"/>
      <w:bookmarkEnd w:id="4"/>
    </w:p>
    <w:p w14:paraId="115E17B1" w14:textId="77777777" w:rsidR="00AF4076" w:rsidRDefault="00AF4076" w:rsidP="00DB132E">
      <w:pPr>
        <w:pStyle w:val="Coll"/>
        <w:rPr>
          <w:lang w:val="en-CA"/>
        </w:rPr>
      </w:pPr>
    </w:p>
    <w:p w14:paraId="664A62B7" w14:textId="77777777" w:rsidR="00F07C9E" w:rsidRDefault="00F07C9E" w:rsidP="00DB132E">
      <w:pPr>
        <w:pStyle w:val="Coll"/>
        <w:rPr>
          <w:lang w:val="en-CA"/>
        </w:rPr>
      </w:pPr>
    </w:p>
    <w:p w14:paraId="1DF10035" w14:textId="77777777" w:rsidR="002718CF" w:rsidRDefault="002718CF" w:rsidP="00DB132E">
      <w:pPr>
        <w:pStyle w:val="Coll"/>
        <w:rPr>
          <w:lang w:val="en-CA"/>
        </w:rPr>
      </w:pPr>
    </w:p>
    <w:p w14:paraId="02EA5F63" w14:textId="77777777" w:rsidR="00D00592" w:rsidRDefault="00D00592" w:rsidP="00DB132E">
      <w:pPr>
        <w:pStyle w:val="Coll"/>
        <w:rPr>
          <w:lang w:val="en-CA"/>
        </w:rPr>
      </w:pPr>
    </w:p>
    <w:p w14:paraId="1B6D16B7" w14:textId="77777777" w:rsidR="00D00592" w:rsidRDefault="00D00592" w:rsidP="00DB132E">
      <w:pPr>
        <w:pStyle w:val="Coll"/>
        <w:rPr>
          <w:lang w:val="en-CA"/>
        </w:rPr>
      </w:pPr>
    </w:p>
    <w:p w14:paraId="7547A889" w14:textId="77777777" w:rsidR="00D00592" w:rsidRDefault="00D00592" w:rsidP="00DB132E">
      <w:pPr>
        <w:pStyle w:val="Coll"/>
        <w:rPr>
          <w:lang w:val="en-CA"/>
        </w:rPr>
      </w:pPr>
    </w:p>
    <w:p w14:paraId="70D234BE" w14:textId="77777777" w:rsidR="00D00592" w:rsidRDefault="00D00592" w:rsidP="00DB132E">
      <w:pPr>
        <w:pStyle w:val="Coll"/>
        <w:rPr>
          <w:lang w:val="en-CA"/>
        </w:rPr>
      </w:pPr>
    </w:p>
    <w:p w14:paraId="201746E5" w14:textId="77777777" w:rsidR="00D00592" w:rsidRDefault="00D00592" w:rsidP="00DB132E">
      <w:pPr>
        <w:pStyle w:val="Coll"/>
        <w:rPr>
          <w:lang w:val="en-CA"/>
        </w:rPr>
      </w:pPr>
    </w:p>
    <w:p w14:paraId="328F7163" w14:textId="77777777" w:rsidR="0083644E" w:rsidRDefault="0083644E" w:rsidP="00DB132E">
      <w:pPr>
        <w:pStyle w:val="Coll"/>
        <w:rPr>
          <w:lang w:val="en-CA"/>
        </w:rPr>
      </w:pPr>
    </w:p>
    <w:p w14:paraId="1DB5257B" w14:textId="77777777" w:rsidR="0083644E" w:rsidRDefault="0083644E" w:rsidP="00DB132E">
      <w:pPr>
        <w:pStyle w:val="Coll"/>
        <w:rPr>
          <w:lang w:val="en-CA"/>
        </w:rPr>
      </w:pPr>
    </w:p>
    <w:p w14:paraId="5F17333B" w14:textId="77777777" w:rsidR="0083644E" w:rsidRDefault="0083644E" w:rsidP="00DB132E">
      <w:pPr>
        <w:pStyle w:val="Coll"/>
        <w:rPr>
          <w:lang w:val="en-CA"/>
        </w:rPr>
      </w:pPr>
    </w:p>
    <w:p w14:paraId="47B34BB4" w14:textId="77777777" w:rsidR="0083644E" w:rsidRDefault="0083644E" w:rsidP="00DB132E">
      <w:pPr>
        <w:pStyle w:val="Coll"/>
        <w:rPr>
          <w:lang w:val="en-CA"/>
        </w:rPr>
      </w:pPr>
    </w:p>
    <w:sectPr w:rsidR="0083644E" w:rsidSect="00BA104E">
      <w:headerReference w:type="default" r:id="rId11"/>
      <w:footerReference w:type="default" r:id="rId12"/>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C2C2" w14:textId="77777777" w:rsidR="00E2764D" w:rsidRDefault="00E2764D">
      <w:r>
        <w:separator/>
      </w:r>
    </w:p>
    <w:p w14:paraId="438E3E27" w14:textId="77777777" w:rsidR="00E2764D" w:rsidRDefault="00E2764D"/>
  </w:endnote>
  <w:endnote w:type="continuationSeparator" w:id="0">
    <w:p w14:paraId="0A2DFA14" w14:textId="77777777" w:rsidR="00E2764D" w:rsidRDefault="00E2764D">
      <w:r>
        <w:continuationSeparator/>
      </w:r>
    </w:p>
    <w:p w14:paraId="20DF9680" w14:textId="77777777" w:rsidR="00E2764D" w:rsidRDefault="00E27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CF39" w14:textId="797E6B67" w:rsidR="009948F7" w:rsidRDefault="00AA3AF9" w:rsidP="00BA104E">
    <w:pPr>
      <w:pStyle w:val="Footer"/>
      <w:jc w:val="center"/>
    </w:pPr>
    <w:r>
      <w:rPr>
        <w:noProof/>
      </w:rPr>
      <mc:AlternateContent>
        <mc:Choice Requires="wps">
          <w:drawing>
            <wp:anchor distT="0" distB="0" distL="114300" distR="114300" simplePos="0" relativeHeight="251658752" behindDoc="0" locked="0" layoutInCell="1" allowOverlap="1" wp14:anchorId="0E2AC846" wp14:editId="09BED858">
              <wp:simplePos x="0" y="0"/>
              <wp:positionH relativeFrom="column">
                <wp:posOffset>-421005</wp:posOffset>
              </wp:positionH>
              <wp:positionV relativeFrom="paragraph">
                <wp:posOffset>780415</wp:posOffset>
              </wp:positionV>
              <wp:extent cx="4211320" cy="275590"/>
              <wp:effectExtent l="0" t="0" r="635" b="1270"/>
              <wp:wrapNone/>
              <wp:docPr id="3967358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1E100" w14:textId="259051B9" w:rsidR="009948F7" w:rsidRPr="00DF5538" w:rsidRDefault="003A2A74"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2AC846" id="_x0000_t202" coordsize="21600,21600" o:spt="202" path="m,l,21600r21600,l21600,xe">
              <v:stroke joinstyle="miter"/>
              <v:path gradientshapeok="t" o:connecttype="rect"/>
            </v:shapetype>
            <v:shape id="Text Box 4" o:spid="_x0000_s1026" type="#_x0000_t202" style="position:absolute;left:0;text-align:left;margin-left:-33.15pt;margin-top:61.45pt;width:331.6pt;height:2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EVJ+KbeAAAACwEAAA8AAABkcnMvZG93bnJl&#10;di54bWxMj81OwzAQhO9IvIO1SNxap0GNaIhTVVRcOCBRkODoxps4qv9ku2l4e7YnuO3ujGa/abaz&#10;NWzCmEbvBKyWBTB0nVejGwR8frwsHoGlLJ2SxjsU8IMJtu3tTSNr5S/uHadDHhiFuFRLATrnUHOe&#10;Oo1WpqUP6EjrfbQy0xoHrqK8ULg1vCyKils5OvqgZcBnjd3pcLYCvqwe1T6+fffKTPvXfrcOcwxC&#10;3N/NuydgGef8Z4YrPqFDS0xHf3YqMSNgUVUPZCWhLDfAyLHeVDQc6XKVeNvw/x3aXwAAAP//AwBQ&#10;SwECLQAUAAYACAAAACEAtoM4kv4AAADhAQAAEwAAAAAAAAAAAAAAAAAAAAAAW0NvbnRlbnRfVHlw&#10;ZXNdLnhtbFBLAQItABQABgAIAAAAIQA4/SH/1gAAAJQBAAALAAAAAAAAAAAAAAAAAC8BAABfcmVs&#10;cy8ucmVsc1BLAQItABQABgAIAAAAIQCWTNgN8gEAAMoDAAAOAAAAAAAAAAAAAAAAAC4CAABkcnMv&#10;ZTJvRG9jLnhtbFBLAQItABQABgAIAAAAIQBFSfim3gAAAAsBAAAPAAAAAAAAAAAAAAAAAEwEAABk&#10;cnMvZG93bnJldi54bWxQSwUGAAAAAAQABADzAAAAVwUAAAAA&#10;" stroked="f">
              <v:textbox style="mso-fit-shape-to-text:t">
                <w:txbxContent>
                  <w:p w14:paraId="1A51E100" w14:textId="259051B9" w:rsidR="009948F7" w:rsidRPr="00DF5538" w:rsidRDefault="003A2A74"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 CANADA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EA2C" w14:textId="04C43867" w:rsidR="005227DC" w:rsidRPr="00521BD5" w:rsidRDefault="00AA3AF9"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14:anchorId="42E70C33" wp14:editId="66AFE3D4">
              <wp:simplePos x="0" y="0"/>
              <wp:positionH relativeFrom="column">
                <wp:posOffset>-421005</wp:posOffset>
              </wp:positionH>
              <wp:positionV relativeFrom="paragraph">
                <wp:posOffset>782320</wp:posOffset>
              </wp:positionV>
              <wp:extent cx="4211320" cy="275590"/>
              <wp:effectExtent l="0" t="1270" r="635" b="3175"/>
              <wp:wrapNone/>
              <wp:docPr id="911276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B257F" w14:textId="3DF50E2D" w:rsidR="005227DC" w:rsidRPr="00DF5538" w:rsidRDefault="005227DC" w:rsidP="00DF5538">
                          <w:pPr>
                            <w:rPr>
                              <w:rFonts w:ascii="Arial" w:hAnsi="Arial" w:cs="Arial"/>
                              <w:b/>
                              <w:sz w:val="24"/>
                            </w:rPr>
                          </w:pPr>
                          <w:r w:rsidRPr="00DF5538">
                            <w:rPr>
                              <w:rFonts w:ascii="Arial" w:hAnsi="Arial" w:cs="Arial"/>
                              <w:b/>
                              <w:sz w:val="24"/>
                            </w:rPr>
                            <w:t xml:space="preserve">VERITEXT </w:t>
                          </w:r>
                          <w:r w:rsidR="003A2A74">
                            <w:rPr>
                              <w:rFonts w:ascii="Arial" w:hAnsi="Arial" w:cs="Arial"/>
                              <w:b/>
                              <w:sz w:val="24"/>
                            </w:rPr>
                            <w:t>LEGAL SOLUTIONS,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E70C33" id="_x0000_t202" coordsize="21600,21600" o:spt="202" path="m,l,21600r21600,l21600,xe">
              <v:stroke joinstyle="miter"/>
              <v:path gradientshapeok="t" o:connecttype="rect"/>
            </v:shapetype>
            <v:shape id="Text Box 2" o:spid="_x0000_s1027" type="#_x0000_t202" style="position:absolute;left:0;text-align:left;margin-left:-33.15pt;margin-top:61.6pt;width:331.6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AOrPZP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HWhFJQrktgRGy2Ygv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A6s9k98AAAALAQAADwAAAAAAAAAAAAAAAABP&#10;BAAAZHJzL2Rvd25yZXYueG1sUEsFBgAAAAAEAAQA8wAAAFsFAAAAAA==&#10;" stroked="f">
              <v:textbox style="mso-fit-shape-to-text:t">
                <w:txbxContent>
                  <w:p w14:paraId="0A7B257F" w14:textId="3DF50E2D" w:rsidR="005227DC" w:rsidRPr="00DF5538" w:rsidRDefault="005227DC" w:rsidP="00DF5538">
                    <w:pPr>
                      <w:rPr>
                        <w:rFonts w:ascii="Arial" w:hAnsi="Arial" w:cs="Arial"/>
                        <w:b/>
                        <w:sz w:val="24"/>
                      </w:rPr>
                    </w:pPr>
                    <w:r w:rsidRPr="00DF5538">
                      <w:rPr>
                        <w:rFonts w:ascii="Arial" w:hAnsi="Arial" w:cs="Arial"/>
                        <w:b/>
                        <w:sz w:val="24"/>
                      </w:rPr>
                      <w:t xml:space="preserve">VERITEXT </w:t>
                    </w:r>
                    <w:r w:rsidR="003A2A74">
                      <w:rPr>
                        <w:rFonts w:ascii="Arial" w:hAnsi="Arial" w:cs="Arial"/>
                        <w:b/>
                        <w:sz w:val="24"/>
                      </w:rPr>
                      <w:t>LEGAL SOLUTIONS, CANADA</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ii</w:t>
    </w:r>
    <w:r w:rsidR="005227DC"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1A39" w14:textId="7B373AD2" w:rsidR="005227DC" w:rsidRPr="00521BD5" w:rsidRDefault="00AA3AF9"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6704" behindDoc="0" locked="0" layoutInCell="1" allowOverlap="1" wp14:anchorId="34CBCFBA" wp14:editId="35D3036D">
              <wp:simplePos x="0" y="0"/>
              <wp:positionH relativeFrom="column">
                <wp:posOffset>-424815</wp:posOffset>
              </wp:positionH>
              <wp:positionV relativeFrom="paragraph">
                <wp:posOffset>782320</wp:posOffset>
              </wp:positionV>
              <wp:extent cx="4211320" cy="275590"/>
              <wp:effectExtent l="3810" t="1270" r="4445" b="3175"/>
              <wp:wrapNone/>
              <wp:docPr id="1450839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4F23F" w14:textId="6E22193F" w:rsidR="005227DC" w:rsidRPr="00DF5538" w:rsidRDefault="00E14C24">
                          <w:pPr>
                            <w:rPr>
                              <w:rFonts w:ascii="Arial" w:hAnsi="Arial" w:cs="Arial"/>
                              <w:b/>
                              <w:sz w:val="24"/>
                            </w:rPr>
                          </w:pPr>
                          <w:r>
                            <w:rPr>
                              <w:rFonts w:ascii="Arial" w:hAnsi="Arial" w:cs="Arial"/>
                              <w:b/>
                              <w:sz w:val="24"/>
                            </w:rPr>
                            <w:t>V</w:t>
                          </w:r>
                          <w:r w:rsidR="005227DC" w:rsidRPr="00DF5538">
                            <w:rPr>
                              <w:rFonts w:ascii="Arial" w:hAnsi="Arial" w:cs="Arial"/>
                              <w:b/>
                              <w:sz w:val="24"/>
                            </w:rPr>
                            <w:t xml:space="preserve">ERITEXT </w:t>
                          </w:r>
                          <w:r>
                            <w:rPr>
                              <w:rFonts w:ascii="Arial" w:hAnsi="Arial" w:cs="Arial"/>
                              <w:b/>
                              <w:sz w:val="24"/>
                            </w:rPr>
                            <w:t>LEGAL SOLUTIONS,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CBCFBA" id="_x0000_t202" coordsize="21600,21600" o:spt="202" path="m,l,21600r21600,l21600,xe">
              <v:stroke joinstyle="miter"/>
              <v:path gradientshapeok="t" o:connecttype="rect"/>
            </v:shapetype>
            <v:shape id="_x0000_s1028" type="#_x0000_t202" style="position:absolute;left:0;text-align:left;margin-left:-33.45pt;margin-top:61.6pt;width:331.6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59g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NXUZISLrCuoj8UaYfEX/AW06wN+cDeSpkvtf&#10;e4GKM/PJkna3+XIZTZiC5eomssbrTHWdEVYSVMkDZ9N2Gybj7h3qtqNK52ndk947naR47urUPvkm&#10;KXTyeDTmdZxuPf+Jmz8AAAD//wMAUEsDBBQABgAIAAAAIQDtXsQq3wAAAAsBAAAPAAAAZHJzL2Rv&#10;d25yZXYueG1sTI/BTsMwDIbvSLxDZCRuW7pOi1hpOk1MXDggMZDgmDVpUy1xqiTryttjTnC0/0+/&#10;P9e72Ts2mZiGgBJWywKYwTboAXsJH+/PiwdgKSvUygU0Er5Ngl1ze1OrSocrvpnpmHtGJZgqJcHm&#10;PFacp9Yar9IyjAYp60L0KtMYe66julK5d7wsCsG9GpAuWDWaJ2va8/HiJXx6O+hDfP3qtJsOL91+&#10;M85xlPL+bt4/Astmzn8w/OqTOjTkdAoX1Ik5CQshtoRSUK5LYERstmIN7EQbIQTwpub/f2h+AAAA&#10;//8DAFBLAQItABQABgAIAAAAIQC2gziS/gAAAOEBAAATAAAAAAAAAAAAAAAAAAAAAABbQ29udGVu&#10;dF9UeXBlc10ueG1sUEsBAi0AFAAGAAgAAAAhADj9If/WAAAAlAEAAAsAAAAAAAAAAAAAAAAALwEA&#10;AF9yZWxzLy5yZWxzUEsBAi0AFAAGAAgAAAAhANcr+3n2AQAA0QMAAA4AAAAAAAAAAAAAAAAALgIA&#10;AGRycy9lMm9Eb2MueG1sUEsBAi0AFAAGAAgAAAAhAO1exCrfAAAACwEAAA8AAAAAAAAAAAAAAAAA&#10;UAQAAGRycy9kb3ducmV2LnhtbFBLBQYAAAAABAAEAPMAAABcBQAAAAA=&#10;" stroked="f">
              <v:textbox style="mso-fit-shape-to-text:t">
                <w:txbxContent>
                  <w:p w14:paraId="6BA4F23F" w14:textId="6E22193F" w:rsidR="005227DC" w:rsidRPr="00DF5538" w:rsidRDefault="00E14C24">
                    <w:pPr>
                      <w:rPr>
                        <w:rFonts w:ascii="Arial" w:hAnsi="Arial" w:cs="Arial"/>
                        <w:b/>
                        <w:sz w:val="24"/>
                      </w:rPr>
                    </w:pPr>
                    <w:r>
                      <w:rPr>
                        <w:rFonts w:ascii="Arial" w:hAnsi="Arial" w:cs="Arial"/>
                        <w:b/>
                        <w:sz w:val="24"/>
                      </w:rPr>
                      <w:t>V</w:t>
                    </w:r>
                    <w:r w:rsidR="005227DC" w:rsidRPr="00DF5538">
                      <w:rPr>
                        <w:rFonts w:ascii="Arial" w:hAnsi="Arial" w:cs="Arial"/>
                        <w:b/>
                        <w:sz w:val="24"/>
                      </w:rPr>
                      <w:t xml:space="preserve">ERITEXT </w:t>
                    </w:r>
                    <w:r>
                      <w:rPr>
                        <w:rFonts w:ascii="Arial" w:hAnsi="Arial" w:cs="Arial"/>
                        <w:b/>
                        <w:sz w:val="24"/>
                      </w:rPr>
                      <w:t>LEGAL SOLUTIONS, CANADA</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1</w:t>
    </w:r>
    <w:r w:rsidR="005227DC"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F25" w14:textId="77777777" w:rsidR="00E2764D" w:rsidRDefault="00E2764D">
      <w:r>
        <w:separator/>
      </w:r>
    </w:p>
    <w:p w14:paraId="104CC733" w14:textId="77777777" w:rsidR="00E2764D" w:rsidRDefault="00E2764D"/>
  </w:footnote>
  <w:footnote w:type="continuationSeparator" w:id="0">
    <w:p w14:paraId="6CD93655" w14:textId="77777777" w:rsidR="00E2764D" w:rsidRDefault="00E2764D">
      <w:r>
        <w:continuationSeparator/>
      </w:r>
    </w:p>
    <w:p w14:paraId="640646D9" w14:textId="77777777" w:rsidR="00E2764D" w:rsidRDefault="00E27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D813" w14:textId="77777777" w:rsidR="005227DC" w:rsidRPr="000350D3" w:rsidRDefault="005227DC" w:rsidP="00E8293E">
    <w:pPr>
      <w:jc w:val="center"/>
      <w:rPr>
        <w:rFonts w:cs="Times New Roman"/>
      </w:rPr>
    </w:pPr>
  </w:p>
  <w:p w14:paraId="4A5C3442" w14:textId="77777777" w:rsidR="005227DC" w:rsidRPr="00A15459" w:rsidRDefault="005227D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7DAE" w14:textId="77777777" w:rsidR="005227DC" w:rsidRPr="000350D3" w:rsidRDefault="005227DC" w:rsidP="00E8293E">
    <w:pPr>
      <w:jc w:val="center"/>
      <w:rPr>
        <w:rFonts w:cs="Times New Roman"/>
      </w:rPr>
    </w:pPr>
  </w:p>
  <w:p w14:paraId="19F24006" w14:textId="77777777" w:rsidR="005227DC" w:rsidRPr="005A45EC" w:rsidRDefault="005227D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15B6294"/>
    <w:multiLevelType w:val="hybridMultilevel"/>
    <w:tmpl w:val="9A621BD8"/>
    <w:lvl w:ilvl="0" w:tplc="A7E80E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3"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5"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6207770">
    <w:abstractNumId w:val="3"/>
  </w:num>
  <w:num w:numId="2" w16cid:durableId="916020027">
    <w:abstractNumId w:val="25"/>
  </w:num>
  <w:num w:numId="3" w16cid:durableId="1034771496">
    <w:abstractNumId w:val="21"/>
  </w:num>
  <w:num w:numId="4" w16cid:durableId="852911696">
    <w:abstractNumId w:val="22"/>
  </w:num>
  <w:num w:numId="5" w16cid:durableId="1529949150">
    <w:abstractNumId w:val="19"/>
  </w:num>
  <w:num w:numId="6" w16cid:durableId="475757631">
    <w:abstractNumId w:val="12"/>
  </w:num>
  <w:num w:numId="7" w16cid:durableId="1473323659">
    <w:abstractNumId w:val="2"/>
  </w:num>
  <w:num w:numId="8" w16cid:durableId="1614290103">
    <w:abstractNumId w:val="18"/>
  </w:num>
  <w:num w:numId="9" w16cid:durableId="1059011812">
    <w:abstractNumId w:val="15"/>
  </w:num>
  <w:num w:numId="10" w16cid:durableId="1142304672">
    <w:abstractNumId w:val="17"/>
  </w:num>
  <w:num w:numId="11" w16cid:durableId="1378046466">
    <w:abstractNumId w:val="14"/>
  </w:num>
  <w:num w:numId="12" w16cid:durableId="1649556497">
    <w:abstractNumId w:val="13"/>
  </w:num>
  <w:num w:numId="13" w16cid:durableId="454566443">
    <w:abstractNumId w:val="9"/>
  </w:num>
  <w:num w:numId="14" w16cid:durableId="2087410049">
    <w:abstractNumId w:val="8"/>
  </w:num>
  <w:num w:numId="15" w16cid:durableId="1639526845">
    <w:abstractNumId w:val="24"/>
  </w:num>
  <w:num w:numId="16" w16cid:durableId="1748192318">
    <w:abstractNumId w:val="5"/>
  </w:num>
  <w:num w:numId="17" w16cid:durableId="868251769">
    <w:abstractNumId w:val="10"/>
  </w:num>
  <w:num w:numId="18" w16cid:durableId="52851152">
    <w:abstractNumId w:val="7"/>
  </w:num>
  <w:num w:numId="19" w16cid:durableId="2064601273">
    <w:abstractNumId w:val="11"/>
  </w:num>
  <w:num w:numId="20" w16cid:durableId="192815911">
    <w:abstractNumId w:val="1"/>
  </w:num>
  <w:num w:numId="21" w16cid:durableId="1156460982">
    <w:abstractNumId w:val="4"/>
  </w:num>
  <w:num w:numId="22" w16cid:durableId="1565028432">
    <w:abstractNumId w:val="0"/>
  </w:num>
  <w:num w:numId="23" w16cid:durableId="130099559">
    <w:abstractNumId w:val="6"/>
  </w:num>
  <w:num w:numId="24" w16cid:durableId="142167287">
    <w:abstractNumId w:val="20"/>
  </w:num>
  <w:num w:numId="25" w16cid:durableId="1529370269">
    <w:abstractNumId w:val="23"/>
  </w:num>
  <w:num w:numId="26" w16cid:durableId="136755877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attachedTemplate r:id="rId1"/>
  <w:defaultTabStop w:val="2880"/>
  <w:drawingGridHorizontalSpacing w:val="2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7C2BA0-1582-4588-8998-869F8DC00968}"/>
    <w:docVar w:name="dgnword-eventsink" w:val="95753992"/>
  </w:docVars>
  <w:rsids>
    <w:rsidRoot w:val="009948F7"/>
    <w:rsid w:val="000017CE"/>
    <w:rsid w:val="00002A8E"/>
    <w:rsid w:val="00005921"/>
    <w:rsid w:val="00006165"/>
    <w:rsid w:val="00006F56"/>
    <w:rsid w:val="0001487C"/>
    <w:rsid w:val="00014DB8"/>
    <w:rsid w:val="00015E24"/>
    <w:rsid w:val="000161E0"/>
    <w:rsid w:val="00017786"/>
    <w:rsid w:val="00020C0F"/>
    <w:rsid w:val="00022E97"/>
    <w:rsid w:val="00022EEF"/>
    <w:rsid w:val="00025553"/>
    <w:rsid w:val="00026755"/>
    <w:rsid w:val="00032904"/>
    <w:rsid w:val="00034676"/>
    <w:rsid w:val="000350D3"/>
    <w:rsid w:val="0003695B"/>
    <w:rsid w:val="00040AF1"/>
    <w:rsid w:val="00041AF4"/>
    <w:rsid w:val="000421B0"/>
    <w:rsid w:val="0004284F"/>
    <w:rsid w:val="00042A67"/>
    <w:rsid w:val="00044A37"/>
    <w:rsid w:val="00045DB9"/>
    <w:rsid w:val="00051850"/>
    <w:rsid w:val="00051AF3"/>
    <w:rsid w:val="00052303"/>
    <w:rsid w:val="00054E07"/>
    <w:rsid w:val="000553AD"/>
    <w:rsid w:val="0006198F"/>
    <w:rsid w:val="000627BB"/>
    <w:rsid w:val="0006344C"/>
    <w:rsid w:val="00063C4E"/>
    <w:rsid w:val="00071497"/>
    <w:rsid w:val="00071D54"/>
    <w:rsid w:val="00074647"/>
    <w:rsid w:val="00074B3E"/>
    <w:rsid w:val="00076FCA"/>
    <w:rsid w:val="0008103D"/>
    <w:rsid w:val="00082DF6"/>
    <w:rsid w:val="0008397C"/>
    <w:rsid w:val="000842ED"/>
    <w:rsid w:val="000847D9"/>
    <w:rsid w:val="00085521"/>
    <w:rsid w:val="00085666"/>
    <w:rsid w:val="00086753"/>
    <w:rsid w:val="00086942"/>
    <w:rsid w:val="00087C4F"/>
    <w:rsid w:val="00087CCB"/>
    <w:rsid w:val="00091977"/>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C0D10"/>
    <w:rsid w:val="000C136B"/>
    <w:rsid w:val="000C3B78"/>
    <w:rsid w:val="000C5654"/>
    <w:rsid w:val="000C6268"/>
    <w:rsid w:val="000C6540"/>
    <w:rsid w:val="000C6C65"/>
    <w:rsid w:val="000D0414"/>
    <w:rsid w:val="000D3030"/>
    <w:rsid w:val="000D40AF"/>
    <w:rsid w:val="000D42EE"/>
    <w:rsid w:val="000D687F"/>
    <w:rsid w:val="000D6E93"/>
    <w:rsid w:val="000D709A"/>
    <w:rsid w:val="000E0623"/>
    <w:rsid w:val="000E0BC5"/>
    <w:rsid w:val="000E276B"/>
    <w:rsid w:val="000E30FE"/>
    <w:rsid w:val="000E3233"/>
    <w:rsid w:val="000E34F1"/>
    <w:rsid w:val="000E6752"/>
    <w:rsid w:val="000E7C87"/>
    <w:rsid w:val="000F0666"/>
    <w:rsid w:val="000F10E1"/>
    <w:rsid w:val="000F5BA3"/>
    <w:rsid w:val="001037FF"/>
    <w:rsid w:val="00104670"/>
    <w:rsid w:val="00105FE8"/>
    <w:rsid w:val="001068AE"/>
    <w:rsid w:val="001079C0"/>
    <w:rsid w:val="001105F6"/>
    <w:rsid w:val="00113027"/>
    <w:rsid w:val="0011316D"/>
    <w:rsid w:val="00113804"/>
    <w:rsid w:val="001151BF"/>
    <w:rsid w:val="0011582A"/>
    <w:rsid w:val="00115E4A"/>
    <w:rsid w:val="001167D6"/>
    <w:rsid w:val="00120F72"/>
    <w:rsid w:val="001239F0"/>
    <w:rsid w:val="00127A95"/>
    <w:rsid w:val="00127CDD"/>
    <w:rsid w:val="00130B9C"/>
    <w:rsid w:val="00135DE2"/>
    <w:rsid w:val="001406FF"/>
    <w:rsid w:val="001407A5"/>
    <w:rsid w:val="0014266B"/>
    <w:rsid w:val="0014318A"/>
    <w:rsid w:val="00144207"/>
    <w:rsid w:val="00145A79"/>
    <w:rsid w:val="00145D11"/>
    <w:rsid w:val="00147CAA"/>
    <w:rsid w:val="0015173B"/>
    <w:rsid w:val="00151CFA"/>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911"/>
    <w:rsid w:val="00166D40"/>
    <w:rsid w:val="001709D3"/>
    <w:rsid w:val="0017147C"/>
    <w:rsid w:val="001725C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2361"/>
    <w:rsid w:val="001948F4"/>
    <w:rsid w:val="0019521C"/>
    <w:rsid w:val="0019566D"/>
    <w:rsid w:val="00195C57"/>
    <w:rsid w:val="0019709D"/>
    <w:rsid w:val="001973B1"/>
    <w:rsid w:val="001A0443"/>
    <w:rsid w:val="001A05B9"/>
    <w:rsid w:val="001A130C"/>
    <w:rsid w:val="001A1448"/>
    <w:rsid w:val="001A6498"/>
    <w:rsid w:val="001A7368"/>
    <w:rsid w:val="001B0951"/>
    <w:rsid w:val="001B5723"/>
    <w:rsid w:val="001B58C8"/>
    <w:rsid w:val="001B5CC2"/>
    <w:rsid w:val="001B5F6E"/>
    <w:rsid w:val="001B615C"/>
    <w:rsid w:val="001B637E"/>
    <w:rsid w:val="001B725A"/>
    <w:rsid w:val="001B7385"/>
    <w:rsid w:val="001C0D20"/>
    <w:rsid w:val="001C268E"/>
    <w:rsid w:val="001C370D"/>
    <w:rsid w:val="001C3929"/>
    <w:rsid w:val="001D0C26"/>
    <w:rsid w:val="001D2289"/>
    <w:rsid w:val="001D3435"/>
    <w:rsid w:val="001D497E"/>
    <w:rsid w:val="001D5B80"/>
    <w:rsid w:val="001D6898"/>
    <w:rsid w:val="001D6C07"/>
    <w:rsid w:val="001D7683"/>
    <w:rsid w:val="001E18E4"/>
    <w:rsid w:val="001E233A"/>
    <w:rsid w:val="001E5130"/>
    <w:rsid w:val="001E6EE2"/>
    <w:rsid w:val="001F2694"/>
    <w:rsid w:val="001F3369"/>
    <w:rsid w:val="001F36AD"/>
    <w:rsid w:val="001F3DC5"/>
    <w:rsid w:val="001F6870"/>
    <w:rsid w:val="001F70E7"/>
    <w:rsid w:val="001F741B"/>
    <w:rsid w:val="002006F3"/>
    <w:rsid w:val="00202D94"/>
    <w:rsid w:val="00203421"/>
    <w:rsid w:val="002058C0"/>
    <w:rsid w:val="0020666C"/>
    <w:rsid w:val="00210B5B"/>
    <w:rsid w:val="0021416C"/>
    <w:rsid w:val="00215F49"/>
    <w:rsid w:val="0021725E"/>
    <w:rsid w:val="00220972"/>
    <w:rsid w:val="0022633E"/>
    <w:rsid w:val="002318CC"/>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63D6"/>
    <w:rsid w:val="00246D8E"/>
    <w:rsid w:val="0024731D"/>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E71"/>
    <w:rsid w:val="002718CF"/>
    <w:rsid w:val="00275063"/>
    <w:rsid w:val="00275756"/>
    <w:rsid w:val="002768B3"/>
    <w:rsid w:val="00283258"/>
    <w:rsid w:val="002833D9"/>
    <w:rsid w:val="002840D2"/>
    <w:rsid w:val="00285D16"/>
    <w:rsid w:val="002910B2"/>
    <w:rsid w:val="002A02E7"/>
    <w:rsid w:val="002A4600"/>
    <w:rsid w:val="002A56D5"/>
    <w:rsid w:val="002A714D"/>
    <w:rsid w:val="002B0F75"/>
    <w:rsid w:val="002B26C8"/>
    <w:rsid w:val="002B4D5E"/>
    <w:rsid w:val="002B554A"/>
    <w:rsid w:val="002C0BEF"/>
    <w:rsid w:val="002C2327"/>
    <w:rsid w:val="002C2CF5"/>
    <w:rsid w:val="002C4FEA"/>
    <w:rsid w:val="002C6611"/>
    <w:rsid w:val="002D170E"/>
    <w:rsid w:val="002D265D"/>
    <w:rsid w:val="002D32E2"/>
    <w:rsid w:val="002D3304"/>
    <w:rsid w:val="002D3E09"/>
    <w:rsid w:val="002D5146"/>
    <w:rsid w:val="002D562C"/>
    <w:rsid w:val="002D5BEB"/>
    <w:rsid w:val="002D78F6"/>
    <w:rsid w:val="002E1C4E"/>
    <w:rsid w:val="002E346D"/>
    <w:rsid w:val="002E48FC"/>
    <w:rsid w:val="002F1162"/>
    <w:rsid w:val="002F4ABC"/>
    <w:rsid w:val="002F61FA"/>
    <w:rsid w:val="002F67F0"/>
    <w:rsid w:val="002F68DD"/>
    <w:rsid w:val="002F7059"/>
    <w:rsid w:val="00303602"/>
    <w:rsid w:val="00305C3B"/>
    <w:rsid w:val="00306531"/>
    <w:rsid w:val="0030736A"/>
    <w:rsid w:val="0031202C"/>
    <w:rsid w:val="0031334D"/>
    <w:rsid w:val="00313F9E"/>
    <w:rsid w:val="003140D6"/>
    <w:rsid w:val="00315B5F"/>
    <w:rsid w:val="00317659"/>
    <w:rsid w:val="00317801"/>
    <w:rsid w:val="00317996"/>
    <w:rsid w:val="00317F69"/>
    <w:rsid w:val="0032082F"/>
    <w:rsid w:val="003209DA"/>
    <w:rsid w:val="00322107"/>
    <w:rsid w:val="00324D47"/>
    <w:rsid w:val="00325467"/>
    <w:rsid w:val="003265ED"/>
    <w:rsid w:val="00327AD9"/>
    <w:rsid w:val="00327E89"/>
    <w:rsid w:val="00330A96"/>
    <w:rsid w:val="003340AD"/>
    <w:rsid w:val="003347D7"/>
    <w:rsid w:val="0033688D"/>
    <w:rsid w:val="0034045C"/>
    <w:rsid w:val="00340C48"/>
    <w:rsid w:val="003429BD"/>
    <w:rsid w:val="00343581"/>
    <w:rsid w:val="0034370D"/>
    <w:rsid w:val="00346929"/>
    <w:rsid w:val="00350412"/>
    <w:rsid w:val="003527FD"/>
    <w:rsid w:val="00357D76"/>
    <w:rsid w:val="00360A74"/>
    <w:rsid w:val="003625C5"/>
    <w:rsid w:val="00362B97"/>
    <w:rsid w:val="00364B39"/>
    <w:rsid w:val="00364D2A"/>
    <w:rsid w:val="0036712E"/>
    <w:rsid w:val="00370365"/>
    <w:rsid w:val="003703C3"/>
    <w:rsid w:val="00371CEE"/>
    <w:rsid w:val="0037249E"/>
    <w:rsid w:val="00374D29"/>
    <w:rsid w:val="00374F56"/>
    <w:rsid w:val="003771BC"/>
    <w:rsid w:val="0037727F"/>
    <w:rsid w:val="003778B1"/>
    <w:rsid w:val="00377C00"/>
    <w:rsid w:val="003833CA"/>
    <w:rsid w:val="00390412"/>
    <w:rsid w:val="00390F83"/>
    <w:rsid w:val="003915EF"/>
    <w:rsid w:val="00391915"/>
    <w:rsid w:val="00391E7C"/>
    <w:rsid w:val="00394B39"/>
    <w:rsid w:val="003A277F"/>
    <w:rsid w:val="003A2A74"/>
    <w:rsid w:val="003A607B"/>
    <w:rsid w:val="003A6E9F"/>
    <w:rsid w:val="003A7F29"/>
    <w:rsid w:val="003B054A"/>
    <w:rsid w:val="003B1633"/>
    <w:rsid w:val="003B3182"/>
    <w:rsid w:val="003B35A6"/>
    <w:rsid w:val="003B3E64"/>
    <w:rsid w:val="003B5DF0"/>
    <w:rsid w:val="003B75CB"/>
    <w:rsid w:val="003C1D13"/>
    <w:rsid w:val="003C609A"/>
    <w:rsid w:val="003C6F24"/>
    <w:rsid w:val="003C7F1E"/>
    <w:rsid w:val="003D017D"/>
    <w:rsid w:val="003D0C2C"/>
    <w:rsid w:val="003D0FDE"/>
    <w:rsid w:val="003D1BF5"/>
    <w:rsid w:val="003D47A5"/>
    <w:rsid w:val="003D49FE"/>
    <w:rsid w:val="003D6293"/>
    <w:rsid w:val="003D657F"/>
    <w:rsid w:val="003E0A89"/>
    <w:rsid w:val="003E1568"/>
    <w:rsid w:val="003E1CA2"/>
    <w:rsid w:val="003E294C"/>
    <w:rsid w:val="003E35CF"/>
    <w:rsid w:val="003E3A48"/>
    <w:rsid w:val="003E5BB6"/>
    <w:rsid w:val="003E65CF"/>
    <w:rsid w:val="003E6B89"/>
    <w:rsid w:val="003F1C12"/>
    <w:rsid w:val="003F1F14"/>
    <w:rsid w:val="003F3EFA"/>
    <w:rsid w:val="003F654D"/>
    <w:rsid w:val="003F66C8"/>
    <w:rsid w:val="003F66FB"/>
    <w:rsid w:val="003F7DB4"/>
    <w:rsid w:val="00400265"/>
    <w:rsid w:val="00400620"/>
    <w:rsid w:val="004009AA"/>
    <w:rsid w:val="00404EBC"/>
    <w:rsid w:val="00406DBD"/>
    <w:rsid w:val="00406DD4"/>
    <w:rsid w:val="00410E98"/>
    <w:rsid w:val="00412441"/>
    <w:rsid w:val="00412AFE"/>
    <w:rsid w:val="00415C8E"/>
    <w:rsid w:val="0042029C"/>
    <w:rsid w:val="00420869"/>
    <w:rsid w:val="004211EF"/>
    <w:rsid w:val="00423711"/>
    <w:rsid w:val="004240E4"/>
    <w:rsid w:val="004248B5"/>
    <w:rsid w:val="00425984"/>
    <w:rsid w:val="00425CB2"/>
    <w:rsid w:val="004260AF"/>
    <w:rsid w:val="00430696"/>
    <w:rsid w:val="00430D24"/>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7909"/>
    <w:rsid w:val="00457DB6"/>
    <w:rsid w:val="00461E5D"/>
    <w:rsid w:val="00461F2F"/>
    <w:rsid w:val="004621BF"/>
    <w:rsid w:val="00465767"/>
    <w:rsid w:val="00466501"/>
    <w:rsid w:val="00466A65"/>
    <w:rsid w:val="00467781"/>
    <w:rsid w:val="00467D83"/>
    <w:rsid w:val="00470449"/>
    <w:rsid w:val="0047154A"/>
    <w:rsid w:val="00472626"/>
    <w:rsid w:val="0047598F"/>
    <w:rsid w:val="004771BA"/>
    <w:rsid w:val="004830D0"/>
    <w:rsid w:val="00483DF4"/>
    <w:rsid w:val="00484798"/>
    <w:rsid w:val="00485FF6"/>
    <w:rsid w:val="00490CE6"/>
    <w:rsid w:val="00491429"/>
    <w:rsid w:val="0049286D"/>
    <w:rsid w:val="004939EA"/>
    <w:rsid w:val="004940E5"/>
    <w:rsid w:val="004946A1"/>
    <w:rsid w:val="004A4863"/>
    <w:rsid w:val="004A5466"/>
    <w:rsid w:val="004A7304"/>
    <w:rsid w:val="004A7655"/>
    <w:rsid w:val="004B0E2B"/>
    <w:rsid w:val="004B1991"/>
    <w:rsid w:val="004B3B33"/>
    <w:rsid w:val="004B3C20"/>
    <w:rsid w:val="004B56F1"/>
    <w:rsid w:val="004B5CD5"/>
    <w:rsid w:val="004B5EDF"/>
    <w:rsid w:val="004B66BD"/>
    <w:rsid w:val="004B6EBB"/>
    <w:rsid w:val="004B77C0"/>
    <w:rsid w:val="004B7E62"/>
    <w:rsid w:val="004C081A"/>
    <w:rsid w:val="004C127B"/>
    <w:rsid w:val="004C2305"/>
    <w:rsid w:val="004C3495"/>
    <w:rsid w:val="004C4F46"/>
    <w:rsid w:val="004C66D7"/>
    <w:rsid w:val="004C722F"/>
    <w:rsid w:val="004C7A26"/>
    <w:rsid w:val="004D2DE0"/>
    <w:rsid w:val="004D318A"/>
    <w:rsid w:val="004D4B93"/>
    <w:rsid w:val="004E0081"/>
    <w:rsid w:val="004E00A4"/>
    <w:rsid w:val="004E1B84"/>
    <w:rsid w:val="004E29ED"/>
    <w:rsid w:val="004E3C62"/>
    <w:rsid w:val="004E6C5F"/>
    <w:rsid w:val="004F04C6"/>
    <w:rsid w:val="004F174F"/>
    <w:rsid w:val="004F1A36"/>
    <w:rsid w:val="004F1EED"/>
    <w:rsid w:val="004F29AD"/>
    <w:rsid w:val="004F42FF"/>
    <w:rsid w:val="004F4E9A"/>
    <w:rsid w:val="004F5241"/>
    <w:rsid w:val="004F530D"/>
    <w:rsid w:val="004F549A"/>
    <w:rsid w:val="004F69B7"/>
    <w:rsid w:val="004F7B6D"/>
    <w:rsid w:val="005029C7"/>
    <w:rsid w:val="00504717"/>
    <w:rsid w:val="00506753"/>
    <w:rsid w:val="00506F0F"/>
    <w:rsid w:val="00507C38"/>
    <w:rsid w:val="005120C9"/>
    <w:rsid w:val="00515CF5"/>
    <w:rsid w:val="00516846"/>
    <w:rsid w:val="005172F5"/>
    <w:rsid w:val="00517C9C"/>
    <w:rsid w:val="0052099A"/>
    <w:rsid w:val="005211D4"/>
    <w:rsid w:val="00521BD5"/>
    <w:rsid w:val="00521F84"/>
    <w:rsid w:val="005227DC"/>
    <w:rsid w:val="005235BF"/>
    <w:rsid w:val="00525042"/>
    <w:rsid w:val="00526E11"/>
    <w:rsid w:val="00527CE9"/>
    <w:rsid w:val="00527F9E"/>
    <w:rsid w:val="00532263"/>
    <w:rsid w:val="005325E4"/>
    <w:rsid w:val="00532D60"/>
    <w:rsid w:val="00533CB1"/>
    <w:rsid w:val="00533D15"/>
    <w:rsid w:val="00535751"/>
    <w:rsid w:val="00535F22"/>
    <w:rsid w:val="0053707F"/>
    <w:rsid w:val="00541BCA"/>
    <w:rsid w:val="0054219F"/>
    <w:rsid w:val="00542670"/>
    <w:rsid w:val="005428F2"/>
    <w:rsid w:val="005437E9"/>
    <w:rsid w:val="00544CFE"/>
    <w:rsid w:val="0054580C"/>
    <w:rsid w:val="005529DC"/>
    <w:rsid w:val="00553DCC"/>
    <w:rsid w:val="00561651"/>
    <w:rsid w:val="00563A5F"/>
    <w:rsid w:val="00564F81"/>
    <w:rsid w:val="00566F95"/>
    <w:rsid w:val="00570CE1"/>
    <w:rsid w:val="00570F5B"/>
    <w:rsid w:val="00572912"/>
    <w:rsid w:val="0057337B"/>
    <w:rsid w:val="00573921"/>
    <w:rsid w:val="00573E99"/>
    <w:rsid w:val="0057426B"/>
    <w:rsid w:val="00575AB3"/>
    <w:rsid w:val="00575DD3"/>
    <w:rsid w:val="00576125"/>
    <w:rsid w:val="00577C41"/>
    <w:rsid w:val="0058201E"/>
    <w:rsid w:val="00585645"/>
    <w:rsid w:val="005912FD"/>
    <w:rsid w:val="0059233F"/>
    <w:rsid w:val="0059238F"/>
    <w:rsid w:val="005934E8"/>
    <w:rsid w:val="005952D2"/>
    <w:rsid w:val="00597D6C"/>
    <w:rsid w:val="005A0906"/>
    <w:rsid w:val="005A1A28"/>
    <w:rsid w:val="005A1FEE"/>
    <w:rsid w:val="005A2706"/>
    <w:rsid w:val="005A2EF7"/>
    <w:rsid w:val="005A45EC"/>
    <w:rsid w:val="005A5392"/>
    <w:rsid w:val="005A5BA9"/>
    <w:rsid w:val="005A5E76"/>
    <w:rsid w:val="005A6E98"/>
    <w:rsid w:val="005A75BA"/>
    <w:rsid w:val="005B523A"/>
    <w:rsid w:val="005B562E"/>
    <w:rsid w:val="005B5A64"/>
    <w:rsid w:val="005C01EC"/>
    <w:rsid w:val="005C2E27"/>
    <w:rsid w:val="005C5B20"/>
    <w:rsid w:val="005C5C3C"/>
    <w:rsid w:val="005D0CE2"/>
    <w:rsid w:val="005D1E61"/>
    <w:rsid w:val="005D4300"/>
    <w:rsid w:val="005D4F42"/>
    <w:rsid w:val="005D56F0"/>
    <w:rsid w:val="005D64F5"/>
    <w:rsid w:val="005E0089"/>
    <w:rsid w:val="005E0720"/>
    <w:rsid w:val="005E1649"/>
    <w:rsid w:val="005E1C4F"/>
    <w:rsid w:val="005E2D9A"/>
    <w:rsid w:val="005E4867"/>
    <w:rsid w:val="005E5A66"/>
    <w:rsid w:val="005E6F54"/>
    <w:rsid w:val="005F1F4F"/>
    <w:rsid w:val="005F1F85"/>
    <w:rsid w:val="005F3286"/>
    <w:rsid w:val="005F33F9"/>
    <w:rsid w:val="005F38CF"/>
    <w:rsid w:val="005F4292"/>
    <w:rsid w:val="0060031B"/>
    <w:rsid w:val="0060067D"/>
    <w:rsid w:val="00602090"/>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17A45"/>
    <w:rsid w:val="0062059B"/>
    <w:rsid w:val="00620C13"/>
    <w:rsid w:val="0062134E"/>
    <w:rsid w:val="00622D12"/>
    <w:rsid w:val="006235B4"/>
    <w:rsid w:val="00625BEF"/>
    <w:rsid w:val="00625F22"/>
    <w:rsid w:val="00627AE0"/>
    <w:rsid w:val="00630D92"/>
    <w:rsid w:val="0063104D"/>
    <w:rsid w:val="00631ADE"/>
    <w:rsid w:val="00631F90"/>
    <w:rsid w:val="00632526"/>
    <w:rsid w:val="0063295B"/>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60630"/>
    <w:rsid w:val="00661E68"/>
    <w:rsid w:val="00662242"/>
    <w:rsid w:val="00664B99"/>
    <w:rsid w:val="00664CCD"/>
    <w:rsid w:val="0066582C"/>
    <w:rsid w:val="00666207"/>
    <w:rsid w:val="00667479"/>
    <w:rsid w:val="006710B4"/>
    <w:rsid w:val="00671CFE"/>
    <w:rsid w:val="00673E77"/>
    <w:rsid w:val="00676860"/>
    <w:rsid w:val="0067722F"/>
    <w:rsid w:val="00680B69"/>
    <w:rsid w:val="00684267"/>
    <w:rsid w:val="00684D22"/>
    <w:rsid w:val="006850C8"/>
    <w:rsid w:val="00687A6B"/>
    <w:rsid w:val="0069007F"/>
    <w:rsid w:val="006905F9"/>
    <w:rsid w:val="00691CF4"/>
    <w:rsid w:val="00691DFC"/>
    <w:rsid w:val="00697323"/>
    <w:rsid w:val="006A010B"/>
    <w:rsid w:val="006A36D3"/>
    <w:rsid w:val="006A410A"/>
    <w:rsid w:val="006A5800"/>
    <w:rsid w:val="006B1593"/>
    <w:rsid w:val="006B1BF7"/>
    <w:rsid w:val="006B3460"/>
    <w:rsid w:val="006B4113"/>
    <w:rsid w:val="006B483F"/>
    <w:rsid w:val="006B4962"/>
    <w:rsid w:val="006B5023"/>
    <w:rsid w:val="006B7D33"/>
    <w:rsid w:val="006C0237"/>
    <w:rsid w:val="006C235D"/>
    <w:rsid w:val="006C2AB8"/>
    <w:rsid w:val="006C2CF7"/>
    <w:rsid w:val="006C6003"/>
    <w:rsid w:val="006C6D26"/>
    <w:rsid w:val="006D179A"/>
    <w:rsid w:val="006D26EA"/>
    <w:rsid w:val="006D2C72"/>
    <w:rsid w:val="006D382A"/>
    <w:rsid w:val="006D3B51"/>
    <w:rsid w:val="006D6B33"/>
    <w:rsid w:val="006E26C6"/>
    <w:rsid w:val="006E34BE"/>
    <w:rsid w:val="006E3BF5"/>
    <w:rsid w:val="006E4C68"/>
    <w:rsid w:val="006E599A"/>
    <w:rsid w:val="006F0F9A"/>
    <w:rsid w:val="006F4A32"/>
    <w:rsid w:val="006F504D"/>
    <w:rsid w:val="007004A5"/>
    <w:rsid w:val="007012BD"/>
    <w:rsid w:val="0070177D"/>
    <w:rsid w:val="0070434E"/>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528C"/>
    <w:rsid w:val="00726976"/>
    <w:rsid w:val="00726C5D"/>
    <w:rsid w:val="007278AB"/>
    <w:rsid w:val="00731C77"/>
    <w:rsid w:val="00732080"/>
    <w:rsid w:val="0073243E"/>
    <w:rsid w:val="007326C1"/>
    <w:rsid w:val="00733445"/>
    <w:rsid w:val="00733A0A"/>
    <w:rsid w:val="00736388"/>
    <w:rsid w:val="00736CBA"/>
    <w:rsid w:val="00737262"/>
    <w:rsid w:val="007374C1"/>
    <w:rsid w:val="007404BD"/>
    <w:rsid w:val="0074055A"/>
    <w:rsid w:val="007407EC"/>
    <w:rsid w:val="00742D41"/>
    <w:rsid w:val="007445B2"/>
    <w:rsid w:val="00746FD1"/>
    <w:rsid w:val="007476E7"/>
    <w:rsid w:val="00751F6D"/>
    <w:rsid w:val="00753600"/>
    <w:rsid w:val="00755F20"/>
    <w:rsid w:val="007563B5"/>
    <w:rsid w:val="00761AAF"/>
    <w:rsid w:val="0076305F"/>
    <w:rsid w:val="007637D3"/>
    <w:rsid w:val="00766ADE"/>
    <w:rsid w:val="007675E7"/>
    <w:rsid w:val="0077095B"/>
    <w:rsid w:val="00771001"/>
    <w:rsid w:val="00772BE3"/>
    <w:rsid w:val="00774DB8"/>
    <w:rsid w:val="00774E61"/>
    <w:rsid w:val="007759DD"/>
    <w:rsid w:val="0077645E"/>
    <w:rsid w:val="00777987"/>
    <w:rsid w:val="00777F3E"/>
    <w:rsid w:val="007805A3"/>
    <w:rsid w:val="00780C49"/>
    <w:rsid w:val="00781251"/>
    <w:rsid w:val="00781AD0"/>
    <w:rsid w:val="007821D8"/>
    <w:rsid w:val="00784467"/>
    <w:rsid w:val="0078506F"/>
    <w:rsid w:val="0078702E"/>
    <w:rsid w:val="00792C4E"/>
    <w:rsid w:val="00793B8B"/>
    <w:rsid w:val="0079432C"/>
    <w:rsid w:val="00795A35"/>
    <w:rsid w:val="00796E5E"/>
    <w:rsid w:val="00796F1B"/>
    <w:rsid w:val="007A1911"/>
    <w:rsid w:val="007A4886"/>
    <w:rsid w:val="007A5433"/>
    <w:rsid w:val="007A55B4"/>
    <w:rsid w:val="007A5873"/>
    <w:rsid w:val="007A5AE9"/>
    <w:rsid w:val="007A7142"/>
    <w:rsid w:val="007A7F57"/>
    <w:rsid w:val="007B06C5"/>
    <w:rsid w:val="007B2C1A"/>
    <w:rsid w:val="007B2E5F"/>
    <w:rsid w:val="007B4C35"/>
    <w:rsid w:val="007C1ABA"/>
    <w:rsid w:val="007C41E8"/>
    <w:rsid w:val="007C4E09"/>
    <w:rsid w:val="007C65AA"/>
    <w:rsid w:val="007C6A52"/>
    <w:rsid w:val="007C6C8D"/>
    <w:rsid w:val="007D0EA2"/>
    <w:rsid w:val="007D13CD"/>
    <w:rsid w:val="007D3306"/>
    <w:rsid w:val="007D4C3B"/>
    <w:rsid w:val="007D5CB7"/>
    <w:rsid w:val="007E3B3B"/>
    <w:rsid w:val="007E4205"/>
    <w:rsid w:val="007E5FB2"/>
    <w:rsid w:val="007E6C97"/>
    <w:rsid w:val="007E78A0"/>
    <w:rsid w:val="007F0812"/>
    <w:rsid w:val="007F10A3"/>
    <w:rsid w:val="007F215A"/>
    <w:rsid w:val="007F25B0"/>
    <w:rsid w:val="007F28C8"/>
    <w:rsid w:val="007F3CC0"/>
    <w:rsid w:val="007F4285"/>
    <w:rsid w:val="0080013C"/>
    <w:rsid w:val="00800C31"/>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40EC"/>
    <w:rsid w:val="00824236"/>
    <w:rsid w:val="00826722"/>
    <w:rsid w:val="008277B4"/>
    <w:rsid w:val="00831158"/>
    <w:rsid w:val="0083154F"/>
    <w:rsid w:val="00833301"/>
    <w:rsid w:val="00833970"/>
    <w:rsid w:val="00834B7A"/>
    <w:rsid w:val="008360C9"/>
    <w:rsid w:val="0083644E"/>
    <w:rsid w:val="00836A68"/>
    <w:rsid w:val="00837877"/>
    <w:rsid w:val="00840BBD"/>
    <w:rsid w:val="00840CB2"/>
    <w:rsid w:val="008413CE"/>
    <w:rsid w:val="008416E9"/>
    <w:rsid w:val="008416F6"/>
    <w:rsid w:val="00842CBC"/>
    <w:rsid w:val="00845127"/>
    <w:rsid w:val="00845385"/>
    <w:rsid w:val="00847F02"/>
    <w:rsid w:val="0085310D"/>
    <w:rsid w:val="0085364A"/>
    <w:rsid w:val="008536C2"/>
    <w:rsid w:val="008543DC"/>
    <w:rsid w:val="00856EB2"/>
    <w:rsid w:val="0086121D"/>
    <w:rsid w:val="00861512"/>
    <w:rsid w:val="008625DC"/>
    <w:rsid w:val="008638A3"/>
    <w:rsid w:val="008639A3"/>
    <w:rsid w:val="00864DDB"/>
    <w:rsid w:val="00871D31"/>
    <w:rsid w:val="00872556"/>
    <w:rsid w:val="00874986"/>
    <w:rsid w:val="00876BFF"/>
    <w:rsid w:val="008770C0"/>
    <w:rsid w:val="008779F6"/>
    <w:rsid w:val="00880EDA"/>
    <w:rsid w:val="00882F9F"/>
    <w:rsid w:val="008851A2"/>
    <w:rsid w:val="008853AA"/>
    <w:rsid w:val="00885454"/>
    <w:rsid w:val="00886A7D"/>
    <w:rsid w:val="008904E2"/>
    <w:rsid w:val="00893540"/>
    <w:rsid w:val="008936C3"/>
    <w:rsid w:val="00894125"/>
    <w:rsid w:val="008947A1"/>
    <w:rsid w:val="00895B28"/>
    <w:rsid w:val="00897889"/>
    <w:rsid w:val="00897A16"/>
    <w:rsid w:val="008A2927"/>
    <w:rsid w:val="008A4442"/>
    <w:rsid w:val="008A4CBE"/>
    <w:rsid w:val="008A79BD"/>
    <w:rsid w:val="008A7F82"/>
    <w:rsid w:val="008B0117"/>
    <w:rsid w:val="008B072D"/>
    <w:rsid w:val="008B15BB"/>
    <w:rsid w:val="008B24FD"/>
    <w:rsid w:val="008B5331"/>
    <w:rsid w:val="008B552D"/>
    <w:rsid w:val="008B717B"/>
    <w:rsid w:val="008B78AA"/>
    <w:rsid w:val="008B7D89"/>
    <w:rsid w:val="008C026F"/>
    <w:rsid w:val="008C2350"/>
    <w:rsid w:val="008C337C"/>
    <w:rsid w:val="008C4994"/>
    <w:rsid w:val="008C5822"/>
    <w:rsid w:val="008C5825"/>
    <w:rsid w:val="008C5D11"/>
    <w:rsid w:val="008C6B49"/>
    <w:rsid w:val="008D09F3"/>
    <w:rsid w:val="008D11A5"/>
    <w:rsid w:val="008D61C2"/>
    <w:rsid w:val="008E1EE6"/>
    <w:rsid w:val="008E2332"/>
    <w:rsid w:val="008E6E8D"/>
    <w:rsid w:val="008F0D8B"/>
    <w:rsid w:val="008F11C6"/>
    <w:rsid w:val="008F5A62"/>
    <w:rsid w:val="0090323E"/>
    <w:rsid w:val="0090331E"/>
    <w:rsid w:val="00903B51"/>
    <w:rsid w:val="00906D1F"/>
    <w:rsid w:val="00910691"/>
    <w:rsid w:val="00911CD3"/>
    <w:rsid w:val="00914B4D"/>
    <w:rsid w:val="00915E80"/>
    <w:rsid w:val="009160E9"/>
    <w:rsid w:val="00917F1D"/>
    <w:rsid w:val="00920CCC"/>
    <w:rsid w:val="00920F79"/>
    <w:rsid w:val="00921624"/>
    <w:rsid w:val="00922D04"/>
    <w:rsid w:val="009240AD"/>
    <w:rsid w:val="009242DC"/>
    <w:rsid w:val="00926BD8"/>
    <w:rsid w:val="00931C8E"/>
    <w:rsid w:val="0093342D"/>
    <w:rsid w:val="00933F45"/>
    <w:rsid w:val="00935D85"/>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3D02"/>
    <w:rsid w:val="00954C72"/>
    <w:rsid w:val="00954F6A"/>
    <w:rsid w:val="00955D30"/>
    <w:rsid w:val="00956944"/>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208D"/>
    <w:rsid w:val="00972BB7"/>
    <w:rsid w:val="009755A9"/>
    <w:rsid w:val="00975824"/>
    <w:rsid w:val="009762BB"/>
    <w:rsid w:val="00976A67"/>
    <w:rsid w:val="00976E96"/>
    <w:rsid w:val="00976F90"/>
    <w:rsid w:val="00981451"/>
    <w:rsid w:val="00982A45"/>
    <w:rsid w:val="009839D3"/>
    <w:rsid w:val="00983B53"/>
    <w:rsid w:val="00987909"/>
    <w:rsid w:val="00990CB2"/>
    <w:rsid w:val="0099133B"/>
    <w:rsid w:val="00991F79"/>
    <w:rsid w:val="0099225A"/>
    <w:rsid w:val="0099232B"/>
    <w:rsid w:val="00992DA5"/>
    <w:rsid w:val="009944F4"/>
    <w:rsid w:val="00994569"/>
    <w:rsid w:val="00994843"/>
    <w:rsid w:val="0099484F"/>
    <w:rsid w:val="009948F7"/>
    <w:rsid w:val="00994A8A"/>
    <w:rsid w:val="00994EAB"/>
    <w:rsid w:val="00994EEF"/>
    <w:rsid w:val="0099543D"/>
    <w:rsid w:val="009965B1"/>
    <w:rsid w:val="009973BF"/>
    <w:rsid w:val="0099759C"/>
    <w:rsid w:val="00997706"/>
    <w:rsid w:val="009A0B9F"/>
    <w:rsid w:val="009A114E"/>
    <w:rsid w:val="009A164C"/>
    <w:rsid w:val="009A1A0B"/>
    <w:rsid w:val="009A2693"/>
    <w:rsid w:val="009A2A09"/>
    <w:rsid w:val="009A2AFA"/>
    <w:rsid w:val="009A46DF"/>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4F2"/>
    <w:rsid w:val="009C395F"/>
    <w:rsid w:val="009C3E8C"/>
    <w:rsid w:val="009C42A6"/>
    <w:rsid w:val="009C463C"/>
    <w:rsid w:val="009C6203"/>
    <w:rsid w:val="009C62CB"/>
    <w:rsid w:val="009C7D6E"/>
    <w:rsid w:val="009D073B"/>
    <w:rsid w:val="009D129B"/>
    <w:rsid w:val="009D1B01"/>
    <w:rsid w:val="009D2A4D"/>
    <w:rsid w:val="009D450F"/>
    <w:rsid w:val="009D4A25"/>
    <w:rsid w:val="009D543C"/>
    <w:rsid w:val="009D6FAD"/>
    <w:rsid w:val="009E0F41"/>
    <w:rsid w:val="009E2659"/>
    <w:rsid w:val="009E5578"/>
    <w:rsid w:val="009E5A1E"/>
    <w:rsid w:val="009E72E0"/>
    <w:rsid w:val="009E7E80"/>
    <w:rsid w:val="009F13BC"/>
    <w:rsid w:val="009F1DDD"/>
    <w:rsid w:val="009F2E82"/>
    <w:rsid w:val="009F324D"/>
    <w:rsid w:val="00A011AA"/>
    <w:rsid w:val="00A07479"/>
    <w:rsid w:val="00A113D2"/>
    <w:rsid w:val="00A128D4"/>
    <w:rsid w:val="00A1506B"/>
    <w:rsid w:val="00A15459"/>
    <w:rsid w:val="00A167A5"/>
    <w:rsid w:val="00A178B3"/>
    <w:rsid w:val="00A20C2D"/>
    <w:rsid w:val="00A219FF"/>
    <w:rsid w:val="00A22AB7"/>
    <w:rsid w:val="00A24333"/>
    <w:rsid w:val="00A24B96"/>
    <w:rsid w:val="00A30037"/>
    <w:rsid w:val="00A31721"/>
    <w:rsid w:val="00A32E56"/>
    <w:rsid w:val="00A33B22"/>
    <w:rsid w:val="00A3448E"/>
    <w:rsid w:val="00A35D58"/>
    <w:rsid w:val="00A360A0"/>
    <w:rsid w:val="00A41C1E"/>
    <w:rsid w:val="00A43E4B"/>
    <w:rsid w:val="00A455A8"/>
    <w:rsid w:val="00A46140"/>
    <w:rsid w:val="00A506DA"/>
    <w:rsid w:val="00A51BD2"/>
    <w:rsid w:val="00A54039"/>
    <w:rsid w:val="00A56B1D"/>
    <w:rsid w:val="00A57CB7"/>
    <w:rsid w:val="00A57E1F"/>
    <w:rsid w:val="00A60C01"/>
    <w:rsid w:val="00A61AFA"/>
    <w:rsid w:val="00A64495"/>
    <w:rsid w:val="00A658AE"/>
    <w:rsid w:val="00A66284"/>
    <w:rsid w:val="00A70404"/>
    <w:rsid w:val="00A7356E"/>
    <w:rsid w:val="00A73FE3"/>
    <w:rsid w:val="00A740FF"/>
    <w:rsid w:val="00A74A29"/>
    <w:rsid w:val="00A74AA0"/>
    <w:rsid w:val="00A75ADE"/>
    <w:rsid w:val="00A77A9B"/>
    <w:rsid w:val="00A77CF6"/>
    <w:rsid w:val="00A807B4"/>
    <w:rsid w:val="00A81169"/>
    <w:rsid w:val="00A822D1"/>
    <w:rsid w:val="00A8249E"/>
    <w:rsid w:val="00A84BE6"/>
    <w:rsid w:val="00A853F1"/>
    <w:rsid w:val="00A8618E"/>
    <w:rsid w:val="00A87B03"/>
    <w:rsid w:val="00A90253"/>
    <w:rsid w:val="00A90F5F"/>
    <w:rsid w:val="00A93FD7"/>
    <w:rsid w:val="00A9500A"/>
    <w:rsid w:val="00A95C83"/>
    <w:rsid w:val="00A960B7"/>
    <w:rsid w:val="00A96D04"/>
    <w:rsid w:val="00A970B3"/>
    <w:rsid w:val="00AA1C7D"/>
    <w:rsid w:val="00AA2E09"/>
    <w:rsid w:val="00AA2F85"/>
    <w:rsid w:val="00AA3AF9"/>
    <w:rsid w:val="00AA3C31"/>
    <w:rsid w:val="00AA4257"/>
    <w:rsid w:val="00AA4925"/>
    <w:rsid w:val="00AA4E70"/>
    <w:rsid w:val="00AA54D5"/>
    <w:rsid w:val="00AB0ECA"/>
    <w:rsid w:val="00AB64D5"/>
    <w:rsid w:val="00AB7D7D"/>
    <w:rsid w:val="00AC2C9D"/>
    <w:rsid w:val="00AC4C44"/>
    <w:rsid w:val="00AC5D72"/>
    <w:rsid w:val="00AC68CE"/>
    <w:rsid w:val="00AD266A"/>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73AC"/>
    <w:rsid w:val="00B00D4F"/>
    <w:rsid w:val="00B02759"/>
    <w:rsid w:val="00B06DF2"/>
    <w:rsid w:val="00B07D25"/>
    <w:rsid w:val="00B1026B"/>
    <w:rsid w:val="00B11268"/>
    <w:rsid w:val="00B123D7"/>
    <w:rsid w:val="00B13521"/>
    <w:rsid w:val="00B159CD"/>
    <w:rsid w:val="00B167D5"/>
    <w:rsid w:val="00B21F7E"/>
    <w:rsid w:val="00B2224F"/>
    <w:rsid w:val="00B23894"/>
    <w:rsid w:val="00B24E1B"/>
    <w:rsid w:val="00B27E39"/>
    <w:rsid w:val="00B3219C"/>
    <w:rsid w:val="00B32461"/>
    <w:rsid w:val="00B33432"/>
    <w:rsid w:val="00B33A61"/>
    <w:rsid w:val="00B34F46"/>
    <w:rsid w:val="00B40464"/>
    <w:rsid w:val="00B447E3"/>
    <w:rsid w:val="00B46617"/>
    <w:rsid w:val="00B46B25"/>
    <w:rsid w:val="00B50D6D"/>
    <w:rsid w:val="00B522FB"/>
    <w:rsid w:val="00B53B43"/>
    <w:rsid w:val="00B55728"/>
    <w:rsid w:val="00B572D2"/>
    <w:rsid w:val="00B57420"/>
    <w:rsid w:val="00B57C7D"/>
    <w:rsid w:val="00B60AB9"/>
    <w:rsid w:val="00B624A2"/>
    <w:rsid w:val="00B62B13"/>
    <w:rsid w:val="00B62F71"/>
    <w:rsid w:val="00B637D8"/>
    <w:rsid w:val="00B65346"/>
    <w:rsid w:val="00B66CFA"/>
    <w:rsid w:val="00B67D78"/>
    <w:rsid w:val="00B70720"/>
    <w:rsid w:val="00B7400F"/>
    <w:rsid w:val="00B76474"/>
    <w:rsid w:val="00B807F1"/>
    <w:rsid w:val="00B824CD"/>
    <w:rsid w:val="00B84992"/>
    <w:rsid w:val="00B863A5"/>
    <w:rsid w:val="00B86AC2"/>
    <w:rsid w:val="00B900A5"/>
    <w:rsid w:val="00B94389"/>
    <w:rsid w:val="00B9518B"/>
    <w:rsid w:val="00B96F1B"/>
    <w:rsid w:val="00B9710C"/>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6B7A"/>
    <w:rsid w:val="00BB7D01"/>
    <w:rsid w:val="00BC6DF0"/>
    <w:rsid w:val="00BD06DD"/>
    <w:rsid w:val="00BD1356"/>
    <w:rsid w:val="00BD2E59"/>
    <w:rsid w:val="00BD3134"/>
    <w:rsid w:val="00BD4093"/>
    <w:rsid w:val="00BD4319"/>
    <w:rsid w:val="00BD683F"/>
    <w:rsid w:val="00BD7348"/>
    <w:rsid w:val="00BD7383"/>
    <w:rsid w:val="00BE1354"/>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369A"/>
    <w:rsid w:val="00C35B58"/>
    <w:rsid w:val="00C35C80"/>
    <w:rsid w:val="00C36C00"/>
    <w:rsid w:val="00C37D82"/>
    <w:rsid w:val="00C436B8"/>
    <w:rsid w:val="00C43DB9"/>
    <w:rsid w:val="00C4550D"/>
    <w:rsid w:val="00C45FCD"/>
    <w:rsid w:val="00C50C76"/>
    <w:rsid w:val="00C519C1"/>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585B"/>
    <w:rsid w:val="00C67097"/>
    <w:rsid w:val="00C702C8"/>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53AB"/>
    <w:rsid w:val="00C96606"/>
    <w:rsid w:val="00C972B1"/>
    <w:rsid w:val="00CA309C"/>
    <w:rsid w:val="00CA497F"/>
    <w:rsid w:val="00CB091E"/>
    <w:rsid w:val="00CB2734"/>
    <w:rsid w:val="00CB29A4"/>
    <w:rsid w:val="00CB37BE"/>
    <w:rsid w:val="00CB4ABB"/>
    <w:rsid w:val="00CB5754"/>
    <w:rsid w:val="00CC1FE6"/>
    <w:rsid w:val="00CC3051"/>
    <w:rsid w:val="00CC439E"/>
    <w:rsid w:val="00CC5C9C"/>
    <w:rsid w:val="00CC62F2"/>
    <w:rsid w:val="00CC63BA"/>
    <w:rsid w:val="00CD166E"/>
    <w:rsid w:val="00CD2E7E"/>
    <w:rsid w:val="00CD31B9"/>
    <w:rsid w:val="00CD4A4A"/>
    <w:rsid w:val="00CD4E9B"/>
    <w:rsid w:val="00CD5945"/>
    <w:rsid w:val="00CE09C9"/>
    <w:rsid w:val="00CE1CCF"/>
    <w:rsid w:val="00CE4130"/>
    <w:rsid w:val="00CE47B7"/>
    <w:rsid w:val="00CE4EB7"/>
    <w:rsid w:val="00CE6A54"/>
    <w:rsid w:val="00CF0750"/>
    <w:rsid w:val="00CF3AE2"/>
    <w:rsid w:val="00CF41A3"/>
    <w:rsid w:val="00CF6ABF"/>
    <w:rsid w:val="00CF75A3"/>
    <w:rsid w:val="00D0036D"/>
    <w:rsid w:val="00D00592"/>
    <w:rsid w:val="00D11C72"/>
    <w:rsid w:val="00D1236D"/>
    <w:rsid w:val="00D13249"/>
    <w:rsid w:val="00D13649"/>
    <w:rsid w:val="00D13D7C"/>
    <w:rsid w:val="00D14F58"/>
    <w:rsid w:val="00D1506C"/>
    <w:rsid w:val="00D17737"/>
    <w:rsid w:val="00D20605"/>
    <w:rsid w:val="00D22A09"/>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57B35"/>
    <w:rsid w:val="00D6001D"/>
    <w:rsid w:val="00D60B2F"/>
    <w:rsid w:val="00D60D43"/>
    <w:rsid w:val="00D61BE3"/>
    <w:rsid w:val="00D61F88"/>
    <w:rsid w:val="00D624F0"/>
    <w:rsid w:val="00D63FC6"/>
    <w:rsid w:val="00D6705C"/>
    <w:rsid w:val="00D67608"/>
    <w:rsid w:val="00D67998"/>
    <w:rsid w:val="00D67D9A"/>
    <w:rsid w:val="00D71156"/>
    <w:rsid w:val="00D71A01"/>
    <w:rsid w:val="00D74F4E"/>
    <w:rsid w:val="00D75AD2"/>
    <w:rsid w:val="00D7623E"/>
    <w:rsid w:val="00D766CD"/>
    <w:rsid w:val="00D77A0A"/>
    <w:rsid w:val="00D817C4"/>
    <w:rsid w:val="00D8293A"/>
    <w:rsid w:val="00D82A2A"/>
    <w:rsid w:val="00D82FE1"/>
    <w:rsid w:val="00D853D2"/>
    <w:rsid w:val="00D9185B"/>
    <w:rsid w:val="00D965CB"/>
    <w:rsid w:val="00D96D80"/>
    <w:rsid w:val="00DA2E09"/>
    <w:rsid w:val="00DA2F86"/>
    <w:rsid w:val="00DA3FF6"/>
    <w:rsid w:val="00DA6265"/>
    <w:rsid w:val="00DA65FE"/>
    <w:rsid w:val="00DA698B"/>
    <w:rsid w:val="00DA7AC8"/>
    <w:rsid w:val="00DB03BB"/>
    <w:rsid w:val="00DB132E"/>
    <w:rsid w:val="00DB1756"/>
    <w:rsid w:val="00DB7D92"/>
    <w:rsid w:val="00DB7E97"/>
    <w:rsid w:val="00DB7FFC"/>
    <w:rsid w:val="00DC0880"/>
    <w:rsid w:val="00DC38C1"/>
    <w:rsid w:val="00DC5559"/>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1582"/>
    <w:rsid w:val="00E01FA4"/>
    <w:rsid w:val="00E02113"/>
    <w:rsid w:val="00E030EC"/>
    <w:rsid w:val="00E04BD3"/>
    <w:rsid w:val="00E11750"/>
    <w:rsid w:val="00E11C8C"/>
    <w:rsid w:val="00E12320"/>
    <w:rsid w:val="00E1332D"/>
    <w:rsid w:val="00E13B5E"/>
    <w:rsid w:val="00E14C24"/>
    <w:rsid w:val="00E15D2B"/>
    <w:rsid w:val="00E16E7E"/>
    <w:rsid w:val="00E17250"/>
    <w:rsid w:val="00E20AE4"/>
    <w:rsid w:val="00E21A21"/>
    <w:rsid w:val="00E23007"/>
    <w:rsid w:val="00E23BC1"/>
    <w:rsid w:val="00E23F2E"/>
    <w:rsid w:val="00E2764D"/>
    <w:rsid w:val="00E3029B"/>
    <w:rsid w:val="00E31784"/>
    <w:rsid w:val="00E31969"/>
    <w:rsid w:val="00E32B6F"/>
    <w:rsid w:val="00E34F4A"/>
    <w:rsid w:val="00E36824"/>
    <w:rsid w:val="00E37781"/>
    <w:rsid w:val="00E3781D"/>
    <w:rsid w:val="00E40DA5"/>
    <w:rsid w:val="00E4117F"/>
    <w:rsid w:val="00E42D16"/>
    <w:rsid w:val="00E433A6"/>
    <w:rsid w:val="00E45364"/>
    <w:rsid w:val="00E462F4"/>
    <w:rsid w:val="00E47708"/>
    <w:rsid w:val="00E5184C"/>
    <w:rsid w:val="00E52729"/>
    <w:rsid w:val="00E5302A"/>
    <w:rsid w:val="00E5437F"/>
    <w:rsid w:val="00E60756"/>
    <w:rsid w:val="00E61732"/>
    <w:rsid w:val="00E62A80"/>
    <w:rsid w:val="00E62C7C"/>
    <w:rsid w:val="00E630C8"/>
    <w:rsid w:val="00E71F35"/>
    <w:rsid w:val="00E71F85"/>
    <w:rsid w:val="00E7274F"/>
    <w:rsid w:val="00E74466"/>
    <w:rsid w:val="00E75177"/>
    <w:rsid w:val="00E8082A"/>
    <w:rsid w:val="00E81770"/>
    <w:rsid w:val="00E8293E"/>
    <w:rsid w:val="00E830FB"/>
    <w:rsid w:val="00E835E6"/>
    <w:rsid w:val="00E84599"/>
    <w:rsid w:val="00E87F50"/>
    <w:rsid w:val="00E906AA"/>
    <w:rsid w:val="00E91308"/>
    <w:rsid w:val="00E92328"/>
    <w:rsid w:val="00E94238"/>
    <w:rsid w:val="00E97EBF"/>
    <w:rsid w:val="00EA0682"/>
    <w:rsid w:val="00EA6BB0"/>
    <w:rsid w:val="00EA6E79"/>
    <w:rsid w:val="00EA799E"/>
    <w:rsid w:val="00EA7DBC"/>
    <w:rsid w:val="00EB020D"/>
    <w:rsid w:val="00EB0C15"/>
    <w:rsid w:val="00EB137E"/>
    <w:rsid w:val="00EB642D"/>
    <w:rsid w:val="00EB6DE2"/>
    <w:rsid w:val="00EB71CD"/>
    <w:rsid w:val="00EC083C"/>
    <w:rsid w:val="00EC1084"/>
    <w:rsid w:val="00EC2B5A"/>
    <w:rsid w:val="00EC3A89"/>
    <w:rsid w:val="00EC5FEC"/>
    <w:rsid w:val="00EC771E"/>
    <w:rsid w:val="00EC7B2B"/>
    <w:rsid w:val="00EC7EAE"/>
    <w:rsid w:val="00ED0658"/>
    <w:rsid w:val="00ED1D12"/>
    <w:rsid w:val="00ED27C5"/>
    <w:rsid w:val="00ED298C"/>
    <w:rsid w:val="00ED3580"/>
    <w:rsid w:val="00ED434D"/>
    <w:rsid w:val="00ED4971"/>
    <w:rsid w:val="00EE0390"/>
    <w:rsid w:val="00EE309F"/>
    <w:rsid w:val="00EE5E73"/>
    <w:rsid w:val="00EF06B2"/>
    <w:rsid w:val="00EF222A"/>
    <w:rsid w:val="00EF657C"/>
    <w:rsid w:val="00EF6853"/>
    <w:rsid w:val="00EF7339"/>
    <w:rsid w:val="00EF7590"/>
    <w:rsid w:val="00EF7D25"/>
    <w:rsid w:val="00F0118F"/>
    <w:rsid w:val="00F01533"/>
    <w:rsid w:val="00F01970"/>
    <w:rsid w:val="00F03763"/>
    <w:rsid w:val="00F05BC7"/>
    <w:rsid w:val="00F07C9E"/>
    <w:rsid w:val="00F123AC"/>
    <w:rsid w:val="00F13F0B"/>
    <w:rsid w:val="00F14FE7"/>
    <w:rsid w:val="00F155E9"/>
    <w:rsid w:val="00F15D52"/>
    <w:rsid w:val="00F17FA1"/>
    <w:rsid w:val="00F20F4C"/>
    <w:rsid w:val="00F2154C"/>
    <w:rsid w:val="00F21661"/>
    <w:rsid w:val="00F22E32"/>
    <w:rsid w:val="00F24A95"/>
    <w:rsid w:val="00F26404"/>
    <w:rsid w:val="00F2733E"/>
    <w:rsid w:val="00F30382"/>
    <w:rsid w:val="00F313E0"/>
    <w:rsid w:val="00F32BE0"/>
    <w:rsid w:val="00F33248"/>
    <w:rsid w:val="00F3358C"/>
    <w:rsid w:val="00F335CC"/>
    <w:rsid w:val="00F349EA"/>
    <w:rsid w:val="00F34ED4"/>
    <w:rsid w:val="00F35BBB"/>
    <w:rsid w:val="00F40910"/>
    <w:rsid w:val="00F4353F"/>
    <w:rsid w:val="00F43F85"/>
    <w:rsid w:val="00F463BE"/>
    <w:rsid w:val="00F470AB"/>
    <w:rsid w:val="00F50C71"/>
    <w:rsid w:val="00F51BAC"/>
    <w:rsid w:val="00F524ED"/>
    <w:rsid w:val="00F52519"/>
    <w:rsid w:val="00F529E1"/>
    <w:rsid w:val="00F5369F"/>
    <w:rsid w:val="00F54F8B"/>
    <w:rsid w:val="00F5796F"/>
    <w:rsid w:val="00F57B7C"/>
    <w:rsid w:val="00F601C9"/>
    <w:rsid w:val="00F61B5F"/>
    <w:rsid w:val="00F622F4"/>
    <w:rsid w:val="00F63006"/>
    <w:rsid w:val="00F63450"/>
    <w:rsid w:val="00F64840"/>
    <w:rsid w:val="00F664C7"/>
    <w:rsid w:val="00F6709F"/>
    <w:rsid w:val="00F72295"/>
    <w:rsid w:val="00F723D5"/>
    <w:rsid w:val="00F7334F"/>
    <w:rsid w:val="00F751F8"/>
    <w:rsid w:val="00F769F7"/>
    <w:rsid w:val="00F77786"/>
    <w:rsid w:val="00F823E9"/>
    <w:rsid w:val="00F849F8"/>
    <w:rsid w:val="00F84C3B"/>
    <w:rsid w:val="00F84FFF"/>
    <w:rsid w:val="00F911C1"/>
    <w:rsid w:val="00F931A6"/>
    <w:rsid w:val="00F93C14"/>
    <w:rsid w:val="00F964ED"/>
    <w:rsid w:val="00F97405"/>
    <w:rsid w:val="00F97BDB"/>
    <w:rsid w:val="00FA0218"/>
    <w:rsid w:val="00FA0456"/>
    <w:rsid w:val="00FA11EC"/>
    <w:rsid w:val="00FA1357"/>
    <w:rsid w:val="00FA37F0"/>
    <w:rsid w:val="00FA535C"/>
    <w:rsid w:val="00FA5859"/>
    <w:rsid w:val="00FA5AE3"/>
    <w:rsid w:val="00FA778D"/>
    <w:rsid w:val="00FA7939"/>
    <w:rsid w:val="00FB1B44"/>
    <w:rsid w:val="00FB62E2"/>
    <w:rsid w:val="00FB6A91"/>
    <w:rsid w:val="00FB71FF"/>
    <w:rsid w:val="00FC0CB9"/>
    <w:rsid w:val="00FC2823"/>
    <w:rsid w:val="00FC3066"/>
    <w:rsid w:val="00FC30E1"/>
    <w:rsid w:val="00FC3EBF"/>
    <w:rsid w:val="00FC42C3"/>
    <w:rsid w:val="00FC5AF3"/>
    <w:rsid w:val="00FC6F3E"/>
    <w:rsid w:val="00FD1C60"/>
    <w:rsid w:val="00FD1F28"/>
    <w:rsid w:val="00FD27AE"/>
    <w:rsid w:val="00FD27F1"/>
    <w:rsid w:val="00FD2F5D"/>
    <w:rsid w:val="00FD304D"/>
    <w:rsid w:val="00FD438A"/>
    <w:rsid w:val="00FD525F"/>
    <w:rsid w:val="00FD7D28"/>
    <w:rsid w:val="00FE2413"/>
    <w:rsid w:val="00FE2E81"/>
    <w:rsid w:val="00FE3170"/>
    <w:rsid w:val="00FE543F"/>
    <w:rsid w:val="00FE7392"/>
    <w:rsid w:val="00FE7B6D"/>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78593"/>
  <w15:chartTrackingRefBased/>
  <w15:docId w15:val="{2623BDAE-045C-4B44-9F90-31121960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val="en-CA"/>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lang w:val="en-CA" w:eastAsia="en-CA"/>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lang w:val="en-CA" w:eastAsia="en-CA"/>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7A4886"/>
    <w:rPr>
      <w:rFonts w:ascii="Times New Roman" w:hAnsi="Times New Roman"/>
      <w:spacing w:val="-3"/>
      <w:sz w:val="26"/>
      <w:szCs w:val="24"/>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character" w:styleId="UnresolvedMention">
    <w:name w:val="Unresolved Mention"/>
    <w:uiPriority w:val="99"/>
    <w:semiHidden/>
    <w:unhideWhenUsed/>
    <w:rsid w:val="0045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_\Downloads\NWT%20-%20Standard%20(1)%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1329-5465-427B-8B2B-C4874815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 Standard (1) (6).dot</Template>
  <TotalTime>1</TotalTime>
  <Pages>17</Pages>
  <Words>3111</Words>
  <Characters>16045</Characters>
  <Application>Microsoft Office Word</Application>
  <DocSecurity>4</DocSecurity>
  <Lines>133</Lines>
  <Paragraphs>38</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joan butticci</dc:creator>
  <cp:keywords/>
  <cp:lastModifiedBy>Tyler Vibert</cp:lastModifiedBy>
  <cp:revision>2</cp:revision>
  <dcterms:created xsi:type="dcterms:W3CDTF">2024-01-15T17:29:00Z</dcterms:created>
  <dcterms:modified xsi:type="dcterms:W3CDTF">2024-01-15T17:29:00Z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2024-01-15T17:29:07Z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dbaaf38e-e38e-470c-b7fe-a651208d8fbf</vt:lpwstr>
  </property>
  <property fmtid="{D5CDD505-2E9C-101B-9397-08002B2CF9AE}" pid="8" name="MSIP_Label_defa4170-0d19-0005-0004-bc88714345d2_ContentBits">
    <vt:lpwstr>0</vt:lpwstr>
  </property>
</Properties>
</file>