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9A0D" w14:textId="77777777" w:rsidR="00D66A1A" w:rsidRDefault="00D66A1A" w:rsidP="00B22232">
      <w:pPr>
        <w:spacing w:after="0" w:line="240" w:lineRule="auto"/>
        <w:rPr>
          <w:rFonts w:ascii="Times New Roman" w:hAnsi="Times New Roman" w:cs="Times New Roman"/>
          <w:i/>
          <w:sz w:val="24"/>
          <w:szCs w:val="24"/>
        </w:rPr>
      </w:pPr>
    </w:p>
    <w:p w14:paraId="7EA768CD" w14:textId="77777777" w:rsidR="00077230" w:rsidRDefault="00D10C94" w:rsidP="00D10C94">
      <w:pPr>
        <w:spacing w:after="0" w:line="240" w:lineRule="auto"/>
        <w:contextualSpacing/>
        <w:rPr>
          <w:rFonts w:ascii="Times New Roman" w:hAnsi="Times New Roman" w:cs="Times New Roman"/>
          <w:i/>
          <w:iCs/>
          <w:sz w:val="24"/>
          <w:szCs w:val="24"/>
          <w:lang w:val="en-US"/>
        </w:rPr>
      </w:pPr>
      <w:r w:rsidRPr="00730FC7">
        <w:rPr>
          <w:rFonts w:ascii="Times New Roman" w:hAnsi="Times New Roman" w:cs="Times New Roman"/>
          <w:i/>
          <w:iCs/>
          <w:sz w:val="24"/>
          <w:szCs w:val="24"/>
          <w:lang w:val="en-US"/>
        </w:rPr>
        <w:t>Colville Lake</w:t>
      </w:r>
      <w:r w:rsidR="000C0025" w:rsidRPr="00730FC7">
        <w:rPr>
          <w:rFonts w:ascii="Times New Roman" w:hAnsi="Times New Roman" w:cs="Times New Roman"/>
          <w:i/>
          <w:iCs/>
          <w:sz w:val="24"/>
          <w:szCs w:val="24"/>
          <w:lang w:val="en-US"/>
        </w:rPr>
        <w:t xml:space="preserve"> </w:t>
      </w:r>
      <w:r w:rsidR="00955D9C" w:rsidRPr="00730FC7">
        <w:rPr>
          <w:rFonts w:ascii="Times New Roman" w:hAnsi="Times New Roman" w:cs="Times New Roman"/>
          <w:i/>
          <w:iCs/>
          <w:sz w:val="24"/>
          <w:szCs w:val="24"/>
          <w:lang w:val="en-US"/>
        </w:rPr>
        <w:t>Renewable Resources Council</w:t>
      </w:r>
      <w:r w:rsidRPr="00730FC7">
        <w:rPr>
          <w:rFonts w:ascii="Times New Roman" w:hAnsi="Times New Roman" w:cs="Times New Roman"/>
          <w:i/>
          <w:iCs/>
          <w:sz w:val="24"/>
          <w:szCs w:val="24"/>
          <w:lang w:val="en-US"/>
        </w:rPr>
        <w:t xml:space="preserve"> et al v G</w:t>
      </w:r>
      <w:r w:rsidR="00730FC7">
        <w:rPr>
          <w:rFonts w:ascii="Times New Roman" w:hAnsi="Times New Roman" w:cs="Times New Roman"/>
          <w:i/>
          <w:iCs/>
          <w:sz w:val="24"/>
          <w:szCs w:val="24"/>
          <w:lang w:val="en-US"/>
        </w:rPr>
        <w:t xml:space="preserve">ov’t of the </w:t>
      </w:r>
      <w:r w:rsidRPr="00730FC7">
        <w:rPr>
          <w:rFonts w:ascii="Times New Roman" w:hAnsi="Times New Roman" w:cs="Times New Roman"/>
          <w:i/>
          <w:iCs/>
          <w:sz w:val="24"/>
          <w:szCs w:val="24"/>
          <w:lang w:val="en-US"/>
        </w:rPr>
        <w:t>NWT et al</w:t>
      </w:r>
      <w:r w:rsidR="00D57A5B">
        <w:rPr>
          <w:rFonts w:ascii="Times New Roman" w:hAnsi="Times New Roman" w:cs="Times New Roman"/>
          <w:i/>
          <w:iCs/>
          <w:sz w:val="24"/>
          <w:szCs w:val="24"/>
          <w:lang w:val="en-US"/>
        </w:rPr>
        <w:t xml:space="preserve">, </w:t>
      </w:r>
    </w:p>
    <w:p w14:paraId="28F185DF" w14:textId="724C92C4" w:rsidR="00D10C94" w:rsidRPr="00730FC7" w:rsidRDefault="00D10C94" w:rsidP="00D10C94">
      <w:pPr>
        <w:spacing w:after="0" w:line="240" w:lineRule="auto"/>
        <w:contextualSpacing/>
        <w:rPr>
          <w:rFonts w:ascii="Times New Roman" w:hAnsi="Times New Roman" w:cs="Times New Roman"/>
          <w:sz w:val="24"/>
          <w:szCs w:val="24"/>
          <w:lang w:val="en-US"/>
        </w:rPr>
      </w:pPr>
      <w:r w:rsidRPr="00730FC7">
        <w:rPr>
          <w:rFonts w:ascii="Times New Roman" w:hAnsi="Times New Roman" w:cs="Times New Roman"/>
          <w:i/>
          <w:iCs/>
          <w:sz w:val="24"/>
          <w:szCs w:val="24"/>
          <w:lang w:val="en-US"/>
        </w:rPr>
        <w:t xml:space="preserve"> </w:t>
      </w:r>
      <w:r w:rsidRPr="00730FC7">
        <w:rPr>
          <w:rFonts w:ascii="Times New Roman" w:hAnsi="Times New Roman" w:cs="Times New Roman"/>
          <w:sz w:val="24"/>
          <w:szCs w:val="24"/>
          <w:lang w:val="en-US"/>
        </w:rPr>
        <w:t>2023 NWTSC 22</w:t>
      </w:r>
      <w:r w:rsidR="005F14FC">
        <w:rPr>
          <w:rFonts w:ascii="Times New Roman" w:hAnsi="Times New Roman" w:cs="Times New Roman"/>
          <w:sz w:val="24"/>
          <w:szCs w:val="24"/>
          <w:lang w:val="en-US"/>
        </w:rPr>
        <w:t>.</w:t>
      </w:r>
      <w:r w:rsidR="00D50DBA">
        <w:rPr>
          <w:rFonts w:ascii="Times New Roman" w:hAnsi="Times New Roman" w:cs="Times New Roman"/>
          <w:sz w:val="24"/>
          <w:szCs w:val="24"/>
          <w:lang w:val="en-US"/>
        </w:rPr>
        <w:t xml:space="preserve"> </w:t>
      </w:r>
      <w:proofErr w:type="spellStart"/>
      <w:r w:rsidR="00D50DBA">
        <w:rPr>
          <w:rFonts w:ascii="Times New Roman" w:hAnsi="Times New Roman" w:cs="Times New Roman"/>
          <w:sz w:val="24"/>
          <w:szCs w:val="24"/>
          <w:lang w:val="en-US"/>
        </w:rPr>
        <w:t>cor</w:t>
      </w:r>
      <w:proofErr w:type="spellEnd"/>
      <w:r w:rsidR="00D50DBA">
        <w:rPr>
          <w:rFonts w:ascii="Times New Roman" w:hAnsi="Times New Roman" w:cs="Times New Roman"/>
          <w:sz w:val="24"/>
          <w:szCs w:val="24"/>
          <w:lang w:val="en-US"/>
        </w:rPr>
        <w:t xml:space="preserve"> 1</w:t>
      </w:r>
    </w:p>
    <w:p w14:paraId="0C3D762D" w14:textId="30F23AA2" w:rsidR="00C22334" w:rsidRPr="001B0C0B" w:rsidRDefault="002817BE" w:rsidP="002817BE">
      <w:pPr>
        <w:spacing w:after="0" w:line="240" w:lineRule="auto"/>
        <w:contextualSpacing/>
        <w:jc w:val="right"/>
        <w:rPr>
          <w:rFonts w:ascii="Times New Roman" w:hAnsi="Times New Roman" w:cs="Times New Roman"/>
          <w:sz w:val="28"/>
          <w:szCs w:val="28"/>
          <w:lang w:val="en-US"/>
        </w:rPr>
      </w:pPr>
      <w:r w:rsidRPr="001B0C0B">
        <w:rPr>
          <w:rFonts w:ascii="Times New Roman" w:hAnsi="Times New Roman" w:cs="Times New Roman"/>
          <w:sz w:val="28"/>
          <w:szCs w:val="28"/>
          <w:lang w:val="en-US"/>
        </w:rPr>
        <w:t>Date Corrigendum Filed:  2023 08 14</w:t>
      </w:r>
    </w:p>
    <w:p w14:paraId="54A97F99" w14:textId="3D603ACE" w:rsidR="00D10C94" w:rsidRPr="00327609" w:rsidRDefault="00D10C94" w:rsidP="00D10C94">
      <w:pPr>
        <w:spacing w:after="0" w:line="240" w:lineRule="auto"/>
        <w:contextualSpacing/>
        <w:jc w:val="right"/>
        <w:rPr>
          <w:rFonts w:ascii="Times New Roman" w:hAnsi="Times New Roman" w:cs="Times New Roman"/>
          <w:sz w:val="28"/>
          <w:szCs w:val="28"/>
          <w:lang w:val="en-US"/>
        </w:rPr>
      </w:pPr>
      <w:r w:rsidRPr="00327609">
        <w:rPr>
          <w:rFonts w:ascii="Times New Roman" w:hAnsi="Times New Roman" w:cs="Times New Roman"/>
          <w:sz w:val="28"/>
          <w:szCs w:val="28"/>
          <w:lang w:val="en-US"/>
        </w:rPr>
        <w:t>Date:  2023 08</w:t>
      </w:r>
      <w:r w:rsidR="00AA4D1C">
        <w:rPr>
          <w:rFonts w:ascii="Times New Roman" w:hAnsi="Times New Roman" w:cs="Times New Roman"/>
          <w:sz w:val="28"/>
          <w:szCs w:val="28"/>
          <w:lang w:val="en-US"/>
        </w:rPr>
        <w:t xml:space="preserve"> </w:t>
      </w:r>
      <w:r w:rsidR="00FD3589">
        <w:rPr>
          <w:rFonts w:ascii="Times New Roman" w:hAnsi="Times New Roman" w:cs="Times New Roman"/>
          <w:sz w:val="28"/>
          <w:szCs w:val="28"/>
          <w:lang w:val="en-US"/>
        </w:rPr>
        <w:t>11</w:t>
      </w:r>
      <w:r w:rsidR="00AA4D1C">
        <w:rPr>
          <w:rFonts w:ascii="Times New Roman" w:hAnsi="Times New Roman" w:cs="Times New Roman"/>
          <w:sz w:val="28"/>
          <w:szCs w:val="28"/>
          <w:lang w:val="en-US"/>
        </w:rPr>
        <w:t xml:space="preserve"> </w:t>
      </w:r>
    </w:p>
    <w:p w14:paraId="0590E448" w14:textId="77777777" w:rsidR="00D10C94" w:rsidRPr="00327609" w:rsidRDefault="00D10C94" w:rsidP="00D10C94">
      <w:pPr>
        <w:spacing w:after="0" w:line="240" w:lineRule="auto"/>
        <w:contextualSpacing/>
        <w:jc w:val="right"/>
        <w:rPr>
          <w:rFonts w:ascii="Times New Roman" w:hAnsi="Times New Roman" w:cs="Times New Roman"/>
          <w:sz w:val="28"/>
          <w:szCs w:val="28"/>
          <w:lang w:val="en-US"/>
        </w:rPr>
      </w:pPr>
      <w:r w:rsidRPr="00327609">
        <w:rPr>
          <w:rFonts w:ascii="Times New Roman" w:hAnsi="Times New Roman" w:cs="Times New Roman"/>
          <w:sz w:val="28"/>
          <w:szCs w:val="28"/>
          <w:lang w:val="en-US"/>
        </w:rPr>
        <w:t>Docket: S-1-CV-2021-000</w:t>
      </w:r>
      <w:r>
        <w:rPr>
          <w:rFonts w:ascii="Times New Roman" w:hAnsi="Times New Roman" w:cs="Times New Roman"/>
          <w:sz w:val="28"/>
          <w:szCs w:val="28"/>
          <w:lang w:val="en-US"/>
        </w:rPr>
        <w:t xml:space="preserve"> </w:t>
      </w:r>
      <w:r w:rsidRPr="00327609">
        <w:rPr>
          <w:rFonts w:ascii="Times New Roman" w:hAnsi="Times New Roman" w:cs="Times New Roman"/>
          <w:sz w:val="28"/>
          <w:szCs w:val="28"/>
          <w:lang w:val="en-US"/>
        </w:rPr>
        <w:t>144</w:t>
      </w:r>
    </w:p>
    <w:p w14:paraId="22924D83" w14:textId="77777777" w:rsidR="00D10C94" w:rsidRPr="00327609" w:rsidRDefault="00D10C94" w:rsidP="00D10C94">
      <w:pPr>
        <w:spacing w:after="0" w:line="240" w:lineRule="auto"/>
        <w:contextualSpacing/>
        <w:jc w:val="right"/>
        <w:rPr>
          <w:rFonts w:ascii="Times New Roman" w:hAnsi="Times New Roman" w:cs="Times New Roman"/>
          <w:sz w:val="28"/>
          <w:szCs w:val="28"/>
          <w:lang w:val="en-US"/>
        </w:rPr>
      </w:pPr>
    </w:p>
    <w:p w14:paraId="61B46CA2" w14:textId="77777777" w:rsidR="00D10C94" w:rsidRPr="007F7FB2" w:rsidRDefault="00D10C94" w:rsidP="00D10C94">
      <w:pPr>
        <w:spacing w:after="0" w:line="240" w:lineRule="auto"/>
        <w:jc w:val="center"/>
        <w:rPr>
          <w:rFonts w:ascii="Times New Roman" w:hAnsi="Times New Roman" w:cs="Times New Roman"/>
          <w:b/>
          <w:bCs/>
          <w:sz w:val="28"/>
          <w:szCs w:val="28"/>
          <w:lang w:val="en-US"/>
        </w:rPr>
      </w:pPr>
      <w:r w:rsidRPr="007F7FB2">
        <w:rPr>
          <w:rFonts w:ascii="Times New Roman" w:hAnsi="Times New Roman" w:cs="Times New Roman"/>
          <w:b/>
          <w:bCs/>
          <w:sz w:val="28"/>
          <w:szCs w:val="28"/>
          <w:lang w:val="en-US"/>
        </w:rPr>
        <w:t>IN THE SUPREME COURT OF THE NORTHWEST TERRITORIES</w:t>
      </w:r>
    </w:p>
    <w:p w14:paraId="61B87F15" w14:textId="77777777" w:rsidR="00D10C94" w:rsidRPr="007F7FB2" w:rsidRDefault="00D10C94" w:rsidP="00D10C94">
      <w:pPr>
        <w:spacing w:after="0" w:line="240" w:lineRule="auto"/>
        <w:rPr>
          <w:rFonts w:ascii="Times New Roman" w:hAnsi="Times New Roman" w:cs="Times New Roman"/>
          <w:b/>
          <w:bCs/>
          <w:sz w:val="28"/>
          <w:szCs w:val="28"/>
          <w:lang w:val="en-US"/>
        </w:rPr>
      </w:pPr>
      <w:r w:rsidRPr="007F7FB2">
        <w:rPr>
          <w:rFonts w:ascii="Times New Roman" w:hAnsi="Times New Roman" w:cs="Times New Roman"/>
          <w:b/>
          <w:bCs/>
          <w:sz w:val="28"/>
          <w:szCs w:val="28"/>
          <w:lang w:val="en-US"/>
        </w:rPr>
        <w:t>BETWEEN:</w:t>
      </w:r>
    </w:p>
    <w:p w14:paraId="7DF0289C" w14:textId="77777777" w:rsidR="00D10C94" w:rsidRPr="00327609" w:rsidRDefault="00D10C94" w:rsidP="00D10C94">
      <w:pPr>
        <w:spacing w:after="0" w:line="240" w:lineRule="auto"/>
        <w:rPr>
          <w:rFonts w:ascii="Times New Roman" w:hAnsi="Times New Roman" w:cs="Times New Roman"/>
          <w:sz w:val="28"/>
          <w:szCs w:val="28"/>
          <w:lang w:val="en-US"/>
        </w:rPr>
      </w:pPr>
    </w:p>
    <w:p w14:paraId="0152DCAA" w14:textId="77777777" w:rsidR="00D10C94" w:rsidRPr="00327609" w:rsidRDefault="00D10C94" w:rsidP="00D10C94">
      <w:pPr>
        <w:spacing w:after="0" w:line="240" w:lineRule="auto"/>
        <w:jc w:val="center"/>
        <w:rPr>
          <w:rFonts w:ascii="Times New Roman" w:hAnsi="Times New Roman" w:cs="Times New Roman"/>
          <w:sz w:val="28"/>
          <w:szCs w:val="28"/>
        </w:rPr>
      </w:pPr>
      <w:r w:rsidRPr="00327609">
        <w:rPr>
          <w:rFonts w:ascii="Times New Roman" w:hAnsi="Times New Roman" w:cs="Times New Roman"/>
          <w:sz w:val="28"/>
          <w:szCs w:val="28"/>
        </w:rPr>
        <w:t>COLVILLE LAKE RENEWABLE RESOURCE</w:t>
      </w:r>
      <w:r>
        <w:rPr>
          <w:rFonts w:ascii="Times New Roman" w:hAnsi="Times New Roman" w:cs="Times New Roman"/>
          <w:sz w:val="28"/>
          <w:szCs w:val="28"/>
        </w:rPr>
        <w:t>S</w:t>
      </w:r>
      <w:r w:rsidRPr="00327609">
        <w:rPr>
          <w:rFonts w:ascii="Times New Roman" w:hAnsi="Times New Roman" w:cs="Times New Roman"/>
          <w:sz w:val="28"/>
          <w:szCs w:val="28"/>
        </w:rPr>
        <w:t xml:space="preserve"> COUNCIL; BEDHZI AHDA</w:t>
      </w:r>
      <w:r>
        <w:rPr>
          <w:rFonts w:ascii="Times New Roman" w:hAnsi="Times New Roman" w:cs="Times New Roman"/>
          <w:sz w:val="28"/>
          <w:szCs w:val="28"/>
        </w:rPr>
        <w:t>’’</w:t>
      </w:r>
      <w:r w:rsidRPr="00327609">
        <w:rPr>
          <w:rFonts w:ascii="Times New Roman" w:hAnsi="Times New Roman" w:cs="Times New Roman"/>
          <w:sz w:val="28"/>
          <w:szCs w:val="28"/>
        </w:rPr>
        <w:t xml:space="preserve"> FIRST NATION</w:t>
      </w:r>
      <w:r>
        <w:rPr>
          <w:rFonts w:ascii="Times New Roman" w:hAnsi="Times New Roman" w:cs="Times New Roman"/>
          <w:sz w:val="28"/>
          <w:szCs w:val="28"/>
        </w:rPr>
        <w:t xml:space="preserve"> and</w:t>
      </w:r>
      <w:r w:rsidRPr="00327609">
        <w:rPr>
          <w:rFonts w:ascii="Times New Roman" w:hAnsi="Times New Roman" w:cs="Times New Roman"/>
          <w:sz w:val="28"/>
          <w:szCs w:val="28"/>
        </w:rPr>
        <w:t xml:space="preserve"> A</w:t>
      </w:r>
      <w:r>
        <w:rPr>
          <w:rFonts w:ascii="Times New Roman" w:hAnsi="Times New Roman" w:cs="Times New Roman"/>
          <w:sz w:val="28"/>
          <w:szCs w:val="28"/>
        </w:rPr>
        <w:t>Y</w:t>
      </w:r>
      <w:r w:rsidRPr="00327609">
        <w:rPr>
          <w:rFonts w:ascii="Times New Roman" w:hAnsi="Times New Roman" w:cs="Times New Roman"/>
          <w:sz w:val="28"/>
          <w:szCs w:val="28"/>
        </w:rPr>
        <w:t>ONI KEH LAND CORPORATION</w:t>
      </w:r>
    </w:p>
    <w:p w14:paraId="62E82020" w14:textId="77777777" w:rsidR="00D10C94" w:rsidRPr="00327609" w:rsidRDefault="00D10C94" w:rsidP="00D10C94">
      <w:pPr>
        <w:pStyle w:val="ListParagraph"/>
        <w:spacing w:after="0" w:line="240" w:lineRule="auto"/>
        <w:ind w:left="7920"/>
        <w:jc w:val="right"/>
        <w:rPr>
          <w:rFonts w:ascii="Times New Roman" w:hAnsi="Times New Roman" w:cs="Times New Roman"/>
          <w:sz w:val="28"/>
          <w:szCs w:val="28"/>
        </w:rPr>
      </w:pPr>
      <w:r w:rsidRPr="00327609">
        <w:rPr>
          <w:rFonts w:ascii="Times New Roman" w:hAnsi="Times New Roman" w:cs="Times New Roman"/>
          <w:sz w:val="28"/>
          <w:szCs w:val="28"/>
        </w:rPr>
        <w:t>Applicants</w:t>
      </w:r>
    </w:p>
    <w:p w14:paraId="7E255892" w14:textId="77777777" w:rsidR="00D10C94" w:rsidRPr="00327609" w:rsidRDefault="00D10C94" w:rsidP="00D10C94">
      <w:pPr>
        <w:spacing w:after="0" w:line="240" w:lineRule="auto"/>
        <w:jc w:val="center"/>
        <w:rPr>
          <w:rFonts w:ascii="Times New Roman" w:hAnsi="Times New Roman" w:cs="Times New Roman"/>
          <w:sz w:val="28"/>
          <w:szCs w:val="28"/>
          <w:lang w:val="en-US"/>
        </w:rPr>
      </w:pPr>
    </w:p>
    <w:p w14:paraId="79C3C263" w14:textId="77777777" w:rsidR="00D10C94" w:rsidRPr="00327609" w:rsidRDefault="00D10C94" w:rsidP="00D10C94">
      <w:pPr>
        <w:spacing w:after="0" w:line="240" w:lineRule="auto"/>
        <w:jc w:val="center"/>
        <w:rPr>
          <w:rFonts w:ascii="Times New Roman" w:hAnsi="Times New Roman" w:cs="Times New Roman"/>
          <w:sz w:val="28"/>
          <w:szCs w:val="28"/>
          <w:lang w:val="en-US"/>
        </w:rPr>
      </w:pPr>
      <w:r w:rsidRPr="00327609">
        <w:rPr>
          <w:rFonts w:ascii="Times New Roman" w:hAnsi="Times New Roman" w:cs="Times New Roman"/>
          <w:sz w:val="28"/>
          <w:szCs w:val="28"/>
          <w:lang w:val="en-US"/>
        </w:rPr>
        <w:t>-and-</w:t>
      </w:r>
    </w:p>
    <w:p w14:paraId="660538CA" w14:textId="77777777" w:rsidR="00D10C94" w:rsidRPr="00327609" w:rsidRDefault="00D10C94" w:rsidP="00D10C9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GOVERNMENT OF THE NORTHWEST TERRITORIES, AS REPRESENTED BY MINISTER OF ENVIRONMENT AND NATURAL RESOURCES</w:t>
      </w:r>
    </w:p>
    <w:p w14:paraId="71607BB7" w14:textId="77777777" w:rsidR="00D10C94" w:rsidRPr="00327609" w:rsidRDefault="00D10C94" w:rsidP="00D10C94">
      <w:pPr>
        <w:spacing w:after="0" w:line="240" w:lineRule="auto"/>
        <w:jc w:val="right"/>
        <w:rPr>
          <w:rFonts w:ascii="Times New Roman" w:hAnsi="Times New Roman" w:cs="Times New Roman"/>
          <w:sz w:val="28"/>
          <w:szCs w:val="28"/>
          <w:lang w:val="en-US"/>
        </w:rPr>
      </w:pPr>
      <w:r w:rsidRPr="00327609">
        <w:rPr>
          <w:rFonts w:ascii="Times New Roman" w:hAnsi="Times New Roman" w:cs="Times New Roman"/>
          <w:sz w:val="28"/>
          <w:szCs w:val="28"/>
          <w:lang w:val="en-US"/>
        </w:rPr>
        <w:t>Respondents</w:t>
      </w:r>
    </w:p>
    <w:p w14:paraId="1D770F9F" w14:textId="77777777" w:rsidR="00D10C94" w:rsidRPr="00327609" w:rsidRDefault="00D10C94" w:rsidP="00D10C94">
      <w:pPr>
        <w:spacing w:after="0" w:line="240" w:lineRule="auto"/>
        <w:jc w:val="center"/>
        <w:rPr>
          <w:rFonts w:ascii="Times New Roman" w:hAnsi="Times New Roman" w:cs="Times New Roman"/>
          <w:sz w:val="28"/>
          <w:szCs w:val="28"/>
          <w:lang w:val="en-US"/>
        </w:rPr>
      </w:pPr>
      <w:r w:rsidRPr="00327609">
        <w:rPr>
          <w:rFonts w:ascii="Times New Roman" w:hAnsi="Times New Roman" w:cs="Times New Roman"/>
          <w:sz w:val="28"/>
          <w:szCs w:val="28"/>
          <w:lang w:val="en-US"/>
        </w:rPr>
        <w:t>-and-</w:t>
      </w:r>
    </w:p>
    <w:p w14:paraId="7B9F0F37" w14:textId="77777777" w:rsidR="00D10C94" w:rsidRPr="00327609" w:rsidRDefault="00D10C94" w:rsidP="00D10C94">
      <w:pPr>
        <w:spacing w:after="0" w:line="240" w:lineRule="auto"/>
        <w:jc w:val="center"/>
        <w:rPr>
          <w:rFonts w:ascii="Times New Roman" w:hAnsi="Times New Roman" w:cs="Times New Roman"/>
          <w:sz w:val="28"/>
          <w:szCs w:val="28"/>
          <w:lang w:val="en-US"/>
        </w:rPr>
      </w:pPr>
      <w:r w:rsidRPr="00327609">
        <w:rPr>
          <w:rFonts w:ascii="Times New Roman" w:hAnsi="Times New Roman" w:cs="Times New Roman"/>
          <w:sz w:val="28"/>
          <w:szCs w:val="28"/>
          <w:lang w:val="en-US"/>
        </w:rPr>
        <w:t>SAHTU RENEWABLE RESOURCES BOARD</w:t>
      </w:r>
      <w:r>
        <w:rPr>
          <w:rFonts w:ascii="Times New Roman" w:hAnsi="Times New Roman" w:cs="Times New Roman"/>
          <w:sz w:val="28"/>
          <w:szCs w:val="28"/>
          <w:lang w:val="en-US"/>
        </w:rPr>
        <w:t xml:space="preserve"> and</w:t>
      </w:r>
      <w:r w:rsidRPr="00327609">
        <w:rPr>
          <w:rFonts w:ascii="Times New Roman" w:hAnsi="Times New Roman" w:cs="Times New Roman"/>
          <w:sz w:val="28"/>
          <w:szCs w:val="28"/>
          <w:lang w:val="en-US"/>
        </w:rPr>
        <w:t xml:space="preserve"> INUVIALUIT GAME COUNCIL</w:t>
      </w:r>
    </w:p>
    <w:p w14:paraId="2017A39F" w14:textId="77777777" w:rsidR="00D10C94" w:rsidRPr="00327609" w:rsidRDefault="00D10C94" w:rsidP="00D10C94">
      <w:pPr>
        <w:spacing w:after="0" w:line="240" w:lineRule="auto"/>
        <w:jc w:val="right"/>
        <w:rPr>
          <w:rFonts w:ascii="Times New Roman" w:hAnsi="Times New Roman" w:cs="Times New Roman"/>
          <w:sz w:val="28"/>
          <w:szCs w:val="28"/>
          <w:lang w:val="en-US"/>
        </w:rPr>
      </w:pPr>
      <w:r w:rsidRPr="00327609">
        <w:rPr>
          <w:rFonts w:ascii="Times New Roman" w:hAnsi="Times New Roman" w:cs="Times New Roman"/>
          <w:sz w:val="28"/>
          <w:szCs w:val="28"/>
          <w:lang w:val="en-US"/>
        </w:rPr>
        <w:t>Interveners</w:t>
      </w:r>
    </w:p>
    <w:p w14:paraId="45ECE14E" w14:textId="77777777" w:rsidR="00D10C94" w:rsidRDefault="00D10C94" w:rsidP="00D10C94">
      <w:pPr>
        <w:spacing w:after="0" w:line="240" w:lineRule="auto"/>
        <w:jc w:val="right"/>
        <w:rPr>
          <w:rFonts w:ascii="Times New Roman" w:hAnsi="Times New Roman" w:cs="Times New Roman"/>
          <w:sz w:val="28"/>
          <w:szCs w:val="28"/>
          <w:lang w:val="en-US"/>
        </w:rPr>
      </w:pPr>
    </w:p>
    <w:p w14:paraId="2B8C3F4F" w14:textId="77777777" w:rsidR="00D10C94" w:rsidRDefault="00D10C94" w:rsidP="00D10C94">
      <w:pPr>
        <w:spacing w:after="0" w:line="240" w:lineRule="auto"/>
        <w:jc w:val="center"/>
        <w:rPr>
          <w:rFonts w:ascii="Times New Roman" w:hAnsi="Times New Roman" w:cs="Times New Roman"/>
          <w:b/>
          <w:bCs/>
          <w:sz w:val="28"/>
          <w:szCs w:val="28"/>
          <w:lang w:val="en-US"/>
        </w:rPr>
      </w:pPr>
      <w:r w:rsidRPr="00E954EA">
        <w:rPr>
          <w:rFonts w:ascii="Times New Roman" w:hAnsi="Times New Roman" w:cs="Times New Roman"/>
          <w:b/>
          <w:bCs/>
          <w:sz w:val="28"/>
          <w:szCs w:val="28"/>
          <w:lang w:val="en-US"/>
        </w:rPr>
        <w:t>MEMORANDUM OF JUDGMENT</w:t>
      </w:r>
    </w:p>
    <w:p w14:paraId="5833BD1C" w14:textId="77777777" w:rsidR="001B0C0B" w:rsidRDefault="001B0C0B" w:rsidP="00D10C94">
      <w:pPr>
        <w:spacing w:after="0" w:line="240" w:lineRule="auto"/>
        <w:jc w:val="center"/>
        <w:rPr>
          <w:rFonts w:ascii="Times New Roman" w:hAnsi="Times New Roman" w:cs="Times New Roman"/>
          <w:b/>
          <w:bCs/>
          <w:sz w:val="28"/>
          <w:szCs w:val="28"/>
          <w:lang w:val="en-US"/>
        </w:rPr>
      </w:pPr>
    </w:p>
    <w:tbl>
      <w:tblPr>
        <w:tblW w:w="0" w:type="auto"/>
        <w:jc w:val="center"/>
        <w:tblLayout w:type="fixed"/>
        <w:tblCellMar>
          <w:left w:w="264" w:type="dxa"/>
          <w:right w:w="264" w:type="dxa"/>
        </w:tblCellMar>
        <w:tblLook w:val="0000" w:firstRow="0" w:lastRow="0" w:firstColumn="0" w:lastColumn="0" w:noHBand="0" w:noVBand="0"/>
      </w:tblPr>
      <w:tblGrid>
        <w:gridCol w:w="6480"/>
      </w:tblGrid>
      <w:tr w:rsidR="00DF2C2C" w14:paraId="69CEC5A2" w14:textId="77777777" w:rsidTr="0052580C">
        <w:trPr>
          <w:jc w:val="center"/>
        </w:trPr>
        <w:tc>
          <w:tcPr>
            <w:tcW w:w="6480" w:type="dxa"/>
            <w:tcBorders>
              <w:top w:val="double" w:sz="14" w:space="0" w:color="000000"/>
              <w:left w:val="double" w:sz="14" w:space="0" w:color="000000"/>
              <w:bottom w:val="double" w:sz="14" w:space="0" w:color="000000"/>
              <w:right w:val="double" w:sz="14" w:space="0" w:color="000000"/>
            </w:tcBorders>
          </w:tcPr>
          <w:p w14:paraId="5BFBE6B6" w14:textId="5EE564B4" w:rsidR="00DF2C2C" w:rsidRPr="00DF2C2C" w:rsidRDefault="00DF2C2C" w:rsidP="0052580C">
            <w:pPr>
              <w:spacing w:after="144"/>
              <w:jc w:val="both"/>
              <w:rPr>
                <w:rFonts w:ascii="Times New Roman" w:hAnsi="Times New Roman" w:cs="Times New Roman"/>
                <w:sz w:val="24"/>
                <w:szCs w:val="24"/>
                <w:lang w:val="en-GB"/>
              </w:rPr>
            </w:pPr>
            <w:r w:rsidRPr="00DF2C2C">
              <w:rPr>
                <w:rFonts w:ascii="Times New Roman" w:hAnsi="Times New Roman" w:cs="Times New Roman"/>
                <w:b/>
                <w:bCs/>
                <w:sz w:val="24"/>
                <w:szCs w:val="24"/>
                <w:lang w:val="en-GB"/>
              </w:rPr>
              <w:t>Corrected judgment</w:t>
            </w:r>
            <w:r w:rsidRPr="00DF2C2C">
              <w:rPr>
                <w:rFonts w:ascii="Times New Roman" w:hAnsi="Times New Roman" w:cs="Times New Roman"/>
                <w:sz w:val="24"/>
                <w:szCs w:val="24"/>
                <w:lang w:val="en-GB"/>
              </w:rPr>
              <w:t xml:space="preserve">: A corrigendum was issued on </w:t>
            </w:r>
            <w:r>
              <w:rPr>
                <w:rFonts w:ascii="Times New Roman" w:hAnsi="Times New Roman" w:cs="Times New Roman"/>
                <w:sz w:val="24"/>
                <w:szCs w:val="24"/>
                <w:lang w:val="en-GB"/>
              </w:rPr>
              <w:t>August 14</w:t>
            </w:r>
            <w:r w:rsidRPr="00DF2C2C">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2023</w:t>
            </w:r>
            <w:proofErr w:type="gramEnd"/>
            <w:r w:rsidRPr="00DF2C2C">
              <w:rPr>
                <w:rFonts w:ascii="Times New Roman" w:hAnsi="Times New Roman" w:cs="Times New Roman"/>
                <w:sz w:val="24"/>
                <w:szCs w:val="24"/>
                <w:lang w:val="en-GB"/>
              </w:rPr>
              <w:t xml:space="preserve"> the corrections have been made to the text and the corrigendum is appended to this judgment.</w:t>
            </w:r>
            <w:bookmarkStart w:id="0" w:name="PubBanText"/>
            <w:bookmarkEnd w:id="0"/>
          </w:p>
        </w:tc>
      </w:tr>
    </w:tbl>
    <w:p w14:paraId="001B47DF" w14:textId="77777777" w:rsidR="002817BE" w:rsidRPr="00E954EA" w:rsidRDefault="002817BE" w:rsidP="00D10C94">
      <w:pPr>
        <w:spacing w:after="0" w:line="240" w:lineRule="auto"/>
        <w:jc w:val="center"/>
        <w:rPr>
          <w:rFonts w:ascii="Times New Roman" w:hAnsi="Times New Roman" w:cs="Times New Roman"/>
          <w:b/>
          <w:bCs/>
          <w:sz w:val="28"/>
          <w:szCs w:val="28"/>
          <w:lang w:val="en-US"/>
        </w:rPr>
      </w:pPr>
    </w:p>
    <w:p w14:paraId="6397CCB5" w14:textId="369AFC94" w:rsidR="00D10C94" w:rsidRDefault="00D10C94" w:rsidP="00047B9F">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5A3E32F8" w14:textId="77777777" w:rsidR="003D3E8C" w:rsidRPr="00B512D6" w:rsidRDefault="003D3E8C" w:rsidP="00047B9F">
      <w:pPr>
        <w:pStyle w:val="ListParagraph"/>
        <w:spacing w:after="0" w:line="240" w:lineRule="auto"/>
        <w:ind w:left="0"/>
        <w:jc w:val="both"/>
        <w:rPr>
          <w:rFonts w:ascii="Times New Roman" w:hAnsi="Times New Roman" w:cs="Times New Roman"/>
          <w:sz w:val="28"/>
          <w:szCs w:val="28"/>
        </w:rPr>
      </w:pPr>
    </w:p>
    <w:p w14:paraId="254DE792" w14:textId="65EA0D85"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b/>
          <w:bCs/>
          <w:sz w:val="28"/>
          <w:szCs w:val="28"/>
        </w:rPr>
      </w:pPr>
      <w:r w:rsidRPr="00D10C94">
        <w:rPr>
          <w:rFonts w:ascii="Times New Roman" w:hAnsi="Times New Roman" w:cs="Times New Roman"/>
          <w:sz w:val="28"/>
          <w:szCs w:val="28"/>
          <w:lang w:val="en-US"/>
        </w:rPr>
        <w:t xml:space="preserve">The Applicants seek judicial review of a decision of the Minister of Environment and Natural Resources (the “Minister”) relating to his decision with respect to permissible harvest activities of the Bluenose West Caribou Herd (the “Herd”) under the </w:t>
      </w:r>
      <w:r w:rsidRPr="00D10C94">
        <w:rPr>
          <w:rFonts w:ascii="Times New Roman" w:hAnsi="Times New Roman" w:cs="Times New Roman"/>
          <w:i/>
          <w:iCs/>
          <w:sz w:val="28"/>
          <w:szCs w:val="28"/>
        </w:rPr>
        <w:t>Sahtu Dene and Metis Comprehensive Land Claim Agreement</w:t>
      </w:r>
      <w:r w:rsidRPr="00D10C94">
        <w:rPr>
          <w:rFonts w:ascii="Times New Roman" w:hAnsi="Times New Roman" w:cs="Times New Roman"/>
          <w:sz w:val="28"/>
          <w:szCs w:val="28"/>
        </w:rPr>
        <w:t xml:space="preserve"> (the “Treaty”). </w:t>
      </w:r>
      <w:r w:rsidR="0056385F">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Roles and Responsibilities of the Applicants and Respondents are recognized under the </w:t>
      </w:r>
      <w:r w:rsidRPr="00D10C94">
        <w:rPr>
          <w:rFonts w:ascii="Times New Roman" w:hAnsi="Times New Roman" w:cs="Times New Roman"/>
          <w:i/>
          <w:iCs/>
          <w:sz w:val="28"/>
          <w:szCs w:val="28"/>
        </w:rPr>
        <w:t>Wildlife Act</w:t>
      </w:r>
      <w:r w:rsidRPr="00D10C94">
        <w:rPr>
          <w:rFonts w:ascii="Times New Roman" w:hAnsi="Times New Roman" w:cs="Times New Roman"/>
          <w:sz w:val="28"/>
          <w:szCs w:val="28"/>
        </w:rPr>
        <w:t xml:space="preserve">, </w:t>
      </w:r>
      <w:hyperlink r:id="rId11" w:history="1">
        <w:r w:rsidRPr="00A77448">
          <w:rPr>
            <w:rStyle w:val="Hyperlink"/>
            <w:rFonts w:ascii="Times New Roman" w:hAnsi="Times New Roman" w:cs="Times New Roman"/>
            <w:color w:val="auto"/>
            <w:sz w:val="28"/>
            <w:szCs w:val="28"/>
            <w:u w:val="none"/>
          </w:rPr>
          <w:t>SNWT 2013, c 30</w:t>
        </w:r>
      </w:hyperlink>
      <w:r w:rsidRPr="00D10C94">
        <w:rPr>
          <w:rFonts w:ascii="Times New Roman" w:hAnsi="Times New Roman" w:cs="Times New Roman"/>
          <w:sz w:val="28"/>
          <w:szCs w:val="28"/>
        </w:rPr>
        <w:t xml:space="preserve"> and the Treaty as bearing responsibility for effective conservation and management of the Herd.</w:t>
      </w:r>
    </w:p>
    <w:p w14:paraId="38B99432" w14:textId="77777777" w:rsidR="00D10C94" w:rsidRDefault="00D10C94" w:rsidP="007547E4">
      <w:pPr>
        <w:pStyle w:val="ListParagraph"/>
        <w:spacing w:after="240" w:line="240" w:lineRule="auto"/>
        <w:ind w:left="0"/>
        <w:jc w:val="both"/>
        <w:rPr>
          <w:rFonts w:ascii="Times New Roman" w:hAnsi="Times New Roman" w:cs="Times New Roman"/>
          <w:b/>
          <w:bCs/>
          <w:sz w:val="28"/>
          <w:szCs w:val="28"/>
          <w:lang w:val="en-US"/>
        </w:rPr>
      </w:pPr>
      <w:r w:rsidRPr="00D10C94">
        <w:rPr>
          <w:rFonts w:ascii="Times New Roman" w:hAnsi="Times New Roman" w:cs="Times New Roman"/>
          <w:b/>
          <w:bCs/>
          <w:sz w:val="28"/>
          <w:szCs w:val="28"/>
          <w:lang w:val="en-US"/>
        </w:rPr>
        <w:lastRenderedPageBreak/>
        <w:t>BACKGROUND</w:t>
      </w:r>
    </w:p>
    <w:p w14:paraId="1D75DEBF" w14:textId="77777777" w:rsidR="00111809" w:rsidRPr="00D10C94" w:rsidRDefault="00111809" w:rsidP="007547E4">
      <w:pPr>
        <w:pStyle w:val="ListParagraph"/>
        <w:spacing w:after="240" w:line="240" w:lineRule="auto"/>
        <w:ind w:left="0"/>
        <w:jc w:val="both"/>
        <w:rPr>
          <w:rFonts w:ascii="Times New Roman" w:hAnsi="Times New Roman" w:cs="Times New Roman"/>
          <w:b/>
          <w:bCs/>
          <w:sz w:val="28"/>
          <w:szCs w:val="28"/>
        </w:rPr>
      </w:pPr>
    </w:p>
    <w:p w14:paraId="6E044956" w14:textId="40BAC16E"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Applicant, Colville Lake Renewable Resources Council (“CLRRC”), is a Renewable Resources Council (“RRC”) established by the Treaty, recognized under the definition of a “local harvesting committee” under s. 1(1) of the </w:t>
      </w:r>
      <w:r w:rsidRPr="00D10C94">
        <w:rPr>
          <w:rFonts w:ascii="Times New Roman" w:hAnsi="Times New Roman" w:cs="Times New Roman"/>
          <w:i/>
          <w:iCs/>
          <w:sz w:val="28"/>
          <w:szCs w:val="28"/>
          <w:lang w:val="en-US"/>
        </w:rPr>
        <w:t>Wildlife Act</w:t>
      </w:r>
      <w:r w:rsidRPr="00D10C94">
        <w:rPr>
          <w:rFonts w:ascii="Times New Roman" w:hAnsi="Times New Roman" w:cs="Times New Roman"/>
          <w:sz w:val="28"/>
          <w:szCs w:val="28"/>
          <w:lang w:val="en-US"/>
        </w:rPr>
        <w:t xml:space="preserve">, and empowered under the Treaty in a co-management role to encourage local involvement in research, harvesting studies, conservation, and community wildlife management. </w:t>
      </w:r>
    </w:p>
    <w:p w14:paraId="357E5125" w14:textId="55F7F478" w:rsidR="00D10C94" w:rsidRPr="00D10C94" w:rsidRDefault="00D10C94" w:rsidP="0056385F">
      <w:pPr>
        <w:pStyle w:val="ListParagraph"/>
        <w:numPr>
          <w:ilvl w:val="0"/>
          <w:numId w:val="11"/>
        </w:numPr>
        <w:spacing w:after="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Applicant, </w:t>
      </w:r>
      <w:proofErr w:type="spellStart"/>
      <w:r w:rsidRPr="00D10C94">
        <w:rPr>
          <w:rFonts w:ascii="Times New Roman" w:hAnsi="Times New Roman" w:cs="Times New Roman"/>
          <w:sz w:val="28"/>
          <w:szCs w:val="28"/>
          <w:lang w:val="en-US"/>
        </w:rPr>
        <w:t>Bedhzi</w:t>
      </w:r>
      <w:proofErr w:type="spellEnd"/>
      <w:r w:rsidRPr="00D10C94">
        <w:rPr>
          <w:rFonts w:ascii="Times New Roman" w:hAnsi="Times New Roman" w:cs="Times New Roman"/>
          <w:sz w:val="28"/>
          <w:szCs w:val="28"/>
          <w:lang w:val="en-US"/>
        </w:rPr>
        <w:t xml:space="preserve"> </w:t>
      </w:r>
      <w:proofErr w:type="spellStart"/>
      <w:r w:rsidRPr="00D10C94">
        <w:rPr>
          <w:rFonts w:ascii="Times New Roman" w:hAnsi="Times New Roman" w:cs="Times New Roman"/>
          <w:sz w:val="28"/>
          <w:szCs w:val="28"/>
          <w:lang w:val="en-US"/>
        </w:rPr>
        <w:t>Ahda</w:t>
      </w:r>
      <w:proofErr w:type="spellEnd"/>
      <w:r w:rsidRPr="00D10C94">
        <w:rPr>
          <w:rFonts w:ascii="Times New Roman" w:hAnsi="Times New Roman" w:cs="Times New Roman"/>
          <w:sz w:val="28"/>
          <w:szCs w:val="28"/>
          <w:lang w:val="en-US"/>
        </w:rPr>
        <w:t xml:space="preserve"> First Nation, is a Dene First Nations band in the</w:t>
      </w:r>
    </w:p>
    <w:p w14:paraId="49FBB74E" w14:textId="77777777" w:rsidR="00D10C94" w:rsidRPr="00D10C94" w:rsidRDefault="00D10C94" w:rsidP="007547E4">
      <w:pPr>
        <w:pStyle w:val="ListParagraph"/>
        <w:spacing w:after="240" w:line="240" w:lineRule="auto"/>
        <w:ind w:left="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community of Colville Lake.</w:t>
      </w:r>
    </w:p>
    <w:p w14:paraId="0F7EE6C5" w14:textId="1E49BAD7" w:rsidR="00D10C94" w:rsidRPr="0056385F" w:rsidRDefault="00D10C94" w:rsidP="00986050">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56385F">
        <w:rPr>
          <w:rFonts w:ascii="Times New Roman" w:hAnsi="Times New Roman" w:cs="Times New Roman"/>
          <w:sz w:val="28"/>
          <w:szCs w:val="28"/>
          <w:lang w:val="en-US"/>
        </w:rPr>
        <w:t xml:space="preserve">The Applicant, </w:t>
      </w:r>
      <w:proofErr w:type="spellStart"/>
      <w:r w:rsidRPr="0056385F">
        <w:rPr>
          <w:rFonts w:ascii="Times New Roman" w:hAnsi="Times New Roman" w:cs="Times New Roman"/>
          <w:sz w:val="28"/>
          <w:szCs w:val="28"/>
          <w:lang w:val="en-US"/>
        </w:rPr>
        <w:t>A</w:t>
      </w:r>
      <w:r w:rsidR="008E7D32">
        <w:rPr>
          <w:rFonts w:ascii="Times New Roman" w:hAnsi="Times New Roman" w:cs="Times New Roman"/>
          <w:sz w:val="28"/>
          <w:szCs w:val="28"/>
          <w:lang w:val="en-US"/>
        </w:rPr>
        <w:t>y</w:t>
      </w:r>
      <w:r w:rsidRPr="0056385F">
        <w:rPr>
          <w:rFonts w:ascii="Times New Roman" w:hAnsi="Times New Roman" w:cs="Times New Roman"/>
          <w:sz w:val="28"/>
          <w:szCs w:val="28"/>
          <w:lang w:val="en-US"/>
        </w:rPr>
        <w:t>oni</w:t>
      </w:r>
      <w:proofErr w:type="spellEnd"/>
      <w:r w:rsidRPr="0056385F">
        <w:rPr>
          <w:rFonts w:ascii="Times New Roman" w:hAnsi="Times New Roman" w:cs="Times New Roman"/>
          <w:sz w:val="28"/>
          <w:szCs w:val="28"/>
          <w:lang w:val="en-US"/>
        </w:rPr>
        <w:t xml:space="preserve"> </w:t>
      </w:r>
      <w:proofErr w:type="spellStart"/>
      <w:r w:rsidRPr="0056385F">
        <w:rPr>
          <w:rFonts w:ascii="Times New Roman" w:hAnsi="Times New Roman" w:cs="Times New Roman"/>
          <w:sz w:val="28"/>
          <w:szCs w:val="28"/>
          <w:lang w:val="en-US"/>
        </w:rPr>
        <w:t>Keh</w:t>
      </w:r>
      <w:proofErr w:type="spellEnd"/>
      <w:r w:rsidRPr="0056385F">
        <w:rPr>
          <w:rFonts w:ascii="Times New Roman" w:hAnsi="Times New Roman" w:cs="Times New Roman"/>
          <w:sz w:val="28"/>
          <w:szCs w:val="28"/>
          <w:lang w:val="en-US"/>
        </w:rPr>
        <w:t xml:space="preserve"> Land Corporation, is a non-profit organization within the Sahtu.</w:t>
      </w:r>
    </w:p>
    <w:p w14:paraId="335716A4" w14:textId="01227695"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Intervener, Sahtu Renewable Resources Board (“SRRB”), is recognized under s. 9(1) of the </w:t>
      </w:r>
      <w:r w:rsidRPr="004B126D">
        <w:rPr>
          <w:rFonts w:ascii="Times New Roman" w:hAnsi="Times New Roman" w:cs="Times New Roman"/>
          <w:i/>
          <w:iCs/>
          <w:sz w:val="28"/>
          <w:szCs w:val="28"/>
          <w:lang w:val="en-US"/>
        </w:rPr>
        <w:t>Wildlife Act</w:t>
      </w:r>
      <w:r w:rsidRPr="00D10C94">
        <w:rPr>
          <w:rFonts w:ascii="Times New Roman" w:hAnsi="Times New Roman" w:cs="Times New Roman"/>
          <w:sz w:val="28"/>
          <w:szCs w:val="28"/>
          <w:lang w:val="en-US"/>
        </w:rPr>
        <w:t xml:space="preserve"> as the main instrument of wildlife management in areas of the Northwest Territories with land claims agreements. </w:t>
      </w:r>
      <w:r w:rsidR="0056385F">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SRRB is established under the Treaty as the main instrument of wildlife management in the Sahtu Settlement Area (“SSA”), to which the Treaty applies.</w:t>
      </w:r>
    </w:p>
    <w:p w14:paraId="0A7ED9AD" w14:textId="6C42B432"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F410A3">
        <w:rPr>
          <w:rFonts w:ascii="Times New Roman" w:hAnsi="Times New Roman" w:cs="Times New Roman"/>
          <w:sz w:val="28"/>
          <w:szCs w:val="28"/>
          <w:lang w:val="en-US"/>
        </w:rPr>
        <w:t xml:space="preserve">The Respondent, Minister of Environment and Natural Resources (the </w:t>
      </w:r>
      <w:r w:rsidRPr="00D10C94">
        <w:rPr>
          <w:rFonts w:ascii="Times New Roman" w:hAnsi="Times New Roman" w:cs="Times New Roman"/>
          <w:sz w:val="28"/>
          <w:szCs w:val="28"/>
          <w:lang w:val="en-US"/>
        </w:rPr>
        <w:t xml:space="preserve">“Minister”), Government of the Northwest Territories (“GNWT”) represents the GNWT.  The Minister is responsible for the </w:t>
      </w:r>
      <w:r w:rsidRPr="00D10C94">
        <w:rPr>
          <w:rFonts w:ascii="Times New Roman" w:hAnsi="Times New Roman" w:cs="Times New Roman"/>
          <w:i/>
          <w:iCs/>
          <w:sz w:val="28"/>
          <w:szCs w:val="28"/>
          <w:lang w:val="en-US"/>
        </w:rPr>
        <w:t>Wildlife Act</w:t>
      </w:r>
      <w:r w:rsidRPr="00D10C94">
        <w:rPr>
          <w:rFonts w:ascii="Times New Roman" w:hAnsi="Times New Roman" w:cs="Times New Roman"/>
          <w:sz w:val="28"/>
          <w:szCs w:val="28"/>
          <w:lang w:val="en-US"/>
        </w:rPr>
        <w:t xml:space="preserve"> and regulations </w:t>
      </w:r>
      <w:r w:rsidRPr="00D10C94">
        <w:rPr>
          <w:rFonts w:ascii="Times New Roman" w:hAnsi="Times New Roman" w:cs="Times New Roman"/>
          <w:i/>
          <w:iCs/>
          <w:sz w:val="28"/>
          <w:szCs w:val="28"/>
          <w:lang w:val="en-US"/>
        </w:rPr>
        <w:t>Wildlife Act</w:t>
      </w:r>
      <w:r w:rsidRPr="00D10C94">
        <w:rPr>
          <w:rFonts w:ascii="Times New Roman" w:hAnsi="Times New Roman" w:cs="Times New Roman"/>
          <w:sz w:val="28"/>
          <w:szCs w:val="28"/>
          <w:lang w:val="en-US"/>
        </w:rPr>
        <w:t xml:space="preserve">, s. 11(1) and is tasked with ultimate governance of the Treaty under the collaborative wildlife management schema identified therein. </w:t>
      </w:r>
      <w:r w:rsidR="00872248">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Minister must promote a collaborative approach to conservation and management of wildlife and habitat, consistent with applicable land claims agreement(s).</w:t>
      </w:r>
      <w:r w:rsidR="00872248">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w:t>
      </w:r>
      <w:r w:rsidRPr="00D10C94">
        <w:rPr>
          <w:rFonts w:ascii="Times New Roman" w:hAnsi="Times New Roman" w:cs="Times New Roman"/>
          <w:i/>
          <w:iCs/>
          <w:sz w:val="28"/>
          <w:szCs w:val="28"/>
          <w:lang w:val="en-US"/>
        </w:rPr>
        <w:t>Wildlife Act</w:t>
      </w:r>
      <w:r w:rsidRPr="00D10C94">
        <w:rPr>
          <w:rFonts w:ascii="Times New Roman" w:hAnsi="Times New Roman" w:cs="Times New Roman"/>
          <w:sz w:val="28"/>
          <w:szCs w:val="28"/>
          <w:lang w:val="en-US"/>
        </w:rPr>
        <w:t>, ss. 11(3) and (4</w:t>
      </w:r>
      <w:proofErr w:type="gramStart"/>
      <w:r w:rsidR="00F85F57" w:rsidRPr="00D10C94">
        <w:rPr>
          <w:rFonts w:ascii="Times New Roman" w:hAnsi="Times New Roman" w:cs="Times New Roman"/>
          <w:sz w:val="28"/>
          <w:szCs w:val="28"/>
          <w:lang w:val="en-US"/>
        </w:rPr>
        <w:t>)</w:t>
      </w:r>
      <w:r w:rsidR="00872248">
        <w:rPr>
          <w:rFonts w:ascii="Times New Roman" w:hAnsi="Times New Roman" w:cs="Times New Roman"/>
          <w:sz w:val="28"/>
          <w:szCs w:val="28"/>
          <w:lang w:val="en-US"/>
        </w:rPr>
        <w:t xml:space="preserve"> </w:t>
      </w:r>
      <w:r w:rsidR="00F85F57" w:rsidRPr="00D10C94">
        <w:rPr>
          <w:rFonts w:ascii="Times New Roman" w:hAnsi="Times New Roman" w:cs="Times New Roman"/>
          <w:sz w:val="28"/>
          <w:szCs w:val="28"/>
          <w:lang w:val="en-US"/>
        </w:rPr>
        <w:t xml:space="preserve"> </w:t>
      </w:r>
      <w:r w:rsidR="00F85F57">
        <w:rPr>
          <w:rFonts w:ascii="Times New Roman" w:hAnsi="Times New Roman" w:cs="Times New Roman"/>
          <w:sz w:val="28"/>
          <w:szCs w:val="28"/>
          <w:lang w:val="en-US"/>
        </w:rPr>
        <w:t>The</w:t>
      </w:r>
      <w:proofErr w:type="gramEnd"/>
      <w:r w:rsidRPr="00D10C94">
        <w:rPr>
          <w:rFonts w:ascii="Times New Roman" w:hAnsi="Times New Roman" w:cs="Times New Roman"/>
          <w:sz w:val="28"/>
          <w:szCs w:val="28"/>
          <w:lang w:val="en-US"/>
        </w:rPr>
        <w:t xml:space="preserve"> Minister has discretion to enter into agreements with local harvesting committees regarding their involvement in the conservation and management of wildlife. </w:t>
      </w:r>
      <w:r w:rsidR="0056385F">
        <w:rPr>
          <w:rFonts w:ascii="Times New Roman" w:hAnsi="Times New Roman" w:cs="Times New Roman"/>
          <w:sz w:val="28"/>
          <w:szCs w:val="28"/>
          <w:lang w:val="en-US"/>
        </w:rPr>
        <w:t xml:space="preserve"> </w:t>
      </w:r>
      <w:r w:rsidRPr="00D10C94">
        <w:rPr>
          <w:rFonts w:ascii="Times New Roman" w:hAnsi="Times New Roman" w:cs="Times New Roman"/>
          <w:i/>
          <w:iCs/>
          <w:sz w:val="28"/>
          <w:szCs w:val="28"/>
          <w:lang w:val="en-US"/>
        </w:rPr>
        <w:t>Wildlife Act</w:t>
      </w:r>
      <w:r w:rsidRPr="00D10C94">
        <w:rPr>
          <w:rFonts w:ascii="Times New Roman" w:hAnsi="Times New Roman" w:cs="Times New Roman"/>
          <w:sz w:val="28"/>
          <w:szCs w:val="28"/>
          <w:lang w:val="en-US"/>
        </w:rPr>
        <w:t>, s. 14(1).</w:t>
      </w:r>
    </w:p>
    <w:p w14:paraId="7F3B9C7C" w14:textId="27A3BABE"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Respondent, the Attorney-General of the Northwest Territories, </w:t>
      </w:r>
      <w:r w:rsidR="00A57615" w:rsidRPr="00D10C94">
        <w:rPr>
          <w:rFonts w:ascii="Times New Roman" w:hAnsi="Times New Roman" w:cs="Times New Roman"/>
          <w:sz w:val="28"/>
          <w:szCs w:val="28"/>
          <w:lang w:val="en-US"/>
        </w:rPr>
        <w:t>is</w:t>
      </w:r>
      <w:r w:rsidRPr="00D10C94">
        <w:rPr>
          <w:rFonts w:ascii="Times New Roman" w:hAnsi="Times New Roman" w:cs="Times New Roman"/>
          <w:sz w:val="28"/>
          <w:szCs w:val="28"/>
          <w:lang w:val="en-US"/>
        </w:rPr>
        <w:t xml:space="preserve"> entitled to be part of these proceedings as of right, and pursuant to the </w:t>
      </w:r>
      <w:r w:rsidRPr="00D10C94">
        <w:rPr>
          <w:rFonts w:ascii="Times New Roman" w:hAnsi="Times New Roman" w:cs="Times New Roman"/>
          <w:i/>
          <w:iCs/>
          <w:sz w:val="28"/>
          <w:szCs w:val="28"/>
          <w:lang w:val="en-US"/>
        </w:rPr>
        <w:t>Rules of the Supreme Court of the Northwest Territories</w:t>
      </w:r>
      <w:r w:rsidRPr="00D10C94">
        <w:rPr>
          <w:rFonts w:ascii="Times New Roman" w:hAnsi="Times New Roman" w:cs="Times New Roman"/>
          <w:sz w:val="28"/>
          <w:szCs w:val="28"/>
          <w:lang w:val="en-US"/>
        </w:rPr>
        <w:t xml:space="preserve">. </w:t>
      </w:r>
    </w:p>
    <w:p w14:paraId="3AF11524" w14:textId="43F97E05"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Intervener, Inuvialuit Game Council (“IGC”), is a co-management partner of the Inuvialuit Final Agreement and shares management responsibilities within the Inuvialuit Settlement Region. </w:t>
      </w:r>
      <w:r w:rsidR="0056385F">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IGC has an interest in the Herd.</w:t>
      </w:r>
      <w:r w:rsidR="0056385F">
        <w:rPr>
          <w:rFonts w:ascii="Times New Roman" w:hAnsi="Times New Roman" w:cs="Times New Roman"/>
          <w:sz w:val="28"/>
          <w:szCs w:val="28"/>
          <w:lang w:val="en-US"/>
        </w:rPr>
        <w:t xml:space="preserve"> </w:t>
      </w:r>
      <w:r w:rsidR="00275CD2" w:rsidRPr="00275CD2">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Along with the SRRB, on September 16, </w:t>
      </w:r>
      <w:proofErr w:type="gramStart"/>
      <w:r w:rsidRPr="00D10C94">
        <w:rPr>
          <w:rFonts w:ascii="Times New Roman" w:hAnsi="Times New Roman" w:cs="Times New Roman"/>
          <w:sz w:val="28"/>
          <w:szCs w:val="28"/>
          <w:lang w:val="en-US"/>
        </w:rPr>
        <w:t>2022</w:t>
      </w:r>
      <w:proofErr w:type="gramEnd"/>
      <w:r w:rsidRPr="00D10C94">
        <w:rPr>
          <w:rFonts w:ascii="Times New Roman" w:hAnsi="Times New Roman" w:cs="Times New Roman"/>
          <w:sz w:val="28"/>
          <w:szCs w:val="28"/>
          <w:lang w:val="en-US"/>
        </w:rPr>
        <w:t xml:space="preserve"> the IGC was granted standing in this matter.</w:t>
      </w:r>
    </w:p>
    <w:p w14:paraId="14518145" w14:textId="77777777" w:rsidR="00C41ECA" w:rsidRPr="00C41ECA" w:rsidRDefault="00D10C94" w:rsidP="0002571D">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9E3749">
        <w:rPr>
          <w:rFonts w:ascii="Times New Roman" w:hAnsi="Times New Roman" w:cs="Times New Roman"/>
          <w:sz w:val="28"/>
          <w:szCs w:val="28"/>
          <w:lang w:val="en-US"/>
        </w:rPr>
        <w:lastRenderedPageBreak/>
        <w:t xml:space="preserve">A “Sahtu Community” is defined as the Community of Participants in Fort </w:t>
      </w:r>
      <w:r w:rsidRPr="00D10C94">
        <w:rPr>
          <w:rFonts w:ascii="Times New Roman" w:hAnsi="Times New Roman" w:cs="Times New Roman"/>
          <w:sz w:val="28"/>
          <w:szCs w:val="28"/>
          <w:lang w:val="en-US"/>
        </w:rPr>
        <w:t xml:space="preserve">Good Hope, Colville Lake, Fort Norman, </w:t>
      </w:r>
      <w:proofErr w:type="spellStart"/>
      <w:r w:rsidRPr="00D10C94">
        <w:rPr>
          <w:rFonts w:ascii="Times New Roman" w:hAnsi="Times New Roman" w:cs="Times New Roman"/>
          <w:sz w:val="28"/>
          <w:szCs w:val="28"/>
          <w:lang w:val="en-US"/>
        </w:rPr>
        <w:t>Deline</w:t>
      </w:r>
      <w:proofErr w:type="spellEnd"/>
      <w:r w:rsidRPr="00D10C94">
        <w:rPr>
          <w:rFonts w:ascii="Times New Roman" w:hAnsi="Times New Roman" w:cs="Times New Roman"/>
          <w:sz w:val="28"/>
          <w:szCs w:val="28"/>
          <w:lang w:val="en-US"/>
        </w:rPr>
        <w:t>, and/or Norman Wells.</w:t>
      </w:r>
    </w:p>
    <w:p w14:paraId="447F4369" w14:textId="2847C7E5" w:rsidR="00D10C94" w:rsidRPr="00D10C94" w:rsidRDefault="009E3749" w:rsidP="0002571D">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9E3749">
        <w:rPr>
          <w:rFonts w:ascii="Times New Roman" w:hAnsi="Times New Roman" w:cs="Times New Roman"/>
          <w:sz w:val="28"/>
          <w:szCs w:val="28"/>
          <w:lang w:val="en-US"/>
        </w:rPr>
        <w:t xml:space="preserve"> </w:t>
      </w:r>
      <w:r w:rsidR="00D10C94" w:rsidRPr="00D10C94">
        <w:rPr>
          <w:rFonts w:ascii="Times New Roman" w:hAnsi="Times New Roman" w:cs="Times New Roman"/>
          <w:sz w:val="28"/>
          <w:szCs w:val="28"/>
        </w:rPr>
        <w:t xml:space="preserve">A “Participant” refers to a representative from each of the five communities within the SSA. </w:t>
      </w:r>
      <w:r w:rsidR="00CD40A7">
        <w:rPr>
          <w:rFonts w:ascii="Times New Roman" w:hAnsi="Times New Roman" w:cs="Times New Roman"/>
          <w:sz w:val="28"/>
          <w:szCs w:val="28"/>
        </w:rPr>
        <w:t xml:space="preserve"> </w:t>
      </w:r>
      <w:r w:rsidR="00D10C94" w:rsidRPr="00D10C94">
        <w:rPr>
          <w:rFonts w:ascii="Times New Roman" w:hAnsi="Times New Roman" w:cs="Times New Roman"/>
          <w:sz w:val="28"/>
          <w:szCs w:val="28"/>
        </w:rPr>
        <w:t xml:space="preserve">Participants have rights under the Treaty as a member of the Sahtu Dene or Metis community and </w:t>
      </w:r>
      <w:r w:rsidR="00C34722">
        <w:rPr>
          <w:rFonts w:ascii="Times New Roman" w:hAnsi="Times New Roman" w:cs="Times New Roman"/>
          <w:sz w:val="28"/>
          <w:szCs w:val="28"/>
        </w:rPr>
        <w:t>are</w:t>
      </w:r>
      <w:r w:rsidR="00D10C94" w:rsidRPr="00D10C94">
        <w:rPr>
          <w:rFonts w:ascii="Times New Roman" w:hAnsi="Times New Roman" w:cs="Times New Roman"/>
          <w:sz w:val="28"/>
          <w:szCs w:val="28"/>
        </w:rPr>
        <w:t xml:space="preserve"> enrolled in the Enrolment Register pursuant to chapter 4 of the Treaty. </w:t>
      </w:r>
      <w:r w:rsidR="00CD40A7">
        <w:rPr>
          <w:rFonts w:ascii="Times New Roman" w:hAnsi="Times New Roman" w:cs="Times New Roman"/>
          <w:sz w:val="28"/>
          <w:szCs w:val="28"/>
        </w:rPr>
        <w:t xml:space="preserve"> </w:t>
      </w:r>
      <w:r w:rsidR="00D10C94" w:rsidRPr="00D10C94">
        <w:rPr>
          <w:rFonts w:ascii="Times New Roman" w:hAnsi="Times New Roman" w:cs="Times New Roman"/>
          <w:sz w:val="28"/>
          <w:szCs w:val="28"/>
        </w:rPr>
        <w:t>The Treaty defines all beneficiaries of the Treaty as Participants.</w:t>
      </w:r>
    </w:p>
    <w:p w14:paraId="498EE28D" w14:textId="7ACC30AA" w:rsidR="00D10C94" w:rsidRPr="00D10C94" w:rsidRDefault="00D10C94" w:rsidP="0073296C">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Treaty is considered a “Modern Treaty” within the meaning of s. 35 of the</w:t>
      </w:r>
      <w:r w:rsidR="00687A5E" w:rsidRPr="004E39EF">
        <w:rPr>
          <w:rFonts w:ascii="Times New Roman" w:hAnsi="Times New Roman" w:cs="Times New Roman"/>
          <w:sz w:val="28"/>
          <w:szCs w:val="28"/>
          <w:lang w:val="en-US"/>
        </w:rPr>
        <w:t xml:space="preserve"> </w:t>
      </w:r>
      <w:r w:rsidRPr="00D10C94">
        <w:rPr>
          <w:rFonts w:ascii="Times New Roman" w:hAnsi="Times New Roman" w:cs="Times New Roman"/>
          <w:i/>
          <w:iCs/>
          <w:sz w:val="28"/>
          <w:szCs w:val="28"/>
          <w:lang w:val="en-US"/>
        </w:rPr>
        <w:t>Constitution Act, 1982</w:t>
      </w:r>
      <w:r w:rsidRPr="00D10C94">
        <w:rPr>
          <w:rFonts w:ascii="Times New Roman" w:hAnsi="Times New Roman" w:cs="Times New Roman"/>
          <w:sz w:val="28"/>
          <w:szCs w:val="28"/>
          <w:lang w:val="en-US"/>
        </w:rPr>
        <w:t>, being signed in 1993 by the Governments of Canada and the Northwest Territories, and the Sahtu</w:t>
      </w:r>
      <w:r w:rsidR="00DA5DD6">
        <w:rPr>
          <w:rFonts w:ascii="Times New Roman" w:hAnsi="Times New Roman" w:cs="Times New Roman"/>
          <w:sz w:val="28"/>
          <w:szCs w:val="28"/>
          <w:lang w:val="en-US"/>
        </w:rPr>
        <w:t>,</w:t>
      </w:r>
      <w:r w:rsidRPr="00D10C94">
        <w:rPr>
          <w:rFonts w:ascii="Times New Roman" w:hAnsi="Times New Roman" w:cs="Times New Roman"/>
          <w:sz w:val="28"/>
          <w:szCs w:val="28"/>
          <w:lang w:val="en-US"/>
        </w:rPr>
        <w:t xml:space="preserve"> Dene</w:t>
      </w:r>
      <w:r w:rsidR="00DA5DD6">
        <w:rPr>
          <w:rFonts w:ascii="Times New Roman" w:hAnsi="Times New Roman" w:cs="Times New Roman"/>
          <w:sz w:val="28"/>
          <w:szCs w:val="28"/>
          <w:lang w:val="en-US"/>
        </w:rPr>
        <w:t xml:space="preserve"> and</w:t>
      </w:r>
      <w:r w:rsidRPr="00D10C94">
        <w:rPr>
          <w:rFonts w:ascii="Times New Roman" w:hAnsi="Times New Roman" w:cs="Times New Roman"/>
          <w:sz w:val="28"/>
          <w:szCs w:val="28"/>
          <w:lang w:val="en-US"/>
        </w:rPr>
        <w:t xml:space="preserve"> Metis. </w:t>
      </w:r>
    </w:p>
    <w:p w14:paraId="5E878EEA" w14:textId="3F06AD85" w:rsidR="00D10C94" w:rsidRPr="00D10C94" w:rsidRDefault="00D10C94" w:rsidP="004E39EF">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Treaty governs relations between the Applicants and Respondents and applies within the SSA.</w:t>
      </w:r>
    </w:p>
    <w:p w14:paraId="56CF53EB" w14:textId="21AA2127" w:rsidR="00D10C94" w:rsidRPr="00D10C94" w:rsidRDefault="00D10C94" w:rsidP="00BC75B9">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Chapter 13 of the Treaty governs wildlife and harvest management within the SSA.</w:t>
      </w:r>
    </w:p>
    <w:p w14:paraId="43348BE5" w14:textId="53425104" w:rsidR="00D10C94" w:rsidRPr="00D91EB5" w:rsidRDefault="00D10C94" w:rsidP="00D91EB5">
      <w:pPr>
        <w:pStyle w:val="ListParagraph"/>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D91EB5">
        <w:rPr>
          <w:rFonts w:ascii="Times New Roman" w:hAnsi="Times New Roman" w:cs="Times New Roman"/>
          <w:sz w:val="28"/>
          <w:szCs w:val="28"/>
          <w:lang w:val="en-US"/>
        </w:rPr>
        <w:t>Chapter 13</w:t>
      </w:r>
      <w:r w:rsidR="00AD30A8">
        <w:rPr>
          <w:rFonts w:ascii="Times New Roman" w:hAnsi="Times New Roman" w:cs="Times New Roman"/>
          <w:sz w:val="28"/>
          <w:szCs w:val="28"/>
          <w:lang w:val="en-US"/>
        </w:rPr>
        <w:t xml:space="preserve"> places </w:t>
      </w:r>
      <w:r w:rsidRPr="00D91EB5">
        <w:rPr>
          <w:rFonts w:ascii="Times New Roman" w:hAnsi="Times New Roman" w:cs="Times New Roman"/>
          <w:sz w:val="28"/>
          <w:szCs w:val="28"/>
          <w:lang w:val="en-US"/>
        </w:rPr>
        <w:t>the Applicants and Respondents in a wildlife co-management regime within the SSA.</w:t>
      </w:r>
    </w:p>
    <w:p w14:paraId="379CB53F" w14:textId="77777777" w:rsidR="002F7863" w:rsidRPr="00D10C94" w:rsidRDefault="002F7863" w:rsidP="002F7863">
      <w:pPr>
        <w:pStyle w:val="ListParagraph"/>
        <w:spacing w:after="0" w:line="240" w:lineRule="auto"/>
        <w:ind w:left="0"/>
        <w:contextualSpacing w:val="0"/>
        <w:jc w:val="both"/>
        <w:rPr>
          <w:rFonts w:ascii="Times New Roman" w:hAnsi="Times New Roman" w:cs="Times New Roman"/>
          <w:sz w:val="28"/>
          <w:szCs w:val="28"/>
          <w:lang w:val="en-US"/>
        </w:rPr>
      </w:pPr>
    </w:p>
    <w:p w14:paraId="3E47D407" w14:textId="6387E81B" w:rsidR="00D10C94" w:rsidRPr="002F7863" w:rsidRDefault="00D10C94" w:rsidP="00D91EB5">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2F7863">
        <w:rPr>
          <w:rFonts w:ascii="Times New Roman" w:hAnsi="Times New Roman" w:cs="Times New Roman"/>
          <w:sz w:val="28"/>
          <w:szCs w:val="28"/>
          <w:lang w:val="en-US"/>
        </w:rPr>
        <w:t xml:space="preserve">Chapter 13 sets out </w:t>
      </w:r>
      <w:r w:rsidR="00AD30A8">
        <w:rPr>
          <w:rFonts w:ascii="Times New Roman" w:hAnsi="Times New Roman" w:cs="Times New Roman"/>
          <w:sz w:val="28"/>
          <w:szCs w:val="28"/>
          <w:lang w:val="en-US"/>
        </w:rPr>
        <w:t xml:space="preserve">the </w:t>
      </w:r>
      <w:r w:rsidRPr="002F7863">
        <w:rPr>
          <w:rFonts w:ascii="Times New Roman" w:hAnsi="Times New Roman" w:cs="Times New Roman"/>
          <w:sz w:val="28"/>
          <w:szCs w:val="28"/>
          <w:lang w:val="en-US"/>
        </w:rPr>
        <w:t>duties, powers, and responsibilities of three bodies</w:t>
      </w:r>
      <w:r w:rsidR="009B63AD">
        <w:rPr>
          <w:rFonts w:ascii="Times New Roman" w:hAnsi="Times New Roman" w:cs="Times New Roman"/>
          <w:sz w:val="28"/>
          <w:szCs w:val="28"/>
          <w:lang w:val="en-US"/>
        </w:rPr>
        <w:t xml:space="preserve"> </w:t>
      </w:r>
      <w:r w:rsidRPr="002F7863">
        <w:rPr>
          <w:rFonts w:ascii="Times New Roman" w:hAnsi="Times New Roman" w:cs="Times New Roman"/>
          <w:sz w:val="28"/>
          <w:szCs w:val="28"/>
          <w:lang w:val="en-US"/>
        </w:rPr>
        <w:t>involved in the co-management regime:</w:t>
      </w:r>
      <w:r w:rsidR="00CD40A7">
        <w:rPr>
          <w:rFonts w:ascii="Times New Roman" w:hAnsi="Times New Roman" w:cs="Times New Roman"/>
          <w:sz w:val="28"/>
          <w:szCs w:val="28"/>
          <w:lang w:val="en-US"/>
        </w:rPr>
        <w:t xml:space="preserve"> </w:t>
      </w:r>
      <w:r w:rsidRPr="002F7863">
        <w:rPr>
          <w:rFonts w:ascii="Times New Roman" w:hAnsi="Times New Roman" w:cs="Times New Roman"/>
          <w:sz w:val="28"/>
          <w:szCs w:val="28"/>
          <w:lang w:val="en-US"/>
        </w:rPr>
        <w:t xml:space="preserve"> the local Renewable Resources Council (“RRC”) for each community; the Sahtu Renewable Resources Board (“SRRB”); and the Minister. </w:t>
      </w:r>
    </w:p>
    <w:p w14:paraId="1A2138AC" w14:textId="3F4B890F" w:rsidR="00D10C94" w:rsidRPr="00790CE3" w:rsidRDefault="00D10C94" w:rsidP="00200EB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790CE3">
        <w:rPr>
          <w:rFonts w:ascii="Times New Roman" w:hAnsi="Times New Roman" w:cs="Times New Roman"/>
          <w:sz w:val="28"/>
          <w:szCs w:val="28"/>
          <w:lang w:val="en-US"/>
        </w:rPr>
        <w:t>By virtue of the Treaty, the SRRB has several powers, including but not</w:t>
      </w:r>
      <w:r w:rsidR="00790CE3">
        <w:rPr>
          <w:rFonts w:ascii="Times New Roman" w:hAnsi="Times New Roman" w:cs="Times New Roman"/>
          <w:sz w:val="28"/>
          <w:szCs w:val="28"/>
          <w:lang w:val="en-US"/>
        </w:rPr>
        <w:t xml:space="preserve"> </w:t>
      </w:r>
      <w:r w:rsidRPr="00790CE3">
        <w:rPr>
          <w:rFonts w:ascii="Times New Roman" w:hAnsi="Times New Roman" w:cs="Times New Roman"/>
          <w:sz w:val="28"/>
          <w:szCs w:val="28"/>
          <w:lang w:val="en-US"/>
        </w:rPr>
        <w:t>limited to establishing its own internal governance policies, and approv</w:t>
      </w:r>
      <w:r w:rsidR="00AD30A8">
        <w:rPr>
          <w:rFonts w:ascii="Times New Roman" w:hAnsi="Times New Roman" w:cs="Times New Roman"/>
          <w:sz w:val="28"/>
          <w:szCs w:val="28"/>
          <w:lang w:val="en-US"/>
        </w:rPr>
        <w:t>ing</w:t>
      </w:r>
      <w:r w:rsidRPr="00790CE3">
        <w:rPr>
          <w:rFonts w:ascii="Times New Roman" w:hAnsi="Times New Roman" w:cs="Times New Roman"/>
          <w:sz w:val="28"/>
          <w:szCs w:val="28"/>
          <w:lang w:val="en-US"/>
        </w:rPr>
        <w:t xml:space="preserve"> plans relating to wildlife management and protection in the SSA. </w:t>
      </w:r>
      <w:r w:rsidR="00CD40A7">
        <w:rPr>
          <w:rFonts w:ascii="Times New Roman" w:hAnsi="Times New Roman" w:cs="Times New Roman"/>
          <w:sz w:val="28"/>
          <w:szCs w:val="28"/>
          <w:lang w:val="en-US"/>
        </w:rPr>
        <w:t xml:space="preserve"> </w:t>
      </w:r>
      <w:r w:rsidRPr="00790CE3">
        <w:rPr>
          <w:rFonts w:ascii="Times New Roman" w:hAnsi="Times New Roman" w:cs="Times New Roman"/>
          <w:sz w:val="28"/>
          <w:szCs w:val="28"/>
          <w:lang w:val="en-US"/>
        </w:rPr>
        <w:t>The Board may also hold public hearings regarding wildlife management in the SSA.</w:t>
      </w:r>
    </w:p>
    <w:p w14:paraId="01971025" w14:textId="367B6953" w:rsidR="00D10C94" w:rsidRPr="003274B4" w:rsidRDefault="00D10C94" w:rsidP="003274B4">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3274B4">
        <w:rPr>
          <w:rFonts w:ascii="Times New Roman" w:hAnsi="Times New Roman" w:cs="Times New Roman"/>
          <w:sz w:val="28"/>
          <w:szCs w:val="28"/>
          <w:lang w:val="en-US"/>
        </w:rPr>
        <w:t xml:space="preserve">The Herd which </w:t>
      </w:r>
      <w:r w:rsidR="00AD30A8">
        <w:rPr>
          <w:rFonts w:ascii="Times New Roman" w:hAnsi="Times New Roman" w:cs="Times New Roman"/>
          <w:sz w:val="28"/>
          <w:szCs w:val="28"/>
          <w:lang w:val="en-US"/>
        </w:rPr>
        <w:t>is the subject of</w:t>
      </w:r>
      <w:r w:rsidRPr="003274B4">
        <w:rPr>
          <w:rFonts w:ascii="Times New Roman" w:hAnsi="Times New Roman" w:cs="Times New Roman"/>
          <w:sz w:val="28"/>
          <w:szCs w:val="28"/>
          <w:lang w:val="en-US"/>
        </w:rPr>
        <w:t xml:space="preserve"> the dispute in this matter has a range that includes</w:t>
      </w:r>
      <w:r w:rsidR="003274B4">
        <w:rPr>
          <w:rFonts w:ascii="Times New Roman" w:hAnsi="Times New Roman" w:cs="Times New Roman"/>
          <w:sz w:val="28"/>
          <w:szCs w:val="28"/>
          <w:lang w:val="en-US"/>
        </w:rPr>
        <w:t xml:space="preserve"> </w:t>
      </w:r>
      <w:r w:rsidRPr="003274B4">
        <w:rPr>
          <w:rFonts w:ascii="Times New Roman" w:hAnsi="Times New Roman" w:cs="Times New Roman"/>
          <w:sz w:val="28"/>
          <w:szCs w:val="28"/>
          <w:lang w:val="en-US"/>
        </w:rPr>
        <w:t>three (3) different settlement zones within the Northwest Territories:</w:t>
      </w:r>
      <w:r w:rsidR="00AA48C8">
        <w:rPr>
          <w:rFonts w:ascii="Times New Roman" w:hAnsi="Times New Roman" w:cs="Times New Roman"/>
          <w:sz w:val="28"/>
          <w:szCs w:val="28"/>
          <w:lang w:val="en-US"/>
        </w:rPr>
        <w:t xml:space="preserve"> </w:t>
      </w:r>
      <w:r w:rsidRPr="003274B4">
        <w:rPr>
          <w:rFonts w:ascii="Times New Roman" w:hAnsi="Times New Roman" w:cs="Times New Roman"/>
          <w:sz w:val="28"/>
          <w:szCs w:val="28"/>
          <w:lang w:val="en-US"/>
        </w:rPr>
        <w:t xml:space="preserve"> the Inuvialuit Settlement Region; the Gwich’in Settlement Area; and the SSA.</w:t>
      </w:r>
    </w:p>
    <w:p w14:paraId="5D0B580F" w14:textId="13BD650D" w:rsidR="00D10C94" w:rsidRPr="003274B4" w:rsidRDefault="00D10C94" w:rsidP="003274B4">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3274B4">
        <w:rPr>
          <w:rFonts w:ascii="Times New Roman" w:hAnsi="Times New Roman" w:cs="Times New Roman"/>
          <w:sz w:val="28"/>
          <w:szCs w:val="28"/>
          <w:lang w:val="en-US"/>
        </w:rPr>
        <w:t>Each of these settlement zones are covered by a modern treaty unique to that</w:t>
      </w:r>
      <w:r w:rsidR="003274B4">
        <w:rPr>
          <w:rFonts w:ascii="Times New Roman" w:hAnsi="Times New Roman" w:cs="Times New Roman"/>
          <w:sz w:val="28"/>
          <w:szCs w:val="28"/>
          <w:lang w:val="en-US"/>
        </w:rPr>
        <w:t xml:space="preserve"> </w:t>
      </w:r>
      <w:r w:rsidRPr="003274B4">
        <w:rPr>
          <w:rFonts w:ascii="Times New Roman" w:hAnsi="Times New Roman" w:cs="Times New Roman"/>
          <w:sz w:val="28"/>
          <w:szCs w:val="28"/>
          <w:lang w:val="en-US"/>
        </w:rPr>
        <w:t xml:space="preserve">zone. </w:t>
      </w:r>
    </w:p>
    <w:p w14:paraId="45F74553" w14:textId="219A1F1F" w:rsidR="00D10C94" w:rsidRPr="00200EB3" w:rsidRDefault="00D10C94" w:rsidP="00200EB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200EB3">
        <w:rPr>
          <w:rFonts w:ascii="Times New Roman" w:hAnsi="Times New Roman" w:cs="Times New Roman"/>
          <w:sz w:val="28"/>
          <w:szCs w:val="28"/>
          <w:lang w:val="en-US"/>
        </w:rPr>
        <w:t>Within the SSA, the Herd is mainly harvested by the communities of Colville Lake, Fort Good Hope and Norman Wells, each of which are in or on the boundary of wildlife zone 01 (S/BC/01).</w:t>
      </w:r>
    </w:p>
    <w:p w14:paraId="2DE6C195" w14:textId="35B102E6" w:rsidR="00D10C94" w:rsidRPr="00200EB3" w:rsidRDefault="00D10C94" w:rsidP="00C7323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200EB3">
        <w:rPr>
          <w:rFonts w:ascii="Times New Roman" w:hAnsi="Times New Roman" w:cs="Times New Roman"/>
          <w:sz w:val="28"/>
          <w:szCs w:val="28"/>
          <w:lang w:val="en-US"/>
        </w:rPr>
        <w:lastRenderedPageBreak/>
        <w:t>In 2007, due to declines in the Herd, SRRB recommended that the Minister</w:t>
      </w:r>
      <w:r w:rsidR="00C7323B">
        <w:rPr>
          <w:rFonts w:ascii="Times New Roman" w:hAnsi="Times New Roman" w:cs="Times New Roman"/>
          <w:sz w:val="28"/>
          <w:szCs w:val="28"/>
          <w:lang w:val="en-US"/>
        </w:rPr>
        <w:t xml:space="preserve"> </w:t>
      </w:r>
      <w:r w:rsidRPr="00200EB3">
        <w:rPr>
          <w:rFonts w:ascii="Times New Roman" w:hAnsi="Times New Roman" w:cs="Times New Roman"/>
          <w:sz w:val="28"/>
          <w:szCs w:val="28"/>
          <w:lang w:val="en-US"/>
        </w:rPr>
        <w:t>impose a Total Allowable Harvest (“TAH”) of 4%, representing the total number of animals in the Herd that could be harvested per year.</w:t>
      </w:r>
    </w:p>
    <w:p w14:paraId="089D40C8" w14:textId="77777777" w:rsidR="00D10C94" w:rsidRPr="00174553"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Minister accepted and set the quota through Regulations.</w:t>
      </w:r>
    </w:p>
    <w:p w14:paraId="6B4D4076" w14:textId="5C517839" w:rsidR="00D10C94" w:rsidRPr="000A3258" w:rsidRDefault="00D10C94" w:rsidP="000A3258">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0A3258">
        <w:rPr>
          <w:rFonts w:ascii="Times New Roman" w:hAnsi="Times New Roman" w:cs="Times New Roman"/>
          <w:sz w:val="28"/>
          <w:szCs w:val="28"/>
          <w:lang w:val="en-US"/>
        </w:rPr>
        <w:t>Based on population estimates at the time, Participants were allocated 350 caribou from the Herd.</w:t>
      </w:r>
    </w:p>
    <w:p w14:paraId="5044F152" w14:textId="4C2F4F3A" w:rsidR="00D10C94" w:rsidRPr="0079099F" w:rsidRDefault="00D10C94" w:rsidP="008F53A9">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79099F">
        <w:rPr>
          <w:rFonts w:ascii="Times New Roman" w:hAnsi="Times New Roman" w:cs="Times New Roman"/>
          <w:sz w:val="28"/>
          <w:szCs w:val="28"/>
          <w:lang w:val="en-US"/>
        </w:rPr>
        <w:t>In 2008, the Advisory Committee for Cooperation on Wildlife</w:t>
      </w:r>
      <w:r w:rsidR="0079099F" w:rsidRPr="0079099F">
        <w:rPr>
          <w:rFonts w:ascii="Times New Roman" w:hAnsi="Times New Roman" w:cs="Times New Roman"/>
          <w:sz w:val="28"/>
          <w:szCs w:val="28"/>
          <w:lang w:val="en-US"/>
        </w:rPr>
        <w:t xml:space="preserve"> </w:t>
      </w:r>
      <w:r w:rsidRPr="0079099F">
        <w:rPr>
          <w:rFonts w:ascii="Times New Roman" w:hAnsi="Times New Roman" w:cs="Times New Roman"/>
          <w:sz w:val="28"/>
          <w:szCs w:val="28"/>
          <w:lang w:val="en-US"/>
        </w:rPr>
        <w:t>Management (“ACCWM”) was established to make recommendations</w:t>
      </w:r>
      <w:r w:rsidR="0079099F">
        <w:rPr>
          <w:rFonts w:ascii="Times New Roman" w:hAnsi="Times New Roman" w:cs="Times New Roman"/>
          <w:sz w:val="28"/>
          <w:szCs w:val="28"/>
          <w:lang w:val="en-US"/>
        </w:rPr>
        <w:t xml:space="preserve"> </w:t>
      </w:r>
      <w:r w:rsidRPr="0079099F">
        <w:rPr>
          <w:rFonts w:ascii="Times New Roman" w:hAnsi="Times New Roman" w:cs="Times New Roman"/>
          <w:sz w:val="28"/>
          <w:szCs w:val="28"/>
          <w:lang w:val="en-US"/>
        </w:rPr>
        <w:t>regarding wildlife which cross modern treaty boundaries.</w:t>
      </w:r>
    </w:p>
    <w:p w14:paraId="6CA5FE35" w14:textId="1F6E1218" w:rsidR="00D10C94" w:rsidRPr="0018371A" w:rsidRDefault="00D10C94" w:rsidP="0018371A">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18371A">
        <w:rPr>
          <w:rFonts w:ascii="Times New Roman" w:hAnsi="Times New Roman" w:cs="Times New Roman"/>
          <w:sz w:val="28"/>
          <w:szCs w:val="28"/>
          <w:lang w:val="en-US"/>
        </w:rPr>
        <w:t>The ACCWM is composed of 6 wildlife management boards, including</w:t>
      </w:r>
      <w:r w:rsidR="0018371A">
        <w:rPr>
          <w:rFonts w:ascii="Times New Roman" w:hAnsi="Times New Roman" w:cs="Times New Roman"/>
          <w:sz w:val="28"/>
          <w:szCs w:val="28"/>
          <w:lang w:val="en-US"/>
        </w:rPr>
        <w:t xml:space="preserve"> </w:t>
      </w:r>
      <w:r w:rsidRPr="0018371A">
        <w:rPr>
          <w:rFonts w:ascii="Times New Roman" w:hAnsi="Times New Roman" w:cs="Times New Roman"/>
          <w:sz w:val="28"/>
          <w:szCs w:val="28"/>
          <w:lang w:val="en-US"/>
        </w:rPr>
        <w:t xml:space="preserve">the SRRB. </w:t>
      </w:r>
      <w:r w:rsidR="001D2160">
        <w:rPr>
          <w:rFonts w:ascii="Times New Roman" w:hAnsi="Times New Roman" w:cs="Times New Roman"/>
          <w:sz w:val="28"/>
          <w:szCs w:val="28"/>
          <w:lang w:val="en-US"/>
        </w:rPr>
        <w:t xml:space="preserve"> </w:t>
      </w:r>
      <w:r w:rsidRPr="0018371A">
        <w:rPr>
          <w:rFonts w:ascii="Times New Roman" w:hAnsi="Times New Roman" w:cs="Times New Roman"/>
          <w:sz w:val="28"/>
          <w:szCs w:val="28"/>
          <w:lang w:val="en-US"/>
        </w:rPr>
        <w:t xml:space="preserve">These boards all stem from various modern Treaties. </w:t>
      </w:r>
    </w:p>
    <w:p w14:paraId="371615E4" w14:textId="77777777" w:rsidR="00D10C94" w:rsidRPr="00D10C94"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GNWT supports the work of the ACCWM but is not a party to it.</w:t>
      </w:r>
    </w:p>
    <w:p w14:paraId="2B4C0998" w14:textId="4544EF29" w:rsidR="00D10C94" w:rsidRPr="0018371A" w:rsidRDefault="00D10C94" w:rsidP="0018371A">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18371A">
        <w:rPr>
          <w:rFonts w:ascii="Times New Roman" w:hAnsi="Times New Roman" w:cs="Times New Roman"/>
          <w:sz w:val="28"/>
          <w:szCs w:val="28"/>
        </w:rPr>
        <w:t>In 2014, the ACCWM released “Taking Care of the Caribou”, a report on the Herd that noted a population decline from approximately 110,000</w:t>
      </w:r>
      <w:r w:rsidR="009E62AA">
        <w:rPr>
          <w:rFonts w:ascii="Times New Roman" w:hAnsi="Times New Roman" w:cs="Times New Roman"/>
          <w:sz w:val="28"/>
          <w:szCs w:val="28"/>
        </w:rPr>
        <w:t xml:space="preserve"> animals</w:t>
      </w:r>
      <w:r w:rsidRPr="0018371A">
        <w:rPr>
          <w:rFonts w:ascii="Times New Roman" w:hAnsi="Times New Roman" w:cs="Times New Roman"/>
          <w:sz w:val="28"/>
          <w:szCs w:val="28"/>
        </w:rPr>
        <w:t xml:space="preserve"> in 1992 to 10,000 in 2012. </w:t>
      </w:r>
      <w:r w:rsidR="00DA3DB4">
        <w:rPr>
          <w:rFonts w:ascii="Times New Roman" w:hAnsi="Times New Roman" w:cs="Times New Roman"/>
          <w:sz w:val="28"/>
          <w:szCs w:val="28"/>
        </w:rPr>
        <w:t xml:space="preserve"> </w:t>
      </w:r>
      <w:r w:rsidRPr="0018371A">
        <w:rPr>
          <w:rFonts w:ascii="Times New Roman" w:hAnsi="Times New Roman" w:cs="Times New Roman"/>
          <w:sz w:val="28"/>
          <w:szCs w:val="28"/>
        </w:rPr>
        <w:t>The Report recommended a TAH.</w:t>
      </w:r>
    </w:p>
    <w:p w14:paraId="14BB131D" w14:textId="1E41A065" w:rsidR="00D10C94" w:rsidRPr="0018371A" w:rsidRDefault="00D10C94" w:rsidP="00E723B0">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18371A">
        <w:rPr>
          <w:rFonts w:ascii="Times New Roman" w:hAnsi="Times New Roman" w:cs="Times New Roman"/>
          <w:sz w:val="28"/>
          <w:szCs w:val="28"/>
        </w:rPr>
        <w:t>In 2017, the ACCWM released an action plan, which indicated the Herd is</w:t>
      </w:r>
      <w:r w:rsidR="00E723B0">
        <w:rPr>
          <w:rFonts w:ascii="Times New Roman" w:hAnsi="Times New Roman" w:cs="Times New Roman"/>
          <w:sz w:val="28"/>
          <w:szCs w:val="28"/>
        </w:rPr>
        <w:t xml:space="preserve"> </w:t>
      </w:r>
      <w:r w:rsidRPr="0018371A">
        <w:rPr>
          <w:rFonts w:ascii="Times New Roman" w:hAnsi="Times New Roman" w:cs="Times New Roman"/>
          <w:sz w:val="28"/>
          <w:szCs w:val="28"/>
        </w:rPr>
        <w:t xml:space="preserve">“orange status”, meaning that Herd population is intermediate and decreasing. </w:t>
      </w:r>
      <w:r w:rsidR="00DA3DB4">
        <w:rPr>
          <w:rFonts w:ascii="Times New Roman" w:hAnsi="Times New Roman" w:cs="Times New Roman"/>
          <w:sz w:val="28"/>
          <w:szCs w:val="28"/>
        </w:rPr>
        <w:t xml:space="preserve"> </w:t>
      </w:r>
      <w:r w:rsidRPr="0018371A">
        <w:rPr>
          <w:rFonts w:ascii="Times New Roman" w:hAnsi="Times New Roman" w:cs="Times New Roman"/>
          <w:sz w:val="28"/>
          <w:szCs w:val="28"/>
        </w:rPr>
        <w:t>The ACCWM action plan recommended a mandatory limit on sustenance harvest based on a TAH accepted by the ACCWM.</w:t>
      </w:r>
    </w:p>
    <w:p w14:paraId="09EC8062" w14:textId="612F6692" w:rsidR="00D10C94" w:rsidRPr="00E723B0" w:rsidRDefault="00D10C94" w:rsidP="00E723B0">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E723B0">
        <w:rPr>
          <w:rFonts w:ascii="Times New Roman" w:hAnsi="Times New Roman" w:cs="Times New Roman"/>
          <w:sz w:val="28"/>
          <w:szCs w:val="28"/>
        </w:rPr>
        <w:t>In 2019, the ACVWM released “Action Plan for Bluenose West Caribou Herd”, an updated action plan that noted the Herd was still orange status but may be improving to yellow status.</w:t>
      </w:r>
    </w:p>
    <w:p w14:paraId="6BE6E658" w14:textId="1DDDC5B0" w:rsidR="00D10C94" w:rsidRPr="00A649A1" w:rsidRDefault="00D10C94" w:rsidP="004852B5">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A649A1">
        <w:rPr>
          <w:rFonts w:ascii="Times New Roman" w:hAnsi="Times New Roman" w:cs="Times New Roman"/>
          <w:sz w:val="28"/>
          <w:szCs w:val="28"/>
        </w:rPr>
        <w:t xml:space="preserve">The updated ACCWM action plan places reliance upon the </w:t>
      </w:r>
      <w:r w:rsidR="00A57615" w:rsidRPr="00A649A1">
        <w:rPr>
          <w:rFonts w:ascii="Times New Roman" w:hAnsi="Times New Roman" w:cs="Times New Roman"/>
          <w:sz w:val="28"/>
          <w:szCs w:val="28"/>
        </w:rPr>
        <w:t>precautionary principle</w:t>
      </w:r>
      <w:r w:rsidRPr="00A649A1">
        <w:rPr>
          <w:rFonts w:ascii="Times New Roman" w:hAnsi="Times New Roman" w:cs="Times New Roman"/>
          <w:sz w:val="28"/>
          <w:szCs w:val="28"/>
        </w:rPr>
        <w:t xml:space="preserve"> to recommend that the TAH in the SSA remain in place, but also recommended that the Ministry of Environment and Natural Resources (“ENR”) increase the allowable Herd harvesting allocations of the Participants.</w:t>
      </w:r>
    </w:p>
    <w:p w14:paraId="33865449" w14:textId="4C7892DE" w:rsidR="00D10C94" w:rsidRDefault="00D10C94" w:rsidP="00352E3F">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AF15D9">
        <w:rPr>
          <w:rFonts w:ascii="Times New Roman" w:hAnsi="Times New Roman" w:cs="Times New Roman"/>
          <w:sz w:val="28"/>
          <w:szCs w:val="28"/>
        </w:rPr>
        <w:t>On October 21, 2019, the Colville Lake Renewable Resources Council (“CLRRC”) proposed the “Colville Plan”, which proposes to remove the TAH.</w:t>
      </w:r>
      <w:r w:rsidR="00A649A1" w:rsidRPr="00AF15D9">
        <w:rPr>
          <w:rFonts w:ascii="Times New Roman" w:hAnsi="Times New Roman" w:cs="Times New Roman"/>
          <w:sz w:val="28"/>
          <w:szCs w:val="28"/>
        </w:rPr>
        <w:t xml:space="preserve"> </w:t>
      </w:r>
      <w:r w:rsidR="001173DA">
        <w:rPr>
          <w:rFonts w:ascii="Times New Roman" w:hAnsi="Times New Roman" w:cs="Times New Roman"/>
          <w:sz w:val="28"/>
          <w:szCs w:val="28"/>
        </w:rPr>
        <w:t xml:space="preserve"> </w:t>
      </w:r>
      <w:r w:rsidRPr="00AF15D9">
        <w:rPr>
          <w:rFonts w:ascii="Times New Roman" w:hAnsi="Times New Roman" w:cs="Times New Roman"/>
          <w:sz w:val="28"/>
          <w:szCs w:val="28"/>
        </w:rPr>
        <w:t xml:space="preserve">Further, the Colville Plan requires that other s. 35 rights holders </w:t>
      </w:r>
      <w:r w:rsidR="009E62AA">
        <w:rPr>
          <w:rFonts w:ascii="Times New Roman" w:hAnsi="Times New Roman" w:cs="Times New Roman"/>
          <w:sz w:val="28"/>
          <w:szCs w:val="28"/>
        </w:rPr>
        <w:t>obtain prior</w:t>
      </w:r>
      <w:r w:rsidR="00AF15D9" w:rsidRPr="00AF15D9">
        <w:rPr>
          <w:rFonts w:ascii="Times New Roman" w:hAnsi="Times New Roman" w:cs="Times New Roman"/>
          <w:sz w:val="28"/>
          <w:szCs w:val="28"/>
        </w:rPr>
        <w:t xml:space="preserve"> </w:t>
      </w:r>
      <w:r w:rsidRPr="00AF15D9">
        <w:rPr>
          <w:rFonts w:ascii="Times New Roman" w:hAnsi="Times New Roman" w:cs="Times New Roman"/>
          <w:sz w:val="28"/>
          <w:szCs w:val="28"/>
        </w:rPr>
        <w:t>authoriz</w:t>
      </w:r>
      <w:r w:rsidR="009E62AA">
        <w:rPr>
          <w:rFonts w:ascii="Times New Roman" w:hAnsi="Times New Roman" w:cs="Times New Roman"/>
          <w:sz w:val="28"/>
          <w:szCs w:val="28"/>
        </w:rPr>
        <w:t>ation from</w:t>
      </w:r>
      <w:r w:rsidRPr="00AF15D9">
        <w:rPr>
          <w:rFonts w:ascii="Times New Roman" w:hAnsi="Times New Roman" w:cs="Times New Roman"/>
          <w:sz w:val="28"/>
          <w:szCs w:val="28"/>
        </w:rPr>
        <w:t xml:space="preserve"> the CLRRC to harvest the Herd, stating:</w:t>
      </w:r>
      <w:r w:rsidR="00AF15D9" w:rsidRPr="00AF15D9">
        <w:rPr>
          <w:rFonts w:ascii="Times New Roman" w:hAnsi="Times New Roman" w:cs="Times New Roman"/>
          <w:sz w:val="28"/>
          <w:szCs w:val="28"/>
        </w:rPr>
        <w:t xml:space="preserve"> </w:t>
      </w:r>
      <w:r w:rsidR="00C41585">
        <w:rPr>
          <w:rFonts w:ascii="Times New Roman" w:hAnsi="Times New Roman" w:cs="Times New Roman"/>
          <w:sz w:val="28"/>
          <w:szCs w:val="28"/>
        </w:rPr>
        <w:t xml:space="preserve"> </w:t>
      </w:r>
    </w:p>
    <w:p w14:paraId="01B140E0" w14:textId="77777777" w:rsidR="004D3716" w:rsidRPr="00AF15D9" w:rsidRDefault="004D3716" w:rsidP="00722221">
      <w:pPr>
        <w:pStyle w:val="ListParagraph"/>
        <w:spacing w:after="240" w:line="240" w:lineRule="auto"/>
        <w:ind w:left="0"/>
        <w:contextualSpacing w:val="0"/>
        <w:jc w:val="both"/>
        <w:rPr>
          <w:rFonts w:ascii="Times New Roman" w:hAnsi="Times New Roman" w:cs="Times New Roman"/>
          <w:sz w:val="28"/>
          <w:szCs w:val="28"/>
        </w:rPr>
      </w:pPr>
    </w:p>
    <w:p w14:paraId="04C82DBA" w14:textId="41F1A591" w:rsidR="00D10C94" w:rsidRPr="00C41585" w:rsidRDefault="00D10C94" w:rsidP="00C41585">
      <w:pPr>
        <w:pStyle w:val="ListParagraph"/>
        <w:spacing w:after="240" w:line="240" w:lineRule="auto"/>
        <w:ind w:right="571"/>
        <w:contextualSpacing w:val="0"/>
        <w:jc w:val="both"/>
        <w:rPr>
          <w:rFonts w:ascii="Times New Roman" w:hAnsi="Times New Roman" w:cs="Times New Roman"/>
          <w:sz w:val="24"/>
          <w:szCs w:val="24"/>
        </w:rPr>
      </w:pPr>
      <w:r w:rsidRPr="00C41585">
        <w:rPr>
          <w:rFonts w:ascii="Times New Roman" w:hAnsi="Times New Roman" w:cs="Times New Roman"/>
          <w:sz w:val="24"/>
          <w:szCs w:val="24"/>
        </w:rPr>
        <w:lastRenderedPageBreak/>
        <w:t xml:space="preserve">The harvest of [the Herd] be authorized by Colville Lake RRC in accordance with the Plan and the [Treaty]Other Sahtu Beneficiaries, and other Indigenous persons authorized by the Colville Lake RRC may hunt under direct supervision of </w:t>
      </w:r>
      <w:proofErr w:type="spellStart"/>
      <w:r w:rsidRPr="00C41585">
        <w:rPr>
          <w:rFonts w:ascii="Times New Roman" w:hAnsi="Times New Roman" w:cs="Times New Roman"/>
          <w:sz w:val="24"/>
          <w:szCs w:val="24"/>
        </w:rPr>
        <w:t>Dehla</w:t>
      </w:r>
      <w:proofErr w:type="spellEnd"/>
      <w:r w:rsidRPr="00C41585">
        <w:rPr>
          <w:rFonts w:ascii="Times New Roman" w:hAnsi="Times New Roman" w:cs="Times New Roman"/>
          <w:sz w:val="24"/>
          <w:szCs w:val="24"/>
        </w:rPr>
        <w:t xml:space="preserve"> </w:t>
      </w:r>
      <w:proofErr w:type="spellStart"/>
      <w:r w:rsidRPr="00C41585">
        <w:rPr>
          <w:rFonts w:ascii="Times New Roman" w:hAnsi="Times New Roman" w:cs="Times New Roman"/>
          <w:sz w:val="24"/>
          <w:szCs w:val="24"/>
        </w:rPr>
        <w:t>Go’tine</w:t>
      </w:r>
      <w:proofErr w:type="spellEnd"/>
      <w:r w:rsidRPr="00C41585">
        <w:rPr>
          <w:rFonts w:ascii="Times New Roman" w:hAnsi="Times New Roman" w:cs="Times New Roman"/>
          <w:sz w:val="24"/>
          <w:szCs w:val="24"/>
        </w:rPr>
        <w:t>.</w:t>
      </w:r>
    </w:p>
    <w:p w14:paraId="269B43FC" w14:textId="0D9EBD4E" w:rsidR="00D10C94" w:rsidRPr="00C50A76" w:rsidRDefault="00D10C94" w:rsidP="00F46ACC">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C50A76">
        <w:rPr>
          <w:rFonts w:ascii="Times New Roman" w:hAnsi="Times New Roman" w:cs="Times New Roman"/>
          <w:sz w:val="28"/>
          <w:szCs w:val="28"/>
        </w:rPr>
        <w:t>The Colville Plan also includes a draft “Colville Law” that gives the CLRCC this authority.</w:t>
      </w:r>
    </w:p>
    <w:p w14:paraId="09A3B90F" w14:textId="42740221" w:rsidR="00D10C94" w:rsidRPr="00DF69A6" w:rsidRDefault="00D10C94" w:rsidP="00DF69A6">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In the summer of 2019, the SRRB advise</w:t>
      </w:r>
      <w:r w:rsidR="009A0374">
        <w:rPr>
          <w:rFonts w:ascii="Times New Roman" w:hAnsi="Times New Roman" w:cs="Times New Roman"/>
          <w:sz w:val="28"/>
          <w:szCs w:val="28"/>
        </w:rPr>
        <w:t>d</w:t>
      </w:r>
      <w:r w:rsidRPr="00D10C94">
        <w:rPr>
          <w:rFonts w:ascii="Times New Roman" w:hAnsi="Times New Roman" w:cs="Times New Roman"/>
          <w:sz w:val="28"/>
          <w:szCs w:val="28"/>
        </w:rPr>
        <w:t xml:space="preserve"> the ENR that it will hold </w:t>
      </w:r>
      <w:r w:rsidR="00A57615" w:rsidRPr="00D10C94">
        <w:rPr>
          <w:rFonts w:ascii="Times New Roman" w:hAnsi="Times New Roman" w:cs="Times New Roman"/>
          <w:sz w:val="28"/>
          <w:szCs w:val="28"/>
        </w:rPr>
        <w:t>five (</w:t>
      </w:r>
      <w:r w:rsidRPr="00D10C94">
        <w:rPr>
          <w:rFonts w:ascii="Times New Roman" w:hAnsi="Times New Roman" w:cs="Times New Roman"/>
          <w:sz w:val="28"/>
          <w:szCs w:val="28"/>
        </w:rPr>
        <w:t>5)</w:t>
      </w:r>
      <w:r w:rsidR="00420719">
        <w:rPr>
          <w:rFonts w:ascii="Times New Roman" w:hAnsi="Times New Roman" w:cs="Times New Roman"/>
          <w:sz w:val="28"/>
          <w:szCs w:val="28"/>
        </w:rPr>
        <w:t xml:space="preserve"> </w:t>
      </w:r>
      <w:r w:rsidRPr="00DF69A6">
        <w:rPr>
          <w:rFonts w:ascii="Times New Roman" w:hAnsi="Times New Roman" w:cs="Times New Roman"/>
          <w:sz w:val="28"/>
          <w:szCs w:val="28"/>
        </w:rPr>
        <w:t>public hearings regarding caribou conservation and the Colville Plan.</w:t>
      </w:r>
    </w:p>
    <w:p w14:paraId="15DCF8FC" w14:textId="40FF6E94" w:rsidR="00D10C94" w:rsidRPr="00140126" w:rsidRDefault="00D10C94" w:rsidP="00140126">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The SRRB also indicate</w:t>
      </w:r>
      <w:r w:rsidR="009A0374">
        <w:rPr>
          <w:rFonts w:ascii="Times New Roman" w:hAnsi="Times New Roman" w:cs="Times New Roman"/>
          <w:sz w:val="28"/>
          <w:szCs w:val="28"/>
        </w:rPr>
        <w:t>d</w:t>
      </w:r>
      <w:r w:rsidRPr="00D10C94">
        <w:rPr>
          <w:rFonts w:ascii="Times New Roman" w:hAnsi="Times New Roman" w:cs="Times New Roman"/>
          <w:sz w:val="28"/>
          <w:szCs w:val="28"/>
        </w:rPr>
        <w:t xml:space="preserve"> it will be taking a new approach to hearings, th</w:t>
      </w:r>
      <w:r w:rsidR="00140126">
        <w:rPr>
          <w:rFonts w:ascii="Times New Roman" w:hAnsi="Times New Roman" w:cs="Times New Roman"/>
          <w:sz w:val="28"/>
          <w:szCs w:val="28"/>
        </w:rPr>
        <w:t>e</w:t>
      </w:r>
      <w:r w:rsidR="00F85F57">
        <w:rPr>
          <w:rFonts w:ascii="Times New Roman" w:hAnsi="Times New Roman" w:cs="Times New Roman"/>
          <w:sz w:val="28"/>
          <w:szCs w:val="28"/>
        </w:rPr>
        <w:t xml:space="preserve"> </w:t>
      </w:r>
      <w:r w:rsidRPr="00140126">
        <w:rPr>
          <w:rFonts w:ascii="Times New Roman" w:hAnsi="Times New Roman" w:cs="Times New Roman"/>
          <w:sz w:val="28"/>
          <w:szCs w:val="28"/>
        </w:rPr>
        <w:t xml:space="preserve">“Public Listening Session Approach”. </w:t>
      </w:r>
    </w:p>
    <w:p w14:paraId="4F0871D6" w14:textId="77777777" w:rsidR="00D10C94" w:rsidRPr="00F77CF0" w:rsidRDefault="00D10C94" w:rsidP="00F77CF0">
      <w:pPr>
        <w:spacing w:after="240" w:line="240" w:lineRule="auto"/>
        <w:jc w:val="both"/>
        <w:rPr>
          <w:rFonts w:ascii="Times New Roman" w:hAnsi="Times New Roman" w:cs="Times New Roman"/>
          <w:b/>
          <w:bCs/>
          <w:sz w:val="28"/>
          <w:szCs w:val="28"/>
          <w:u w:val="single"/>
          <w:lang w:val="en-US"/>
        </w:rPr>
      </w:pPr>
      <w:r w:rsidRPr="00F77CF0">
        <w:rPr>
          <w:rFonts w:ascii="Times New Roman" w:hAnsi="Times New Roman" w:cs="Times New Roman"/>
          <w:b/>
          <w:bCs/>
          <w:sz w:val="28"/>
          <w:szCs w:val="28"/>
          <w:u w:val="single"/>
          <w:lang w:val="en-US"/>
        </w:rPr>
        <w:t>Overview of the Dispute</w:t>
      </w:r>
    </w:p>
    <w:p w14:paraId="1752A738" w14:textId="77777777" w:rsidR="00140126" w:rsidRPr="00D10C94" w:rsidRDefault="00140126" w:rsidP="007547E4">
      <w:pPr>
        <w:pStyle w:val="ListParagraph"/>
        <w:spacing w:after="240" w:line="240" w:lineRule="auto"/>
        <w:jc w:val="both"/>
        <w:rPr>
          <w:rFonts w:ascii="Times New Roman" w:hAnsi="Times New Roman" w:cs="Times New Roman"/>
          <w:b/>
          <w:bCs/>
          <w:sz w:val="28"/>
          <w:szCs w:val="28"/>
          <w:u w:val="single"/>
          <w:lang w:val="en-US"/>
        </w:rPr>
      </w:pPr>
    </w:p>
    <w:p w14:paraId="1203F07E" w14:textId="77777777" w:rsidR="00D10C94" w:rsidRPr="00D10C94" w:rsidRDefault="00D10C94" w:rsidP="00F77CF0">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On October 30, 2020, after conducting the Colville Public Listening Hearing in January of 2020, the SRRB issued a report/decision, part of which included removing the TAH and allowing the Herd to be subject to Community Conservation Planning (“CCP”).</w:t>
      </w:r>
    </w:p>
    <w:p w14:paraId="3C2DCBC5" w14:textId="77777777" w:rsidR="00D10C94" w:rsidRPr="00D10C94" w:rsidRDefault="00D10C94" w:rsidP="000570FE">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Treaty provides that once the SRRB renders a decision and forwards to the Minister a four-step decision-making process is triggered involving the Minister and the SRRB. </w:t>
      </w:r>
    </w:p>
    <w:p w14:paraId="43EF0EAC" w14:textId="77777777" w:rsidR="00D10C94" w:rsidRPr="00D10C94" w:rsidRDefault="00D10C94" w:rsidP="001A6E7F">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The SRRB can make recommendations and suggest decisions, which the Minister can accept, reject, or vary.</w:t>
      </w:r>
    </w:p>
    <w:p w14:paraId="4512A89D" w14:textId="77777777" w:rsidR="00D10C94" w:rsidRPr="00D10C94" w:rsidRDefault="00D10C94" w:rsidP="001A6E7F">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Under the Treaty, the Minister has ultimate decision-making authority. </w:t>
      </w:r>
    </w:p>
    <w:p w14:paraId="77DB577D" w14:textId="04566662" w:rsidR="00D10C94" w:rsidRPr="00D10C94" w:rsidRDefault="00D10C94" w:rsidP="005F1D62">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On December 4, 2020, the Minister received a letter from the NWT Wildlife Management Advisory Council (“WMAC”), a body established under the Inuvialuit Final Agreement indicating concerns with the SRRB Decision 6.1 and saying more </w:t>
      </w:r>
      <w:r w:rsidR="009A0374">
        <w:rPr>
          <w:rFonts w:ascii="Times New Roman" w:hAnsi="Times New Roman" w:cs="Times New Roman"/>
          <w:sz w:val="28"/>
          <w:szCs w:val="28"/>
          <w:lang w:val="en-US"/>
        </w:rPr>
        <w:t>comprehensive</w:t>
      </w:r>
      <w:r w:rsidRPr="00D10C94">
        <w:rPr>
          <w:rFonts w:ascii="Times New Roman" w:hAnsi="Times New Roman" w:cs="Times New Roman"/>
          <w:sz w:val="28"/>
          <w:szCs w:val="28"/>
          <w:lang w:val="en-US"/>
        </w:rPr>
        <w:t xml:space="preserve"> submissions would follow.  On January 25, 2021, the Minister received those submissions, which detailed the WMAC’s concern</w:t>
      </w:r>
      <w:r w:rsidR="009A0374">
        <w:rPr>
          <w:rFonts w:ascii="Times New Roman" w:hAnsi="Times New Roman" w:cs="Times New Roman"/>
          <w:sz w:val="28"/>
          <w:szCs w:val="28"/>
          <w:lang w:val="en-US"/>
        </w:rPr>
        <w:t>s</w:t>
      </w:r>
      <w:r w:rsidRPr="00D10C94">
        <w:rPr>
          <w:rFonts w:ascii="Times New Roman" w:hAnsi="Times New Roman" w:cs="Times New Roman"/>
          <w:sz w:val="28"/>
          <w:szCs w:val="28"/>
          <w:lang w:val="en-US"/>
        </w:rPr>
        <w:t xml:space="preserve"> regarding the SRRBs proposed removal of the TAH.</w:t>
      </w:r>
    </w:p>
    <w:p w14:paraId="34B8490D" w14:textId="3FCB625E" w:rsidR="00D10C94" w:rsidRPr="00D10C94" w:rsidRDefault="00D10C94" w:rsidP="005F1D62">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On January 29, 2021, the Minister responded to the SRRB</w:t>
      </w:r>
      <w:r w:rsidR="00CC42E5">
        <w:rPr>
          <w:rFonts w:ascii="Times New Roman" w:hAnsi="Times New Roman" w:cs="Times New Roman"/>
          <w:sz w:val="28"/>
          <w:szCs w:val="28"/>
          <w:lang w:val="en-US"/>
        </w:rPr>
        <w:t xml:space="preserve"> </w:t>
      </w:r>
      <w:r w:rsidRPr="00352F71">
        <w:rPr>
          <w:rFonts w:ascii="Times New Roman" w:hAnsi="Times New Roman" w:cs="Times New Roman"/>
          <w:sz w:val="28"/>
          <w:szCs w:val="28"/>
          <w:lang w:val="en-US"/>
        </w:rPr>
        <w:t xml:space="preserve">(“Minister’s Initial Decision”). </w:t>
      </w:r>
      <w:r w:rsidR="00CA714B" w:rsidRPr="00352F71">
        <w:rPr>
          <w:rFonts w:ascii="Times New Roman" w:hAnsi="Times New Roman" w:cs="Times New Roman"/>
          <w:sz w:val="28"/>
          <w:szCs w:val="28"/>
          <w:lang w:val="en-US"/>
        </w:rPr>
        <w:t xml:space="preserve"> </w:t>
      </w:r>
      <w:r w:rsidRPr="00352F71">
        <w:rPr>
          <w:rFonts w:ascii="Times New Roman" w:hAnsi="Times New Roman" w:cs="Times New Roman"/>
          <w:sz w:val="28"/>
          <w:szCs w:val="28"/>
          <w:lang w:val="en-US"/>
        </w:rPr>
        <w:t>The Minister’s Initial Decision, in part, indicate</w:t>
      </w:r>
      <w:r w:rsidR="003F1CE4" w:rsidRPr="00352F71">
        <w:rPr>
          <w:rFonts w:ascii="Times New Roman" w:hAnsi="Times New Roman" w:cs="Times New Roman"/>
          <w:sz w:val="28"/>
          <w:szCs w:val="28"/>
          <w:lang w:val="en-US"/>
        </w:rPr>
        <w:t>d</w:t>
      </w:r>
      <w:r w:rsidRPr="00352F71">
        <w:rPr>
          <w:rFonts w:ascii="Times New Roman" w:hAnsi="Times New Roman" w:cs="Times New Roman"/>
          <w:sz w:val="28"/>
          <w:szCs w:val="28"/>
          <w:lang w:val="en-US"/>
        </w:rPr>
        <w:t xml:space="preserve"> an intention to vary</w:t>
      </w:r>
      <w:r w:rsidRPr="00D10C94">
        <w:rPr>
          <w:rFonts w:ascii="Times New Roman" w:hAnsi="Times New Roman" w:cs="Times New Roman"/>
          <w:sz w:val="28"/>
          <w:szCs w:val="28"/>
          <w:lang w:val="en-US"/>
        </w:rPr>
        <w:t xml:space="preserve"> SRRB Recommendation 4.1 and SRRB Decision 6.1, both of which involve approaches to harvesting of caribou within a Settlement Area to which the Treaty </w:t>
      </w:r>
      <w:r w:rsidRPr="00D10C94">
        <w:rPr>
          <w:rFonts w:ascii="Times New Roman" w:hAnsi="Times New Roman" w:cs="Times New Roman"/>
          <w:sz w:val="28"/>
          <w:szCs w:val="28"/>
          <w:lang w:val="en-US"/>
        </w:rPr>
        <w:lastRenderedPageBreak/>
        <w:t>applies.</w:t>
      </w:r>
      <w:r w:rsidR="005E6994">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The contentious parts of the decision, and which are at the heart of this JR, are:</w:t>
      </w:r>
    </w:p>
    <w:tbl>
      <w:tblPr>
        <w:tblStyle w:val="TableGrid"/>
        <w:tblW w:w="0" w:type="auto"/>
        <w:tblInd w:w="846" w:type="dxa"/>
        <w:tblLook w:val="04A0" w:firstRow="1" w:lastRow="0" w:firstColumn="1" w:lastColumn="0" w:noHBand="0" w:noVBand="1"/>
      </w:tblPr>
      <w:tblGrid>
        <w:gridCol w:w="3829"/>
        <w:gridCol w:w="4109"/>
      </w:tblGrid>
      <w:tr w:rsidR="00D10C94" w:rsidRPr="00D10C94" w14:paraId="2870B3C0" w14:textId="77777777" w:rsidTr="009E0C19">
        <w:tc>
          <w:tcPr>
            <w:tcW w:w="3829" w:type="dxa"/>
          </w:tcPr>
          <w:p w14:paraId="1CD74E44" w14:textId="77777777" w:rsidR="00D10C94" w:rsidRPr="00D10C94" w:rsidRDefault="00D10C94" w:rsidP="007547E4">
            <w:pPr>
              <w:pStyle w:val="ListParagraph"/>
              <w:spacing w:after="240"/>
              <w:jc w:val="both"/>
              <w:rPr>
                <w:rFonts w:ascii="Times New Roman" w:hAnsi="Times New Roman" w:cs="Times New Roman"/>
                <w:b/>
                <w:bCs/>
                <w:sz w:val="28"/>
                <w:szCs w:val="28"/>
              </w:rPr>
            </w:pPr>
            <w:r w:rsidRPr="00D10C94">
              <w:rPr>
                <w:rFonts w:ascii="Times New Roman" w:hAnsi="Times New Roman" w:cs="Times New Roman"/>
                <w:b/>
                <w:bCs/>
                <w:sz w:val="28"/>
                <w:szCs w:val="28"/>
              </w:rPr>
              <w:t>SRRB Decision</w:t>
            </w:r>
          </w:p>
        </w:tc>
        <w:tc>
          <w:tcPr>
            <w:tcW w:w="4109" w:type="dxa"/>
          </w:tcPr>
          <w:p w14:paraId="0AE258AE" w14:textId="77777777" w:rsidR="00D10C94" w:rsidRPr="00D10C94" w:rsidRDefault="00D10C94" w:rsidP="00D61F71">
            <w:pPr>
              <w:pStyle w:val="ListParagraph"/>
              <w:spacing w:after="240"/>
              <w:jc w:val="center"/>
              <w:rPr>
                <w:rFonts w:ascii="Times New Roman" w:hAnsi="Times New Roman" w:cs="Times New Roman"/>
                <w:b/>
                <w:bCs/>
                <w:sz w:val="28"/>
                <w:szCs w:val="28"/>
              </w:rPr>
            </w:pPr>
            <w:r w:rsidRPr="00D10C94">
              <w:rPr>
                <w:rFonts w:ascii="Times New Roman" w:hAnsi="Times New Roman" w:cs="Times New Roman"/>
                <w:b/>
                <w:bCs/>
                <w:sz w:val="28"/>
                <w:szCs w:val="28"/>
              </w:rPr>
              <w:t>Minister’s Initial Decision (variations)</w:t>
            </w:r>
          </w:p>
        </w:tc>
      </w:tr>
      <w:tr w:rsidR="00D10C94" w:rsidRPr="00D10C94" w14:paraId="675DF883" w14:textId="77777777" w:rsidTr="009E0C19">
        <w:tc>
          <w:tcPr>
            <w:tcW w:w="3829" w:type="dxa"/>
          </w:tcPr>
          <w:p w14:paraId="06AC8A7F" w14:textId="43725BEB" w:rsidR="00D10C94" w:rsidRPr="00D61F71" w:rsidRDefault="00D10C94" w:rsidP="00D61F71">
            <w:pPr>
              <w:spacing w:after="240"/>
              <w:jc w:val="both"/>
              <w:rPr>
                <w:rFonts w:ascii="Times New Roman" w:hAnsi="Times New Roman" w:cs="Times New Roman"/>
                <w:sz w:val="28"/>
                <w:szCs w:val="28"/>
              </w:rPr>
            </w:pPr>
            <w:bookmarkStart w:id="1" w:name="_Hlk128396400"/>
            <w:r w:rsidRPr="00D61F71">
              <w:rPr>
                <w:rFonts w:ascii="Times New Roman" w:hAnsi="Times New Roman" w:cs="Times New Roman"/>
                <w:sz w:val="28"/>
                <w:szCs w:val="28"/>
                <w:u w:val="single"/>
              </w:rPr>
              <w:t>Recommendation 4.1</w:t>
            </w:r>
            <w:r w:rsidRPr="00D61F71">
              <w:rPr>
                <w:rFonts w:ascii="Times New Roman" w:hAnsi="Times New Roman" w:cs="Times New Roman"/>
                <w:sz w:val="28"/>
                <w:szCs w:val="28"/>
              </w:rPr>
              <w:t>: “The SRRB recommends to the Minister that the CLRCC be granted the power to issue authorizations to all types of harvesters in the entire Sahtu Barren-ground caribou area 01 (S/BC/01), subject to a periodic review of the status and location of the Bluenose-West caribou.” “</w:t>
            </w:r>
            <w:r w:rsidRPr="00D61F71">
              <w:rPr>
                <w:rFonts w:ascii="Times New Roman" w:hAnsi="Times New Roman" w:cs="Times New Roman"/>
                <w:b/>
                <w:bCs/>
                <w:sz w:val="28"/>
                <w:szCs w:val="28"/>
              </w:rPr>
              <w:t>SRR</w:t>
            </w:r>
            <w:r w:rsidR="00284D7E">
              <w:rPr>
                <w:rFonts w:ascii="Times New Roman" w:hAnsi="Times New Roman" w:cs="Times New Roman"/>
                <w:b/>
                <w:bCs/>
                <w:sz w:val="28"/>
                <w:szCs w:val="28"/>
              </w:rPr>
              <w:t>B</w:t>
            </w:r>
            <w:r w:rsidR="00E124DA">
              <w:rPr>
                <w:rFonts w:ascii="Times New Roman" w:hAnsi="Times New Roman" w:cs="Times New Roman"/>
                <w:b/>
                <w:bCs/>
                <w:sz w:val="28"/>
                <w:szCs w:val="28"/>
              </w:rPr>
              <w:t xml:space="preserve"> </w:t>
            </w:r>
            <w:r w:rsidRPr="00D61F71">
              <w:rPr>
                <w:rFonts w:ascii="Times New Roman" w:hAnsi="Times New Roman" w:cs="Times New Roman"/>
                <w:b/>
                <w:bCs/>
                <w:sz w:val="28"/>
                <w:szCs w:val="28"/>
              </w:rPr>
              <w:t>Recommendation 4.1</w:t>
            </w:r>
            <w:r w:rsidRPr="00D61F71">
              <w:rPr>
                <w:rFonts w:ascii="Times New Roman" w:hAnsi="Times New Roman" w:cs="Times New Roman"/>
                <w:sz w:val="28"/>
                <w:szCs w:val="28"/>
              </w:rPr>
              <w:t>”;</w:t>
            </w:r>
          </w:p>
        </w:tc>
        <w:tc>
          <w:tcPr>
            <w:tcW w:w="4109" w:type="dxa"/>
          </w:tcPr>
          <w:p w14:paraId="2449D107" w14:textId="2A10ACDE" w:rsidR="00D10C94" w:rsidRPr="00D61F71" w:rsidRDefault="00D10C94" w:rsidP="00D61F71">
            <w:pPr>
              <w:spacing w:after="240"/>
              <w:jc w:val="both"/>
              <w:rPr>
                <w:rFonts w:ascii="Times New Roman" w:hAnsi="Times New Roman" w:cs="Times New Roman"/>
                <w:sz w:val="28"/>
                <w:szCs w:val="28"/>
              </w:rPr>
            </w:pPr>
            <w:r w:rsidRPr="00D61F71">
              <w:rPr>
                <w:rFonts w:ascii="Times New Roman" w:hAnsi="Times New Roman" w:cs="Times New Roman"/>
                <w:sz w:val="28"/>
                <w:szCs w:val="28"/>
                <w:u w:val="single"/>
              </w:rPr>
              <w:t>Recommendation 4.1</w:t>
            </w:r>
            <w:r w:rsidRPr="00D61F71">
              <w:rPr>
                <w:rFonts w:ascii="Times New Roman" w:hAnsi="Times New Roman" w:cs="Times New Roman"/>
                <w:sz w:val="28"/>
                <w:szCs w:val="28"/>
              </w:rPr>
              <w:t xml:space="preserve">: “It is recommended to the Minister that the Colville Lake Renewable Resources Council be granted the power to issue barren-ground caribou authorizations to </w:t>
            </w:r>
            <w:proofErr w:type="spellStart"/>
            <w:r w:rsidRPr="00D61F71">
              <w:rPr>
                <w:rFonts w:ascii="Times New Roman" w:hAnsi="Times New Roman" w:cs="Times New Roman"/>
                <w:sz w:val="28"/>
                <w:szCs w:val="28"/>
              </w:rPr>
              <w:t>Dehla</w:t>
            </w:r>
            <w:proofErr w:type="spellEnd"/>
            <w:r w:rsidRPr="00D61F71">
              <w:rPr>
                <w:rFonts w:ascii="Times New Roman" w:hAnsi="Times New Roman" w:cs="Times New Roman"/>
                <w:sz w:val="28"/>
                <w:szCs w:val="28"/>
              </w:rPr>
              <w:t xml:space="preserve"> </w:t>
            </w:r>
            <w:proofErr w:type="spellStart"/>
            <w:r w:rsidRPr="00D61F71">
              <w:rPr>
                <w:rFonts w:ascii="Times New Roman" w:hAnsi="Times New Roman" w:cs="Times New Roman"/>
                <w:sz w:val="28"/>
                <w:szCs w:val="28"/>
              </w:rPr>
              <w:t>Got’ine</w:t>
            </w:r>
            <w:proofErr w:type="spellEnd"/>
            <w:r w:rsidRPr="00D61F71">
              <w:rPr>
                <w:rFonts w:ascii="Times New Roman" w:hAnsi="Times New Roman" w:cs="Times New Roman"/>
                <w:sz w:val="28"/>
                <w:szCs w:val="28"/>
              </w:rPr>
              <w:t xml:space="preserve"> and non-participant harvesters in the entire Sahtu barren-ground caribou area 01(S/BC/01)”</w:t>
            </w:r>
            <w:r w:rsidR="00BA1E52">
              <w:rPr>
                <w:rFonts w:ascii="Times New Roman" w:hAnsi="Times New Roman" w:cs="Times New Roman"/>
                <w:sz w:val="28"/>
                <w:szCs w:val="28"/>
              </w:rPr>
              <w:t xml:space="preserve"> </w:t>
            </w:r>
            <w:r w:rsidRPr="00D61F71">
              <w:rPr>
                <w:rFonts w:ascii="Times New Roman" w:hAnsi="Times New Roman" w:cs="Times New Roman"/>
                <w:sz w:val="28"/>
                <w:szCs w:val="28"/>
              </w:rPr>
              <w:t>“</w:t>
            </w:r>
            <w:r w:rsidRPr="00D61F71">
              <w:rPr>
                <w:rFonts w:ascii="Times New Roman" w:hAnsi="Times New Roman" w:cs="Times New Roman"/>
                <w:b/>
                <w:bCs/>
                <w:sz w:val="28"/>
                <w:szCs w:val="28"/>
              </w:rPr>
              <w:t xml:space="preserve">Minister’s Recommendation </w:t>
            </w:r>
            <w:proofErr w:type="gramStart"/>
            <w:r w:rsidRPr="00D61F71">
              <w:rPr>
                <w:rFonts w:ascii="Times New Roman" w:hAnsi="Times New Roman" w:cs="Times New Roman"/>
                <w:b/>
                <w:bCs/>
                <w:sz w:val="28"/>
                <w:szCs w:val="28"/>
              </w:rPr>
              <w:t>4.1</w:t>
            </w:r>
            <w:proofErr w:type="gramEnd"/>
            <w:r w:rsidRPr="00D61F71">
              <w:rPr>
                <w:rFonts w:ascii="Times New Roman" w:hAnsi="Times New Roman" w:cs="Times New Roman"/>
                <w:sz w:val="28"/>
                <w:szCs w:val="28"/>
              </w:rPr>
              <w:t>”</w:t>
            </w:r>
          </w:p>
          <w:p w14:paraId="3EE4B76F" w14:textId="77777777" w:rsidR="00D10C94" w:rsidRPr="00D10C94" w:rsidRDefault="00D10C94" w:rsidP="007547E4">
            <w:pPr>
              <w:pStyle w:val="ListParagraph"/>
              <w:spacing w:after="240"/>
              <w:jc w:val="both"/>
              <w:rPr>
                <w:rFonts w:ascii="Times New Roman" w:hAnsi="Times New Roman" w:cs="Times New Roman"/>
                <w:sz w:val="28"/>
                <w:szCs w:val="28"/>
              </w:rPr>
            </w:pPr>
          </w:p>
        </w:tc>
      </w:tr>
      <w:bookmarkEnd w:id="1"/>
      <w:tr w:rsidR="00D10C94" w:rsidRPr="00D10C94" w14:paraId="340C22A1" w14:textId="77777777" w:rsidTr="009E0C19">
        <w:tc>
          <w:tcPr>
            <w:tcW w:w="3829" w:type="dxa"/>
          </w:tcPr>
          <w:p w14:paraId="1B13959B" w14:textId="789EF62C" w:rsidR="00D10C94" w:rsidRPr="00D61F71" w:rsidRDefault="00D10C94" w:rsidP="00D61F71">
            <w:pPr>
              <w:spacing w:after="240"/>
              <w:jc w:val="both"/>
              <w:rPr>
                <w:rFonts w:ascii="Times New Roman" w:hAnsi="Times New Roman" w:cs="Times New Roman"/>
                <w:sz w:val="28"/>
                <w:szCs w:val="28"/>
              </w:rPr>
            </w:pPr>
            <w:r w:rsidRPr="00D61F71">
              <w:rPr>
                <w:rFonts w:ascii="Times New Roman" w:hAnsi="Times New Roman" w:cs="Times New Roman"/>
                <w:sz w:val="28"/>
                <w:szCs w:val="28"/>
                <w:u w:val="single"/>
              </w:rPr>
              <w:t>Decision 6.1</w:t>
            </w:r>
            <w:r w:rsidRPr="00D61F71">
              <w:rPr>
                <w:rFonts w:ascii="Times New Roman" w:hAnsi="Times New Roman" w:cs="Times New Roman"/>
                <w:sz w:val="28"/>
                <w:szCs w:val="28"/>
              </w:rPr>
              <w:t>: “The SRRB has decided that it will remove the total allowable harvest in the in the Sahtu Barren-ground hunting Area 01 (S/BC/01</w:t>
            </w:r>
            <w:proofErr w:type="gramStart"/>
            <w:r w:rsidRPr="00D61F71">
              <w:rPr>
                <w:rFonts w:ascii="Times New Roman" w:hAnsi="Times New Roman" w:cs="Times New Roman"/>
                <w:sz w:val="28"/>
                <w:szCs w:val="28"/>
              </w:rPr>
              <w:t>),  once</w:t>
            </w:r>
            <w:proofErr w:type="gramEnd"/>
            <w:r w:rsidRPr="00D61F71">
              <w:rPr>
                <w:rFonts w:ascii="Times New Roman" w:hAnsi="Times New Roman" w:cs="Times New Roman"/>
                <w:sz w:val="28"/>
                <w:szCs w:val="28"/>
              </w:rPr>
              <w:t xml:space="preserve"> Colville’s community conservation plan has been completed and approved.</w:t>
            </w:r>
            <w:r w:rsidR="00E124DA">
              <w:rPr>
                <w:rFonts w:ascii="Times New Roman" w:hAnsi="Times New Roman" w:cs="Times New Roman"/>
                <w:sz w:val="28"/>
                <w:szCs w:val="28"/>
              </w:rPr>
              <w:t xml:space="preserve"> </w:t>
            </w:r>
            <w:r w:rsidRPr="00D61F71">
              <w:rPr>
                <w:rFonts w:ascii="Times New Roman" w:hAnsi="Times New Roman" w:cs="Times New Roman"/>
                <w:sz w:val="28"/>
                <w:szCs w:val="28"/>
              </w:rPr>
              <w:t xml:space="preserve"> The SRRB reserves the right to re-apply the total allowable harvest if required for effective conservation. “</w:t>
            </w:r>
            <w:r w:rsidRPr="00D61F71">
              <w:rPr>
                <w:rFonts w:ascii="Times New Roman" w:hAnsi="Times New Roman" w:cs="Times New Roman"/>
                <w:b/>
                <w:bCs/>
                <w:sz w:val="28"/>
                <w:szCs w:val="28"/>
              </w:rPr>
              <w:t>SRRB Decision 6.1</w:t>
            </w:r>
            <w:r w:rsidRPr="00D61F71">
              <w:rPr>
                <w:rFonts w:ascii="Times New Roman" w:hAnsi="Times New Roman" w:cs="Times New Roman"/>
                <w:sz w:val="28"/>
                <w:szCs w:val="28"/>
              </w:rPr>
              <w:t>”</w:t>
            </w:r>
          </w:p>
          <w:p w14:paraId="595F10E2" w14:textId="77777777" w:rsidR="00D10C94" w:rsidRPr="00D10C94" w:rsidRDefault="00D10C94" w:rsidP="007547E4">
            <w:pPr>
              <w:pStyle w:val="ListParagraph"/>
              <w:spacing w:after="240"/>
              <w:jc w:val="both"/>
              <w:rPr>
                <w:rFonts w:ascii="Times New Roman" w:hAnsi="Times New Roman" w:cs="Times New Roman"/>
                <w:sz w:val="28"/>
                <w:szCs w:val="28"/>
              </w:rPr>
            </w:pPr>
          </w:p>
        </w:tc>
        <w:tc>
          <w:tcPr>
            <w:tcW w:w="4109" w:type="dxa"/>
          </w:tcPr>
          <w:p w14:paraId="2F178312" w14:textId="72BF71BC" w:rsidR="00D10C94" w:rsidRPr="00D61F71" w:rsidRDefault="00D10C94" w:rsidP="00D61F71">
            <w:pPr>
              <w:spacing w:after="240"/>
              <w:jc w:val="both"/>
              <w:rPr>
                <w:rFonts w:ascii="Times New Roman" w:hAnsi="Times New Roman" w:cs="Times New Roman"/>
                <w:sz w:val="28"/>
                <w:szCs w:val="28"/>
              </w:rPr>
            </w:pPr>
            <w:r w:rsidRPr="00D61F71">
              <w:rPr>
                <w:rFonts w:ascii="Times New Roman" w:hAnsi="Times New Roman" w:cs="Times New Roman"/>
                <w:sz w:val="28"/>
                <w:szCs w:val="28"/>
                <w:u w:val="single"/>
              </w:rPr>
              <w:t>Decision 6.1</w:t>
            </w:r>
            <w:r w:rsidRPr="00D61F71">
              <w:rPr>
                <w:rFonts w:ascii="Times New Roman" w:hAnsi="Times New Roman" w:cs="Times New Roman"/>
                <w:sz w:val="28"/>
                <w:szCs w:val="28"/>
              </w:rPr>
              <w:t xml:space="preserve">: “In addition to measures put in place under the community conservation planning approach, the previously approved total allowable harvest in Sahtu </w:t>
            </w:r>
            <w:proofErr w:type="spellStart"/>
            <w:r w:rsidRPr="00D61F71">
              <w:rPr>
                <w:rFonts w:ascii="Times New Roman" w:hAnsi="Times New Roman" w:cs="Times New Roman"/>
                <w:sz w:val="28"/>
                <w:szCs w:val="28"/>
              </w:rPr>
              <w:t>Barrenground</w:t>
            </w:r>
            <w:proofErr w:type="spellEnd"/>
            <w:r w:rsidRPr="00D61F71">
              <w:rPr>
                <w:rFonts w:ascii="Times New Roman" w:hAnsi="Times New Roman" w:cs="Times New Roman"/>
                <w:sz w:val="28"/>
                <w:szCs w:val="28"/>
              </w:rPr>
              <w:t xml:space="preserve"> caribou hunting Area 01 (S/BC/01) will remain in effect. The SRRB will regularly review the conservation outcomes under the community conservation planning approach.” “</w:t>
            </w:r>
            <w:r w:rsidRPr="00D61F71">
              <w:rPr>
                <w:rFonts w:ascii="Times New Roman" w:hAnsi="Times New Roman" w:cs="Times New Roman"/>
                <w:b/>
                <w:bCs/>
                <w:sz w:val="28"/>
                <w:szCs w:val="28"/>
              </w:rPr>
              <w:t>Minister’s Decision 6.1</w:t>
            </w:r>
            <w:r w:rsidRPr="00D61F71">
              <w:rPr>
                <w:rFonts w:ascii="Times New Roman" w:hAnsi="Times New Roman" w:cs="Times New Roman"/>
                <w:sz w:val="28"/>
                <w:szCs w:val="28"/>
              </w:rPr>
              <w:t>”</w:t>
            </w:r>
          </w:p>
        </w:tc>
      </w:tr>
    </w:tbl>
    <w:p w14:paraId="50995334" w14:textId="77777777" w:rsidR="00D10C94" w:rsidRPr="00D10C94" w:rsidRDefault="00D10C94" w:rsidP="007547E4">
      <w:pPr>
        <w:pStyle w:val="ListParagraph"/>
        <w:spacing w:after="240" w:line="240" w:lineRule="auto"/>
        <w:jc w:val="both"/>
        <w:rPr>
          <w:rFonts w:ascii="Times New Roman" w:hAnsi="Times New Roman" w:cs="Times New Roman"/>
          <w:sz w:val="28"/>
          <w:szCs w:val="28"/>
          <w:lang w:val="en-US"/>
        </w:rPr>
      </w:pPr>
    </w:p>
    <w:p w14:paraId="2519CE21" w14:textId="77777777" w:rsidR="00D10C94" w:rsidRPr="00D10C94" w:rsidRDefault="00D10C94" w:rsidP="00630EC6">
      <w:pPr>
        <w:pStyle w:val="ListParagraph"/>
        <w:numPr>
          <w:ilvl w:val="0"/>
          <w:numId w:val="11"/>
        </w:numPr>
        <w:spacing w:after="240" w:line="240" w:lineRule="auto"/>
        <w:ind w:left="0" w:firstLine="0"/>
        <w:contextualSpacing w:val="0"/>
        <w:jc w:val="both"/>
        <w:rPr>
          <w:rFonts w:ascii="Times New Roman" w:hAnsi="Times New Roman" w:cs="Times New Roman"/>
          <w:b/>
          <w:bCs/>
          <w:i/>
          <w:iCs/>
          <w:sz w:val="28"/>
          <w:szCs w:val="28"/>
        </w:rPr>
      </w:pPr>
      <w:r w:rsidRPr="00D10C94">
        <w:rPr>
          <w:rFonts w:ascii="Times New Roman" w:hAnsi="Times New Roman" w:cs="Times New Roman"/>
          <w:sz w:val="28"/>
          <w:szCs w:val="28"/>
          <w:lang w:val="en-US"/>
        </w:rPr>
        <w:t>On February 25, 2021, the CLRRC responded to the Minister’s Initial Decision, alleging it is incorrect and not supported by evidence and, additionally, was incorrect in its interpretation of the Treaty and the applicable case law.</w:t>
      </w:r>
    </w:p>
    <w:p w14:paraId="6A059277" w14:textId="77777777" w:rsidR="00D10C94" w:rsidRPr="00D10C94" w:rsidRDefault="00D10C94" w:rsidP="00630EC6">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lastRenderedPageBreak/>
        <w:t xml:space="preserve">On February 26, </w:t>
      </w:r>
      <w:proofErr w:type="gramStart"/>
      <w:r w:rsidRPr="00D10C94">
        <w:rPr>
          <w:rFonts w:ascii="Times New Roman" w:hAnsi="Times New Roman" w:cs="Times New Roman"/>
          <w:sz w:val="28"/>
          <w:szCs w:val="28"/>
        </w:rPr>
        <w:t>2021</w:t>
      </w:r>
      <w:proofErr w:type="gramEnd"/>
      <w:r w:rsidRPr="00D10C94">
        <w:rPr>
          <w:rFonts w:ascii="Times New Roman" w:hAnsi="Times New Roman" w:cs="Times New Roman"/>
          <w:sz w:val="28"/>
          <w:szCs w:val="28"/>
        </w:rPr>
        <w:t xml:space="preserve"> the SRRB provided </w:t>
      </w:r>
      <w:r w:rsidRPr="00D10C94">
        <w:rPr>
          <w:rFonts w:ascii="Times New Roman" w:hAnsi="Times New Roman" w:cs="Times New Roman"/>
          <w:i/>
          <w:iCs/>
          <w:sz w:val="28"/>
          <w:szCs w:val="28"/>
        </w:rPr>
        <w:t>Public Listening Update – Comment, Next Steps, and Timeline</w:t>
      </w:r>
      <w:r w:rsidRPr="00D10C94">
        <w:rPr>
          <w:rFonts w:ascii="Times New Roman" w:hAnsi="Times New Roman" w:cs="Times New Roman"/>
          <w:sz w:val="28"/>
          <w:szCs w:val="28"/>
        </w:rPr>
        <w:t>, stating within that document:</w:t>
      </w:r>
    </w:p>
    <w:p w14:paraId="72D0CE32" w14:textId="612086E7" w:rsidR="00D10C94" w:rsidRPr="00277F74" w:rsidRDefault="00D10C94" w:rsidP="00277F74">
      <w:pPr>
        <w:pStyle w:val="ListParagraph"/>
        <w:spacing w:after="240" w:line="240" w:lineRule="auto"/>
        <w:ind w:left="567" w:right="571"/>
        <w:contextualSpacing w:val="0"/>
        <w:jc w:val="both"/>
        <w:rPr>
          <w:rFonts w:ascii="Times New Roman" w:hAnsi="Times New Roman" w:cs="Times New Roman"/>
          <w:sz w:val="24"/>
          <w:szCs w:val="24"/>
        </w:rPr>
      </w:pPr>
      <w:r w:rsidRPr="00277F74">
        <w:rPr>
          <w:rFonts w:ascii="Times New Roman" w:hAnsi="Times New Roman" w:cs="Times New Roman"/>
          <w:sz w:val="24"/>
          <w:szCs w:val="24"/>
        </w:rPr>
        <w:t xml:space="preserve">The SDMCLCA [the Treaty] decision framework should be understood in light of the SRRB’s amended Hearing Rules (October 23, 2019), which provides for Public Listening Sessions (PLS) as part of a larger hearing proceeding: “The Board, in its discretion, may hold a Hearing comprised of two or more Public Listening Sessions over a period of time exceeding six months in order to encourage increased participation of the Renewable Resources Councils, Participants and the public in the Hearing (Hearing Rule 4.9). </w:t>
      </w:r>
      <w:r w:rsidR="002A26A9">
        <w:rPr>
          <w:rFonts w:ascii="Times New Roman" w:hAnsi="Times New Roman" w:cs="Times New Roman"/>
          <w:sz w:val="24"/>
          <w:szCs w:val="24"/>
        </w:rPr>
        <w:t xml:space="preserve"> </w:t>
      </w:r>
      <w:r w:rsidRPr="00277F74">
        <w:rPr>
          <w:rFonts w:ascii="Times New Roman" w:hAnsi="Times New Roman" w:cs="Times New Roman"/>
          <w:sz w:val="24"/>
          <w:szCs w:val="24"/>
        </w:rPr>
        <w:t xml:space="preserve">The SRRB has accordingly planned a five-part proceeding during 2020-2024. </w:t>
      </w:r>
    </w:p>
    <w:p w14:paraId="7C56CB2C" w14:textId="069C5B57" w:rsidR="00D10C94" w:rsidRPr="00D10C94" w:rsidRDefault="00D10C94" w:rsidP="00521029">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On March 30, 2021, </w:t>
      </w:r>
      <w:r w:rsidR="00825723">
        <w:rPr>
          <w:rFonts w:ascii="Times New Roman" w:hAnsi="Times New Roman" w:cs="Times New Roman"/>
          <w:sz w:val="28"/>
          <w:szCs w:val="28"/>
        </w:rPr>
        <w:t>t</w:t>
      </w:r>
      <w:r w:rsidRPr="00D10C94">
        <w:rPr>
          <w:rFonts w:ascii="Times New Roman" w:hAnsi="Times New Roman" w:cs="Times New Roman"/>
          <w:sz w:val="28"/>
          <w:szCs w:val="28"/>
        </w:rPr>
        <w:t xml:space="preserve">he SRRB issued a second report on the Colville Public Listening Hearing containing its recommendations and decisions (the “second report”), including a policy statement on Community Conservation Planning, and the Board’s analysis and reply to </w:t>
      </w:r>
      <w:r w:rsidR="00DA0542">
        <w:rPr>
          <w:rFonts w:ascii="Times New Roman" w:hAnsi="Times New Roman" w:cs="Times New Roman"/>
          <w:sz w:val="28"/>
          <w:szCs w:val="28"/>
        </w:rPr>
        <w:t xml:space="preserve">the </w:t>
      </w:r>
      <w:r w:rsidRPr="00D10C94">
        <w:rPr>
          <w:rFonts w:ascii="Times New Roman" w:hAnsi="Times New Roman" w:cs="Times New Roman"/>
          <w:sz w:val="28"/>
          <w:szCs w:val="28"/>
        </w:rPr>
        <w:t xml:space="preserve">Minister’s proposals. </w:t>
      </w:r>
      <w:r w:rsidR="00812A16">
        <w:rPr>
          <w:rFonts w:ascii="Times New Roman" w:hAnsi="Times New Roman" w:cs="Times New Roman"/>
          <w:sz w:val="28"/>
          <w:szCs w:val="28"/>
        </w:rPr>
        <w:t xml:space="preserve"> </w:t>
      </w:r>
      <w:r w:rsidRPr="00D10C94">
        <w:rPr>
          <w:rFonts w:ascii="Times New Roman" w:hAnsi="Times New Roman" w:cs="Times New Roman"/>
          <w:sz w:val="28"/>
          <w:szCs w:val="28"/>
        </w:rPr>
        <w:t xml:space="preserve">In this second report, the SRRB maintains the recommendations and decisions as stated in its initial report of October 30, </w:t>
      </w:r>
      <w:proofErr w:type="gramStart"/>
      <w:r w:rsidRPr="00D10C94">
        <w:rPr>
          <w:rFonts w:ascii="Times New Roman" w:hAnsi="Times New Roman" w:cs="Times New Roman"/>
          <w:sz w:val="28"/>
          <w:szCs w:val="28"/>
        </w:rPr>
        <w:t>2021</w:t>
      </w:r>
      <w:proofErr w:type="gramEnd"/>
      <w:r w:rsidRPr="00D10C94">
        <w:rPr>
          <w:rFonts w:ascii="Times New Roman" w:hAnsi="Times New Roman" w:cs="Times New Roman"/>
          <w:sz w:val="28"/>
          <w:szCs w:val="28"/>
        </w:rPr>
        <w:t xml:space="preserve"> and does not accept the variations in the Minister’s Initial Decision.</w:t>
      </w:r>
    </w:p>
    <w:p w14:paraId="7F9EE299" w14:textId="0DCB6313" w:rsidR="00D10C94" w:rsidRPr="00D10C94" w:rsidRDefault="00D10C94" w:rsidP="00521029">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Purportedly per the process stipulated in the Treaty, the Minister regarded the SRRB second report as the SRRB’s final decision and, on April 30, 2021, the Minister made</w:t>
      </w:r>
      <w:r w:rsidR="00DA0542">
        <w:rPr>
          <w:rFonts w:ascii="Times New Roman" w:hAnsi="Times New Roman" w:cs="Times New Roman"/>
          <w:sz w:val="28"/>
          <w:szCs w:val="28"/>
        </w:rPr>
        <w:t xml:space="preserve"> a </w:t>
      </w:r>
      <w:r w:rsidR="00D40EBC">
        <w:rPr>
          <w:rFonts w:ascii="Times New Roman" w:hAnsi="Times New Roman" w:cs="Times New Roman"/>
          <w:sz w:val="28"/>
          <w:szCs w:val="28"/>
        </w:rPr>
        <w:t>F</w:t>
      </w:r>
      <w:r w:rsidR="00DA0542">
        <w:rPr>
          <w:rFonts w:ascii="Times New Roman" w:hAnsi="Times New Roman" w:cs="Times New Roman"/>
          <w:sz w:val="28"/>
          <w:szCs w:val="28"/>
        </w:rPr>
        <w:t xml:space="preserve">inal </w:t>
      </w:r>
      <w:r w:rsidR="00D40EBC">
        <w:rPr>
          <w:rFonts w:ascii="Times New Roman" w:hAnsi="Times New Roman" w:cs="Times New Roman"/>
          <w:sz w:val="28"/>
          <w:szCs w:val="28"/>
        </w:rPr>
        <w:t>D</w:t>
      </w:r>
      <w:r w:rsidR="00DA0542">
        <w:rPr>
          <w:rFonts w:ascii="Times New Roman" w:hAnsi="Times New Roman" w:cs="Times New Roman"/>
          <w:sz w:val="28"/>
          <w:szCs w:val="28"/>
        </w:rPr>
        <w:t>ecision</w:t>
      </w:r>
      <w:r w:rsidR="00DA0542" w:rsidRPr="00D10C94">
        <w:rPr>
          <w:rFonts w:ascii="Times New Roman" w:hAnsi="Times New Roman" w:cs="Times New Roman"/>
          <w:sz w:val="28"/>
          <w:szCs w:val="28"/>
        </w:rPr>
        <w:t xml:space="preserve"> </w:t>
      </w:r>
      <w:r w:rsidRPr="00D10C94">
        <w:rPr>
          <w:rFonts w:ascii="Times New Roman" w:hAnsi="Times New Roman" w:cs="Times New Roman"/>
          <w:sz w:val="28"/>
          <w:szCs w:val="28"/>
        </w:rPr>
        <w:t>(</w:t>
      </w:r>
      <w:r w:rsidRPr="00352F71">
        <w:rPr>
          <w:rFonts w:ascii="Times New Roman" w:hAnsi="Times New Roman" w:cs="Times New Roman"/>
          <w:sz w:val="28"/>
          <w:szCs w:val="28"/>
        </w:rPr>
        <w:t>the “Minister’s Final Decision”).</w:t>
      </w:r>
      <w:r w:rsidRPr="00D10C94">
        <w:rPr>
          <w:rFonts w:ascii="Times New Roman" w:hAnsi="Times New Roman" w:cs="Times New Roman"/>
          <w:sz w:val="28"/>
          <w:szCs w:val="28"/>
        </w:rPr>
        <w:t xml:space="preserve"> </w:t>
      </w:r>
    </w:p>
    <w:p w14:paraId="68563A7D" w14:textId="77777777" w:rsidR="00D10C94" w:rsidRPr="00D10C94" w:rsidRDefault="00D10C94" w:rsidP="00521029">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Minister’s Final Decision was also issued in purported compliance with the process set out in the Treaty. </w:t>
      </w:r>
    </w:p>
    <w:p w14:paraId="04DBFE41" w14:textId="7C1B2B32" w:rsidR="00D10C94" w:rsidRPr="00D10C94" w:rsidRDefault="00D10C94" w:rsidP="00521029">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Minister’s Final </w:t>
      </w:r>
      <w:r w:rsidR="00D40EBC">
        <w:rPr>
          <w:rFonts w:ascii="Times New Roman" w:hAnsi="Times New Roman" w:cs="Times New Roman"/>
          <w:sz w:val="28"/>
          <w:szCs w:val="28"/>
        </w:rPr>
        <w:t>D</w:t>
      </w:r>
      <w:r w:rsidRPr="00D10C94">
        <w:rPr>
          <w:rFonts w:ascii="Times New Roman" w:hAnsi="Times New Roman" w:cs="Times New Roman"/>
          <w:sz w:val="28"/>
          <w:szCs w:val="28"/>
        </w:rPr>
        <w:t>ecision did not accept the SRRB</w:t>
      </w:r>
      <w:r w:rsidR="00D40EBC">
        <w:rPr>
          <w:rFonts w:ascii="Times New Roman" w:hAnsi="Times New Roman" w:cs="Times New Roman"/>
          <w:sz w:val="28"/>
          <w:szCs w:val="28"/>
        </w:rPr>
        <w:t>’</w:t>
      </w:r>
      <w:r w:rsidRPr="00D10C94">
        <w:rPr>
          <w:rFonts w:ascii="Times New Roman" w:hAnsi="Times New Roman" w:cs="Times New Roman"/>
          <w:sz w:val="28"/>
          <w:szCs w:val="28"/>
        </w:rPr>
        <w:t>s position and essentially finalized and maintained the varied wording in the Minister’s Initial Decision.</w:t>
      </w:r>
    </w:p>
    <w:p w14:paraId="06968401" w14:textId="70EB35CD" w:rsidR="00D10C94" w:rsidRPr="00D10C94" w:rsidRDefault="00D10C94" w:rsidP="00521029">
      <w:pPr>
        <w:pStyle w:val="ListParagraph"/>
        <w:numPr>
          <w:ilvl w:val="0"/>
          <w:numId w:val="11"/>
        </w:numPr>
        <w:spacing w:after="240" w:line="240" w:lineRule="auto"/>
        <w:ind w:left="0" w:firstLine="0"/>
        <w:contextualSpacing w:val="0"/>
        <w:jc w:val="both"/>
        <w:rPr>
          <w:rFonts w:ascii="Times New Roman" w:hAnsi="Times New Roman" w:cs="Times New Roman"/>
          <w:sz w:val="28"/>
          <w:szCs w:val="28"/>
          <w:u w:val="single"/>
          <w:lang w:val="en-US"/>
        </w:rPr>
      </w:pPr>
      <w:r w:rsidRPr="00D10C94">
        <w:rPr>
          <w:rFonts w:ascii="Times New Roman" w:hAnsi="Times New Roman" w:cs="Times New Roman"/>
          <w:sz w:val="28"/>
          <w:szCs w:val="28"/>
        </w:rPr>
        <w:t xml:space="preserve">On May 28, 2021, pursuant to s. 6.12 of the Treaty, the Applicants filed </w:t>
      </w:r>
      <w:r w:rsidR="00D40EBC">
        <w:rPr>
          <w:rFonts w:ascii="Times New Roman" w:hAnsi="Times New Roman" w:cs="Times New Roman"/>
          <w:sz w:val="28"/>
          <w:szCs w:val="28"/>
        </w:rPr>
        <w:t>their</w:t>
      </w:r>
      <w:r w:rsidRPr="00D10C94">
        <w:rPr>
          <w:rFonts w:ascii="Times New Roman" w:hAnsi="Times New Roman" w:cs="Times New Roman"/>
          <w:sz w:val="28"/>
          <w:szCs w:val="28"/>
        </w:rPr>
        <w:t xml:space="preserve"> Originating Notice in this matter, seeking judicial review of the Minister’s Final Decision of April 30, 2021.</w:t>
      </w:r>
    </w:p>
    <w:p w14:paraId="5752BC14" w14:textId="6942315C" w:rsidR="00D10C94" w:rsidRPr="00D10C94" w:rsidRDefault="00D10C94" w:rsidP="00521029">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The Applicant’s position as expressed in its Originating Notice</w:t>
      </w:r>
      <w:r w:rsidR="00D40EBC">
        <w:rPr>
          <w:rFonts w:ascii="Times New Roman" w:hAnsi="Times New Roman" w:cs="Times New Roman"/>
          <w:sz w:val="28"/>
          <w:szCs w:val="28"/>
          <w:lang w:val="en-US"/>
        </w:rPr>
        <w:t xml:space="preserve"> is</w:t>
      </w:r>
      <w:r w:rsidRPr="00D10C94">
        <w:rPr>
          <w:rFonts w:ascii="Times New Roman" w:hAnsi="Times New Roman" w:cs="Times New Roman"/>
          <w:sz w:val="28"/>
          <w:szCs w:val="28"/>
          <w:lang w:val="en-US"/>
        </w:rPr>
        <w:t>:</w:t>
      </w:r>
    </w:p>
    <w:p w14:paraId="1C06416E" w14:textId="77777777" w:rsidR="00D10C94" w:rsidRPr="0031231A" w:rsidRDefault="00D10C94" w:rsidP="006E3720">
      <w:pPr>
        <w:pStyle w:val="ListParagraph"/>
        <w:spacing w:after="240" w:line="240" w:lineRule="auto"/>
        <w:ind w:left="567" w:right="571"/>
        <w:contextualSpacing w:val="0"/>
        <w:jc w:val="both"/>
        <w:rPr>
          <w:rFonts w:ascii="Times New Roman" w:hAnsi="Times New Roman" w:cs="Times New Roman"/>
          <w:sz w:val="24"/>
          <w:szCs w:val="24"/>
          <w:lang w:val="en-US"/>
        </w:rPr>
      </w:pPr>
      <w:r w:rsidRPr="0031231A">
        <w:rPr>
          <w:rFonts w:ascii="Times New Roman" w:hAnsi="Times New Roman" w:cs="Times New Roman"/>
          <w:sz w:val="24"/>
          <w:szCs w:val="24"/>
          <w:lang w:val="en-US"/>
        </w:rPr>
        <w:t>The issues at hand relate to the Minister’s determination of the extent of the powers of the CLRRC as recognized in 13.9.4(b) of the Treaty, how these powers relate to the SRRBs powers under 13.8.23 and 13.8.27 of the Treaty, and the Minister’s powers to accept, vary, or set aside and replace the decisions of the SRRB pursuant to 13.8.25 and 13.8.28 of the Treaty.</w:t>
      </w:r>
    </w:p>
    <w:p w14:paraId="6A29F8BE" w14:textId="77777777" w:rsidR="00D10C94" w:rsidRPr="006E3720" w:rsidRDefault="00D10C94" w:rsidP="006E3720">
      <w:pPr>
        <w:pStyle w:val="ListParagraph"/>
        <w:spacing w:after="240" w:line="240" w:lineRule="auto"/>
        <w:ind w:left="567" w:right="571"/>
        <w:contextualSpacing w:val="0"/>
        <w:jc w:val="both"/>
        <w:rPr>
          <w:rFonts w:ascii="Times New Roman" w:hAnsi="Times New Roman" w:cs="Times New Roman"/>
          <w:sz w:val="24"/>
          <w:szCs w:val="24"/>
          <w:lang w:val="en-US"/>
        </w:rPr>
      </w:pPr>
      <w:r w:rsidRPr="0031231A">
        <w:rPr>
          <w:rFonts w:ascii="Times New Roman" w:hAnsi="Times New Roman" w:cs="Times New Roman"/>
          <w:sz w:val="24"/>
          <w:szCs w:val="24"/>
          <w:lang w:val="en-US"/>
        </w:rPr>
        <w:lastRenderedPageBreak/>
        <w:t>Judicial Review of the Minister’s Decision requires consideration of the jurisdictional boundaries between the RRCs, the SRRB, and the Minister, all of whom are administrative bodies. Also, the subject matter of the Minister’s Decision is the scope of the treaty rights of the Participants and their representative bodies under the Treaty.</w:t>
      </w:r>
      <w:r w:rsidRPr="006E3720">
        <w:rPr>
          <w:rFonts w:ascii="Times New Roman" w:hAnsi="Times New Roman" w:cs="Times New Roman"/>
          <w:sz w:val="24"/>
          <w:szCs w:val="24"/>
          <w:lang w:val="en-US"/>
        </w:rPr>
        <w:t xml:space="preserve"> They fall within the scope of Aboriginal and treaty rights issues contemplated by the Supreme Court of Canada in Vavilov. For both reasons, the standard of review is Correctness.</w:t>
      </w:r>
    </w:p>
    <w:p w14:paraId="4CA4EDA3" w14:textId="05B5AA7D" w:rsidR="00D10C94" w:rsidRPr="00190B32" w:rsidRDefault="00D10C94" w:rsidP="001A3AE2">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190B32">
        <w:rPr>
          <w:rFonts w:ascii="Times New Roman" w:hAnsi="Times New Roman" w:cs="Times New Roman"/>
          <w:sz w:val="28"/>
          <w:szCs w:val="28"/>
          <w:lang w:val="en-US"/>
        </w:rPr>
        <w:t xml:space="preserve">The Applicants’ Grounds of Review are based on the Minister’s alleged incorrect interpretation of the Treaty when he varied Recommendation 4.1 and Decision 6.1. </w:t>
      </w:r>
      <w:r w:rsidR="00502C9F">
        <w:rPr>
          <w:rFonts w:ascii="Times New Roman" w:hAnsi="Times New Roman" w:cs="Times New Roman"/>
          <w:sz w:val="28"/>
          <w:szCs w:val="28"/>
          <w:lang w:val="en-US"/>
        </w:rPr>
        <w:t xml:space="preserve"> </w:t>
      </w:r>
      <w:r w:rsidRPr="00190B32">
        <w:rPr>
          <w:rFonts w:ascii="Times New Roman" w:hAnsi="Times New Roman" w:cs="Times New Roman"/>
          <w:sz w:val="28"/>
          <w:szCs w:val="28"/>
          <w:lang w:val="en-US"/>
        </w:rPr>
        <w:t>The Grounds are:</w:t>
      </w:r>
    </w:p>
    <w:p w14:paraId="4189E28E" w14:textId="0A0581A4" w:rsidR="00D10C94" w:rsidRDefault="00D10C94" w:rsidP="00735C1E">
      <w:pPr>
        <w:pStyle w:val="ListParagraph"/>
        <w:numPr>
          <w:ilvl w:val="0"/>
          <w:numId w:val="42"/>
        </w:numPr>
        <w:spacing w:after="240" w:line="240" w:lineRule="auto"/>
        <w:jc w:val="both"/>
        <w:rPr>
          <w:rFonts w:ascii="Times New Roman" w:hAnsi="Times New Roman" w:cs="Times New Roman"/>
          <w:sz w:val="28"/>
          <w:szCs w:val="28"/>
          <w:lang w:val="en-US"/>
        </w:rPr>
      </w:pPr>
      <w:r w:rsidRPr="00735C1E">
        <w:rPr>
          <w:rFonts w:ascii="Times New Roman" w:hAnsi="Times New Roman" w:cs="Times New Roman"/>
          <w:sz w:val="28"/>
          <w:szCs w:val="28"/>
          <w:lang w:val="en-US"/>
        </w:rPr>
        <w:t>the Minister incorrectly interpreted s. 13.9.4(b) of the Treaty</w:t>
      </w:r>
      <w:r w:rsidR="00BB78FA" w:rsidRPr="00735C1E">
        <w:rPr>
          <w:rFonts w:ascii="Times New Roman" w:hAnsi="Times New Roman" w:cs="Times New Roman"/>
          <w:sz w:val="28"/>
          <w:szCs w:val="28"/>
          <w:lang w:val="en-US"/>
        </w:rPr>
        <w:t xml:space="preserve"> </w:t>
      </w:r>
      <w:r w:rsidRPr="00735C1E">
        <w:rPr>
          <w:rFonts w:ascii="Times New Roman" w:hAnsi="Times New Roman" w:cs="Times New Roman"/>
          <w:sz w:val="28"/>
          <w:szCs w:val="28"/>
          <w:lang w:val="en-US"/>
        </w:rPr>
        <w:t xml:space="preserve">and erroneously determined that RRCs do not have power to manage the local exercise of Participants’ harvesting rights; and </w:t>
      </w:r>
    </w:p>
    <w:p w14:paraId="772A5263" w14:textId="77777777" w:rsidR="00735C1E" w:rsidRPr="00735C1E" w:rsidRDefault="00735C1E" w:rsidP="00735C1E">
      <w:pPr>
        <w:pStyle w:val="ListParagraph"/>
        <w:spacing w:after="240" w:line="240" w:lineRule="auto"/>
        <w:ind w:left="1080"/>
        <w:jc w:val="both"/>
        <w:rPr>
          <w:rFonts w:ascii="Times New Roman" w:hAnsi="Times New Roman" w:cs="Times New Roman"/>
          <w:sz w:val="28"/>
          <w:szCs w:val="28"/>
          <w:lang w:val="en-US"/>
        </w:rPr>
      </w:pPr>
    </w:p>
    <w:p w14:paraId="61C53222" w14:textId="3C7C7891" w:rsidR="00D10C94" w:rsidRPr="00D10C94" w:rsidRDefault="00D10C94" w:rsidP="00AB0716">
      <w:pPr>
        <w:pStyle w:val="ListParagraph"/>
        <w:numPr>
          <w:ilvl w:val="0"/>
          <w:numId w:val="42"/>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Minister’s Decision to maintain a TAH relies on an incorrect interpretation of ss. 13.5.2, 13.8.25, and 13.8.28 of the Treaty, </w:t>
      </w:r>
      <w:proofErr w:type="gramStart"/>
      <w:r w:rsidRPr="00D10C94">
        <w:rPr>
          <w:rFonts w:ascii="Times New Roman" w:hAnsi="Times New Roman" w:cs="Times New Roman"/>
          <w:sz w:val="28"/>
          <w:szCs w:val="28"/>
          <w:lang w:val="en-US"/>
        </w:rPr>
        <w:t>and also</w:t>
      </w:r>
      <w:proofErr w:type="gramEnd"/>
      <w:r w:rsidRPr="00D10C94">
        <w:rPr>
          <w:rFonts w:ascii="Times New Roman" w:hAnsi="Times New Roman" w:cs="Times New Roman"/>
          <w:sz w:val="28"/>
          <w:szCs w:val="28"/>
          <w:lang w:val="en-US"/>
        </w:rPr>
        <w:t xml:space="preserve"> misapplies the common law requirement of minimal impairment of treaty rights as precluding any other limitation o</w:t>
      </w:r>
      <w:r w:rsidR="00D40EBC">
        <w:rPr>
          <w:rFonts w:ascii="Times New Roman" w:hAnsi="Times New Roman" w:cs="Times New Roman"/>
          <w:sz w:val="28"/>
          <w:szCs w:val="28"/>
          <w:lang w:val="en-US"/>
        </w:rPr>
        <w:t>n</w:t>
      </w:r>
      <w:r w:rsidRPr="00D10C94">
        <w:rPr>
          <w:rFonts w:ascii="Times New Roman" w:hAnsi="Times New Roman" w:cs="Times New Roman"/>
          <w:sz w:val="28"/>
          <w:szCs w:val="28"/>
          <w:lang w:val="en-US"/>
        </w:rPr>
        <w:t xml:space="preserve"> Participant</w:t>
      </w:r>
      <w:r w:rsidR="008212D8">
        <w:rPr>
          <w:rFonts w:ascii="Times New Roman" w:hAnsi="Times New Roman" w:cs="Times New Roman"/>
          <w:sz w:val="28"/>
          <w:szCs w:val="28"/>
          <w:lang w:val="en-US"/>
        </w:rPr>
        <w:t>’s</w:t>
      </w:r>
      <w:r w:rsidRPr="00D10C94">
        <w:rPr>
          <w:rFonts w:ascii="Times New Roman" w:hAnsi="Times New Roman" w:cs="Times New Roman"/>
          <w:sz w:val="28"/>
          <w:szCs w:val="28"/>
          <w:lang w:val="en-US"/>
        </w:rPr>
        <w:t xml:space="preserve"> harvesting rights other than through the imposition of a TAH.</w:t>
      </w:r>
    </w:p>
    <w:p w14:paraId="6521264E" w14:textId="77777777" w:rsidR="00D10C94" w:rsidRPr="00735C1E" w:rsidRDefault="00D10C94" w:rsidP="002C3490">
      <w:pPr>
        <w:spacing w:after="0" w:line="240" w:lineRule="auto"/>
        <w:jc w:val="both"/>
        <w:rPr>
          <w:rFonts w:ascii="Times New Roman" w:hAnsi="Times New Roman" w:cs="Times New Roman"/>
          <w:b/>
          <w:bCs/>
          <w:sz w:val="28"/>
          <w:szCs w:val="28"/>
          <w:u w:val="single"/>
          <w:lang w:val="en-US"/>
        </w:rPr>
      </w:pPr>
      <w:r w:rsidRPr="00735C1E">
        <w:rPr>
          <w:rFonts w:ascii="Times New Roman" w:hAnsi="Times New Roman" w:cs="Times New Roman"/>
          <w:b/>
          <w:bCs/>
          <w:sz w:val="28"/>
          <w:szCs w:val="28"/>
          <w:u w:val="single"/>
          <w:lang w:val="en-US"/>
        </w:rPr>
        <w:t>Issues</w:t>
      </w:r>
    </w:p>
    <w:p w14:paraId="11F4EC2A" w14:textId="77777777" w:rsidR="00735C1E" w:rsidRPr="00D10C94" w:rsidRDefault="00735C1E" w:rsidP="007547E4">
      <w:pPr>
        <w:pStyle w:val="ListParagraph"/>
        <w:spacing w:after="240" w:line="240" w:lineRule="auto"/>
        <w:jc w:val="both"/>
        <w:rPr>
          <w:rFonts w:ascii="Times New Roman" w:hAnsi="Times New Roman" w:cs="Times New Roman"/>
          <w:b/>
          <w:bCs/>
          <w:sz w:val="28"/>
          <w:szCs w:val="28"/>
          <w:u w:val="single"/>
          <w:lang w:val="en-US"/>
        </w:rPr>
      </w:pPr>
    </w:p>
    <w:p w14:paraId="43C76404" w14:textId="77777777" w:rsidR="00D10C94" w:rsidRPr="00D10C94"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u w:val="single"/>
          <w:lang w:val="en-US"/>
        </w:rPr>
      </w:pPr>
      <w:r w:rsidRPr="00D10C94">
        <w:rPr>
          <w:rFonts w:ascii="Times New Roman" w:hAnsi="Times New Roman" w:cs="Times New Roman"/>
          <w:sz w:val="28"/>
          <w:szCs w:val="28"/>
          <w:lang w:val="en-US"/>
        </w:rPr>
        <w:t>The issues to be determined are as follows:</w:t>
      </w:r>
    </w:p>
    <w:p w14:paraId="5354B396" w14:textId="77777777" w:rsidR="00D10C94" w:rsidRPr="00D10C94" w:rsidRDefault="00D10C94" w:rsidP="007547E4">
      <w:pPr>
        <w:pStyle w:val="ListParagraph"/>
        <w:numPr>
          <w:ilvl w:val="0"/>
          <w:numId w:val="12"/>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What is the correct standard of review?</w:t>
      </w:r>
    </w:p>
    <w:p w14:paraId="38259C84" w14:textId="77777777" w:rsidR="00D10C94" w:rsidRPr="00D10C94" w:rsidRDefault="00D10C94" w:rsidP="007547E4">
      <w:pPr>
        <w:pStyle w:val="ListParagraph"/>
        <w:numPr>
          <w:ilvl w:val="0"/>
          <w:numId w:val="12"/>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Whether the Minister failed to consider the same factors the SRRB considered, as required by s. 13.8.25 of the </w:t>
      </w:r>
      <w:proofErr w:type="gramStart"/>
      <w:r w:rsidRPr="00D10C94">
        <w:rPr>
          <w:rFonts w:ascii="Times New Roman" w:hAnsi="Times New Roman" w:cs="Times New Roman"/>
          <w:sz w:val="28"/>
          <w:szCs w:val="28"/>
          <w:lang w:val="en-US"/>
        </w:rPr>
        <w:t>Treaty;</w:t>
      </w:r>
      <w:proofErr w:type="gramEnd"/>
    </w:p>
    <w:p w14:paraId="0C62ADA1" w14:textId="77777777" w:rsidR="00D10C94" w:rsidRPr="00D10C94" w:rsidRDefault="00D10C94" w:rsidP="007547E4">
      <w:pPr>
        <w:pStyle w:val="ListParagraph"/>
        <w:numPr>
          <w:ilvl w:val="0"/>
          <w:numId w:val="12"/>
        </w:numPr>
        <w:spacing w:after="240" w:line="240" w:lineRule="auto"/>
        <w:contextualSpacing w:val="0"/>
        <w:jc w:val="both"/>
        <w:rPr>
          <w:rFonts w:ascii="Times New Roman" w:hAnsi="Times New Roman" w:cs="Times New Roman"/>
          <w:sz w:val="28"/>
          <w:szCs w:val="28"/>
          <w:lang w:val="en-US"/>
        </w:rPr>
      </w:pPr>
      <w:bookmarkStart w:id="2" w:name="_Hlk127910905"/>
      <w:r w:rsidRPr="00D10C94">
        <w:rPr>
          <w:rFonts w:ascii="Times New Roman" w:hAnsi="Times New Roman" w:cs="Times New Roman"/>
          <w:sz w:val="28"/>
          <w:szCs w:val="28"/>
          <w:lang w:val="en-US"/>
        </w:rPr>
        <w:t xml:space="preserve">Whether the Minister had the jurisdiction under the Treaty to accept the SRRBs request to defer the decision-making </w:t>
      </w:r>
      <w:proofErr w:type="gramStart"/>
      <w:r w:rsidRPr="00D10C94">
        <w:rPr>
          <w:rFonts w:ascii="Times New Roman" w:hAnsi="Times New Roman" w:cs="Times New Roman"/>
          <w:sz w:val="28"/>
          <w:szCs w:val="28"/>
          <w:lang w:val="en-US"/>
        </w:rPr>
        <w:t>process;</w:t>
      </w:r>
      <w:proofErr w:type="gramEnd"/>
    </w:p>
    <w:bookmarkEnd w:id="2"/>
    <w:p w14:paraId="1345A65B" w14:textId="6450F5AF" w:rsidR="00D10C94" w:rsidRPr="00D10C94" w:rsidRDefault="00D10C94" w:rsidP="007547E4">
      <w:pPr>
        <w:pStyle w:val="ListParagraph"/>
        <w:numPr>
          <w:ilvl w:val="0"/>
          <w:numId w:val="12"/>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Whether the Minister’s Final Decision to vary Recommendation </w:t>
      </w:r>
      <w:proofErr w:type="gramStart"/>
      <w:r w:rsidRPr="00D10C94">
        <w:rPr>
          <w:rFonts w:ascii="Times New Roman" w:hAnsi="Times New Roman" w:cs="Times New Roman"/>
          <w:sz w:val="28"/>
          <w:szCs w:val="28"/>
          <w:lang w:val="en-US"/>
        </w:rPr>
        <w:t>4.1  is</w:t>
      </w:r>
      <w:proofErr w:type="gramEnd"/>
      <w:r w:rsidRPr="00D10C94">
        <w:rPr>
          <w:rFonts w:ascii="Times New Roman" w:hAnsi="Times New Roman" w:cs="Times New Roman"/>
          <w:sz w:val="28"/>
          <w:szCs w:val="28"/>
          <w:lang w:val="en-US"/>
        </w:rPr>
        <w:t xml:space="preserve"> supported by the Treaty;</w:t>
      </w:r>
    </w:p>
    <w:p w14:paraId="6EDFC16F" w14:textId="7655D914" w:rsidR="008671B4" w:rsidRPr="008671B4" w:rsidRDefault="00D10C94" w:rsidP="008671B4">
      <w:pPr>
        <w:pStyle w:val="ListParagraph"/>
        <w:numPr>
          <w:ilvl w:val="0"/>
          <w:numId w:val="12"/>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Whether the Minister’s Final Decision to vary Decision 6.1 is supported by the Treaty.</w:t>
      </w:r>
    </w:p>
    <w:p w14:paraId="3392C988" w14:textId="77777777" w:rsidR="00D10C94" w:rsidRDefault="00D10C94" w:rsidP="00CC5305">
      <w:pPr>
        <w:pStyle w:val="ListParagraph"/>
        <w:numPr>
          <w:ilvl w:val="0"/>
          <w:numId w:val="36"/>
        </w:numPr>
        <w:spacing w:before="240" w:after="240" w:line="240" w:lineRule="auto"/>
        <w:contextualSpacing w:val="0"/>
        <w:jc w:val="both"/>
        <w:rPr>
          <w:rFonts w:ascii="Times New Roman" w:hAnsi="Times New Roman" w:cs="Times New Roman"/>
          <w:i/>
          <w:iCs/>
          <w:sz w:val="28"/>
          <w:szCs w:val="28"/>
          <w:u w:val="single"/>
          <w:lang w:val="en-US"/>
        </w:rPr>
      </w:pPr>
      <w:r w:rsidRPr="00D10C94">
        <w:rPr>
          <w:rFonts w:ascii="Times New Roman" w:hAnsi="Times New Roman" w:cs="Times New Roman"/>
          <w:i/>
          <w:iCs/>
          <w:sz w:val="28"/>
          <w:szCs w:val="28"/>
          <w:u w:val="single"/>
          <w:lang w:val="en-US"/>
        </w:rPr>
        <w:t>Standard of Review</w:t>
      </w:r>
    </w:p>
    <w:p w14:paraId="214A3742" w14:textId="51E98804" w:rsidR="00D10C94" w:rsidRPr="00D10C94" w:rsidRDefault="00D10C94" w:rsidP="00ED780F">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lastRenderedPageBreak/>
        <w:t xml:space="preserve">The Applicants and Intervener, SRRB, hold the position </w:t>
      </w:r>
      <w:r w:rsidR="004D2EE6">
        <w:rPr>
          <w:rFonts w:ascii="Times New Roman" w:hAnsi="Times New Roman" w:cs="Times New Roman"/>
          <w:sz w:val="28"/>
          <w:szCs w:val="28"/>
          <w:lang w:val="en-US"/>
        </w:rPr>
        <w:t xml:space="preserve">that </w:t>
      </w:r>
      <w:r w:rsidRPr="00D10C94">
        <w:rPr>
          <w:rFonts w:ascii="Times New Roman" w:hAnsi="Times New Roman" w:cs="Times New Roman"/>
          <w:sz w:val="28"/>
          <w:szCs w:val="28"/>
          <w:lang w:val="en-US"/>
        </w:rPr>
        <w:t>since this matter involves constitutional rights and jurisdictional boundaries between administrative bodies, judicial review of the Minister’s Decision is subject to a correctness standard of review.</w:t>
      </w:r>
    </w:p>
    <w:p w14:paraId="37369214" w14:textId="49A6ED3A" w:rsidR="00D10C94" w:rsidRPr="00D10C94" w:rsidRDefault="00D10C94" w:rsidP="00ED780F">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Respondents agree that </w:t>
      </w:r>
      <w:r w:rsidR="00632B9E">
        <w:rPr>
          <w:rFonts w:ascii="Times New Roman" w:hAnsi="Times New Roman" w:cs="Times New Roman"/>
          <w:sz w:val="28"/>
          <w:szCs w:val="28"/>
          <w:lang w:val="en-US"/>
        </w:rPr>
        <w:t>c</w:t>
      </w:r>
      <w:r w:rsidRPr="00D10C94">
        <w:rPr>
          <w:rFonts w:ascii="Times New Roman" w:hAnsi="Times New Roman" w:cs="Times New Roman"/>
          <w:sz w:val="28"/>
          <w:szCs w:val="28"/>
          <w:lang w:val="en-US"/>
        </w:rPr>
        <w:t xml:space="preserve">orrectness is the standard of review for issues such as treaty interpretation and the scope of Aboriginal and treaty rights, but reasonableness, the Respondents argue, is the standard of review for extricable findings of fact made by the Minister. </w:t>
      </w:r>
    </w:p>
    <w:p w14:paraId="438EDE76" w14:textId="19241D5E" w:rsidR="00D10C94" w:rsidRPr="00D10C94" w:rsidRDefault="00D10C94" w:rsidP="00ED780F">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Respondents rely upon </w:t>
      </w:r>
      <w:proofErr w:type="spellStart"/>
      <w:r w:rsidRPr="00D10C94">
        <w:rPr>
          <w:rFonts w:ascii="Times New Roman" w:hAnsi="Times New Roman" w:cs="Times New Roman"/>
          <w:i/>
          <w:iCs/>
          <w:sz w:val="28"/>
          <w:szCs w:val="28"/>
        </w:rPr>
        <w:t>Makivik</w:t>
      </w:r>
      <w:proofErr w:type="spellEnd"/>
      <w:r w:rsidRPr="00D10C94">
        <w:rPr>
          <w:rFonts w:ascii="Times New Roman" w:hAnsi="Times New Roman" w:cs="Times New Roman"/>
          <w:i/>
          <w:iCs/>
          <w:sz w:val="28"/>
          <w:szCs w:val="28"/>
        </w:rPr>
        <w:t xml:space="preserve"> Corporation v Canada </w:t>
      </w:r>
      <w:r w:rsidR="00E7213F" w:rsidRPr="00820028">
        <w:rPr>
          <w:rFonts w:ascii="Times New Roman" w:hAnsi="Times New Roman" w:cs="Times New Roman"/>
          <w:i/>
          <w:iCs/>
          <w:sz w:val="28"/>
          <w:szCs w:val="28"/>
        </w:rPr>
        <w:t>(</w:t>
      </w:r>
      <w:r w:rsidRPr="00820028">
        <w:rPr>
          <w:rFonts w:ascii="Times New Roman" w:hAnsi="Times New Roman" w:cs="Times New Roman"/>
          <w:i/>
          <w:iCs/>
          <w:sz w:val="28"/>
          <w:szCs w:val="28"/>
        </w:rPr>
        <w:t>Attorney</w:t>
      </w:r>
      <w:r w:rsidRPr="00D10C94">
        <w:rPr>
          <w:rFonts w:ascii="Times New Roman" w:hAnsi="Times New Roman" w:cs="Times New Roman"/>
          <w:i/>
          <w:iCs/>
          <w:sz w:val="28"/>
          <w:szCs w:val="28"/>
        </w:rPr>
        <w:t xml:space="preserve"> </w:t>
      </w:r>
      <w:r w:rsidRPr="00820028">
        <w:rPr>
          <w:rFonts w:ascii="Times New Roman" w:hAnsi="Times New Roman" w:cs="Times New Roman"/>
          <w:i/>
          <w:iCs/>
          <w:sz w:val="28"/>
          <w:szCs w:val="28"/>
        </w:rPr>
        <w:t>General</w:t>
      </w:r>
      <w:r w:rsidR="00E7213F">
        <w:rPr>
          <w:rFonts w:ascii="Times New Roman" w:hAnsi="Times New Roman" w:cs="Times New Roman"/>
          <w:i/>
          <w:iCs/>
          <w:sz w:val="28"/>
          <w:szCs w:val="28"/>
        </w:rPr>
        <w:t>)</w:t>
      </w:r>
      <w:r w:rsidRPr="00D10C94">
        <w:rPr>
          <w:rFonts w:ascii="Times New Roman" w:hAnsi="Times New Roman" w:cs="Times New Roman"/>
          <w:i/>
          <w:iCs/>
          <w:sz w:val="28"/>
          <w:szCs w:val="28"/>
        </w:rPr>
        <w:t xml:space="preserve">, </w:t>
      </w:r>
      <w:hyperlink r:id="rId12" w:history="1">
        <w:r w:rsidRPr="00A77448">
          <w:rPr>
            <w:rStyle w:val="Hyperlink"/>
            <w:rFonts w:ascii="Times New Roman" w:hAnsi="Times New Roman" w:cs="Times New Roman"/>
            <w:color w:val="auto"/>
            <w:sz w:val="28"/>
            <w:szCs w:val="28"/>
            <w:u w:val="none"/>
          </w:rPr>
          <w:t>2021 FCA 184</w:t>
        </w:r>
      </w:hyperlink>
      <w:r w:rsidRPr="00D10C94">
        <w:rPr>
          <w:rFonts w:ascii="Times New Roman" w:hAnsi="Times New Roman" w:cs="Times New Roman"/>
          <w:sz w:val="28"/>
          <w:szCs w:val="28"/>
        </w:rPr>
        <w:t xml:space="preserve"> for the proposition that extricable findings of fact may be separable from the broader issue(s). In that case, the Federal Court of Appeal state</w:t>
      </w:r>
      <w:r w:rsidR="004D2EE6">
        <w:rPr>
          <w:rFonts w:ascii="Times New Roman" w:hAnsi="Times New Roman" w:cs="Times New Roman"/>
          <w:sz w:val="28"/>
          <w:szCs w:val="28"/>
        </w:rPr>
        <w:t>d</w:t>
      </w:r>
      <w:r w:rsidRPr="00D10C94">
        <w:rPr>
          <w:rFonts w:ascii="Times New Roman" w:hAnsi="Times New Roman" w:cs="Times New Roman"/>
          <w:sz w:val="28"/>
          <w:szCs w:val="28"/>
        </w:rPr>
        <w:t xml:space="preserve">, at para </w:t>
      </w:r>
      <w:hyperlink r:id="rId13" w:anchor="par82" w:history="1">
        <w:r w:rsidRPr="00A77448">
          <w:rPr>
            <w:rStyle w:val="Hyperlink"/>
            <w:rFonts w:ascii="Times New Roman" w:hAnsi="Times New Roman" w:cs="Times New Roman"/>
            <w:color w:val="auto"/>
            <w:sz w:val="28"/>
            <w:szCs w:val="28"/>
            <w:u w:val="none"/>
          </w:rPr>
          <w:t>82</w:t>
        </w:r>
      </w:hyperlink>
      <w:r w:rsidRPr="00D10C94">
        <w:rPr>
          <w:rFonts w:ascii="Times New Roman" w:hAnsi="Times New Roman" w:cs="Times New Roman"/>
          <w:sz w:val="28"/>
          <w:szCs w:val="28"/>
        </w:rPr>
        <w:t>:</w:t>
      </w:r>
    </w:p>
    <w:p w14:paraId="5AF91C7F" w14:textId="77777777" w:rsidR="00D10C94" w:rsidRPr="00893B95" w:rsidRDefault="00D10C94" w:rsidP="00893B95">
      <w:pPr>
        <w:pStyle w:val="ListParagraph"/>
        <w:spacing w:after="240" w:line="240" w:lineRule="auto"/>
        <w:ind w:left="567" w:right="571"/>
        <w:contextualSpacing w:val="0"/>
        <w:jc w:val="both"/>
        <w:rPr>
          <w:rFonts w:ascii="Times New Roman" w:hAnsi="Times New Roman" w:cs="Times New Roman"/>
          <w:sz w:val="24"/>
          <w:szCs w:val="24"/>
          <w:lang w:val="en-US"/>
        </w:rPr>
      </w:pPr>
      <w:r w:rsidRPr="00893B95">
        <w:rPr>
          <w:rFonts w:ascii="Times New Roman" w:hAnsi="Times New Roman" w:cs="Times New Roman"/>
          <w:sz w:val="24"/>
          <w:szCs w:val="24"/>
          <w:lang w:val="en-US"/>
        </w:rPr>
        <w:t xml:space="preserve">Before leaving the subject of the standard of review of the Minister’s decision, I should signal one important qualification to my conclusion that issues of treaty interpretation and scope are reviewable on the correctness standard. Prior to </w:t>
      </w:r>
      <w:r w:rsidRPr="00632B9E">
        <w:rPr>
          <w:rFonts w:ascii="Times New Roman" w:hAnsi="Times New Roman" w:cs="Times New Roman"/>
          <w:i/>
          <w:iCs/>
          <w:sz w:val="24"/>
          <w:szCs w:val="24"/>
          <w:lang w:val="en-US"/>
        </w:rPr>
        <w:t>Vavilov</w:t>
      </w:r>
      <w:r w:rsidRPr="00893B95">
        <w:rPr>
          <w:rFonts w:ascii="Times New Roman" w:hAnsi="Times New Roman" w:cs="Times New Roman"/>
          <w:sz w:val="24"/>
          <w:szCs w:val="24"/>
          <w:lang w:val="en-US"/>
        </w:rPr>
        <w:t xml:space="preserve">, it had been recognized that, while questions of constitutional interpretation were reviewable for correctness, any extricable findings of fact, and the assessment of the evidence on which the constitutional analysis was premised, were entitled to deference, and were therefore reviewable for reasonableness…. </w:t>
      </w:r>
      <w:r w:rsidRPr="00632B9E">
        <w:rPr>
          <w:rFonts w:ascii="Times New Roman" w:hAnsi="Times New Roman" w:cs="Times New Roman"/>
          <w:i/>
          <w:iCs/>
          <w:sz w:val="24"/>
          <w:szCs w:val="24"/>
          <w:lang w:val="en-US"/>
        </w:rPr>
        <w:t xml:space="preserve">Vavilov </w:t>
      </w:r>
      <w:r w:rsidRPr="00893B95">
        <w:rPr>
          <w:rFonts w:ascii="Times New Roman" w:hAnsi="Times New Roman" w:cs="Times New Roman"/>
          <w:sz w:val="24"/>
          <w:szCs w:val="24"/>
          <w:lang w:val="en-US"/>
        </w:rPr>
        <w:t>has not affected this position…</w:t>
      </w:r>
    </w:p>
    <w:p w14:paraId="702A568E" w14:textId="77777777" w:rsidR="00D10C94" w:rsidRPr="00D10C94" w:rsidRDefault="00D10C94" w:rsidP="00893B95">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The Respondents further assert the Minister’s decision was reasonable, being based on findings of fact about the status and importance of the Herd and the need for the TAH to remain in place for conservation purposes.</w:t>
      </w:r>
    </w:p>
    <w:p w14:paraId="23476BDD" w14:textId="5080F5AF" w:rsidR="00D10C94" w:rsidRPr="00D10C94" w:rsidRDefault="00D10C94" w:rsidP="00893B95">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In determining the TAH needed to remain in place because the status of the Herd had not improved</w:t>
      </w:r>
      <w:r w:rsidR="004D2EE6">
        <w:rPr>
          <w:rFonts w:ascii="Times New Roman" w:hAnsi="Times New Roman" w:cs="Times New Roman"/>
          <w:sz w:val="28"/>
          <w:szCs w:val="28"/>
          <w:lang w:val="en-US"/>
        </w:rPr>
        <w:t>,</w:t>
      </w:r>
      <w:r w:rsidRPr="00D10C94">
        <w:rPr>
          <w:rFonts w:ascii="Times New Roman" w:hAnsi="Times New Roman" w:cs="Times New Roman"/>
          <w:sz w:val="28"/>
          <w:szCs w:val="28"/>
          <w:lang w:val="en-US"/>
        </w:rPr>
        <w:t xml:space="preserve"> the Minister’s Initial Decision explained:</w:t>
      </w:r>
    </w:p>
    <w:p w14:paraId="0601D4E1" w14:textId="77777777" w:rsidR="00D10C94" w:rsidRPr="00052BF6" w:rsidRDefault="00D10C94" w:rsidP="00052BF6">
      <w:pPr>
        <w:pStyle w:val="ListParagraph"/>
        <w:spacing w:after="240" w:line="240" w:lineRule="auto"/>
        <w:ind w:left="567" w:right="571"/>
        <w:contextualSpacing w:val="0"/>
        <w:jc w:val="both"/>
        <w:rPr>
          <w:rFonts w:ascii="Times New Roman" w:hAnsi="Times New Roman" w:cs="Times New Roman"/>
          <w:sz w:val="24"/>
          <w:szCs w:val="24"/>
          <w:lang w:val="en-US"/>
        </w:rPr>
      </w:pPr>
      <w:r w:rsidRPr="00052BF6">
        <w:rPr>
          <w:rFonts w:ascii="Times New Roman" w:hAnsi="Times New Roman" w:cs="Times New Roman"/>
          <w:sz w:val="24"/>
          <w:szCs w:val="24"/>
          <w:lang w:val="en-US"/>
        </w:rPr>
        <w:t>The status of the caribou herd has not improved since the Minister of ENR accepted the SRRB decision to impose a total allowable harvest (TAH) on the Caribou herd in 2008.</w:t>
      </w:r>
    </w:p>
    <w:p w14:paraId="0F507C2E" w14:textId="77777777" w:rsidR="00D10C94" w:rsidRPr="00052BF6" w:rsidRDefault="00D10C94" w:rsidP="00052BF6">
      <w:pPr>
        <w:pStyle w:val="ListParagraph"/>
        <w:spacing w:after="240" w:line="240" w:lineRule="auto"/>
        <w:ind w:left="567" w:right="571"/>
        <w:contextualSpacing w:val="0"/>
        <w:jc w:val="both"/>
        <w:rPr>
          <w:rFonts w:ascii="Times New Roman" w:hAnsi="Times New Roman" w:cs="Times New Roman"/>
          <w:sz w:val="24"/>
          <w:szCs w:val="24"/>
          <w:lang w:val="en-US"/>
        </w:rPr>
      </w:pPr>
      <w:r w:rsidRPr="00052BF6">
        <w:rPr>
          <w:rFonts w:ascii="Times New Roman" w:hAnsi="Times New Roman" w:cs="Times New Roman"/>
          <w:sz w:val="24"/>
          <w:szCs w:val="24"/>
          <w:lang w:val="en-US"/>
        </w:rPr>
        <w:tab/>
      </w:r>
      <w:r w:rsidRPr="00052BF6">
        <w:rPr>
          <w:rFonts w:ascii="Times New Roman" w:hAnsi="Times New Roman" w:cs="Times New Roman"/>
          <w:sz w:val="24"/>
          <w:szCs w:val="24"/>
          <w:lang w:val="en-US"/>
        </w:rPr>
        <w:tab/>
      </w:r>
      <w:r w:rsidRPr="00052BF6">
        <w:rPr>
          <w:rFonts w:ascii="Times New Roman" w:hAnsi="Times New Roman" w:cs="Times New Roman"/>
          <w:sz w:val="24"/>
          <w:szCs w:val="24"/>
          <w:lang w:val="en-US"/>
        </w:rPr>
        <w:tab/>
        <w:t>…</w:t>
      </w:r>
    </w:p>
    <w:p w14:paraId="1DB8AC48" w14:textId="77777777" w:rsidR="00D10C94" w:rsidRPr="00D10C94" w:rsidRDefault="00D10C94" w:rsidP="00052BF6">
      <w:pPr>
        <w:pStyle w:val="ListParagraph"/>
        <w:spacing w:after="240" w:line="240" w:lineRule="auto"/>
        <w:ind w:left="567" w:right="571"/>
        <w:contextualSpacing w:val="0"/>
        <w:jc w:val="both"/>
        <w:rPr>
          <w:rFonts w:ascii="Times New Roman" w:hAnsi="Times New Roman" w:cs="Times New Roman"/>
          <w:sz w:val="28"/>
          <w:szCs w:val="28"/>
          <w:lang w:val="en-US"/>
        </w:rPr>
      </w:pPr>
      <w:r w:rsidRPr="00052BF6">
        <w:rPr>
          <w:rFonts w:ascii="Times New Roman" w:hAnsi="Times New Roman" w:cs="Times New Roman"/>
          <w:sz w:val="24"/>
          <w:szCs w:val="24"/>
          <w:lang w:val="en-US"/>
        </w:rPr>
        <w:t>At the latest ACCWM herd status meeting, the SRRB agreed to the caribou herd being in the orange zone, which means that it is recommended that there be a mandatory limit on subsistence harvest based on a TAH accepted by the ACCWM. It is important that this conservation measure be applied at a herd-wide level, with the approach for the caribou herd taken within the Sahtu Settlement Area for the caribou herd consistent with parts of the herd’s range in other land claim areas</w:t>
      </w:r>
      <w:r w:rsidRPr="00D10C94">
        <w:rPr>
          <w:rFonts w:ascii="Times New Roman" w:hAnsi="Times New Roman" w:cs="Times New Roman"/>
          <w:sz w:val="28"/>
          <w:szCs w:val="28"/>
          <w:lang w:val="en-US"/>
        </w:rPr>
        <w:t>.</w:t>
      </w:r>
    </w:p>
    <w:p w14:paraId="728992C0" w14:textId="2807AF88" w:rsidR="00D10C94" w:rsidRPr="00D10C94" w:rsidRDefault="00D10C94" w:rsidP="00052BF6">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lastRenderedPageBreak/>
        <w:t xml:space="preserve">The Respondents assert these were factual findings of the Minister informed by the precautionary principle, </w:t>
      </w:r>
      <w:r w:rsidR="004D2EE6">
        <w:rPr>
          <w:rFonts w:ascii="Times New Roman" w:hAnsi="Times New Roman" w:cs="Times New Roman"/>
          <w:sz w:val="28"/>
          <w:szCs w:val="28"/>
          <w:lang w:val="en-US"/>
        </w:rPr>
        <w:t>and as such</w:t>
      </w:r>
      <w:r w:rsidRPr="00D10C94">
        <w:rPr>
          <w:rFonts w:ascii="Times New Roman" w:hAnsi="Times New Roman" w:cs="Times New Roman"/>
          <w:sz w:val="28"/>
          <w:szCs w:val="28"/>
          <w:lang w:val="en-US"/>
        </w:rPr>
        <w:t xml:space="preserve"> must be given deference and reviewed on a reasonableness standard.</w:t>
      </w:r>
    </w:p>
    <w:p w14:paraId="22CFC670" w14:textId="21F2EB2E" w:rsidR="00D10C94" w:rsidRPr="00D10C94" w:rsidRDefault="00D10C94" w:rsidP="00052BF6">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Applicants </w:t>
      </w:r>
      <w:r w:rsidR="007E047D">
        <w:rPr>
          <w:rFonts w:ascii="Times New Roman" w:hAnsi="Times New Roman" w:cs="Times New Roman"/>
          <w:sz w:val="28"/>
          <w:szCs w:val="28"/>
          <w:lang w:val="en-US"/>
        </w:rPr>
        <w:t>r</w:t>
      </w:r>
      <w:r w:rsidRPr="00D10C94">
        <w:rPr>
          <w:rFonts w:ascii="Times New Roman" w:hAnsi="Times New Roman" w:cs="Times New Roman"/>
          <w:sz w:val="28"/>
          <w:szCs w:val="28"/>
          <w:lang w:val="en-US"/>
        </w:rPr>
        <w:t xml:space="preserve">eply that the reasonableness standard should not apply, as the facts are not extricable but are so connected to the Minister’s reasons on the broader constitutional issues that they must also be subject to a correctness review. </w:t>
      </w:r>
    </w:p>
    <w:p w14:paraId="17FC85BD" w14:textId="07736889" w:rsidR="00D10C94" w:rsidRPr="00D10C94" w:rsidRDefault="00D10C94" w:rsidP="00052BF6">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052BF6">
        <w:rPr>
          <w:rFonts w:ascii="Times New Roman" w:hAnsi="Times New Roman" w:cs="Times New Roman"/>
          <w:sz w:val="28"/>
          <w:szCs w:val="28"/>
          <w:lang w:val="en-US"/>
        </w:rPr>
        <w:t>In</w:t>
      </w:r>
      <w:r w:rsidRPr="00D10C94">
        <w:rPr>
          <w:rFonts w:ascii="Times New Roman" w:hAnsi="Times New Roman" w:cs="Times New Roman"/>
          <w:sz w:val="28"/>
          <w:szCs w:val="28"/>
        </w:rPr>
        <w:t xml:space="preserve"> sum, the parties are in general agreement that the applicable standard of review for constitutional questions is correctness. </w:t>
      </w:r>
      <w:r w:rsidR="008A61F7">
        <w:rPr>
          <w:rFonts w:ascii="Times New Roman" w:hAnsi="Times New Roman" w:cs="Times New Roman"/>
          <w:sz w:val="28"/>
          <w:szCs w:val="28"/>
        </w:rPr>
        <w:t xml:space="preserve"> </w:t>
      </w:r>
      <w:r w:rsidRPr="00D10C94">
        <w:rPr>
          <w:rFonts w:ascii="Times New Roman" w:hAnsi="Times New Roman" w:cs="Times New Roman"/>
          <w:sz w:val="28"/>
          <w:szCs w:val="28"/>
        </w:rPr>
        <w:t xml:space="preserve">Though there is some dispute between the parties whether this matter involves jurisdictional boundaries as contemplated in </w:t>
      </w:r>
      <w:r w:rsidRPr="00D10C94">
        <w:rPr>
          <w:rFonts w:ascii="Times New Roman" w:hAnsi="Times New Roman" w:cs="Times New Roman"/>
          <w:i/>
          <w:iCs/>
          <w:sz w:val="28"/>
          <w:szCs w:val="28"/>
        </w:rPr>
        <w:t xml:space="preserve">Canada </w:t>
      </w:r>
      <w:r w:rsidR="00336D15">
        <w:rPr>
          <w:rFonts w:ascii="Times New Roman" w:hAnsi="Times New Roman" w:cs="Times New Roman"/>
          <w:i/>
          <w:iCs/>
          <w:sz w:val="28"/>
          <w:szCs w:val="28"/>
        </w:rPr>
        <w:t>(</w:t>
      </w:r>
      <w:r w:rsidRPr="00D10C94">
        <w:rPr>
          <w:rFonts w:ascii="Times New Roman" w:hAnsi="Times New Roman" w:cs="Times New Roman"/>
          <w:i/>
          <w:iCs/>
          <w:sz w:val="28"/>
          <w:szCs w:val="28"/>
        </w:rPr>
        <w:t>Minister of Citizenship and Immigration</w:t>
      </w:r>
      <w:r w:rsidR="00336D15">
        <w:rPr>
          <w:rFonts w:ascii="Times New Roman" w:hAnsi="Times New Roman" w:cs="Times New Roman"/>
          <w:i/>
          <w:iCs/>
          <w:sz w:val="28"/>
          <w:szCs w:val="28"/>
        </w:rPr>
        <w:t>)</w:t>
      </w:r>
      <w:r w:rsidRPr="00D10C94">
        <w:rPr>
          <w:rFonts w:ascii="Times New Roman" w:hAnsi="Times New Roman" w:cs="Times New Roman"/>
          <w:i/>
          <w:iCs/>
          <w:sz w:val="28"/>
          <w:szCs w:val="28"/>
        </w:rPr>
        <w:t xml:space="preserve"> v Vavilov,</w:t>
      </w:r>
      <w:r w:rsidRPr="00D10C94">
        <w:rPr>
          <w:rFonts w:ascii="Times New Roman" w:hAnsi="Times New Roman" w:cs="Times New Roman"/>
          <w:sz w:val="28"/>
          <w:szCs w:val="28"/>
        </w:rPr>
        <w:t xml:space="preserve"> </w:t>
      </w:r>
      <w:hyperlink r:id="rId14" w:history="1">
        <w:r w:rsidRPr="00A77448">
          <w:rPr>
            <w:rStyle w:val="Hyperlink"/>
            <w:rFonts w:ascii="Times New Roman" w:hAnsi="Times New Roman" w:cs="Times New Roman"/>
            <w:color w:val="auto"/>
            <w:sz w:val="28"/>
            <w:szCs w:val="28"/>
            <w:u w:val="none"/>
          </w:rPr>
          <w:t>2019</w:t>
        </w:r>
        <w:r w:rsidRPr="00D10C94">
          <w:rPr>
            <w:rStyle w:val="Hyperlink"/>
            <w:rFonts w:ascii="Times New Roman" w:hAnsi="Times New Roman" w:cs="Times New Roman"/>
            <w:sz w:val="28"/>
            <w:szCs w:val="28"/>
          </w:rPr>
          <w:t xml:space="preserve"> </w:t>
        </w:r>
        <w:r w:rsidRPr="00A77448">
          <w:rPr>
            <w:rStyle w:val="Hyperlink"/>
            <w:rFonts w:ascii="Times New Roman" w:hAnsi="Times New Roman" w:cs="Times New Roman"/>
            <w:color w:val="auto"/>
            <w:sz w:val="28"/>
            <w:szCs w:val="28"/>
            <w:u w:val="none"/>
          </w:rPr>
          <w:t>SCC 65</w:t>
        </w:r>
      </w:hyperlink>
      <w:r w:rsidR="00013EA2">
        <w:rPr>
          <w:rStyle w:val="Hyperlink"/>
          <w:rFonts w:ascii="Times New Roman" w:hAnsi="Times New Roman" w:cs="Times New Roman"/>
          <w:color w:val="auto"/>
          <w:sz w:val="28"/>
          <w:szCs w:val="28"/>
          <w:u w:val="none"/>
        </w:rPr>
        <w:t xml:space="preserve">, </w:t>
      </w:r>
      <w:r w:rsidRPr="00D10C94">
        <w:rPr>
          <w:rFonts w:ascii="Times New Roman" w:hAnsi="Times New Roman" w:cs="Times New Roman"/>
          <w:sz w:val="28"/>
          <w:szCs w:val="28"/>
        </w:rPr>
        <w:t xml:space="preserve">there does not appear to be any true dispute that the correctness standard applies by virtue of the constitutional dimensions of this matter. </w:t>
      </w:r>
      <w:r w:rsidR="008A61F7">
        <w:rPr>
          <w:rFonts w:ascii="Times New Roman" w:hAnsi="Times New Roman" w:cs="Times New Roman"/>
          <w:sz w:val="28"/>
          <w:szCs w:val="28"/>
        </w:rPr>
        <w:t xml:space="preserve"> </w:t>
      </w:r>
      <w:r w:rsidRPr="00D10C94">
        <w:rPr>
          <w:rFonts w:ascii="Times New Roman" w:hAnsi="Times New Roman" w:cs="Times New Roman"/>
          <w:sz w:val="28"/>
          <w:szCs w:val="28"/>
        </w:rPr>
        <w:t xml:space="preserve">To the extent that there is a dispute on this issue, I find that jurisdictional disputes as between the co-managing partners must be assessed on a standard of correctness, as their co-management involves treaty and constitutional issues.  </w:t>
      </w:r>
    </w:p>
    <w:p w14:paraId="4DA36F56" w14:textId="77777777" w:rsidR="00D10C94" w:rsidRPr="00D10C94" w:rsidRDefault="00D10C94" w:rsidP="00052BF6">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 xml:space="preserve">The unresolved review question is whether there are extricable findings of fact that ought to be reviewed on a reasonableness standard. </w:t>
      </w:r>
    </w:p>
    <w:p w14:paraId="11F3219E" w14:textId="77777777" w:rsidR="00D10C94" w:rsidRPr="00D10C94" w:rsidRDefault="00D10C94" w:rsidP="00052BF6">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In my view, if an error is alleged respecting a readily extricable finding of fact </w:t>
      </w:r>
      <w:r w:rsidRPr="00052BF6">
        <w:rPr>
          <w:rFonts w:ascii="Times New Roman" w:hAnsi="Times New Roman" w:cs="Times New Roman"/>
          <w:sz w:val="28"/>
          <w:szCs w:val="28"/>
        </w:rPr>
        <w:t>or</w:t>
      </w:r>
      <w:r w:rsidRPr="00D10C94">
        <w:rPr>
          <w:rFonts w:ascii="Times New Roman" w:hAnsi="Times New Roman" w:cs="Times New Roman"/>
          <w:sz w:val="28"/>
          <w:szCs w:val="28"/>
          <w:lang w:val="en-US"/>
        </w:rPr>
        <w:t xml:space="preserve"> law underlying a discretionary decision, this will call for a two-step analysis:  </w:t>
      </w:r>
    </w:p>
    <w:p w14:paraId="375D690A" w14:textId="77777777" w:rsidR="00D10C94" w:rsidRPr="00D10C94" w:rsidRDefault="00D10C94" w:rsidP="007547E4">
      <w:pPr>
        <w:pStyle w:val="ListParagraph"/>
        <w:numPr>
          <w:ilvl w:val="0"/>
          <w:numId w:val="37"/>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readily extricable finding will be reviewed on the standard applicable to the issues of fact or law; and </w:t>
      </w:r>
    </w:p>
    <w:p w14:paraId="159378C8" w14:textId="3BC2E243" w:rsidR="00D10C94" w:rsidRPr="00D10C94" w:rsidRDefault="00D10C94" w:rsidP="007547E4">
      <w:pPr>
        <w:pStyle w:val="ListParagraph"/>
        <w:numPr>
          <w:ilvl w:val="0"/>
          <w:numId w:val="37"/>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if there is an error, the court will analyze the effect of that error on the exercise of discretion.  </w:t>
      </w:r>
    </w:p>
    <w:p w14:paraId="558D4375" w14:textId="3E6EEAEC" w:rsidR="00D10C94" w:rsidRPr="00D10C94" w:rsidRDefault="00D10C94" w:rsidP="00740CB9">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I agree with the Applicants that some of the Minister’s findings of fact are so well accepted and beyond dispute, that they can hardly be called ‘findings.’</w:t>
      </w:r>
      <w:r w:rsidR="00C00A27">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If facts are clearly uncontroversial or beyond reasonable dispute or so generally accepted as not to be subject to debate among reasonable persons, there is no sense in terming them ‘</w:t>
      </w:r>
      <w:proofErr w:type="gramStart"/>
      <w:r w:rsidRPr="00D10C94">
        <w:rPr>
          <w:rFonts w:ascii="Times New Roman" w:hAnsi="Times New Roman" w:cs="Times New Roman"/>
          <w:sz w:val="28"/>
          <w:szCs w:val="28"/>
          <w:lang w:val="en-US"/>
        </w:rPr>
        <w:t>findings’</w:t>
      </w:r>
      <w:proofErr w:type="gramEnd"/>
      <w:r w:rsidRPr="00D10C94">
        <w:rPr>
          <w:rFonts w:ascii="Times New Roman" w:hAnsi="Times New Roman" w:cs="Times New Roman"/>
          <w:sz w:val="28"/>
          <w:szCs w:val="28"/>
          <w:lang w:val="en-US"/>
        </w:rPr>
        <w:t xml:space="preserve">. </w:t>
      </w:r>
    </w:p>
    <w:p w14:paraId="2761BF30" w14:textId="40373D9F" w:rsidR="00D10C94" w:rsidRPr="00D10C94" w:rsidRDefault="00D10C94" w:rsidP="00740CB9">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However, a distinction is evident in that the decision(s) of the Minister are informed by the facts and his reliance upon or the weight given to certain facts is in dispute. </w:t>
      </w:r>
      <w:r w:rsidR="00C00A27">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In this circumstance, even the undisputed facts must be regarded as</w:t>
      </w:r>
      <w:r w:rsidRPr="00D10C94">
        <w:rPr>
          <w:rFonts w:ascii="Times New Roman" w:hAnsi="Times New Roman" w:cs="Times New Roman"/>
          <w:i/>
          <w:iCs/>
          <w:sz w:val="28"/>
          <w:szCs w:val="28"/>
          <w:lang w:val="en-US"/>
        </w:rPr>
        <w:t xml:space="preserve"> findings</w:t>
      </w:r>
      <w:r w:rsidRPr="00D10C94">
        <w:rPr>
          <w:rFonts w:ascii="Times New Roman" w:hAnsi="Times New Roman" w:cs="Times New Roman"/>
          <w:sz w:val="28"/>
          <w:szCs w:val="28"/>
          <w:lang w:val="en-US"/>
        </w:rPr>
        <w:t xml:space="preserve">. </w:t>
      </w:r>
    </w:p>
    <w:p w14:paraId="6BF06C8D" w14:textId="2243C718" w:rsidR="00D10C94" w:rsidRPr="00D10C94" w:rsidRDefault="00D10C94" w:rsidP="00740CB9">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lastRenderedPageBreak/>
        <w:t xml:space="preserve">Given his role as the ultimate decision-maker under the Treaty, the Minister needed facts on which to base his decision. </w:t>
      </w:r>
      <w:r w:rsidR="00C00A27">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In furtherance of this, he made findings of fact. </w:t>
      </w:r>
    </w:p>
    <w:p w14:paraId="01814E72" w14:textId="77777777" w:rsidR="00D10C94" w:rsidRPr="00D10C94" w:rsidRDefault="00D10C94" w:rsidP="00740CB9">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With respect to the Applicants’ argument that the facts and the final decision are inextricably linked and thus must be assessed on the same standard of correctness, which is essentially a statement against parsing the standard of review, I disagree. </w:t>
      </w:r>
    </w:p>
    <w:p w14:paraId="58AB0A35" w14:textId="1D399E64" w:rsidR="00D10C94" w:rsidRPr="00740CB9" w:rsidRDefault="00D10C94" w:rsidP="00822664">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740CB9">
        <w:rPr>
          <w:rFonts w:ascii="Times New Roman" w:hAnsi="Times New Roman" w:cs="Times New Roman"/>
          <w:sz w:val="28"/>
          <w:szCs w:val="28"/>
          <w:lang w:val="en-US"/>
        </w:rPr>
        <w:t xml:space="preserve">In my view, the decision of the Minister to rely on evidence that the Herd requires protection for conservation and management purposes is a finding of fact based on evidence. </w:t>
      </w:r>
      <w:r w:rsidR="00C00A27">
        <w:rPr>
          <w:rFonts w:ascii="Times New Roman" w:hAnsi="Times New Roman" w:cs="Times New Roman"/>
          <w:sz w:val="28"/>
          <w:szCs w:val="28"/>
          <w:lang w:val="en-US"/>
        </w:rPr>
        <w:t xml:space="preserve"> </w:t>
      </w:r>
      <w:r w:rsidRPr="00740CB9">
        <w:rPr>
          <w:rFonts w:ascii="Times New Roman" w:hAnsi="Times New Roman" w:cs="Times New Roman"/>
          <w:sz w:val="28"/>
          <w:szCs w:val="28"/>
          <w:lang w:val="en-US"/>
        </w:rPr>
        <w:t xml:space="preserve">That the evidence the Herd requires protection is undisputed does not detract from the position that the Minister made a finding of fact based on the evidence. </w:t>
      </w:r>
    </w:p>
    <w:p w14:paraId="34B38632" w14:textId="6BFDC7E6" w:rsidR="00D10C94" w:rsidRPr="00D10C94" w:rsidRDefault="00D10C94" w:rsidP="00822664">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If a discretionary decision involves a finding of fact or law that is extricable, then the standards of review applicable to the extricable elements will be applied.</w:t>
      </w:r>
      <w:r w:rsidR="00C00A27">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w:t>
      </w:r>
      <w:r w:rsidRPr="00D10C94">
        <w:rPr>
          <w:rFonts w:ascii="Times New Roman" w:hAnsi="Times New Roman" w:cs="Times New Roman"/>
          <w:i/>
          <w:iCs/>
          <w:sz w:val="28"/>
          <w:szCs w:val="28"/>
        </w:rPr>
        <w:t xml:space="preserve">Morgan-Hung v British Columbia </w:t>
      </w:r>
      <w:r w:rsidR="00C74568">
        <w:rPr>
          <w:rFonts w:ascii="Times New Roman" w:hAnsi="Times New Roman" w:cs="Times New Roman"/>
          <w:i/>
          <w:iCs/>
          <w:sz w:val="28"/>
          <w:szCs w:val="28"/>
        </w:rPr>
        <w:t>(</w:t>
      </w:r>
      <w:r w:rsidRPr="00D10C94">
        <w:rPr>
          <w:rFonts w:ascii="Times New Roman" w:hAnsi="Times New Roman" w:cs="Times New Roman"/>
          <w:i/>
          <w:iCs/>
          <w:sz w:val="28"/>
          <w:szCs w:val="28"/>
        </w:rPr>
        <w:t>Human Rights Tribunal</w:t>
      </w:r>
      <w:r w:rsidR="00C74568">
        <w:rPr>
          <w:rFonts w:ascii="Times New Roman" w:hAnsi="Times New Roman" w:cs="Times New Roman"/>
          <w:i/>
          <w:iCs/>
          <w:sz w:val="28"/>
          <w:szCs w:val="28"/>
        </w:rPr>
        <w:t>)</w:t>
      </w:r>
      <w:r w:rsidRPr="00D10C94">
        <w:rPr>
          <w:rFonts w:ascii="Times New Roman" w:hAnsi="Times New Roman" w:cs="Times New Roman"/>
          <w:i/>
          <w:iCs/>
          <w:sz w:val="28"/>
          <w:szCs w:val="28"/>
        </w:rPr>
        <w:t>,</w:t>
      </w:r>
      <w:r w:rsidRPr="00D10C94">
        <w:rPr>
          <w:rFonts w:ascii="Times New Roman" w:hAnsi="Times New Roman" w:cs="Times New Roman"/>
          <w:sz w:val="28"/>
          <w:szCs w:val="28"/>
        </w:rPr>
        <w:t xml:space="preserve"> </w:t>
      </w:r>
      <w:hyperlink r:id="rId15" w:history="1">
        <w:r w:rsidRPr="00A77448">
          <w:rPr>
            <w:rStyle w:val="Hyperlink"/>
            <w:rFonts w:ascii="Times New Roman" w:hAnsi="Times New Roman" w:cs="Times New Roman"/>
            <w:color w:val="auto"/>
            <w:sz w:val="28"/>
            <w:szCs w:val="28"/>
            <w:u w:val="none"/>
          </w:rPr>
          <w:t>2011 BCCA 122</w:t>
        </w:r>
      </w:hyperlink>
      <w:r w:rsidRPr="00D10C94">
        <w:rPr>
          <w:rFonts w:ascii="Times New Roman" w:hAnsi="Times New Roman" w:cs="Times New Roman"/>
          <w:sz w:val="28"/>
          <w:szCs w:val="28"/>
        </w:rPr>
        <w:t xml:space="preserve">, at para </w:t>
      </w:r>
      <w:hyperlink r:id="rId16" w:anchor="par28" w:history="1">
        <w:r w:rsidRPr="00A77448">
          <w:rPr>
            <w:rStyle w:val="Hyperlink"/>
            <w:rFonts w:ascii="Times New Roman" w:hAnsi="Times New Roman" w:cs="Times New Roman"/>
            <w:color w:val="auto"/>
            <w:sz w:val="28"/>
            <w:szCs w:val="28"/>
            <w:u w:val="none"/>
          </w:rPr>
          <w:t>28</w:t>
        </w:r>
      </w:hyperlink>
      <w:r w:rsidRPr="00D10C94">
        <w:rPr>
          <w:rFonts w:ascii="Times New Roman" w:hAnsi="Times New Roman" w:cs="Times New Roman"/>
          <w:sz w:val="28"/>
          <w:szCs w:val="28"/>
          <w:lang w:val="en-US"/>
        </w:rPr>
        <w:t>.</w:t>
      </w:r>
    </w:p>
    <w:p w14:paraId="66300387" w14:textId="3AF81F5C" w:rsidR="00D10C94" w:rsidRPr="00D10C94" w:rsidRDefault="00D10C94" w:rsidP="00822664">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Though connected, this finding of fact is extricable from the broader question(s) of Treaty interpretation.</w:t>
      </w:r>
      <w:r w:rsidR="000161B2">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That the parties dispute how best to protect and conserve the Herd illustrates that the Minister made extricable findings of fact of the sort envisioned in </w:t>
      </w:r>
      <w:proofErr w:type="spellStart"/>
      <w:r w:rsidRPr="00D10C94">
        <w:rPr>
          <w:rFonts w:ascii="Times New Roman" w:hAnsi="Times New Roman" w:cs="Times New Roman"/>
          <w:i/>
          <w:iCs/>
          <w:sz w:val="28"/>
          <w:szCs w:val="28"/>
          <w:lang w:val="en-US"/>
        </w:rPr>
        <w:t>Makivik</w:t>
      </w:r>
      <w:proofErr w:type="spellEnd"/>
      <w:r w:rsidRPr="00D10C94">
        <w:rPr>
          <w:rFonts w:ascii="Times New Roman" w:hAnsi="Times New Roman" w:cs="Times New Roman"/>
          <w:sz w:val="28"/>
          <w:szCs w:val="28"/>
          <w:lang w:val="en-US"/>
        </w:rPr>
        <w:t>.</w:t>
      </w:r>
    </w:p>
    <w:p w14:paraId="5B044A4D" w14:textId="77777777" w:rsidR="00D10C94" w:rsidRPr="00D10C94" w:rsidRDefault="00D10C94" w:rsidP="00822664">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I endorse </w:t>
      </w:r>
      <w:proofErr w:type="spellStart"/>
      <w:r w:rsidRPr="00D10C94">
        <w:rPr>
          <w:rFonts w:ascii="Times New Roman" w:hAnsi="Times New Roman" w:cs="Times New Roman"/>
          <w:i/>
          <w:iCs/>
          <w:sz w:val="28"/>
          <w:szCs w:val="28"/>
          <w:lang w:val="en-US"/>
        </w:rPr>
        <w:t>Makivik</w:t>
      </w:r>
      <w:proofErr w:type="spellEnd"/>
      <w:r w:rsidRPr="00D10C94">
        <w:rPr>
          <w:rFonts w:ascii="Times New Roman" w:hAnsi="Times New Roman" w:cs="Times New Roman"/>
          <w:sz w:val="28"/>
          <w:szCs w:val="28"/>
          <w:lang w:val="en-US"/>
        </w:rPr>
        <w:t xml:space="preserve">, in which the Federal Court of Appeal asserts that </w:t>
      </w:r>
      <w:r w:rsidRPr="00D10C94">
        <w:rPr>
          <w:rFonts w:ascii="Times New Roman" w:hAnsi="Times New Roman" w:cs="Times New Roman"/>
          <w:i/>
          <w:iCs/>
          <w:sz w:val="28"/>
          <w:szCs w:val="28"/>
          <w:lang w:val="en-US"/>
        </w:rPr>
        <w:t xml:space="preserve">Vavilov </w:t>
      </w:r>
      <w:r w:rsidRPr="00D10C94">
        <w:rPr>
          <w:rFonts w:ascii="Times New Roman" w:hAnsi="Times New Roman" w:cs="Times New Roman"/>
          <w:sz w:val="28"/>
          <w:szCs w:val="28"/>
          <w:lang w:val="en-US"/>
        </w:rPr>
        <w:t>has not altered the pre-</w:t>
      </w:r>
      <w:r w:rsidRPr="00D10C94">
        <w:rPr>
          <w:rFonts w:ascii="Times New Roman" w:hAnsi="Times New Roman" w:cs="Times New Roman"/>
          <w:i/>
          <w:iCs/>
          <w:sz w:val="28"/>
          <w:szCs w:val="28"/>
          <w:lang w:val="en-US"/>
        </w:rPr>
        <w:t>Vavilov</w:t>
      </w:r>
      <w:r w:rsidRPr="00D10C94">
        <w:rPr>
          <w:rFonts w:ascii="Times New Roman" w:hAnsi="Times New Roman" w:cs="Times New Roman"/>
          <w:sz w:val="28"/>
          <w:szCs w:val="28"/>
          <w:lang w:val="en-US"/>
        </w:rPr>
        <w:t xml:space="preserve"> position that, </w:t>
      </w:r>
    </w:p>
    <w:p w14:paraId="4EA35A44" w14:textId="6304586F" w:rsidR="00D10C94" w:rsidRPr="001531A7" w:rsidRDefault="00D10C94" w:rsidP="001531A7">
      <w:pPr>
        <w:pStyle w:val="ListParagraph"/>
        <w:spacing w:after="240" w:line="240" w:lineRule="auto"/>
        <w:ind w:left="567" w:right="571"/>
        <w:contextualSpacing w:val="0"/>
        <w:jc w:val="both"/>
        <w:rPr>
          <w:rFonts w:ascii="Times New Roman" w:hAnsi="Times New Roman" w:cs="Times New Roman"/>
          <w:sz w:val="24"/>
          <w:szCs w:val="24"/>
          <w:lang w:val="en-US"/>
        </w:rPr>
      </w:pPr>
      <w:r w:rsidRPr="00D10C94">
        <w:rPr>
          <w:rFonts w:ascii="Times New Roman" w:hAnsi="Times New Roman" w:cs="Times New Roman"/>
          <w:sz w:val="28"/>
          <w:szCs w:val="28"/>
          <w:lang w:val="en-US"/>
        </w:rPr>
        <w:t>…</w:t>
      </w:r>
      <w:r w:rsidRPr="001531A7">
        <w:rPr>
          <w:rFonts w:ascii="Times New Roman" w:hAnsi="Times New Roman" w:cs="Times New Roman"/>
          <w:sz w:val="24"/>
          <w:szCs w:val="24"/>
          <w:lang w:val="en-US"/>
        </w:rPr>
        <w:t xml:space="preserve">questions of constitutional interpretation were reviewable for correctness, any extricable findings of fact, and the assessment of the evidence on which the constitutional analysis was premised, were entitled to deference, and were therefore reviewable for reasonableness… </w:t>
      </w:r>
      <w:proofErr w:type="spellStart"/>
      <w:r w:rsidRPr="001531A7">
        <w:rPr>
          <w:rFonts w:ascii="Times New Roman" w:hAnsi="Times New Roman" w:cs="Times New Roman"/>
          <w:i/>
          <w:iCs/>
          <w:sz w:val="24"/>
          <w:szCs w:val="24"/>
        </w:rPr>
        <w:t>Makivik</w:t>
      </w:r>
      <w:proofErr w:type="spellEnd"/>
      <w:r w:rsidRPr="001531A7">
        <w:rPr>
          <w:rFonts w:ascii="Times New Roman" w:hAnsi="Times New Roman" w:cs="Times New Roman"/>
          <w:sz w:val="24"/>
          <w:szCs w:val="24"/>
        </w:rPr>
        <w:t xml:space="preserve">, at para </w:t>
      </w:r>
      <w:hyperlink r:id="rId17" w:anchor="par82" w:history="1">
        <w:r w:rsidRPr="00A77448">
          <w:rPr>
            <w:rStyle w:val="Hyperlink"/>
            <w:rFonts w:ascii="Times New Roman" w:hAnsi="Times New Roman" w:cs="Times New Roman"/>
            <w:color w:val="auto"/>
            <w:sz w:val="24"/>
            <w:szCs w:val="24"/>
            <w:u w:val="none"/>
          </w:rPr>
          <w:t>82</w:t>
        </w:r>
      </w:hyperlink>
      <w:r w:rsidRPr="001531A7">
        <w:rPr>
          <w:rFonts w:ascii="Times New Roman" w:hAnsi="Times New Roman" w:cs="Times New Roman"/>
          <w:sz w:val="24"/>
          <w:szCs w:val="24"/>
          <w:lang w:val="en-US"/>
        </w:rPr>
        <w:t>.</w:t>
      </w:r>
    </w:p>
    <w:p w14:paraId="5DD7D956" w14:textId="3F39D63A"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Minister’s findings regarding the need for continued conservation and management measures can be considered independently of the decision the facts ultimately informed. </w:t>
      </w:r>
      <w:r w:rsidR="001C1005">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Therefore, in my view, these findings of fact are extricable. </w:t>
      </w:r>
      <w:r w:rsidR="001C1005">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As findings of fact that are properly separable from the decision itself, they are reviewable on a standard of reasonableness.</w:t>
      </w:r>
    </w:p>
    <w:p w14:paraId="3CB9A02B" w14:textId="57ECE02F"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Record indicated a TAH was warranted, and that the status of the herd had not changed from “orange” status. </w:t>
      </w:r>
    </w:p>
    <w:p w14:paraId="384268FD" w14:textId="43609839"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lastRenderedPageBreak/>
        <w:t xml:space="preserve">The Minister’s acceptance of these as facts does not require this court to look for additional justification of that decision, as the Minister was not legally obligated to give reasons for relying on these facts. </w:t>
      </w:r>
      <w:r w:rsidR="001C1005">
        <w:rPr>
          <w:rFonts w:ascii="Times New Roman" w:hAnsi="Times New Roman" w:cs="Times New Roman"/>
          <w:sz w:val="28"/>
          <w:szCs w:val="28"/>
          <w:lang w:val="en-US"/>
        </w:rPr>
        <w:t xml:space="preserve"> </w:t>
      </w:r>
      <w:r w:rsidRPr="00D10C94">
        <w:rPr>
          <w:rFonts w:ascii="Times New Roman" w:hAnsi="Times New Roman" w:cs="Times New Roman"/>
          <w:i/>
          <w:iCs/>
          <w:sz w:val="28"/>
          <w:szCs w:val="28"/>
        </w:rPr>
        <w:t>Vavilov,</w:t>
      </w:r>
      <w:r w:rsidRPr="00D10C94">
        <w:rPr>
          <w:rFonts w:ascii="Times New Roman" w:hAnsi="Times New Roman" w:cs="Times New Roman"/>
          <w:sz w:val="28"/>
          <w:szCs w:val="28"/>
        </w:rPr>
        <w:t xml:space="preserve"> at paras </w:t>
      </w:r>
      <w:hyperlink r:id="rId18" w:anchor="par136" w:history="1">
        <w:r w:rsidRPr="00A77448">
          <w:rPr>
            <w:rStyle w:val="Hyperlink"/>
            <w:rFonts w:ascii="Times New Roman" w:hAnsi="Times New Roman" w:cs="Times New Roman"/>
            <w:color w:val="auto"/>
            <w:sz w:val="28"/>
            <w:szCs w:val="28"/>
            <w:u w:val="none"/>
          </w:rPr>
          <w:t>136-138</w:t>
        </w:r>
      </w:hyperlink>
      <w:r w:rsidR="00324F1E">
        <w:rPr>
          <w:rFonts w:ascii="Times New Roman" w:hAnsi="Times New Roman" w:cs="Times New Roman"/>
          <w:sz w:val="28"/>
          <w:szCs w:val="28"/>
          <w:lang w:val="en-US"/>
        </w:rPr>
        <w:t>.</w:t>
      </w:r>
    </w:p>
    <w:p w14:paraId="66C283CE" w14:textId="77777777"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b/>
          <w:bCs/>
          <w:sz w:val="28"/>
          <w:szCs w:val="28"/>
          <w:lang w:val="en-US"/>
        </w:rPr>
      </w:pPr>
      <w:r w:rsidRPr="00D10C94">
        <w:rPr>
          <w:rFonts w:ascii="Times New Roman" w:hAnsi="Times New Roman" w:cs="Times New Roman"/>
          <w:sz w:val="28"/>
          <w:szCs w:val="28"/>
          <w:lang w:val="en-US"/>
        </w:rPr>
        <w:t>Based on the Record, the Minister’s decision was justified, intelligible and transparent and, therefore, reasonable.</w:t>
      </w:r>
    </w:p>
    <w:p w14:paraId="00D92E38" w14:textId="77777777" w:rsidR="00D10C94" w:rsidRPr="00D10C94" w:rsidRDefault="00D10C94" w:rsidP="007547E4">
      <w:pPr>
        <w:pStyle w:val="ListParagraph"/>
        <w:numPr>
          <w:ilvl w:val="0"/>
          <w:numId w:val="36"/>
        </w:numPr>
        <w:spacing w:after="240" w:line="240" w:lineRule="auto"/>
        <w:contextualSpacing w:val="0"/>
        <w:jc w:val="both"/>
        <w:rPr>
          <w:rFonts w:ascii="Times New Roman" w:hAnsi="Times New Roman" w:cs="Times New Roman"/>
          <w:i/>
          <w:iCs/>
          <w:sz w:val="28"/>
          <w:szCs w:val="28"/>
          <w:lang w:val="en-US"/>
        </w:rPr>
      </w:pPr>
      <w:r w:rsidRPr="00D10C94">
        <w:rPr>
          <w:rFonts w:ascii="Times New Roman" w:hAnsi="Times New Roman" w:cs="Times New Roman"/>
          <w:i/>
          <w:iCs/>
          <w:sz w:val="28"/>
          <w:szCs w:val="28"/>
          <w:u w:val="single"/>
          <w:lang w:val="en-US"/>
        </w:rPr>
        <w:t>Whether the Minister failed to consider the same factors as required by s. 13.8.25</w:t>
      </w:r>
    </w:p>
    <w:p w14:paraId="64C97955" w14:textId="77777777"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Applicants argue that s. 13.8.25 of the Treaty creates a constitutional obligation on the Minister to demonstrate in the Minister’s decision that he considered the same factors as the SRRB and his failure to so demonstrate indicates the Minister’s decision violates the </w:t>
      </w:r>
      <w:proofErr w:type="spellStart"/>
      <w:r w:rsidRPr="00D10C94">
        <w:rPr>
          <w:rFonts w:ascii="Times New Roman" w:hAnsi="Times New Roman" w:cs="Times New Roman"/>
          <w:sz w:val="28"/>
          <w:szCs w:val="28"/>
          <w:lang w:val="en-US"/>
        </w:rPr>
        <w:t>Honour</w:t>
      </w:r>
      <w:proofErr w:type="spellEnd"/>
      <w:r w:rsidRPr="00D10C94">
        <w:rPr>
          <w:rFonts w:ascii="Times New Roman" w:hAnsi="Times New Roman" w:cs="Times New Roman"/>
          <w:sz w:val="28"/>
          <w:szCs w:val="28"/>
          <w:lang w:val="en-US"/>
        </w:rPr>
        <w:t xml:space="preserve"> of the Crown and the Duty to Consult, which is formalized in s. 13.8.25 of the Treaty.</w:t>
      </w:r>
    </w:p>
    <w:p w14:paraId="2040AD2D" w14:textId="77777777"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Section 13.8.25 of the Treaty states:</w:t>
      </w:r>
    </w:p>
    <w:p w14:paraId="6C4059BB" w14:textId="77777777" w:rsidR="00D10C94" w:rsidRPr="001531A7" w:rsidRDefault="00D10C94" w:rsidP="001531A7">
      <w:pPr>
        <w:pStyle w:val="ListParagraph"/>
        <w:spacing w:after="240" w:line="240" w:lineRule="auto"/>
        <w:ind w:left="567" w:right="571"/>
        <w:contextualSpacing w:val="0"/>
        <w:jc w:val="both"/>
        <w:rPr>
          <w:rFonts w:ascii="Times New Roman" w:hAnsi="Times New Roman" w:cs="Times New Roman"/>
          <w:sz w:val="24"/>
          <w:szCs w:val="24"/>
          <w:lang w:val="en-US"/>
        </w:rPr>
      </w:pPr>
      <w:r w:rsidRPr="001531A7">
        <w:rPr>
          <w:rFonts w:ascii="Times New Roman" w:hAnsi="Times New Roman" w:cs="Times New Roman"/>
          <w:sz w:val="24"/>
          <w:szCs w:val="24"/>
          <w:lang w:val="en-US"/>
        </w:rPr>
        <w:t xml:space="preserve">The Minister may, within 60 days of the receipt of a decision under 13.8.24, accept, </w:t>
      </w:r>
      <w:proofErr w:type="gramStart"/>
      <w:r w:rsidRPr="001531A7">
        <w:rPr>
          <w:rFonts w:ascii="Times New Roman" w:hAnsi="Times New Roman" w:cs="Times New Roman"/>
          <w:sz w:val="24"/>
          <w:szCs w:val="24"/>
          <w:lang w:val="en-US"/>
        </w:rPr>
        <w:t>vary</w:t>
      </w:r>
      <w:proofErr w:type="gramEnd"/>
      <w:r w:rsidRPr="001531A7">
        <w:rPr>
          <w:rFonts w:ascii="Times New Roman" w:hAnsi="Times New Roman" w:cs="Times New Roman"/>
          <w:sz w:val="24"/>
          <w:szCs w:val="24"/>
          <w:lang w:val="en-US"/>
        </w:rPr>
        <w:t xml:space="preserve"> or set aside and replace the decision. The Minister must consider the same factors as were considered by the Board and, in addition, may consider information not before the Board and matters of public interest not considered by the Board. Any proposed variation or replacement shall be sent back to the Board by the Minister with written reasons.</w:t>
      </w:r>
    </w:p>
    <w:p w14:paraId="76B663DB" w14:textId="77777777"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Applicants assert the Minister’s decision interprets the Treaty in an unduly restrictive way inconsistent with modern treaty interpretation principles and the </w:t>
      </w:r>
      <w:proofErr w:type="spellStart"/>
      <w:r w:rsidRPr="00D10C94">
        <w:rPr>
          <w:rFonts w:ascii="Times New Roman" w:hAnsi="Times New Roman" w:cs="Times New Roman"/>
          <w:sz w:val="28"/>
          <w:szCs w:val="28"/>
          <w:lang w:val="en-US"/>
        </w:rPr>
        <w:t>Honour</w:t>
      </w:r>
      <w:proofErr w:type="spellEnd"/>
      <w:r w:rsidRPr="00D10C94">
        <w:rPr>
          <w:rFonts w:ascii="Times New Roman" w:hAnsi="Times New Roman" w:cs="Times New Roman"/>
          <w:sz w:val="28"/>
          <w:szCs w:val="28"/>
          <w:lang w:val="en-US"/>
        </w:rPr>
        <w:t xml:space="preserve"> of the Crown and misconstrues the role and responsibilities of RRCs for managing participant harvesting rights under the Treaty.</w:t>
      </w:r>
    </w:p>
    <w:p w14:paraId="4E21C204" w14:textId="1CD39965"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Applicants also argue that the Minister’s written reasons do not demonstrate that he considered all the same factors as required by s. 13.8.25 and they cannot know if he made a correct decision since his written reasons are not sufficiently detailed to allow others to examine them. </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As the Minister’s reasons do not explicitly discuss all the same factors considered by the SRRB, such as the effectiveness of community conservation plans (“CCPs”), cultural inappropriateness of a TAH, and regional support for the CLRRCs regulation of the Herd, the Minister’s decision violates the requirement of providing written reasons.</w:t>
      </w:r>
    </w:p>
    <w:p w14:paraId="001CFE3B" w14:textId="02F9DAE7"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Respondents note this ground of review was not included in the Originating Notice, contrary to the </w:t>
      </w:r>
      <w:r w:rsidRPr="00D10C94">
        <w:rPr>
          <w:rFonts w:ascii="Times New Roman" w:hAnsi="Times New Roman" w:cs="Times New Roman"/>
          <w:i/>
          <w:iCs/>
          <w:sz w:val="28"/>
          <w:szCs w:val="28"/>
          <w:lang w:val="en-US"/>
        </w:rPr>
        <w:t>Rules of the Supreme Court of the Northwest Territories</w:t>
      </w:r>
      <w:r w:rsidR="00E82245">
        <w:rPr>
          <w:rFonts w:ascii="Times New Roman" w:hAnsi="Times New Roman" w:cs="Times New Roman"/>
          <w:i/>
          <w:iCs/>
          <w:sz w:val="28"/>
          <w:szCs w:val="28"/>
          <w:lang w:val="en-US"/>
        </w:rPr>
        <w:t xml:space="preserve"> </w:t>
      </w:r>
      <w:r w:rsidR="00E82245">
        <w:rPr>
          <w:rFonts w:ascii="Times New Roman" w:hAnsi="Times New Roman" w:cs="Times New Roman"/>
          <w:sz w:val="28"/>
          <w:szCs w:val="28"/>
          <w:lang w:val="en-US"/>
        </w:rPr>
        <w:t>and w</w:t>
      </w:r>
      <w:r w:rsidRPr="00D10C94">
        <w:rPr>
          <w:rFonts w:ascii="Times New Roman" w:hAnsi="Times New Roman" w:cs="Times New Roman"/>
          <w:sz w:val="28"/>
          <w:szCs w:val="28"/>
          <w:lang w:val="en-US"/>
        </w:rPr>
        <w:t>as raised as an issue only weeks before the pre-hearing</w:t>
      </w:r>
      <w:r w:rsidR="00E82245">
        <w:rPr>
          <w:rFonts w:ascii="Times New Roman" w:hAnsi="Times New Roman" w:cs="Times New Roman"/>
          <w:sz w:val="28"/>
          <w:szCs w:val="28"/>
          <w:lang w:val="en-US"/>
        </w:rPr>
        <w:t>;</w:t>
      </w:r>
      <w:r w:rsidRPr="00D10C94">
        <w:rPr>
          <w:rFonts w:ascii="Times New Roman" w:hAnsi="Times New Roman" w:cs="Times New Roman"/>
          <w:sz w:val="28"/>
          <w:szCs w:val="28"/>
          <w:lang w:val="en-US"/>
        </w:rPr>
        <w:t xml:space="preserve"> and </w:t>
      </w:r>
      <w:r w:rsidR="00E82245">
        <w:rPr>
          <w:rFonts w:ascii="Times New Roman" w:hAnsi="Times New Roman" w:cs="Times New Roman"/>
          <w:sz w:val="28"/>
          <w:szCs w:val="28"/>
          <w:lang w:val="en-US"/>
        </w:rPr>
        <w:t xml:space="preserve">argue </w:t>
      </w:r>
      <w:r w:rsidRPr="00D10C94">
        <w:rPr>
          <w:rFonts w:ascii="Times New Roman" w:hAnsi="Times New Roman" w:cs="Times New Roman"/>
          <w:sz w:val="28"/>
          <w:szCs w:val="28"/>
          <w:lang w:val="en-US"/>
        </w:rPr>
        <w:t>this ground should not be permitted to proceed.</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In the alternative, the Respondents </w:t>
      </w:r>
      <w:r w:rsidRPr="00D10C94">
        <w:rPr>
          <w:rFonts w:ascii="Times New Roman" w:hAnsi="Times New Roman" w:cs="Times New Roman"/>
          <w:sz w:val="28"/>
          <w:szCs w:val="28"/>
          <w:lang w:val="en-US"/>
        </w:rPr>
        <w:lastRenderedPageBreak/>
        <w:t>assert the Applicants are conflating evidence and factors.</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The Treaty does not require the Minister to consider the same evidence that was considered by the SRRB, but only to consider the same factors as the SRRB.</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To impose such a requirement on the Minister would be inconsistent with the roles as set out in the Treaty. </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Minister, as the party with ultimate decision-making authority for the management of wildlife, is tasked with considering SRRB decisions alongside broader matters of public interest.</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He is permitted but not required to reweigh the evidence.</w:t>
      </w:r>
    </w:p>
    <w:p w14:paraId="7351CAB0" w14:textId="578BC6A1" w:rsidR="00D10C94" w:rsidRPr="00D10C94" w:rsidRDefault="00D10C94" w:rsidP="001531A7">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Respondents further argue the Applicants incorrectly focus on the Minister’s written decision instead of the entire decision-making process and fail to acknowledge the flexible review process advanced in </w:t>
      </w:r>
      <w:r w:rsidRPr="00D10C94">
        <w:rPr>
          <w:rFonts w:ascii="Times New Roman" w:hAnsi="Times New Roman" w:cs="Times New Roman"/>
          <w:i/>
          <w:iCs/>
          <w:sz w:val="28"/>
          <w:szCs w:val="28"/>
          <w:lang w:val="en-US"/>
        </w:rPr>
        <w:t>Vavilov.</w:t>
      </w:r>
      <w:r w:rsidRPr="00D10C94">
        <w:rPr>
          <w:rFonts w:ascii="Times New Roman" w:hAnsi="Times New Roman" w:cs="Times New Roman"/>
          <w:sz w:val="28"/>
          <w:szCs w:val="28"/>
          <w:lang w:val="en-US"/>
        </w:rPr>
        <w:t xml:space="preserve"> </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Further, a review of the entire Record is the proper method to determine what factors were considered by the Minister, and the Record in this matter shows he did consider the factors considered by the SRRB.</w:t>
      </w:r>
    </w:p>
    <w:p w14:paraId="23D9B70E" w14:textId="19EF977C" w:rsidR="00D10C94" w:rsidRPr="00D10C94" w:rsidRDefault="00D10C94" w:rsidP="004C75DC">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The Applicants reply not only that the statements in Vavilov upon which the Respondents rely were made in the context of reasonableness review, not correctness </w:t>
      </w:r>
      <w:r w:rsidR="00AB40E0">
        <w:rPr>
          <w:rFonts w:ascii="Times New Roman" w:hAnsi="Times New Roman" w:cs="Times New Roman"/>
          <w:sz w:val="28"/>
          <w:szCs w:val="28"/>
          <w:lang w:val="en-US"/>
        </w:rPr>
        <w:t>review w</w:t>
      </w:r>
      <w:r w:rsidRPr="00D10C94">
        <w:rPr>
          <w:rFonts w:ascii="Times New Roman" w:hAnsi="Times New Roman" w:cs="Times New Roman"/>
          <w:sz w:val="28"/>
          <w:szCs w:val="28"/>
          <w:lang w:val="en-US"/>
        </w:rPr>
        <w:t>hich applies here, but are also statements from the minority concurring opinion which are not good law to the extent they disagree with the majority opinion, which affirms the importance of paying close attention to a decision-</w:t>
      </w:r>
      <w:proofErr w:type="spellStart"/>
      <w:r w:rsidRPr="00D10C94">
        <w:rPr>
          <w:rFonts w:ascii="Times New Roman" w:hAnsi="Times New Roman" w:cs="Times New Roman"/>
          <w:sz w:val="28"/>
          <w:szCs w:val="28"/>
          <w:lang w:val="en-US"/>
        </w:rPr>
        <w:t>maker’s</w:t>
      </w:r>
      <w:proofErr w:type="spellEnd"/>
      <w:r w:rsidRPr="00D10C94">
        <w:rPr>
          <w:rFonts w:ascii="Times New Roman" w:hAnsi="Times New Roman" w:cs="Times New Roman"/>
          <w:sz w:val="28"/>
          <w:szCs w:val="28"/>
          <w:lang w:val="en-US"/>
        </w:rPr>
        <w:t xml:space="preserve"> written reasons. </w:t>
      </w:r>
      <w:r w:rsidR="00424B1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Further, the Applicants reply that</w:t>
      </w:r>
      <w:r w:rsidR="00AB40E0">
        <w:rPr>
          <w:rFonts w:ascii="Times New Roman" w:hAnsi="Times New Roman" w:cs="Times New Roman"/>
          <w:sz w:val="28"/>
          <w:szCs w:val="28"/>
          <w:lang w:val="en-US"/>
        </w:rPr>
        <w:t xml:space="preserve"> if </w:t>
      </w:r>
      <w:r w:rsidRPr="00D10C94">
        <w:rPr>
          <w:rFonts w:ascii="Times New Roman" w:hAnsi="Times New Roman" w:cs="Times New Roman"/>
          <w:sz w:val="28"/>
          <w:szCs w:val="28"/>
          <w:lang w:val="en-US"/>
        </w:rPr>
        <w:t>the Minister’s decision does not address a key argument made by the SRRB’s report, a reviewing court cannot buttress the Minister’s reasons to address the argument.</w:t>
      </w:r>
    </w:p>
    <w:p w14:paraId="72505259" w14:textId="5453D9A7" w:rsidR="00D10C94" w:rsidRPr="00D10C94" w:rsidRDefault="00D10C94" w:rsidP="004C75DC">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I begin by noting that this issue is reasonably connected to the issues raised in the Originating Notice.</w:t>
      </w:r>
      <w:r w:rsidR="007D3FC9">
        <w:rPr>
          <w:rFonts w:ascii="Times New Roman" w:hAnsi="Times New Roman" w:cs="Times New Roman"/>
          <w:sz w:val="28"/>
          <w:szCs w:val="28"/>
        </w:rPr>
        <w:t xml:space="preserve"> </w:t>
      </w:r>
      <w:r w:rsidRPr="00D10C94">
        <w:rPr>
          <w:rFonts w:ascii="Times New Roman" w:hAnsi="Times New Roman" w:cs="Times New Roman"/>
          <w:sz w:val="28"/>
          <w:szCs w:val="28"/>
        </w:rPr>
        <w:t xml:space="preserve"> I find it appropriate to consider this issue and not </w:t>
      </w:r>
      <w:r w:rsidRPr="00AB40E0">
        <w:rPr>
          <w:rFonts w:ascii="Times New Roman" w:hAnsi="Times New Roman" w:cs="Times New Roman"/>
          <w:sz w:val="28"/>
          <w:szCs w:val="28"/>
        </w:rPr>
        <w:t xml:space="preserve">to dismiss it as the Respondents request </w:t>
      </w:r>
      <w:proofErr w:type="gramStart"/>
      <w:r w:rsidRPr="00AB40E0">
        <w:rPr>
          <w:rFonts w:ascii="Times New Roman" w:hAnsi="Times New Roman" w:cs="Times New Roman"/>
          <w:sz w:val="28"/>
          <w:szCs w:val="28"/>
        </w:rPr>
        <w:t>on the basis of</w:t>
      </w:r>
      <w:proofErr w:type="gramEnd"/>
      <w:r w:rsidRPr="00AB40E0">
        <w:rPr>
          <w:rFonts w:ascii="Times New Roman" w:hAnsi="Times New Roman" w:cs="Times New Roman"/>
          <w:sz w:val="28"/>
          <w:szCs w:val="28"/>
        </w:rPr>
        <w:t xml:space="preserve"> a technical breach of the</w:t>
      </w:r>
      <w:r w:rsidRPr="00D10C94">
        <w:rPr>
          <w:rFonts w:ascii="Times New Roman" w:hAnsi="Times New Roman" w:cs="Times New Roman"/>
          <w:i/>
          <w:iCs/>
          <w:sz w:val="28"/>
          <w:szCs w:val="28"/>
        </w:rPr>
        <w:t xml:space="preserve"> Rules of the Supreme Court of the Northwest Territories.</w:t>
      </w:r>
    </w:p>
    <w:p w14:paraId="0E741E5D" w14:textId="138C5138" w:rsidR="00D10C94" w:rsidRPr="00D10C94" w:rsidRDefault="00D10C94" w:rsidP="004C75DC">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Regarding the substance of this issue, I</w:t>
      </w:r>
      <w:r w:rsidR="00765753">
        <w:rPr>
          <w:rFonts w:ascii="Times New Roman" w:hAnsi="Times New Roman" w:cs="Times New Roman"/>
          <w:sz w:val="28"/>
          <w:szCs w:val="28"/>
        </w:rPr>
        <w:t xml:space="preserve"> </w:t>
      </w:r>
      <w:r w:rsidRPr="00D10C94">
        <w:rPr>
          <w:rFonts w:ascii="Times New Roman" w:hAnsi="Times New Roman" w:cs="Times New Roman"/>
          <w:sz w:val="28"/>
          <w:szCs w:val="28"/>
        </w:rPr>
        <w:t xml:space="preserve">note that treaties represent an “exchange of solemn promises between the Crown and the various Indian nations.” </w:t>
      </w:r>
      <w:r w:rsidRPr="00D10C94">
        <w:rPr>
          <w:rFonts w:ascii="Times New Roman" w:hAnsi="Times New Roman" w:cs="Times New Roman"/>
          <w:i/>
          <w:iCs/>
          <w:sz w:val="28"/>
          <w:szCs w:val="28"/>
        </w:rPr>
        <w:t>R v Badger</w:t>
      </w:r>
      <w:r w:rsidRPr="00D10C94">
        <w:rPr>
          <w:rFonts w:ascii="Times New Roman" w:hAnsi="Times New Roman" w:cs="Times New Roman"/>
          <w:sz w:val="28"/>
          <w:szCs w:val="28"/>
        </w:rPr>
        <w:t xml:space="preserve">, </w:t>
      </w:r>
      <w:hyperlink r:id="rId19" w:history="1">
        <w:r w:rsidRPr="00A77448">
          <w:rPr>
            <w:rStyle w:val="Hyperlink"/>
            <w:rFonts w:ascii="Times New Roman" w:hAnsi="Times New Roman" w:cs="Times New Roman"/>
            <w:color w:val="auto"/>
            <w:sz w:val="28"/>
            <w:szCs w:val="28"/>
            <w:u w:val="none"/>
          </w:rPr>
          <w:t>1996 CanLII 236</w:t>
        </w:r>
      </w:hyperlink>
      <w:r w:rsidRPr="00D10C94">
        <w:rPr>
          <w:rFonts w:ascii="Times New Roman" w:hAnsi="Times New Roman" w:cs="Times New Roman"/>
          <w:sz w:val="28"/>
          <w:szCs w:val="28"/>
        </w:rPr>
        <w:t xml:space="preserve"> (SCC), </w:t>
      </w:r>
      <w:r w:rsidRPr="0007583D">
        <w:rPr>
          <w:rFonts w:ascii="Times New Roman" w:hAnsi="Times New Roman" w:cs="Times New Roman"/>
          <w:sz w:val="28"/>
          <w:szCs w:val="28"/>
        </w:rPr>
        <w:t>[1996] 1 SCR 771</w:t>
      </w:r>
      <w:r w:rsidRPr="00D10C94">
        <w:rPr>
          <w:rFonts w:ascii="Times New Roman" w:hAnsi="Times New Roman" w:cs="Times New Roman"/>
          <w:sz w:val="28"/>
          <w:szCs w:val="28"/>
        </w:rPr>
        <w:t xml:space="preserve">, at para </w:t>
      </w:r>
      <w:hyperlink r:id="rId20" w:anchor="par41" w:history="1">
        <w:r w:rsidRPr="00A77448">
          <w:rPr>
            <w:rStyle w:val="Hyperlink"/>
            <w:rFonts w:ascii="Times New Roman" w:hAnsi="Times New Roman" w:cs="Times New Roman"/>
            <w:color w:val="auto"/>
            <w:sz w:val="28"/>
            <w:szCs w:val="28"/>
            <w:u w:val="none"/>
          </w:rPr>
          <w:t>41</w:t>
        </w:r>
      </w:hyperlink>
      <w:r w:rsidR="00B56F23">
        <w:rPr>
          <w:rFonts w:ascii="Times New Roman" w:hAnsi="Times New Roman" w:cs="Times New Roman"/>
          <w:sz w:val="28"/>
          <w:szCs w:val="28"/>
        </w:rPr>
        <w:t>.</w:t>
      </w:r>
    </w:p>
    <w:p w14:paraId="17BD9D58" w14:textId="77777777" w:rsidR="00D10C94" w:rsidRPr="00D10C94" w:rsidRDefault="00D10C94" w:rsidP="004C75DC">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 xml:space="preserve">Interpretation of the Treaty is to be conducted based on the principles of modern treaty interpretation. </w:t>
      </w:r>
    </w:p>
    <w:p w14:paraId="6049FE5A" w14:textId="091491A3" w:rsidR="00D10C94" w:rsidRPr="00D10C94" w:rsidRDefault="00D10C94" w:rsidP="004C75DC">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 xml:space="preserve">In the decisions of </w:t>
      </w:r>
      <w:r w:rsidRPr="00D10C94">
        <w:rPr>
          <w:rFonts w:ascii="Times New Roman" w:hAnsi="Times New Roman" w:cs="Times New Roman"/>
          <w:i/>
          <w:iCs/>
          <w:sz w:val="28"/>
          <w:szCs w:val="28"/>
        </w:rPr>
        <w:t>R v Badger</w:t>
      </w:r>
      <w:r w:rsidRPr="00D10C94">
        <w:rPr>
          <w:rFonts w:ascii="Times New Roman" w:hAnsi="Times New Roman" w:cs="Times New Roman"/>
          <w:sz w:val="28"/>
          <w:szCs w:val="28"/>
        </w:rPr>
        <w:t xml:space="preserve"> and </w:t>
      </w:r>
      <w:r w:rsidRPr="00D10C94">
        <w:rPr>
          <w:rFonts w:ascii="Times New Roman" w:hAnsi="Times New Roman" w:cs="Times New Roman"/>
          <w:i/>
          <w:iCs/>
          <w:sz w:val="28"/>
          <w:szCs w:val="28"/>
        </w:rPr>
        <w:t>R v Marshall</w:t>
      </w:r>
      <w:r w:rsidRPr="00D10C94">
        <w:rPr>
          <w:rFonts w:ascii="Times New Roman" w:hAnsi="Times New Roman" w:cs="Times New Roman"/>
          <w:sz w:val="28"/>
          <w:szCs w:val="28"/>
        </w:rPr>
        <w:t xml:space="preserve">, </w:t>
      </w:r>
      <w:hyperlink r:id="rId21" w:history="1">
        <w:r w:rsidRPr="00A77448">
          <w:rPr>
            <w:rStyle w:val="Hyperlink"/>
            <w:rFonts w:ascii="Times New Roman" w:hAnsi="Times New Roman" w:cs="Times New Roman"/>
            <w:color w:val="auto"/>
            <w:sz w:val="28"/>
            <w:szCs w:val="28"/>
            <w:u w:val="none"/>
          </w:rPr>
          <w:t>1999 CanLII 665 (SCC),</w:t>
        </w:r>
        <w:r w:rsidRPr="00D10C94">
          <w:rPr>
            <w:rStyle w:val="Hyperlink"/>
            <w:rFonts w:ascii="Times New Roman" w:hAnsi="Times New Roman" w:cs="Times New Roman"/>
            <w:sz w:val="28"/>
            <w:szCs w:val="28"/>
          </w:rPr>
          <w:t xml:space="preserve"> </w:t>
        </w:r>
      </w:hyperlink>
      <w:r w:rsidRPr="00D10C94">
        <w:rPr>
          <w:rFonts w:ascii="Times New Roman" w:hAnsi="Times New Roman" w:cs="Times New Roman"/>
          <w:sz w:val="28"/>
          <w:szCs w:val="28"/>
        </w:rPr>
        <w:t xml:space="preserve"> [1999] 3 SCR 456, at paras </w:t>
      </w:r>
      <w:hyperlink r:id="rId22" w:anchor="par10" w:history="1">
        <w:r w:rsidRPr="00A77448">
          <w:rPr>
            <w:rStyle w:val="Hyperlink"/>
            <w:rFonts w:ascii="Times New Roman" w:hAnsi="Times New Roman" w:cs="Times New Roman"/>
            <w:color w:val="auto"/>
            <w:sz w:val="28"/>
            <w:szCs w:val="28"/>
            <w:u w:val="none"/>
          </w:rPr>
          <w:t>10–12</w:t>
        </w:r>
      </w:hyperlink>
      <w:r w:rsidRPr="00D10C94">
        <w:rPr>
          <w:rFonts w:ascii="Times New Roman" w:hAnsi="Times New Roman" w:cs="Times New Roman"/>
          <w:sz w:val="28"/>
          <w:szCs w:val="28"/>
        </w:rPr>
        <w:t xml:space="preserve">, the Supreme Court of Canada set out the basic principles of Aboriginal treaty interpretation: </w:t>
      </w:r>
    </w:p>
    <w:p w14:paraId="1A3A3841" w14:textId="4BF93E53" w:rsidR="00D10C94" w:rsidRPr="000F6AF0" w:rsidRDefault="00D10C94" w:rsidP="000F6AF0">
      <w:pPr>
        <w:pStyle w:val="ListParagraph"/>
        <w:numPr>
          <w:ilvl w:val="0"/>
          <w:numId w:val="43"/>
        </w:numPr>
        <w:spacing w:after="240" w:line="240" w:lineRule="auto"/>
        <w:ind w:right="571"/>
        <w:contextualSpacing w:val="0"/>
        <w:jc w:val="both"/>
        <w:rPr>
          <w:rFonts w:ascii="Times New Roman" w:hAnsi="Times New Roman" w:cs="Times New Roman"/>
          <w:sz w:val="24"/>
          <w:szCs w:val="24"/>
        </w:rPr>
      </w:pPr>
      <w:r w:rsidRPr="000F6AF0">
        <w:rPr>
          <w:rFonts w:ascii="Times New Roman" w:hAnsi="Times New Roman" w:cs="Times New Roman"/>
          <w:sz w:val="24"/>
          <w:szCs w:val="24"/>
        </w:rPr>
        <w:t xml:space="preserve">“a treaty represents an exchange of solemn promises between the Crown” </w:t>
      </w:r>
      <w:r w:rsidR="00A57615" w:rsidRPr="000F6AF0">
        <w:rPr>
          <w:rFonts w:ascii="Times New Roman" w:hAnsi="Times New Roman" w:cs="Times New Roman"/>
          <w:sz w:val="24"/>
          <w:szCs w:val="24"/>
        </w:rPr>
        <w:t xml:space="preserve">and </w:t>
      </w:r>
      <w:r w:rsidR="00A57615">
        <w:rPr>
          <w:rFonts w:ascii="Times New Roman" w:hAnsi="Times New Roman" w:cs="Times New Roman"/>
          <w:sz w:val="24"/>
          <w:szCs w:val="24"/>
        </w:rPr>
        <w:t>Aboriginal</w:t>
      </w:r>
      <w:r w:rsidRPr="000F6AF0">
        <w:rPr>
          <w:rFonts w:ascii="Times New Roman" w:hAnsi="Times New Roman" w:cs="Times New Roman"/>
          <w:sz w:val="24"/>
          <w:szCs w:val="24"/>
        </w:rPr>
        <w:t xml:space="preserve"> peoples; </w:t>
      </w:r>
      <w:r w:rsidRPr="00BF3687">
        <w:rPr>
          <w:rFonts w:ascii="Times New Roman" w:hAnsi="Times New Roman" w:cs="Times New Roman"/>
          <w:i/>
          <w:iCs/>
          <w:sz w:val="24"/>
          <w:szCs w:val="24"/>
        </w:rPr>
        <w:t>Badger,</w:t>
      </w:r>
      <w:r w:rsidRPr="00BF3687">
        <w:rPr>
          <w:rFonts w:ascii="Times New Roman" w:hAnsi="Times New Roman" w:cs="Times New Roman"/>
          <w:sz w:val="24"/>
          <w:szCs w:val="24"/>
        </w:rPr>
        <w:t xml:space="preserve"> </w:t>
      </w:r>
      <w:proofErr w:type="gramStart"/>
      <w:r w:rsidRPr="00BF3687">
        <w:rPr>
          <w:rFonts w:ascii="Times New Roman" w:hAnsi="Times New Roman" w:cs="Times New Roman"/>
          <w:sz w:val="24"/>
          <w:szCs w:val="24"/>
        </w:rPr>
        <w:t>para 41</w:t>
      </w:r>
      <w:proofErr w:type="gramEnd"/>
    </w:p>
    <w:p w14:paraId="468CCA4A" w14:textId="31FE44A7" w:rsidR="00D10C94" w:rsidRPr="000F6AF0" w:rsidRDefault="00D10C94" w:rsidP="000F6AF0">
      <w:pPr>
        <w:pStyle w:val="ListParagraph"/>
        <w:numPr>
          <w:ilvl w:val="0"/>
          <w:numId w:val="43"/>
        </w:numPr>
        <w:spacing w:after="240" w:line="240" w:lineRule="auto"/>
        <w:ind w:right="571"/>
        <w:contextualSpacing w:val="0"/>
        <w:jc w:val="both"/>
        <w:rPr>
          <w:rFonts w:ascii="Times New Roman" w:hAnsi="Times New Roman" w:cs="Times New Roman"/>
          <w:sz w:val="24"/>
          <w:szCs w:val="24"/>
          <w:lang w:val="en-US"/>
        </w:rPr>
      </w:pPr>
      <w:r w:rsidRPr="000F6AF0">
        <w:rPr>
          <w:rFonts w:ascii="Times New Roman" w:hAnsi="Times New Roman" w:cs="Times New Roman"/>
          <w:sz w:val="24"/>
          <w:szCs w:val="24"/>
        </w:rPr>
        <w:lastRenderedPageBreak/>
        <w:t>“</w:t>
      </w:r>
      <w:proofErr w:type="gramStart"/>
      <w:r w:rsidRPr="000F6AF0">
        <w:rPr>
          <w:rFonts w:ascii="Times New Roman" w:hAnsi="Times New Roman" w:cs="Times New Roman"/>
          <w:sz w:val="24"/>
          <w:szCs w:val="24"/>
        </w:rPr>
        <w:t>the</w:t>
      </w:r>
      <w:proofErr w:type="gramEnd"/>
      <w:r w:rsidRPr="000F6AF0">
        <w:rPr>
          <w:rFonts w:ascii="Times New Roman" w:hAnsi="Times New Roman" w:cs="Times New Roman"/>
          <w:sz w:val="24"/>
          <w:szCs w:val="24"/>
        </w:rPr>
        <w:t xml:space="preserve"> honour of the Crown is always at stake” and no “‘sharp dealing[s]’” will be sanctioned; </w:t>
      </w:r>
      <w:r w:rsidR="002E601A" w:rsidRPr="004D373E">
        <w:rPr>
          <w:rFonts w:ascii="Times New Roman" w:hAnsi="Times New Roman" w:cs="Times New Roman"/>
          <w:i/>
          <w:iCs/>
          <w:sz w:val="24"/>
          <w:szCs w:val="24"/>
        </w:rPr>
        <w:t>B</w:t>
      </w:r>
      <w:r w:rsidRPr="004D373E">
        <w:rPr>
          <w:rFonts w:ascii="Times New Roman" w:hAnsi="Times New Roman" w:cs="Times New Roman"/>
          <w:i/>
          <w:iCs/>
          <w:sz w:val="24"/>
          <w:szCs w:val="24"/>
        </w:rPr>
        <w:t>adger</w:t>
      </w:r>
      <w:r w:rsidRPr="000F6AF0">
        <w:rPr>
          <w:rFonts w:ascii="Times New Roman" w:hAnsi="Times New Roman" w:cs="Times New Roman"/>
          <w:sz w:val="24"/>
          <w:szCs w:val="24"/>
        </w:rPr>
        <w:t>, para 41</w:t>
      </w:r>
    </w:p>
    <w:p w14:paraId="223946F6" w14:textId="0B439D9B" w:rsidR="00D10C94" w:rsidRPr="000F6AF0" w:rsidRDefault="00D10C94" w:rsidP="000F6AF0">
      <w:pPr>
        <w:pStyle w:val="ListParagraph"/>
        <w:numPr>
          <w:ilvl w:val="0"/>
          <w:numId w:val="43"/>
        </w:numPr>
        <w:spacing w:after="240" w:line="240" w:lineRule="auto"/>
        <w:ind w:right="571"/>
        <w:contextualSpacing w:val="0"/>
        <w:jc w:val="both"/>
        <w:rPr>
          <w:rFonts w:ascii="Times New Roman" w:hAnsi="Times New Roman" w:cs="Times New Roman"/>
          <w:sz w:val="24"/>
          <w:szCs w:val="24"/>
          <w:lang w:val="en-US"/>
        </w:rPr>
      </w:pPr>
      <w:r w:rsidRPr="000F6AF0">
        <w:rPr>
          <w:rFonts w:ascii="Times New Roman" w:hAnsi="Times New Roman" w:cs="Times New Roman"/>
          <w:sz w:val="24"/>
          <w:szCs w:val="24"/>
        </w:rPr>
        <w:t>“</w:t>
      </w:r>
      <w:proofErr w:type="gramStart"/>
      <w:r w:rsidRPr="000F6AF0">
        <w:rPr>
          <w:rFonts w:ascii="Times New Roman" w:hAnsi="Times New Roman" w:cs="Times New Roman"/>
          <w:sz w:val="24"/>
          <w:szCs w:val="24"/>
        </w:rPr>
        <w:t>ambiguities</w:t>
      </w:r>
      <w:proofErr w:type="gramEnd"/>
      <w:r w:rsidRPr="000F6AF0">
        <w:rPr>
          <w:rFonts w:ascii="Times New Roman" w:hAnsi="Times New Roman" w:cs="Times New Roman"/>
          <w:sz w:val="24"/>
          <w:szCs w:val="24"/>
        </w:rPr>
        <w:t xml:space="preserve"> or doubtful expressions … must be resolved in the favour of the [Aboriginal party]”; </w:t>
      </w:r>
      <w:r w:rsidRPr="000F6AF0">
        <w:rPr>
          <w:rFonts w:ascii="Times New Roman" w:hAnsi="Times New Roman" w:cs="Times New Roman"/>
          <w:i/>
          <w:iCs/>
          <w:sz w:val="24"/>
          <w:szCs w:val="24"/>
        </w:rPr>
        <w:t>Badger</w:t>
      </w:r>
      <w:r w:rsidRPr="000F6AF0">
        <w:rPr>
          <w:rFonts w:ascii="Times New Roman" w:hAnsi="Times New Roman" w:cs="Times New Roman"/>
          <w:sz w:val="24"/>
          <w:szCs w:val="24"/>
        </w:rPr>
        <w:t>, para 41</w:t>
      </w:r>
      <w:r w:rsidR="00B6095E">
        <w:rPr>
          <w:rFonts w:ascii="Times New Roman" w:hAnsi="Times New Roman" w:cs="Times New Roman"/>
          <w:sz w:val="24"/>
          <w:szCs w:val="24"/>
        </w:rPr>
        <w:t>.</w:t>
      </w:r>
    </w:p>
    <w:p w14:paraId="0A640930" w14:textId="3368030E" w:rsidR="00D10C94" w:rsidRPr="000F6AF0" w:rsidRDefault="00D10C94" w:rsidP="000F6AF0">
      <w:pPr>
        <w:pStyle w:val="ListParagraph"/>
        <w:numPr>
          <w:ilvl w:val="0"/>
          <w:numId w:val="43"/>
        </w:numPr>
        <w:spacing w:after="240" w:line="240" w:lineRule="auto"/>
        <w:ind w:right="571"/>
        <w:contextualSpacing w:val="0"/>
        <w:jc w:val="both"/>
        <w:rPr>
          <w:rFonts w:ascii="Times New Roman" w:hAnsi="Times New Roman" w:cs="Times New Roman"/>
          <w:sz w:val="24"/>
          <w:szCs w:val="24"/>
          <w:lang w:val="en-US"/>
        </w:rPr>
      </w:pPr>
      <w:r w:rsidRPr="000F6AF0">
        <w:rPr>
          <w:rFonts w:ascii="Times New Roman" w:hAnsi="Times New Roman" w:cs="Times New Roman"/>
          <w:sz w:val="24"/>
          <w:szCs w:val="24"/>
        </w:rPr>
        <w:t xml:space="preserve">evidence other than the written text of the treaty must be considered, even in the absence of “ambiguity on the face of the written text”; </w:t>
      </w:r>
      <w:r w:rsidRPr="000F6AF0">
        <w:rPr>
          <w:rFonts w:ascii="Times New Roman" w:hAnsi="Times New Roman" w:cs="Times New Roman"/>
          <w:i/>
          <w:iCs/>
          <w:sz w:val="24"/>
          <w:szCs w:val="24"/>
        </w:rPr>
        <w:t>Marshall</w:t>
      </w:r>
      <w:r w:rsidRPr="000F6AF0">
        <w:rPr>
          <w:rFonts w:ascii="Times New Roman" w:hAnsi="Times New Roman" w:cs="Times New Roman"/>
          <w:sz w:val="24"/>
          <w:szCs w:val="24"/>
        </w:rPr>
        <w:t xml:space="preserve">, paras 10-12; and </w:t>
      </w:r>
    </w:p>
    <w:p w14:paraId="3AC1244B" w14:textId="0307436C" w:rsidR="00D10C94" w:rsidRPr="000F6AF0" w:rsidRDefault="00D10C94" w:rsidP="000F6AF0">
      <w:pPr>
        <w:pStyle w:val="ListParagraph"/>
        <w:numPr>
          <w:ilvl w:val="0"/>
          <w:numId w:val="43"/>
        </w:numPr>
        <w:spacing w:after="240" w:line="240" w:lineRule="auto"/>
        <w:ind w:right="571"/>
        <w:contextualSpacing w:val="0"/>
        <w:jc w:val="both"/>
        <w:rPr>
          <w:rFonts w:ascii="Times New Roman" w:hAnsi="Times New Roman" w:cs="Times New Roman"/>
          <w:sz w:val="24"/>
          <w:szCs w:val="24"/>
          <w:lang w:val="en-US"/>
        </w:rPr>
      </w:pPr>
      <w:r w:rsidRPr="000F6AF0">
        <w:rPr>
          <w:rFonts w:ascii="Times New Roman" w:hAnsi="Times New Roman" w:cs="Times New Roman"/>
          <w:sz w:val="24"/>
          <w:szCs w:val="24"/>
        </w:rPr>
        <w:t xml:space="preserve">treaties were intended to reconcile the goals and interests of the parties to the treaty at the time and should be interpreted in a way consistent with those intentions. </w:t>
      </w:r>
      <w:r w:rsidR="00C15DA6">
        <w:rPr>
          <w:rFonts w:ascii="Times New Roman" w:hAnsi="Times New Roman" w:cs="Times New Roman"/>
          <w:sz w:val="24"/>
          <w:szCs w:val="24"/>
        </w:rPr>
        <w:t xml:space="preserve"> </w:t>
      </w:r>
      <w:r w:rsidRPr="000F6AF0">
        <w:rPr>
          <w:rFonts w:ascii="Times New Roman" w:hAnsi="Times New Roman" w:cs="Times New Roman"/>
          <w:i/>
          <w:iCs/>
          <w:sz w:val="24"/>
          <w:szCs w:val="24"/>
        </w:rPr>
        <w:t>Marshall,</w:t>
      </w:r>
      <w:r w:rsidRPr="000F6AF0">
        <w:rPr>
          <w:rFonts w:ascii="Times New Roman" w:hAnsi="Times New Roman" w:cs="Times New Roman"/>
          <w:sz w:val="24"/>
          <w:szCs w:val="24"/>
        </w:rPr>
        <w:t xml:space="preserve"> paras 10-12</w:t>
      </w:r>
      <w:r w:rsidR="00B6095E">
        <w:rPr>
          <w:rFonts w:ascii="Times New Roman" w:hAnsi="Times New Roman" w:cs="Times New Roman"/>
          <w:sz w:val="24"/>
          <w:szCs w:val="24"/>
        </w:rPr>
        <w:t>.</w:t>
      </w:r>
    </w:p>
    <w:p w14:paraId="1E9A3162" w14:textId="1DDEF349" w:rsidR="00D10C94" w:rsidRPr="00D10C94" w:rsidRDefault="00D10C94" w:rsidP="000F6AF0">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 xml:space="preserve">Subsequent to those decisions the Supreme Court of Canada has decided </w:t>
      </w:r>
      <w:r w:rsidRPr="00D10C94">
        <w:rPr>
          <w:rFonts w:ascii="Times New Roman" w:hAnsi="Times New Roman" w:cs="Times New Roman"/>
          <w:i/>
          <w:iCs/>
          <w:sz w:val="28"/>
          <w:szCs w:val="28"/>
        </w:rPr>
        <w:t xml:space="preserve">First Nation of 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 v Yukon, </w:t>
      </w:r>
      <w:hyperlink r:id="rId23" w:history="1">
        <w:r w:rsidRPr="002E071B">
          <w:rPr>
            <w:rStyle w:val="Hyperlink"/>
            <w:rFonts w:ascii="Times New Roman" w:hAnsi="Times New Roman" w:cs="Times New Roman"/>
            <w:color w:val="auto"/>
            <w:sz w:val="28"/>
            <w:szCs w:val="28"/>
            <w:u w:val="none"/>
          </w:rPr>
          <w:t>2017 SCC 58,</w:t>
        </w:r>
      </w:hyperlink>
      <w:r w:rsidRPr="00D10C94">
        <w:rPr>
          <w:rFonts w:ascii="Times New Roman" w:hAnsi="Times New Roman" w:cs="Times New Roman"/>
          <w:sz w:val="28"/>
          <w:szCs w:val="28"/>
        </w:rPr>
        <w:t xml:space="preserve"> which both parties reference and agree is the leading decision regarding the interpretation of modern treaties, which are constitutional documents per the </w:t>
      </w:r>
      <w:r w:rsidRPr="00D10C94">
        <w:rPr>
          <w:rFonts w:ascii="Times New Roman" w:hAnsi="Times New Roman" w:cs="Times New Roman"/>
          <w:i/>
          <w:iCs/>
          <w:sz w:val="28"/>
          <w:szCs w:val="28"/>
        </w:rPr>
        <w:t>Constitution Act, 1982</w:t>
      </w:r>
      <w:r w:rsidRPr="00D10C94">
        <w:rPr>
          <w:rFonts w:ascii="Times New Roman" w:hAnsi="Times New Roman" w:cs="Times New Roman"/>
          <w:sz w:val="28"/>
          <w:szCs w:val="28"/>
        </w:rPr>
        <w:t>.</w:t>
      </w:r>
      <w:r w:rsidR="00C15DA6">
        <w:rPr>
          <w:rFonts w:ascii="Times New Roman" w:hAnsi="Times New Roman" w:cs="Times New Roman"/>
          <w:sz w:val="28"/>
          <w:szCs w:val="28"/>
        </w:rPr>
        <w:t xml:space="preserve"> </w:t>
      </w:r>
      <w:r w:rsidRPr="00D10C94">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paras </w:t>
      </w:r>
      <w:hyperlink r:id="rId24" w:anchor="par8" w:history="1">
        <w:r w:rsidRPr="002E071B">
          <w:rPr>
            <w:rStyle w:val="Hyperlink"/>
            <w:rFonts w:ascii="Times New Roman" w:hAnsi="Times New Roman" w:cs="Times New Roman"/>
            <w:color w:val="auto"/>
            <w:sz w:val="28"/>
            <w:szCs w:val="28"/>
            <w:u w:val="none"/>
          </w:rPr>
          <w:t>8</w:t>
        </w:r>
      </w:hyperlink>
      <w:r w:rsidRPr="002E071B">
        <w:rPr>
          <w:rFonts w:ascii="Times New Roman" w:hAnsi="Times New Roman" w:cs="Times New Roman"/>
          <w:sz w:val="28"/>
          <w:szCs w:val="28"/>
        </w:rPr>
        <w:t xml:space="preserve">, </w:t>
      </w:r>
      <w:hyperlink r:id="rId25" w:anchor="par34" w:history="1">
        <w:r w:rsidRPr="002E071B">
          <w:rPr>
            <w:rStyle w:val="Hyperlink"/>
            <w:rFonts w:ascii="Times New Roman" w:hAnsi="Times New Roman" w:cs="Times New Roman"/>
            <w:color w:val="auto"/>
            <w:sz w:val="28"/>
            <w:szCs w:val="28"/>
            <w:u w:val="none"/>
          </w:rPr>
          <w:t>34</w:t>
        </w:r>
      </w:hyperlink>
      <w:r w:rsidR="00C15DA6">
        <w:rPr>
          <w:rFonts w:ascii="Times New Roman" w:hAnsi="Times New Roman" w:cs="Times New Roman"/>
          <w:sz w:val="28"/>
          <w:szCs w:val="28"/>
        </w:rPr>
        <w:t>.</w:t>
      </w:r>
    </w:p>
    <w:p w14:paraId="1C6531CE" w14:textId="77777777" w:rsidR="00D10C94" w:rsidRPr="00D10C94" w:rsidRDefault="00D10C94" w:rsidP="000F6AF0">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 xml:space="preserve">In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 </w:t>
      </w:r>
      <w:r w:rsidRPr="00D10C94">
        <w:rPr>
          <w:rFonts w:ascii="Times New Roman" w:hAnsi="Times New Roman" w:cs="Times New Roman"/>
          <w:sz w:val="28"/>
          <w:szCs w:val="28"/>
        </w:rPr>
        <w:t xml:space="preserve">the Court recharacterized the nature of modern treaties and reframed the question of the honour of the Crown in a modern treaty context. </w:t>
      </w:r>
    </w:p>
    <w:p w14:paraId="71345DF6" w14:textId="6DFF19B7" w:rsidR="00D10C94" w:rsidRPr="00D10C94" w:rsidRDefault="00D10C94" w:rsidP="000F6AF0">
      <w:pPr>
        <w:pStyle w:val="ListParagraph"/>
        <w:numPr>
          <w:ilvl w:val="0"/>
          <w:numId w:val="11"/>
        </w:numPr>
        <w:spacing w:after="240" w:line="240" w:lineRule="auto"/>
        <w:ind w:left="0" w:firstLine="0"/>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rPr>
        <w:t>In that case, Justice Karakatsanis, writing for the Majority, noted the “sui generis nature of modern treaties, which, as in this case, may set out in precise terms a co-operative governance relationship.”</w:t>
      </w:r>
      <w:r w:rsidR="001164E8">
        <w:rPr>
          <w:rFonts w:ascii="Times New Roman" w:hAnsi="Times New Roman" w:cs="Times New Roman"/>
          <w:sz w:val="28"/>
          <w:szCs w:val="28"/>
        </w:rPr>
        <w:t xml:space="preserve"> </w:t>
      </w:r>
      <w:r w:rsidRPr="00D10C94">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para </w:t>
      </w:r>
      <w:hyperlink r:id="rId26" w:anchor="par22" w:history="1">
        <w:r w:rsidRPr="002E071B">
          <w:rPr>
            <w:rStyle w:val="Hyperlink"/>
            <w:rFonts w:ascii="Times New Roman" w:hAnsi="Times New Roman" w:cs="Times New Roman"/>
            <w:color w:val="auto"/>
            <w:sz w:val="28"/>
            <w:szCs w:val="28"/>
            <w:u w:val="none"/>
          </w:rPr>
          <w:t>22</w:t>
        </w:r>
      </w:hyperlink>
      <w:r w:rsidRPr="00D10C94">
        <w:rPr>
          <w:rFonts w:ascii="Times New Roman" w:hAnsi="Times New Roman" w:cs="Times New Roman"/>
          <w:sz w:val="28"/>
          <w:szCs w:val="28"/>
        </w:rPr>
        <w:t>.</w:t>
      </w:r>
      <w:r w:rsidR="001164E8">
        <w:rPr>
          <w:rFonts w:ascii="Times New Roman" w:hAnsi="Times New Roman" w:cs="Times New Roman"/>
          <w:sz w:val="28"/>
          <w:szCs w:val="28"/>
        </w:rPr>
        <w:t xml:space="preserve"> </w:t>
      </w:r>
      <w:r w:rsidRPr="00D10C94">
        <w:rPr>
          <w:rFonts w:ascii="Times New Roman" w:hAnsi="Times New Roman" w:cs="Times New Roman"/>
          <w:sz w:val="28"/>
          <w:szCs w:val="28"/>
        </w:rPr>
        <w:t xml:space="preserve"> She further noted:</w:t>
      </w:r>
    </w:p>
    <w:p w14:paraId="01059411" w14:textId="77777777" w:rsidR="00D10C94" w:rsidRPr="001164E8" w:rsidRDefault="00D10C94" w:rsidP="001164E8">
      <w:pPr>
        <w:pStyle w:val="ListParagraph"/>
        <w:spacing w:after="240" w:line="240" w:lineRule="auto"/>
        <w:ind w:left="567" w:right="571"/>
        <w:contextualSpacing w:val="0"/>
        <w:jc w:val="both"/>
        <w:rPr>
          <w:rFonts w:ascii="Times New Roman" w:hAnsi="Times New Roman" w:cs="Times New Roman"/>
          <w:sz w:val="24"/>
          <w:szCs w:val="24"/>
          <w:lang w:val="en-US"/>
        </w:rPr>
      </w:pPr>
      <w:r w:rsidRPr="001164E8">
        <w:rPr>
          <w:rFonts w:ascii="Times New Roman" w:hAnsi="Times New Roman" w:cs="Times New Roman"/>
          <w:sz w:val="24"/>
          <w:szCs w:val="24"/>
          <w:lang w:val="en-US"/>
        </w:rPr>
        <w:t>Modern treaties are intended to renew the relationship between Indigenous peoples and the Crown to one of equal partnership [... and] in resolving disputes that arise under modern treaties, courts should generally leave space for the parties to govern together and work out their differences. Indeed, reconciliation often demands judicial forbearance [with the qualification that] judicial forbearance should not come at the expense of adequate scrutiny of Crown conduct to ensure constitutional compliance.</w:t>
      </w:r>
    </w:p>
    <w:p w14:paraId="0A3BF485" w14:textId="514DA2EA" w:rsidR="00D10C94" w:rsidRPr="00D10C94" w:rsidRDefault="00D10C94" w:rsidP="000F6AF0">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Treaty interpretation in this context requires deference to text, with Justice Karakatsanis writing that since modern treaties are “meticulously negotiated by well-resourced parties,” courts must “pay close attention to [their] terms”.</w:t>
      </w:r>
      <w:r w:rsidR="0010463D">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 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w:t>
      </w:r>
      <w:r w:rsidRPr="00D10C94">
        <w:rPr>
          <w:rFonts w:ascii="Times New Roman" w:hAnsi="Times New Roman" w:cs="Times New Roman"/>
          <w:sz w:val="28"/>
          <w:szCs w:val="28"/>
          <w:lang w:val="en-US"/>
        </w:rPr>
        <w:t xml:space="preserve">para </w:t>
      </w:r>
      <w:hyperlink r:id="rId27" w:anchor="par36" w:history="1">
        <w:r w:rsidRPr="002E071B">
          <w:rPr>
            <w:rStyle w:val="Hyperlink"/>
            <w:rFonts w:ascii="Times New Roman" w:hAnsi="Times New Roman" w:cs="Times New Roman"/>
            <w:color w:val="auto"/>
            <w:sz w:val="28"/>
            <w:szCs w:val="28"/>
            <w:u w:val="none"/>
            <w:lang w:val="en-US"/>
          </w:rPr>
          <w:t>36</w:t>
        </w:r>
      </w:hyperlink>
      <w:r w:rsidRPr="00D10C94">
        <w:rPr>
          <w:rFonts w:ascii="Times New Roman" w:hAnsi="Times New Roman" w:cs="Times New Roman"/>
          <w:sz w:val="28"/>
          <w:szCs w:val="28"/>
        </w:rPr>
        <w:t>.</w:t>
      </w:r>
    </w:p>
    <w:p w14:paraId="392035D5" w14:textId="1FED6754" w:rsidR="00D10C94" w:rsidRPr="00D10C94" w:rsidRDefault="00D10C94" w:rsidP="000F6AF0">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Modern treaties, in other words, are “detailed documents and deference to their text is warranted.”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w:t>
      </w:r>
      <w:r w:rsidRPr="00D10C94">
        <w:rPr>
          <w:rFonts w:ascii="Times New Roman" w:hAnsi="Times New Roman" w:cs="Times New Roman"/>
          <w:sz w:val="28"/>
          <w:szCs w:val="28"/>
          <w:lang w:val="en-US"/>
        </w:rPr>
        <w:t xml:space="preserve">para </w:t>
      </w:r>
      <w:hyperlink r:id="rId28" w:anchor="par36" w:history="1">
        <w:r w:rsidRPr="00795911">
          <w:rPr>
            <w:rStyle w:val="Hyperlink"/>
            <w:rFonts w:ascii="Times New Roman" w:hAnsi="Times New Roman" w:cs="Times New Roman"/>
            <w:color w:val="auto"/>
            <w:sz w:val="28"/>
            <w:szCs w:val="28"/>
            <w:u w:val="none"/>
            <w:lang w:val="en-US"/>
          </w:rPr>
          <w:t>36</w:t>
        </w:r>
      </w:hyperlink>
      <w:r w:rsidRPr="00D10C94">
        <w:rPr>
          <w:rFonts w:ascii="Times New Roman" w:hAnsi="Times New Roman" w:cs="Times New Roman"/>
          <w:sz w:val="28"/>
          <w:szCs w:val="28"/>
        </w:rPr>
        <w:t>.</w:t>
      </w:r>
      <w:r w:rsidR="00816620">
        <w:rPr>
          <w:rFonts w:ascii="Times New Roman" w:hAnsi="Times New Roman" w:cs="Times New Roman"/>
          <w:sz w:val="28"/>
          <w:szCs w:val="28"/>
        </w:rPr>
        <w:t xml:space="preserve"> </w:t>
      </w:r>
      <w:r w:rsidRPr="00D10C94">
        <w:rPr>
          <w:rFonts w:ascii="Times New Roman" w:hAnsi="Times New Roman" w:cs="Times New Roman"/>
          <w:sz w:val="28"/>
          <w:szCs w:val="28"/>
        </w:rPr>
        <w:t xml:space="preserve"> Justice Karakatsanis explains:</w:t>
      </w:r>
    </w:p>
    <w:p w14:paraId="23BE09F7" w14:textId="1030E0E1" w:rsidR="00D10C94" w:rsidRPr="000F6AF0" w:rsidRDefault="00D10C94" w:rsidP="000F6AF0">
      <w:pPr>
        <w:pStyle w:val="ListParagraph"/>
        <w:spacing w:after="240" w:line="240" w:lineRule="auto"/>
        <w:ind w:left="567" w:right="571"/>
        <w:contextualSpacing w:val="0"/>
        <w:jc w:val="both"/>
        <w:rPr>
          <w:rFonts w:ascii="Times New Roman" w:hAnsi="Times New Roman" w:cs="Times New Roman"/>
          <w:sz w:val="24"/>
          <w:szCs w:val="24"/>
        </w:rPr>
      </w:pPr>
      <w:r w:rsidRPr="000F6AF0">
        <w:rPr>
          <w:rFonts w:ascii="Times New Roman" w:hAnsi="Times New Roman" w:cs="Times New Roman"/>
          <w:sz w:val="24"/>
          <w:szCs w:val="24"/>
        </w:rPr>
        <w:t xml:space="preserve">Paying close attention to the terms of a modern treaty means interpreting the provision at issue </w:t>
      </w:r>
      <w:proofErr w:type="gramStart"/>
      <w:r w:rsidRPr="000F6AF0">
        <w:rPr>
          <w:rFonts w:ascii="Times New Roman" w:hAnsi="Times New Roman" w:cs="Times New Roman"/>
          <w:sz w:val="24"/>
          <w:szCs w:val="24"/>
        </w:rPr>
        <w:t>in light of</w:t>
      </w:r>
      <w:proofErr w:type="gramEnd"/>
      <w:r w:rsidRPr="000F6AF0">
        <w:rPr>
          <w:rFonts w:ascii="Times New Roman" w:hAnsi="Times New Roman" w:cs="Times New Roman"/>
          <w:sz w:val="24"/>
          <w:szCs w:val="24"/>
        </w:rPr>
        <w:t xml:space="preserve"> the treaty text as a whole and the treaty’s objectives</w:t>
      </w:r>
      <w:r w:rsidR="00816620">
        <w:rPr>
          <w:rFonts w:ascii="Times New Roman" w:hAnsi="Times New Roman" w:cs="Times New Roman"/>
          <w:sz w:val="24"/>
          <w:szCs w:val="24"/>
        </w:rPr>
        <w:t xml:space="preserve"> </w:t>
      </w:r>
      <w:r w:rsidRPr="000F6AF0">
        <w:rPr>
          <w:rFonts w:ascii="Times New Roman" w:hAnsi="Times New Roman" w:cs="Times New Roman"/>
          <w:sz w:val="24"/>
          <w:szCs w:val="24"/>
        </w:rPr>
        <w:t xml:space="preserve">… Indeed, a </w:t>
      </w:r>
      <w:r w:rsidRPr="000F6AF0">
        <w:rPr>
          <w:rFonts w:ascii="Times New Roman" w:hAnsi="Times New Roman" w:cs="Times New Roman"/>
          <w:sz w:val="24"/>
          <w:szCs w:val="24"/>
        </w:rPr>
        <w:lastRenderedPageBreak/>
        <w:t xml:space="preserve">modern treaty will not accomplish its purpose of fostering positive, long-term relationships between Indigenous peoples and the Crown if it is interpreted “in an ungenerous manner or as if it were an everyday commercial </w:t>
      </w:r>
      <w:proofErr w:type="gramStart"/>
      <w:r w:rsidRPr="000F6AF0">
        <w:rPr>
          <w:rFonts w:ascii="Times New Roman" w:hAnsi="Times New Roman" w:cs="Times New Roman"/>
          <w:sz w:val="24"/>
          <w:szCs w:val="24"/>
        </w:rPr>
        <w:t>contract”…</w:t>
      </w:r>
      <w:proofErr w:type="gramEnd"/>
      <w:r w:rsidRPr="000F6AF0">
        <w:rPr>
          <w:rFonts w:ascii="Times New Roman" w:hAnsi="Times New Roman" w:cs="Times New Roman"/>
          <w:sz w:val="24"/>
          <w:szCs w:val="24"/>
        </w:rPr>
        <w:t xml:space="preserve"> Furthermore, while courts must “strive to respect [the] handiwork” of the parties to a modern treaty, this is always “subject to such constitutional limitations as the honour of the </w:t>
      </w:r>
      <w:proofErr w:type="gramStart"/>
      <w:r w:rsidRPr="000F6AF0">
        <w:rPr>
          <w:rFonts w:ascii="Times New Roman" w:hAnsi="Times New Roman" w:cs="Times New Roman"/>
          <w:sz w:val="24"/>
          <w:szCs w:val="24"/>
        </w:rPr>
        <w:t>Crown”...</w:t>
      </w:r>
      <w:proofErr w:type="gramEnd"/>
      <w:r w:rsidRPr="000F6AF0">
        <w:rPr>
          <w:rFonts w:ascii="Times New Roman" w:hAnsi="Times New Roman" w:cs="Times New Roman"/>
          <w:sz w:val="24"/>
          <w:szCs w:val="24"/>
        </w:rPr>
        <w:t xml:space="preserve"> </w:t>
      </w:r>
    </w:p>
    <w:p w14:paraId="7627755F" w14:textId="61E81B7A" w:rsidR="00D10C94" w:rsidRPr="000F6AF0" w:rsidRDefault="00D10C94" w:rsidP="000F6AF0">
      <w:pPr>
        <w:pStyle w:val="ListParagraph"/>
        <w:spacing w:after="240" w:line="240" w:lineRule="auto"/>
        <w:ind w:left="567" w:right="571"/>
        <w:contextualSpacing w:val="0"/>
        <w:jc w:val="both"/>
        <w:rPr>
          <w:rFonts w:ascii="Times New Roman" w:hAnsi="Times New Roman" w:cs="Times New Roman"/>
          <w:sz w:val="24"/>
          <w:szCs w:val="24"/>
        </w:rPr>
      </w:pPr>
      <w:r w:rsidRPr="000F6AF0">
        <w:rPr>
          <w:rFonts w:ascii="Times New Roman" w:hAnsi="Times New Roman" w:cs="Times New Roman"/>
          <w:sz w:val="24"/>
          <w:szCs w:val="24"/>
        </w:rPr>
        <w:t xml:space="preserve">By applying these interpretive principles, courts can help ensure that modern treaties will advance reconciliation. </w:t>
      </w:r>
      <w:r w:rsidR="00F416B1">
        <w:rPr>
          <w:rFonts w:ascii="Times New Roman" w:hAnsi="Times New Roman" w:cs="Times New Roman"/>
          <w:sz w:val="24"/>
          <w:szCs w:val="24"/>
        </w:rPr>
        <w:t xml:space="preserve"> </w:t>
      </w:r>
      <w:r w:rsidRPr="000F6AF0">
        <w:rPr>
          <w:rFonts w:ascii="Times New Roman" w:hAnsi="Times New Roman" w:cs="Times New Roman"/>
          <w:sz w:val="24"/>
          <w:szCs w:val="24"/>
        </w:rPr>
        <w:t xml:space="preserve">[...] </w:t>
      </w:r>
      <w:r w:rsidRPr="000F6AF0">
        <w:rPr>
          <w:rFonts w:ascii="Times New Roman" w:hAnsi="Times New Roman" w:cs="Times New Roman"/>
          <w:i/>
          <w:iCs/>
          <w:sz w:val="24"/>
          <w:szCs w:val="24"/>
        </w:rPr>
        <w:t xml:space="preserve">Nacho </w:t>
      </w:r>
      <w:proofErr w:type="spellStart"/>
      <w:r w:rsidRPr="000F6AF0">
        <w:rPr>
          <w:rFonts w:ascii="Times New Roman" w:hAnsi="Times New Roman" w:cs="Times New Roman"/>
          <w:i/>
          <w:iCs/>
          <w:sz w:val="24"/>
          <w:szCs w:val="24"/>
        </w:rPr>
        <w:t>Nyak</w:t>
      </w:r>
      <w:proofErr w:type="spellEnd"/>
      <w:r w:rsidRPr="000F6AF0">
        <w:rPr>
          <w:rFonts w:ascii="Times New Roman" w:hAnsi="Times New Roman" w:cs="Times New Roman"/>
          <w:i/>
          <w:iCs/>
          <w:sz w:val="24"/>
          <w:szCs w:val="24"/>
        </w:rPr>
        <w:t xml:space="preserve"> Dun</w:t>
      </w:r>
      <w:r w:rsidRPr="000F6AF0">
        <w:rPr>
          <w:rFonts w:ascii="Times New Roman" w:hAnsi="Times New Roman" w:cs="Times New Roman"/>
          <w:sz w:val="24"/>
          <w:szCs w:val="24"/>
        </w:rPr>
        <w:t xml:space="preserve">, </w:t>
      </w:r>
      <w:r w:rsidRPr="000F6AF0">
        <w:rPr>
          <w:rFonts w:ascii="Times New Roman" w:hAnsi="Times New Roman" w:cs="Times New Roman"/>
          <w:sz w:val="24"/>
          <w:szCs w:val="24"/>
          <w:lang w:val="en-US"/>
        </w:rPr>
        <w:t xml:space="preserve">at paras </w:t>
      </w:r>
      <w:hyperlink r:id="rId29" w:anchor="par37" w:history="1">
        <w:r w:rsidRPr="00795911">
          <w:rPr>
            <w:rStyle w:val="Hyperlink"/>
            <w:rFonts w:ascii="Times New Roman" w:hAnsi="Times New Roman" w:cs="Times New Roman"/>
            <w:color w:val="auto"/>
            <w:sz w:val="24"/>
            <w:szCs w:val="24"/>
            <w:u w:val="none"/>
            <w:lang w:val="en-US"/>
          </w:rPr>
          <w:t>37, 38</w:t>
        </w:r>
      </w:hyperlink>
      <w:r w:rsidRPr="000F6AF0">
        <w:rPr>
          <w:rFonts w:ascii="Times New Roman" w:hAnsi="Times New Roman" w:cs="Times New Roman"/>
          <w:sz w:val="24"/>
          <w:szCs w:val="24"/>
        </w:rPr>
        <w:t xml:space="preserve"> (citations omitted)</w:t>
      </w:r>
      <w:r w:rsidR="00F416B1">
        <w:rPr>
          <w:rFonts w:ascii="Times New Roman" w:hAnsi="Times New Roman" w:cs="Times New Roman"/>
          <w:sz w:val="24"/>
          <w:szCs w:val="24"/>
        </w:rPr>
        <w:t>.</w:t>
      </w:r>
    </w:p>
    <w:p w14:paraId="3161FB04" w14:textId="26D96842" w:rsidR="00D10C94" w:rsidRPr="00D10C94" w:rsidRDefault="00D10C94" w:rsidP="000F6AF0">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As constitutional documents, s. 35 of the </w:t>
      </w:r>
      <w:r w:rsidRPr="00D10C94">
        <w:rPr>
          <w:rFonts w:ascii="Times New Roman" w:hAnsi="Times New Roman" w:cs="Times New Roman"/>
          <w:i/>
          <w:iCs/>
          <w:sz w:val="28"/>
          <w:szCs w:val="28"/>
        </w:rPr>
        <w:t>Constitution Act, 1982</w:t>
      </w:r>
      <w:r w:rsidRPr="00D10C94">
        <w:rPr>
          <w:rFonts w:ascii="Times New Roman" w:hAnsi="Times New Roman" w:cs="Times New Roman"/>
          <w:sz w:val="28"/>
          <w:szCs w:val="28"/>
        </w:rPr>
        <w:t xml:space="preserve"> applies to modern treaties. </w:t>
      </w:r>
      <w:r w:rsidR="00FF4B2F">
        <w:rPr>
          <w:rFonts w:ascii="Times New Roman" w:hAnsi="Times New Roman" w:cs="Times New Roman"/>
          <w:sz w:val="28"/>
          <w:szCs w:val="28"/>
        </w:rPr>
        <w:t xml:space="preserve"> </w:t>
      </w:r>
      <w:r w:rsidRPr="00D10C94">
        <w:rPr>
          <w:rFonts w:ascii="Times New Roman" w:hAnsi="Times New Roman" w:cs="Times New Roman"/>
          <w:sz w:val="28"/>
          <w:szCs w:val="28"/>
        </w:rPr>
        <w:t>The honour of the Crown, codified in s. 35, is relevant in this case; it is well accepted that "the honour of the Crown infuses every treaty and the performance of every treaty obligation."</w:t>
      </w:r>
      <w:r w:rsidR="00FF4B2F">
        <w:rPr>
          <w:rFonts w:ascii="Times New Roman" w:hAnsi="Times New Roman" w:cs="Times New Roman"/>
          <w:sz w:val="28"/>
          <w:szCs w:val="28"/>
        </w:rPr>
        <w:t xml:space="preserve"> </w:t>
      </w:r>
      <w:r w:rsidRPr="00D10C94">
        <w:rPr>
          <w:rFonts w:ascii="Times New Roman" w:hAnsi="Times New Roman" w:cs="Times New Roman"/>
          <w:sz w:val="28"/>
          <w:szCs w:val="28"/>
        </w:rPr>
        <w:t xml:space="preserve"> </w:t>
      </w:r>
      <w:proofErr w:type="spellStart"/>
      <w:r w:rsidRPr="00D10C94">
        <w:rPr>
          <w:rFonts w:ascii="Times New Roman" w:hAnsi="Times New Roman" w:cs="Times New Roman"/>
          <w:i/>
          <w:iCs/>
          <w:sz w:val="28"/>
          <w:szCs w:val="28"/>
        </w:rPr>
        <w:t>Mikisew</w:t>
      </w:r>
      <w:proofErr w:type="spellEnd"/>
      <w:r w:rsidRPr="00D10C94">
        <w:rPr>
          <w:rFonts w:ascii="Times New Roman" w:hAnsi="Times New Roman" w:cs="Times New Roman"/>
          <w:i/>
          <w:iCs/>
          <w:sz w:val="28"/>
          <w:szCs w:val="28"/>
        </w:rPr>
        <w:t xml:space="preserve"> Cree First Nation v Canada </w:t>
      </w:r>
      <w:r w:rsidR="001C57DA">
        <w:rPr>
          <w:rFonts w:ascii="Times New Roman" w:hAnsi="Times New Roman" w:cs="Times New Roman"/>
          <w:i/>
          <w:iCs/>
          <w:sz w:val="28"/>
          <w:szCs w:val="28"/>
        </w:rPr>
        <w:t>(</w:t>
      </w:r>
      <w:r w:rsidRPr="00E81A20">
        <w:rPr>
          <w:rFonts w:ascii="Times New Roman" w:hAnsi="Times New Roman" w:cs="Times New Roman"/>
          <w:i/>
          <w:iCs/>
          <w:sz w:val="28"/>
          <w:szCs w:val="28"/>
        </w:rPr>
        <w:t>Minister of Canadian Heritage</w:t>
      </w:r>
      <w:r w:rsidR="001C57DA">
        <w:rPr>
          <w:rFonts w:ascii="Times New Roman" w:hAnsi="Times New Roman" w:cs="Times New Roman"/>
          <w:i/>
          <w:iCs/>
          <w:sz w:val="28"/>
          <w:szCs w:val="28"/>
        </w:rPr>
        <w:t>)</w:t>
      </w:r>
      <w:r w:rsidRPr="00D10C94">
        <w:rPr>
          <w:rFonts w:ascii="Times New Roman" w:hAnsi="Times New Roman" w:cs="Times New Roman"/>
          <w:i/>
          <w:iCs/>
          <w:sz w:val="28"/>
          <w:szCs w:val="28"/>
        </w:rPr>
        <w:t>,</w:t>
      </w:r>
      <w:r w:rsidRPr="00D10C94">
        <w:rPr>
          <w:rFonts w:ascii="Times New Roman" w:hAnsi="Times New Roman" w:cs="Times New Roman"/>
          <w:sz w:val="28"/>
          <w:szCs w:val="28"/>
        </w:rPr>
        <w:t xml:space="preserve"> </w:t>
      </w:r>
      <w:hyperlink r:id="rId30" w:history="1">
        <w:r w:rsidRPr="00795911">
          <w:rPr>
            <w:rStyle w:val="Hyperlink"/>
            <w:rFonts w:ascii="Times New Roman" w:hAnsi="Times New Roman" w:cs="Times New Roman"/>
            <w:color w:val="auto"/>
            <w:sz w:val="28"/>
            <w:szCs w:val="28"/>
            <w:u w:val="none"/>
          </w:rPr>
          <w:t>2005 SCC 69</w:t>
        </w:r>
      </w:hyperlink>
      <w:r w:rsidRPr="00D10C94">
        <w:rPr>
          <w:rFonts w:ascii="Times New Roman" w:hAnsi="Times New Roman" w:cs="Times New Roman"/>
          <w:sz w:val="28"/>
          <w:szCs w:val="28"/>
        </w:rPr>
        <w:t>, at para</w:t>
      </w:r>
      <w:hyperlink r:id="rId31" w:anchor="par57" w:history="1">
        <w:r w:rsidR="00795911" w:rsidRPr="00795911">
          <w:rPr>
            <w:rStyle w:val="Hyperlink"/>
            <w:rFonts w:ascii="Times New Roman" w:hAnsi="Times New Roman" w:cs="Times New Roman"/>
            <w:sz w:val="28"/>
            <w:szCs w:val="28"/>
            <w:u w:val="none"/>
          </w:rPr>
          <w:t xml:space="preserve"> </w:t>
        </w:r>
        <w:r w:rsidRPr="00795911">
          <w:rPr>
            <w:rStyle w:val="Hyperlink"/>
            <w:rFonts w:ascii="Times New Roman" w:hAnsi="Times New Roman" w:cs="Times New Roman"/>
            <w:color w:val="auto"/>
            <w:sz w:val="28"/>
            <w:szCs w:val="28"/>
            <w:u w:val="none"/>
          </w:rPr>
          <w:t>57</w:t>
        </w:r>
      </w:hyperlink>
      <w:r w:rsidRPr="00D10C94">
        <w:rPr>
          <w:rFonts w:ascii="Times New Roman" w:hAnsi="Times New Roman" w:cs="Times New Roman"/>
          <w:sz w:val="28"/>
          <w:szCs w:val="28"/>
        </w:rPr>
        <w:t>.</w:t>
      </w:r>
      <w:r w:rsidR="00FF4B2F">
        <w:rPr>
          <w:rFonts w:ascii="Times New Roman" w:hAnsi="Times New Roman" w:cs="Times New Roman"/>
          <w:sz w:val="28"/>
          <w:szCs w:val="28"/>
        </w:rPr>
        <w:t xml:space="preserve"> </w:t>
      </w:r>
      <w:r w:rsidRPr="00D10C94">
        <w:rPr>
          <w:rFonts w:ascii="Times New Roman" w:hAnsi="Times New Roman" w:cs="Times New Roman"/>
          <w:sz w:val="28"/>
          <w:szCs w:val="28"/>
        </w:rPr>
        <w:t xml:space="preserve"> Section 35 both codifies the rights of Indigenous peoples and facilitates the reconciliation of these rights with the sovereignty of the Crown. </w:t>
      </w:r>
      <w:r w:rsidR="00FF4B2F">
        <w:rPr>
          <w:rFonts w:ascii="Times New Roman" w:hAnsi="Times New Roman" w:cs="Times New Roman"/>
          <w:sz w:val="28"/>
          <w:szCs w:val="28"/>
        </w:rPr>
        <w:t xml:space="preserve"> </w:t>
      </w:r>
      <w:r w:rsidRPr="00D10C94">
        <w:rPr>
          <w:rFonts w:ascii="Times New Roman" w:hAnsi="Times New Roman" w:cs="Times New Roman"/>
          <w:sz w:val="28"/>
          <w:szCs w:val="28"/>
        </w:rPr>
        <w:t>This is evident in the fact that s. 35 has dual purposes</w:t>
      </w:r>
      <w:proofErr w:type="gramStart"/>
      <w:r w:rsidRPr="00D10C94">
        <w:rPr>
          <w:rFonts w:ascii="Times New Roman" w:hAnsi="Times New Roman" w:cs="Times New Roman"/>
          <w:sz w:val="28"/>
          <w:szCs w:val="28"/>
        </w:rPr>
        <w:t>:</w:t>
      </w:r>
      <w:r w:rsidR="00FF4B2F">
        <w:rPr>
          <w:rFonts w:ascii="Times New Roman" w:hAnsi="Times New Roman" w:cs="Times New Roman"/>
          <w:sz w:val="28"/>
          <w:szCs w:val="28"/>
        </w:rPr>
        <w:t xml:space="preserve"> </w:t>
      </w:r>
      <w:r w:rsidRPr="00D10C94">
        <w:rPr>
          <w:rFonts w:ascii="Times New Roman" w:hAnsi="Times New Roman" w:cs="Times New Roman"/>
          <w:sz w:val="28"/>
          <w:szCs w:val="28"/>
        </w:rPr>
        <w:t xml:space="preserve"> “</w:t>
      </w:r>
      <w:proofErr w:type="gramEnd"/>
      <w:r w:rsidRPr="00D10C94">
        <w:rPr>
          <w:rFonts w:ascii="Times New Roman" w:hAnsi="Times New Roman" w:cs="Times New Roman"/>
          <w:sz w:val="28"/>
          <w:szCs w:val="28"/>
        </w:rPr>
        <w:t>to recognize the prior occupation of Canada by organized, autonomous societies and to reconcile their modern-day existence with the Crown’s assertion of sovereignty over them.”</w:t>
      </w:r>
      <w:r w:rsidRPr="00D10C94">
        <w:rPr>
          <w:rFonts w:ascii="Times New Roman" w:hAnsi="Times New Roman" w:cs="Times New Roman"/>
          <w:i/>
          <w:iCs/>
          <w:sz w:val="28"/>
          <w:szCs w:val="28"/>
        </w:rPr>
        <w:t xml:space="preserve"> R v </w:t>
      </w:r>
      <w:proofErr w:type="spellStart"/>
      <w:r w:rsidRPr="00D10C94">
        <w:rPr>
          <w:rFonts w:ascii="Times New Roman" w:hAnsi="Times New Roman" w:cs="Times New Roman"/>
          <w:i/>
          <w:iCs/>
          <w:sz w:val="28"/>
          <w:szCs w:val="28"/>
        </w:rPr>
        <w:t>Desautel</w:t>
      </w:r>
      <w:proofErr w:type="spellEnd"/>
      <w:r w:rsidRPr="00D10C94">
        <w:rPr>
          <w:rFonts w:ascii="Times New Roman" w:hAnsi="Times New Roman" w:cs="Times New Roman"/>
          <w:i/>
          <w:iCs/>
          <w:sz w:val="28"/>
          <w:szCs w:val="28"/>
        </w:rPr>
        <w:t>,</w:t>
      </w:r>
      <w:r w:rsidRPr="00D10C94">
        <w:rPr>
          <w:rFonts w:ascii="Times New Roman" w:hAnsi="Times New Roman" w:cs="Times New Roman"/>
          <w:sz w:val="28"/>
          <w:szCs w:val="28"/>
        </w:rPr>
        <w:t xml:space="preserve"> </w:t>
      </w:r>
      <w:hyperlink r:id="rId32" w:history="1">
        <w:r w:rsidRPr="00795911">
          <w:rPr>
            <w:rStyle w:val="Hyperlink"/>
            <w:rFonts w:ascii="Times New Roman" w:hAnsi="Times New Roman" w:cs="Times New Roman"/>
            <w:color w:val="auto"/>
            <w:sz w:val="28"/>
            <w:szCs w:val="28"/>
            <w:u w:val="none"/>
          </w:rPr>
          <w:t>2021 SCC 17</w:t>
        </w:r>
      </w:hyperlink>
      <w:r w:rsidRPr="00D10C94">
        <w:rPr>
          <w:rFonts w:ascii="Times New Roman" w:hAnsi="Times New Roman" w:cs="Times New Roman"/>
          <w:i/>
          <w:iCs/>
          <w:sz w:val="28"/>
          <w:szCs w:val="28"/>
        </w:rPr>
        <w:t>,</w:t>
      </w:r>
      <w:r w:rsidRPr="00D10C94">
        <w:rPr>
          <w:rFonts w:ascii="Times New Roman" w:hAnsi="Times New Roman" w:cs="Times New Roman"/>
          <w:sz w:val="28"/>
          <w:szCs w:val="28"/>
        </w:rPr>
        <w:t xml:space="preserve"> at para </w:t>
      </w:r>
      <w:hyperlink r:id="rId33" w:anchor="par22" w:history="1">
        <w:r w:rsidRPr="00795911">
          <w:rPr>
            <w:rStyle w:val="Hyperlink"/>
            <w:rFonts w:ascii="Times New Roman" w:hAnsi="Times New Roman" w:cs="Times New Roman"/>
            <w:color w:val="auto"/>
            <w:sz w:val="28"/>
            <w:szCs w:val="28"/>
            <w:u w:val="none"/>
          </w:rPr>
          <w:t>22</w:t>
        </w:r>
      </w:hyperlink>
      <w:r w:rsidRPr="00D10C94">
        <w:rPr>
          <w:rFonts w:ascii="Times New Roman" w:hAnsi="Times New Roman" w:cs="Times New Roman"/>
          <w:sz w:val="28"/>
          <w:szCs w:val="28"/>
        </w:rPr>
        <w:t xml:space="preserve">.  Reconciliation is thus the basis of the “legal approach to treaty rights” </w:t>
      </w:r>
      <w:proofErr w:type="gramStart"/>
      <w:r w:rsidRPr="00D10C94">
        <w:rPr>
          <w:rFonts w:ascii="Times New Roman" w:hAnsi="Times New Roman" w:cs="Times New Roman"/>
          <w:sz w:val="28"/>
          <w:szCs w:val="28"/>
        </w:rPr>
        <w:t>and also</w:t>
      </w:r>
      <w:proofErr w:type="gramEnd"/>
      <w:r w:rsidRPr="00D10C94">
        <w:rPr>
          <w:rFonts w:ascii="Times New Roman" w:hAnsi="Times New Roman" w:cs="Times New Roman"/>
          <w:sz w:val="28"/>
          <w:szCs w:val="28"/>
        </w:rPr>
        <w:t xml:space="preserve"> of the “overarching purpose” of treaty making and, perforce, treaty promises.” </w:t>
      </w:r>
      <w:r w:rsidRPr="00D10C94">
        <w:rPr>
          <w:rFonts w:ascii="Times New Roman" w:hAnsi="Times New Roman" w:cs="Times New Roman"/>
          <w:i/>
          <w:iCs/>
          <w:sz w:val="28"/>
          <w:szCs w:val="28"/>
        </w:rPr>
        <w:t xml:space="preserve">Manitoba Metis Federation Inc v Canada </w:t>
      </w:r>
      <w:r w:rsidR="00B77A8B">
        <w:rPr>
          <w:rFonts w:ascii="Times New Roman" w:hAnsi="Times New Roman" w:cs="Times New Roman"/>
          <w:i/>
          <w:iCs/>
          <w:sz w:val="28"/>
          <w:szCs w:val="28"/>
        </w:rPr>
        <w:t>(</w:t>
      </w:r>
      <w:r w:rsidRPr="00D10C94">
        <w:rPr>
          <w:rFonts w:ascii="Times New Roman" w:hAnsi="Times New Roman" w:cs="Times New Roman"/>
          <w:i/>
          <w:iCs/>
          <w:sz w:val="28"/>
          <w:szCs w:val="28"/>
        </w:rPr>
        <w:t>Attorney General</w:t>
      </w:r>
      <w:r w:rsidR="00B77A8B">
        <w:rPr>
          <w:rFonts w:ascii="Times New Roman" w:hAnsi="Times New Roman" w:cs="Times New Roman"/>
          <w:i/>
          <w:iCs/>
          <w:sz w:val="28"/>
          <w:szCs w:val="28"/>
        </w:rPr>
        <w:t>)</w:t>
      </w:r>
      <w:r w:rsidRPr="00D10C94">
        <w:rPr>
          <w:rFonts w:ascii="Times New Roman" w:hAnsi="Times New Roman" w:cs="Times New Roman"/>
          <w:i/>
          <w:iCs/>
          <w:sz w:val="28"/>
          <w:szCs w:val="28"/>
        </w:rPr>
        <w:t>,</w:t>
      </w:r>
      <w:r w:rsidRPr="00D10C94">
        <w:rPr>
          <w:rFonts w:ascii="Times New Roman" w:hAnsi="Times New Roman" w:cs="Times New Roman"/>
          <w:sz w:val="28"/>
          <w:szCs w:val="28"/>
        </w:rPr>
        <w:t xml:space="preserve"> </w:t>
      </w:r>
      <w:hyperlink r:id="rId34" w:history="1">
        <w:r w:rsidRPr="00795911">
          <w:rPr>
            <w:rStyle w:val="Hyperlink"/>
            <w:rFonts w:ascii="Times New Roman" w:hAnsi="Times New Roman" w:cs="Times New Roman"/>
            <w:color w:val="auto"/>
            <w:sz w:val="28"/>
            <w:szCs w:val="28"/>
            <w:u w:val="none"/>
          </w:rPr>
          <w:t>2013 SCC 14</w:t>
        </w:r>
      </w:hyperlink>
      <w:r w:rsidRPr="00D10C94">
        <w:rPr>
          <w:rFonts w:ascii="Times New Roman" w:hAnsi="Times New Roman" w:cs="Times New Roman"/>
          <w:sz w:val="28"/>
          <w:szCs w:val="28"/>
        </w:rPr>
        <w:t xml:space="preserve">, at para </w:t>
      </w:r>
      <w:hyperlink r:id="rId35" w:anchor="par71" w:history="1">
        <w:r w:rsidRPr="00795911">
          <w:rPr>
            <w:rStyle w:val="Hyperlink"/>
            <w:rFonts w:ascii="Times New Roman" w:hAnsi="Times New Roman" w:cs="Times New Roman"/>
            <w:color w:val="auto"/>
            <w:sz w:val="28"/>
            <w:szCs w:val="28"/>
            <w:u w:val="none"/>
          </w:rPr>
          <w:t>71</w:t>
        </w:r>
      </w:hyperlink>
      <w:r w:rsidRPr="00D10C94">
        <w:rPr>
          <w:rFonts w:ascii="Times New Roman" w:hAnsi="Times New Roman" w:cs="Times New Roman"/>
          <w:sz w:val="28"/>
          <w:szCs w:val="28"/>
        </w:rPr>
        <w:t xml:space="preserve">.  Modern treaties can aid in reconciliation, “as expressions of partnership between nations, modern treaties play a critical role in fostering reconciliation. </w:t>
      </w:r>
      <w:r w:rsidR="00A74A95">
        <w:rPr>
          <w:rFonts w:ascii="Times New Roman" w:hAnsi="Times New Roman" w:cs="Times New Roman"/>
          <w:sz w:val="28"/>
          <w:szCs w:val="28"/>
        </w:rPr>
        <w:t xml:space="preserve"> </w:t>
      </w:r>
      <w:r w:rsidRPr="00D10C94">
        <w:rPr>
          <w:rFonts w:ascii="Times New Roman" w:hAnsi="Times New Roman" w:cs="Times New Roman"/>
          <w:sz w:val="28"/>
          <w:szCs w:val="28"/>
        </w:rPr>
        <w:t xml:space="preserve">Through s. 35 of the </w:t>
      </w:r>
      <w:r w:rsidRPr="00D10C94">
        <w:rPr>
          <w:rFonts w:ascii="Times New Roman" w:hAnsi="Times New Roman" w:cs="Times New Roman"/>
          <w:i/>
          <w:iCs/>
          <w:sz w:val="28"/>
          <w:szCs w:val="28"/>
        </w:rPr>
        <w:t>Constitution Act, 1982,</w:t>
      </w:r>
      <w:r w:rsidRPr="00D10C94">
        <w:rPr>
          <w:rFonts w:ascii="Times New Roman" w:hAnsi="Times New Roman" w:cs="Times New Roman"/>
          <w:sz w:val="28"/>
          <w:szCs w:val="28"/>
        </w:rPr>
        <w:t xml:space="preserve"> they have assumed a vital place in our constitutional fabric.</w:t>
      </w:r>
      <w:r w:rsidR="00A74A95">
        <w:rPr>
          <w:rFonts w:ascii="Times New Roman" w:hAnsi="Times New Roman" w:cs="Times New Roman"/>
          <w:sz w:val="28"/>
          <w:szCs w:val="28"/>
        </w:rPr>
        <w:t xml:space="preserve"> </w:t>
      </w:r>
      <w:r w:rsidRPr="00D10C94">
        <w:rPr>
          <w:rFonts w:ascii="Times New Roman" w:hAnsi="Times New Roman" w:cs="Times New Roman"/>
          <w:sz w:val="28"/>
          <w:szCs w:val="28"/>
        </w:rPr>
        <w:t xml:space="preserve"> Negotiating modern treaties</w:t>
      </w:r>
      <w:r w:rsidR="00B73981">
        <w:rPr>
          <w:rFonts w:ascii="Times New Roman" w:hAnsi="Times New Roman" w:cs="Times New Roman"/>
          <w:sz w:val="28"/>
          <w:szCs w:val="28"/>
        </w:rPr>
        <w:t xml:space="preserve"> </w:t>
      </w:r>
      <w:r w:rsidRPr="00D10C94">
        <w:rPr>
          <w:rFonts w:ascii="Times New Roman" w:hAnsi="Times New Roman" w:cs="Times New Roman"/>
          <w:sz w:val="28"/>
          <w:szCs w:val="28"/>
        </w:rPr>
        <w:t xml:space="preserve">and living by the mutual rights and responsibilities they set out, has the potential to forge a renewed relationship between the Crown and Indigenous peoples.” </w:t>
      </w:r>
      <w:r w:rsidR="00A74A95">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w:t>
      </w:r>
      <w:r w:rsidRPr="00D10C94">
        <w:rPr>
          <w:rFonts w:ascii="Times New Roman" w:hAnsi="Times New Roman" w:cs="Times New Roman"/>
          <w:sz w:val="28"/>
          <w:szCs w:val="28"/>
          <w:lang w:val="en-US"/>
        </w:rPr>
        <w:t>para</w:t>
      </w:r>
      <w:r w:rsidRPr="00D10C94">
        <w:rPr>
          <w:rFonts w:ascii="Times New Roman" w:hAnsi="Times New Roman" w:cs="Times New Roman"/>
          <w:sz w:val="28"/>
          <w:szCs w:val="28"/>
        </w:rPr>
        <w:t xml:space="preserve"> </w:t>
      </w:r>
      <w:hyperlink r:id="rId36" w:anchor="par1" w:history="1">
        <w:r w:rsidRPr="00795911">
          <w:rPr>
            <w:rStyle w:val="Hyperlink"/>
            <w:rFonts w:ascii="Times New Roman" w:hAnsi="Times New Roman" w:cs="Times New Roman"/>
            <w:color w:val="auto"/>
            <w:sz w:val="28"/>
            <w:szCs w:val="28"/>
            <w:u w:val="none"/>
          </w:rPr>
          <w:t>1</w:t>
        </w:r>
      </w:hyperlink>
      <w:r w:rsidR="00324D3C">
        <w:rPr>
          <w:rFonts w:ascii="Times New Roman" w:hAnsi="Times New Roman" w:cs="Times New Roman"/>
          <w:sz w:val="28"/>
          <w:szCs w:val="28"/>
        </w:rPr>
        <w:t xml:space="preserve">.  </w:t>
      </w:r>
      <w:r w:rsidRPr="00D10C94">
        <w:rPr>
          <w:rFonts w:ascii="Times New Roman" w:hAnsi="Times New Roman" w:cs="Times New Roman"/>
          <w:sz w:val="28"/>
          <w:szCs w:val="28"/>
        </w:rPr>
        <w:t xml:space="preserve">Thus, the objective of reconciliation is an “ongoing project” underlying both the development and the implementation of treaties. </w:t>
      </w:r>
      <w:r w:rsidR="00324D3C">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Southwind v Canada, </w:t>
      </w:r>
      <w:hyperlink r:id="rId37" w:history="1">
        <w:r w:rsidRPr="00795911">
          <w:rPr>
            <w:rStyle w:val="Hyperlink"/>
            <w:rFonts w:ascii="Times New Roman" w:hAnsi="Times New Roman" w:cs="Times New Roman"/>
            <w:color w:val="auto"/>
            <w:sz w:val="28"/>
            <w:szCs w:val="28"/>
            <w:u w:val="none"/>
          </w:rPr>
          <w:t>2021 SCC 28</w:t>
        </w:r>
      </w:hyperlink>
      <w:r w:rsidRPr="00D10C94">
        <w:rPr>
          <w:rFonts w:ascii="Times New Roman" w:hAnsi="Times New Roman" w:cs="Times New Roman"/>
          <w:sz w:val="28"/>
          <w:szCs w:val="28"/>
        </w:rPr>
        <w:t xml:space="preserve">, at para </w:t>
      </w:r>
      <w:hyperlink r:id="rId38" w:anchor="par55" w:history="1">
        <w:r w:rsidRPr="00795911">
          <w:rPr>
            <w:rStyle w:val="Hyperlink"/>
            <w:rFonts w:ascii="Times New Roman" w:hAnsi="Times New Roman" w:cs="Times New Roman"/>
            <w:color w:val="auto"/>
            <w:sz w:val="28"/>
            <w:szCs w:val="28"/>
            <w:u w:val="none"/>
          </w:rPr>
          <w:t>55</w:t>
        </w:r>
      </w:hyperlink>
      <w:r w:rsidRPr="00D10C94">
        <w:rPr>
          <w:rFonts w:ascii="Times New Roman" w:hAnsi="Times New Roman" w:cs="Times New Roman"/>
          <w:sz w:val="28"/>
          <w:szCs w:val="28"/>
        </w:rPr>
        <w:t xml:space="preserve">, citing </w:t>
      </w:r>
      <w:r w:rsidRPr="00D10C94">
        <w:rPr>
          <w:rFonts w:ascii="Times New Roman" w:hAnsi="Times New Roman" w:cs="Times New Roman"/>
          <w:i/>
          <w:iCs/>
          <w:sz w:val="28"/>
          <w:szCs w:val="28"/>
        </w:rPr>
        <w:t>Beckman v Little Salmon/</w:t>
      </w:r>
      <w:proofErr w:type="spellStart"/>
      <w:r w:rsidRPr="00D10C94">
        <w:rPr>
          <w:rFonts w:ascii="Times New Roman" w:hAnsi="Times New Roman" w:cs="Times New Roman"/>
          <w:i/>
          <w:iCs/>
          <w:sz w:val="28"/>
          <w:szCs w:val="28"/>
        </w:rPr>
        <w:t>Carmacks</w:t>
      </w:r>
      <w:proofErr w:type="spellEnd"/>
      <w:r w:rsidRPr="00D10C94">
        <w:rPr>
          <w:rFonts w:ascii="Times New Roman" w:hAnsi="Times New Roman" w:cs="Times New Roman"/>
          <w:i/>
          <w:iCs/>
          <w:sz w:val="28"/>
          <w:szCs w:val="28"/>
        </w:rPr>
        <w:t xml:space="preserve"> First Nation,</w:t>
      </w:r>
      <w:r w:rsidRPr="00D10C94">
        <w:rPr>
          <w:rFonts w:ascii="Times New Roman" w:hAnsi="Times New Roman" w:cs="Times New Roman"/>
          <w:sz w:val="28"/>
          <w:szCs w:val="28"/>
        </w:rPr>
        <w:t xml:space="preserve"> </w:t>
      </w:r>
      <w:hyperlink r:id="rId39" w:history="1">
        <w:r w:rsidRPr="00795911">
          <w:rPr>
            <w:rStyle w:val="Hyperlink"/>
            <w:rFonts w:ascii="Times New Roman" w:hAnsi="Times New Roman" w:cs="Times New Roman"/>
            <w:color w:val="auto"/>
            <w:sz w:val="28"/>
            <w:szCs w:val="28"/>
            <w:u w:val="none"/>
          </w:rPr>
          <w:t>2010 SCC 53</w:t>
        </w:r>
      </w:hyperlink>
      <w:r w:rsidRPr="00D10C94">
        <w:rPr>
          <w:rFonts w:ascii="Times New Roman" w:hAnsi="Times New Roman" w:cs="Times New Roman"/>
          <w:sz w:val="28"/>
          <w:szCs w:val="28"/>
        </w:rPr>
        <w:t xml:space="preserve">, at para </w:t>
      </w:r>
      <w:hyperlink r:id="rId40" w:anchor="par10" w:history="1">
        <w:r w:rsidRPr="00795911">
          <w:rPr>
            <w:rStyle w:val="Hyperlink"/>
            <w:rFonts w:ascii="Times New Roman" w:hAnsi="Times New Roman" w:cs="Times New Roman"/>
            <w:color w:val="auto"/>
            <w:sz w:val="28"/>
            <w:szCs w:val="28"/>
            <w:u w:val="none"/>
          </w:rPr>
          <w:t>10</w:t>
        </w:r>
      </w:hyperlink>
      <w:r w:rsidR="002B0442">
        <w:rPr>
          <w:rStyle w:val="Hyperlink"/>
          <w:rFonts w:ascii="Times New Roman" w:hAnsi="Times New Roman" w:cs="Times New Roman"/>
          <w:color w:val="auto"/>
          <w:sz w:val="28"/>
          <w:szCs w:val="28"/>
          <w:u w:val="none"/>
        </w:rPr>
        <w:t>.</w:t>
      </w:r>
    </w:p>
    <w:p w14:paraId="16E7A7EA" w14:textId="0659A2C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But, as with other constitutional rights, treaty rights are not absolute and may be subject to justifiable infringement. </w:t>
      </w:r>
      <w:r w:rsidR="00324D3C">
        <w:rPr>
          <w:rFonts w:ascii="Times New Roman" w:hAnsi="Times New Roman" w:cs="Times New Roman"/>
          <w:sz w:val="28"/>
          <w:szCs w:val="28"/>
        </w:rPr>
        <w:t xml:space="preserve"> </w:t>
      </w:r>
      <w:r w:rsidRPr="00D10C94">
        <w:rPr>
          <w:rFonts w:ascii="Times New Roman" w:hAnsi="Times New Roman" w:cs="Times New Roman"/>
          <w:i/>
          <w:iCs/>
          <w:sz w:val="28"/>
          <w:szCs w:val="28"/>
        </w:rPr>
        <w:t>R v Sparrow</w:t>
      </w:r>
      <w:r w:rsidRPr="00D10C94">
        <w:rPr>
          <w:rFonts w:ascii="Times New Roman" w:hAnsi="Times New Roman" w:cs="Times New Roman"/>
          <w:sz w:val="28"/>
          <w:szCs w:val="28"/>
        </w:rPr>
        <w:t xml:space="preserve">, </w:t>
      </w:r>
      <w:hyperlink r:id="rId41" w:history="1">
        <w:r w:rsidRPr="005872A7">
          <w:rPr>
            <w:rStyle w:val="Hyperlink"/>
            <w:rFonts w:ascii="Times New Roman" w:hAnsi="Times New Roman" w:cs="Times New Roman"/>
            <w:color w:val="auto"/>
            <w:sz w:val="28"/>
            <w:szCs w:val="28"/>
            <w:u w:val="none"/>
          </w:rPr>
          <w:t>1990 CanLII 104</w:t>
        </w:r>
      </w:hyperlink>
      <w:r w:rsidRPr="00D10C94">
        <w:rPr>
          <w:rFonts w:ascii="Times New Roman" w:hAnsi="Times New Roman" w:cs="Times New Roman"/>
          <w:sz w:val="28"/>
          <w:szCs w:val="28"/>
        </w:rPr>
        <w:t xml:space="preserve"> (SCC)</w:t>
      </w:r>
      <w:r w:rsidR="002B0442">
        <w:rPr>
          <w:rFonts w:ascii="Times New Roman" w:hAnsi="Times New Roman" w:cs="Times New Roman"/>
          <w:sz w:val="28"/>
          <w:szCs w:val="28"/>
        </w:rPr>
        <w:t>.</w:t>
      </w:r>
    </w:p>
    <w:p w14:paraId="50217F38" w14:textId="48175850"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A Treaty imposes a special duty on the Crown, which must act honourably in the negotiation, </w:t>
      </w:r>
      <w:proofErr w:type="gramStart"/>
      <w:r w:rsidRPr="00D10C94">
        <w:rPr>
          <w:rFonts w:ascii="Times New Roman" w:hAnsi="Times New Roman" w:cs="Times New Roman"/>
          <w:sz w:val="28"/>
          <w:szCs w:val="28"/>
        </w:rPr>
        <w:t>interpretation</w:t>
      </w:r>
      <w:proofErr w:type="gramEnd"/>
      <w:r w:rsidRPr="00D10C94">
        <w:rPr>
          <w:rFonts w:ascii="Times New Roman" w:hAnsi="Times New Roman" w:cs="Times New Roman"/>
          <w:sz w:val="28"/>
          <w:szCs w:val="28"/>
        </w:rPr>
        <w:t xml:space="preserve"> and implementation of treaties.</w:t>
      </w:r>
      <w:r w:rsidR="00324D3C">
        <w:rPr>
          <w:rFonts w:ascii="Times New Roman" w:hAnsi="Times New Roman" w:cs="Times New Roman"/>
          <w:sz w:val="28"/>
          <w:szCs w:val="28"/>
        </w:rPr>
        <w:t xml:space="preserve"> </w:t>
      </w:r>
      <w:r w:rsidRPr="00D10C94">
        <w:rPr>
          <w:rFonts w:ascii="Times New Roman" w:hAnsi="Times New Roman" w:cs="Times New Roman"/>
          <w:sz w:val="28"/>
          <w:szCs w:val="28"/>
        </w:rPr>
        <w:t xml:space="preserve"> To do otherwise could leave the other parties to the Treaty with only the “empty shell of a treaty </w:t>
      </w:r>
      <w:proofErr w:type="gramStart"/>
      <w:r w:rsidRPr="00D10C94">
        <w:rPr>
          <w:rFonts w:ascii="Times New Roman" w:hAnsi="Times New Roman" w:cs="Times New Roman"/>
          <w:sz w:val="28"/>
          <w:szCs w:val="28"/>
        </w:rPr>
        <w:t>promise</w:t>
      </w:r>
      <w:proofErr w:type="gramEnd"/>
      <w:r w:rsidRPr="00D10C94">
        <w:rPr>
          <w:rFonts w:ascii="Times New Roman" w:hAnsi="Times New Roman" w:cs="Times New Roman"/>
          <w:sz w:val="28"/>
          <w:szCs w:val="28"/>
        </w:rPr>
        <w:t xml:space="preserve">.” </w:t>
      </w:r>
      <w:r w:rsidR="000E5221">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Manitoba Metis, </w:t>
      </w:r>
      <w:r w:rsidRPr="00D10C94">
        <w:rPr>
          <w:rFonts w:ascii="Times New Roman" w:hAnsi="Times New Roman" w:cs="Times New Roman"/>
          <w:sz w:val="28"/>
          <w:szCs w:val="28"/>
        </w:rPr>
        <w:t xml:space="preserve">at para </w:t>
      </w:r>
      <w:hyperlink r:id="rId42" w:anchor="par80" w:history="1">
        <w:r w:rsidRPr="005872A7">
          <w:rPr>
            <w:rStyle w:val="Hyperlink"/>
            <w:rFonts w:ascii="Times New Roman" w:hAnsi="Times New Roman" w:cs="Times New Roman"/>
            <w:color w:val="auto"/>
            <w:sz w:val="28"/>
            <w:szCs w:val="28"/>
            <w:u w:val="none"/>
          </w:rPr>
          <w:t>80</w:t>
        </w:r>
      </w:hyperlink>
      <w:r w:rsidR="0040346C">
        <w:rPr>
          <w:rFonts w:ascii="Times New Roman" w:hAnsi="Times New Roman" w:cs="Times New Roman"/>
          <w:sz w:val="28"/>
          <w:szCs w:val="28"/>
        </w:rPr>
        <w:t>.</w:t>
      </w:r>
    </w:p>
    <w:p w14:paraId="301A5E90" w14:textId="77A6CEBC"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honour of the Crown may give rise to different duties in different circumstances. </w:t>
      </w:r>
      <w:r w:rsidRPr="00D10C94">
        <w:rPr>
          <w:rFonts w:ascii="Times New Roman" w:hAnsi="Times New Roman" w:cs="Times New Roman"/>
          <w:i/>
          <w:iCs/>
          <w:sz w:val="28"/>
          <w:szCs w:val="28"/>
        </w:rPr>
        <w:t>Haida Nation v British Columbia (Minister of Forests</w:t>
      </w:r>
      <w:r w:rsidRPr="00D10C94">
        <w:rPr>
          <w:rFonts w:ascii="Times New Roman" w:hAnsi="Times New Roman" w:cs="Times New Roman"/>
          <w:sz w:val="28"/>
          <w:szCs w:val="28"/>
        </w:rPr>
        <w:t xml:space="preserve">), </w:t>
      </w:r>
      <w:hyperlink r:id="rId43" w:history="1">
        <w:r w:rsidRPr="00DB2506">
          <w:rPr>
            <w:rStyle w:val="Hyperlink"/>
            <w:rFonts w:ascii="Times New Roman" w:hAnsi="Times New Roman" w:cs="Times New Roman"/>
            <w:color w:val="auto"/>
            <w:sz w:val="28"/>
            <w:szCs w:val="28"/>
            <w:u w:val="none"/>
          </w:rPr>
          <w:t xml:space="preserve">2004 SCC </w:t>
        </w:r>
        <w:r w:rsidRPr="00DB2506">
          <w:rPr>
            <w:rStyle w:val="Hyperlink"/>
            <w:rFonts w:ascii="Times New Roman" w:hAnsi="Times New Roman" w:cs="Times New Roman"/>
            <w:color w:val="auto"/>
            <w:sz w:val="28"/>
            <w:szCs w:val="28"/>
            <w:u w:val="none"/>
          </w:rPr>
          <w:lastRenderedPageBreak/>
          <w:t>73</w:t>
        </w:r>
      </w:hyperlink>
      <w:r w:rsidRPr="00D10C94">
        <w:rPr>
          <w:rFonts w:ascii="Times New Roman" w:hAnsi="Times New Roman" w:cs="Times New Roman"/>
          <w:sz w:val="28"/>
          <w:szCs w:val="28"/>
        </w:rPr>
        <w:t xml:space="preserve">, at para </w:t>
      </w:r>
      <w:hyperlink r:id="rId44" w:anchor="par16" w:history="1">
        <w:r w:rsidRPr="00DB2506">
          <w:rPr>
            <w:rStyle w:val="Hyperlink"/>
            <w:rFonts w:ascii="Times New Roman" w:hAnsi="Times New Roman" w:cs="Times New Roman"/>
            <w:color w:val="auto"/>
            <w:sz w:val="28"/>
            <w:szCs w:val="28"/>
            <w:u w:val="none"/>
          </w:rPr>
          <w:t>16</w:t>
        </w:r>
      </w:hyperlink>
      <w:r w:rsidRPr="00D10C94">
        <w:rPr>
          <w:rFonts w:ascii="Times New Roman" w:hAnsi="Times New Roman" w:cs="Times New Roman"/>
          <w:sz w:val="28"/>
          <w:szCs w:val="28"/>
        </w:rPr>
        <w:t xml:space="preserve">. </w:t>
      </w:r>
      <w:r w:rsidR="000E5221">
        <w:rPr>
          <w:rFonts w:ascii="Times New Roman" w:hAnsi="Times New Roman" w:cs="Times New Roman"/>
          <w:sz w:val="28"/>
          <w:szCs w:val="28"/>
        </w:rPr>
        <w:t xml:space="preserve"> </w:t>
      </w:r>
      <w:r w:rsidRPr="00D10C94">
        <w:rPr>
          <w:rFonts w:ascii="Times New Roman" w:hAnsi="Times New Roman" w:cs="Times New Roman"/>
          <w:sz w:val="28"/>
          <w:szCs w:val="28"/>
        </w:rPr>
        <w:t>At a minimum, this court must assume the Crown intends to fulfill its promises and the Crown must seek to perform its Treaty obligations “in a way that pursues the purpose behind the promise.”</w:t>
      </w:r>
      <w:r w:rsidR="000E5221">
        <w:rPr>
          <w:rFonts w:ascii="Times New Roman" w:hAnsi="Times New Roman" w:cs="Times New Roman"/>
          <w:sz w:val="28"/>
          <w:szCs w:val="28"/>
        </w:rPr>
        <w:t xml:space="preserve"> </w:t>
      </w:r>
      <w:r w:rsidRPr="00D10C94">
        <w:rPr>
          <w:rFonts w:ascii="Times New Roman" w:hAnsi="Times New Roman" w:cs="Times New Roman"/>
          <w:sz w:val="28"/>
          <w:szCs w:val="28"/>
        </w:rPr>
        <w:t xml:space="preserve"> </w:t>
      </w:r>
      <w:r w:rsidRPr="00D10C94">
        <w:rPr>
          <w:rFonts w:ascii="Times New Roman" w:hAnsi="Times New Roman" w:cs="Times New Roman"/>
          <w:i/>
          <w:iCs/>
          <w:sz w:val="28"/>
          <w:szCs w:val="28"/>
        </w:rPr>
        <w:t>Manitoba Metis</w:t>
      </w:r>
      <w:r w:rsidRPr="00D10C94">
        <w:rPr>
          <w:rFonts w:ascii="Times New Roman" w:hAnsi="Times New Roman" w:cs="Times New Roman"/>
          <w:sz w:val="28"/>
          <w:szCs w:val="28"/>
        </w:rPr>
        <w:t xml:space="preserve">, at para </w:t>
      </w:r>
      <w:hyperlink r:id="rId45" w:anchor="par80" w:history="1">
        <w:r w:rsidRPr="00DB2506">
          <w:rPr>
            <w:rStyle w:val="Hyperlink"/>
            <w:rFonts w:ascii="Times New Roman" w:hAnsi="Times New Roman" w:cs="Times New Roman"/>
            <w:color w:val="auto"/>
            <w:sz w:val="28"/>
            <w:szCs w:val="28"/>
            <w:u w:val="none"/>
          </w:rPr>
          <w:t>80</w:t>
        </w:r>
      </w:hyperlink>
      <w:r w:rsidRPr="00D10C94">
        <w:rPr>
          <w:rFonts w:ascii="Times New Roman" w:hAnsi="Times New Roman" w:cs="Times New Roman"/>
          <w:sz w:val="28"/>
          <w:szCs w:val="28"/>
        </w:rPr>
        <w:t>.</w:t>
      </w:r>
    </w:p>
    <w:p w14:paraId="7EAA7E45" w14:textId="074F8B61"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In all cases, it is important to consider “what is required to maintain the honour of the Crown and to effect reconciliation between the Crown and the Aboriginal peoples with respect to the interests at stake.”</w:t>
      </w:r>
      <w:bookmarkStart w:id="3" w:name="_Hlk128513453"/>
      <w:r w:rsidR="000E5221">
        <w:rPr>
          <w:rFonts w:ascii="Times New Roman" w:hAnsi="Times New Roman" w:cs="Times New Roman"/>
          <w:sz w:val="28"/>
          <w:szCs w:val="28"/>
        </w:rPr>
        <w:t xml:space="preserve"> </w:t>
      </w:r>
      <w:r w:rsidRPr="00D10C94">
        <w:rPr>
          <w:rFonts w:ascii="Times New Roman" w:hAnsi="Times New Roman" w:cs="Times New Roman"/>
          <w:sz w:val="28"/>
          <w:szCs w:val="28"/>
        </w:rPr>
        <w:t xml:space="preserve"> </w:t>
      </w:r>
      <w:r w:rsidRPr="00D10C94">
        <w:rPr>
          <w:rFonts w:ascii="Times New Roman" w:hAnsi="Times New Roman" w:cs="Times New Roman"/>
          <w:i/>
          <w:iCs/>
          <w:sz w:val="28"/>
          <w:szCs w:val="28"/>
        </w:rPr>
        <w:t>Manitoba Metis</w:t>
      </w:r>
      <w:r w:rsidRPr="00D10C94">
        <w:rPr>
          <w:rFonts w:ascii="Times New Roman" w:hAnsi="Times New Roman" w:cs="Times New Roman"/>
          <w:sz w:val="28"/>
          <w:szCs w:val="28"/>
        </w:rPr>
        <w:t xml:space="preserve">, at para </w:t>
      </w:r>
      <w:hyperlink r:id="rId46" w:anchor="par80" w:history="1">
        <w:r w:rsidRPr="00DB2506">
          <w:rPr>
            <w:rStyle w:val="Hyperlink"/>
            <w:rFonts w:ascii="Times New Roman" w:hAnsi="Times New Roman" w:cs="Times New Roman"/>
            <w:color w:val="auto"/>
            <w:sz w:val="28"/>
            <w:szCs w:val="28"/>
            <w:u w:val="none"/>
          </w:rPr>
          <w:t>80</w:t>
        </w:r>
      </w:hyperlink>
      <w:r w:rsidRPr="00D10C94">
        <w:rPr>
          <w:rFonts w:ascii="Times New Roman" w:hAnsi="Times New Roman" w:cs="Times New Roman"/>
          <w:sz w:val="28"/>
          <w:szCs w:val="28"/>
        </w:rPr>
        <w:t>.</w:t>
      </w:r>
    </w:p>
    <w:p w14:paraId="6DBB139A" w14:textId="2A365698"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 note that the Applicants assert that the principle of reconciliation in relation to the Treaty can be supplemented by the principles of reconciliation in the</w:t>
      </w:r>
      <w:r w:rsidRPr="00D10C94">
        <w:rPr>
          <w:rFonts w:ascii="Times New Roman" w:hAnsi="Times New Roman" w:cs="Times New Roman"/>
          <w:i/>
          <w:iCs/>
          <w:sz w:val="28"/>
          <w:szCs w:val="28"/>
        </w:rPr>
        <w:t xml:space="preserve"> United Nations Declaration on the Rights of Indigenous Peoples</w:t>
      </w:r>
      <w:r w:rsidRPr="00D10C94">
        <w:rPr>
          <w:rFonts w:ascii="Times New Roman" w:hAnsi="Times New Roman" w:cs="Times New Roman"/>
          <w:sz w:val="28"/>
          <w:szCs w:val="28"/>
        </w:rPr>
        <w:t xml:space="preserve">, </w:t>
      </w:r>
      <w:r w:rsidRPr="00A87C2E">
        <w:rPr>
          <w:rFonts w:ascii="Times New Roman" w:hAnsi="Times New Roman" w:cs="Times New Roman"/>
          <w:sz w:val="28"/>
          <w:szCs w:val="28"/>
        </w:rPr>
        <w:t>A/RES/61/295</w:t>
      </w:r>
      <w:r w:rsidRPr="00D10C94">
        <w:rPr>
          <w:rFonts w:ascii="Times New Roman" w:hAnsi="Times New Roman" w:cs="Times New Roman"/>
          <w:sz w:val="28"/>
          <w:szCs w:val="28"/>
        </w:rPr>
        <w:t xml:space="preserve"> (“UNDRIP”). </w:t>
      </w:r>
      <w:r w:rsidR="000E5221">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Applicants assert UNDRIP informs the scope of the government’s obligations when interpreting and implementing modern treaties. </w:t>
      </w:r>
      <w:r w:rsidR="000E5221">
        <w:rPr>
          <w:rFonts w:ascii="Times New Roman" w:hAnsi="Times New Roman" w:cs="Times New Roman"/>
          <w:sz w:val="28"/>
          <w:szCs w:val="28"/>
        </w:rPr>
        <w:t xml:space="preserve"> </w:t>
      </w:r>
      <w:r w:rsidRPr="00D10C94">
        <w:rPr>
          <w:rFonts w:ascii="Times New Roman" w:hAnsi="Times New Roman" w:cs="Times New Roman"/>
          <w:sz w:val="28"/>
          <w:szCs w:val="28"/>
        </w:rPr>
        <w:t>This point is not in dispute and, even if it were, this court agrees that UNDRIP is relevant to the interpretation of modern treaties.</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 Domestic laws are subject to a presumption of conformity in relation to binding international instruments. </w:t>
      </w:r>
      <w:r w:rsidR="00840027">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Quebec </w:t>
      </w:r>
      <w:r w:rsidRPr="00237998">
        <w:rPr>
          <w:rFonts w:ascii="Times New Roman" w:hAnsi="Times New Roman" w:cs="Times New Roman"/>
          <w:i/>
          <w:iCs/>
          <w:sz w:val="28"/>
          <w:szCs w:val="28"/>
        </w:rPr>
        <w:t>(Attorney General</w:t>
      </w:r>
      <w:r w:rsidRPr="00D10C94">
        <w:rPr>
          <w:rFonts w:ascii="Times New Roman" w:hAnsi="Times New Roman" w:cs="Times New Roman"/>
          <w:i/>
          <w:iCs/>
          <w:sz w:val="28"/>
          <w:szCs w:val="28"/>
        </w:rPr>
        <w:t>) v 9147-0732 Québec inc</w:t>
      </w:r>
      <w:r w:rsidRPr="00D10C94">
        <w:rPr>
          <w:rFonts w:ascii="Times New Roman" w:hAnsi="Times New Roman" w:cs="Times New Roman"/>
          <w:sz w:val="28"/>
          <w:szCs w:val="28"/>
        </w:rPr>
        <w:t xml:space="preserve">., </w:t>
      </w:r>
      <w:hyperlink r:id="rId47" w:history="1">
        <w:r w:rsidRPr="00A87C2E">
          <w:rPr>
            <w:rStyle w:val="Hyperlink"/>
            <w:rFonts w:ascii="Times New Roman" w:hAnsi="Times New Roman" w:cs="Times New Roman"/>
            <w:color w:val="auto"/>
            <w:sz w:val="28"/>
            <w:szCs w:val="28"/>
            <w:u w:val="none"/>
          </w:rPr>
          <w:t>2020 SCC 32</w:t>
        </w:r>
      </w:hyperlink>
      <w:r w:rsidRPr="00D10C94">
        <w:rPr>
          <w:rFonts w:ascii="Times New Roman" w:hAnsi="Times New Roman" w:cs="Times New Roman"/>
          <w:sz w:val="28"/>
          <w:szCs w:val="28"/>
        </w:rPr>
        <w:t xml:space="preserve">, at para </w:t>
      </w:r>
      <w:hyperlink r:id="rId48" w:anchor="par32" w:history="1">
        <w:r w:rsidRPr="00A87C2E">
          <w:rPr>
            <w:rStyle w:val="Hyperlink"/>
            <w:rFonts w:ascii="Times New Roman" w:hAnsi="Times New Roman" w:cs="Times New Roman"/>
            <w:color w:val="auto"/>
            <w:sz w:val="28"/>
            <w:szCs w:val="28"/>
            <w:u w:val="none"/>
          </w:rPr>
          <w:t>32</w:t>
        </w:r>
      </w:hyperlink>
      <w:r w:rsidRPr="00D10C94">
        <w:rPr>
          <w:rFonts w:ascii="Times New Roman" w:hAnsi="Times New Roman" w:cs="Times New Roman"/>
          <w:sz w:val="28"/>
          <w:szCs w:val="28"/>
        </w:rPr>
        <w:t xml:space="preserve">. </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The legislature is presumed to act in compliance with Canada’s international obligations.</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 In the case at bar, I find that the domestic instruments, such as the Treaty, the </w:t>
      </w:r>
      <w:r w:rsidRPr="00D10C94">
        <w:rPr>
          <w:rFonts w:ascii="Times New Roman" w:hAnsi="Times New Roman" w:cs="Times New Roman"/>
          <w:i/>
          <w:iCs/>
          <w:sz w:val="28"/>
          <w:szCs w:val="28"/>
        </w:rPr>
        <w:t>Constitution Act, 1982</w:t>
      </w:r>
      <w:r w:rsidRPr="00D10C94">
        <w:rPr>
          <w:rFonts w:ascii="Times New Roman" w:hAnsi="Times New Roman" w:cs="Times New Roman"/>
          <w:sz w:val="28"/>
          <w:szCs w:val="28"/>
        </w:rPr>
        <w:t>, and domestic case law satisfy the presumption of conformity and provide adequate bases on which to determine the objectives of reconciliation.</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 It is, therefore, unnecessary to delve more deeply into the application of UNDRIP in this case.  </w:t>
      </w:r>
    </w:p>
    <w:p w14:paraId="3CEBE292" w14:textId="2C13FF60"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 </w:t>
      </w:r>
      <w:bookmarkEnd w:id="3"/>
      <w:r w:rsidRPr="00D10C94">
        <w:rPr>
          <w:rFonts w:ascii="Times New Roman" w:hAnsi="Times New Roman" w:cs="Times New Roman"/>
          <w:sz w:val="28"/>
          <w:szCs w:val="28"/>
          <w:lang w:val="en-US"/>
        </w:rPr>
        <w:t>With these considerations in mind, I nevertheless find that</w:t>
      </w:r>
      <w:r w:rsidRPr="00D10C94">
        <w:rPr>
          <w:rFonts w:ascii="Times New Roman" w:hAnsi="Times New Roman" w:cs="Times New Roman"/>
          <w:sz w:val="28"/>
          <w:szCs w:val="28"/>
        </w:rPr>
        <w:t xml:space="preserve"> the Applicants over-emphasize the need for written reasons to discuss all the same factors considered by the SRRB.</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 While s. 13.8.25 does require the Minister to consider the same factors as the SRRB and to provide written reasons, it does not require that his consideration of each of these factors be specified in his written reasons. </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When interpreting a treaty provision a court must pay close attention to the terms of the provision, the treaty </w:t>
      </w:r>
      <w:proofErr w:type="gramStart"/>
      <w:r w:rsidRPr="00D10C94">
        <w:rPr>
          <w:rFonts w:ascii="Times New Roman" w:hAnsi="Times New Roman" w:cs="Times New Roman"/>
          <w:sz w:val="28"/>
          <w:szCs w:val="28"/>
        </w:rPr>
        <w:t>text as a whole, and</w:t>
      </w:r>
      <w:proofErr w:type="gramEnd"/>
      <w:r w:rsidRPr="00D10C94">
        <w:rPr>
          <w:rFonts w:ascii="Times New Roman" w:hAnsi="Times New Roman" w:cs="Times New Roman"/>
          <w:sz w:val="28"/>
          <w:szCs w:val="28"/>
        </w:rPr>
        <w:t xml:space="preserve"> the treaty's objectives. </w:t>
      </w:r>
      <w:r w:rsidR="00840027">
        <w:rPr>
          <w:rFonts w:ascii="Times New Roman" w:hAnsi="Times New Roman" w:cs="Times New Roman"/>
          <w:sz w:val="28"/>
          <w:szCs w:val="28"/>
        </w:rPr>
        <w:t xml:space="preserve">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at paras. </w:t>
      </w:r>
      <w:hyperlink r:id="rId49" w:anchor="par36" w:history="1">
        <w:r w:rsidRPr="00A87C2E">
          <w:rPr>
            <w:rStyle w:val="Hyperlink"/>
            <w:rFonts w:ascii="Times New Roman" w:hAnsi="Times New Roman" w:cs="Times New Roman"/>
            <w:color w:val="auto"/>
            <w:sz w:val="28"/>
            <w:szCs w:val="28"/>
            <w:u w:val="none"/>
          </w:rPr>
          <w:t>36-38</w:t>
        </w:r>
      </w:hyperlink>
      <w:r w:rsidRPr="00D10C94">
        <w:rPr>
          <w:rFonts w:ascii="Times New Roman" w:hAnsi="Times New Roman" w:cs="Times New Roman"/>
          <w:sz w:val="28"/>
          <w:szCs w:val="28"/>
        </w:rPr>
        <w:t>.</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 While a modern treaty is a sophisticated document negotiated by sophisticated parties, it should not be interpreted in an ungenerous manner as if it were an everyday commercial contract.</w:t>
      </w:r>
      <w:r w:rsidR="00840027">
        <w:rPr>
          <w:rFonts w:ascii="Times New Roman" w:hAnsi="Times New Roman" w:cs="Times New Roman"/>
          <w:sz w:val="28"/>
          <w:szCs w:val="28"/>
        </w:rPr>
        <w:t xml:space="preserve"> </w:t>
      </w:r>
      <w:r w:rsidRPr="00D10C94">
        <w:rPr>
          <w:rFonts w:ascii="Times New Roman" w:hAnsi="Times New Roman" w:cs="Times New Roman"/>
          <w:sz w:val="28"/>
          <w:szCs w:val="28"/>
        </w:rPr>
        <w:t xml:space="preserve"> Even though courts must strive to respect the negotiated wording of the parties to a modern treaty, this is always subject to such constitutional limitations as the honour of the Crown.</w:t>
      </w:r>
    </w:p>
    <w:p w14:paraId="405FDCF8" w14:textId="7499DD80"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 agree with the Respondents that s. 13.8.25 requires the Minister to consider the same factors but does not require that the Minister consider of all the same evidence.</w:t>
      </w:r>
      <w:r w:rsidR="0038348F">
        <w:rPr>
          <w:rFonts w:ascii="Times New Roman" w:hAnsi="Times New Roman" w:cs="Times New Roman"/>
          <w:sz w:val="28"/>
          <w:szCs w:val="28"/>
        </w:rPr>
        <w:t xml:space="preserve"> </w:t>
      </w:r>
      <w:r w:rsidRPr="00D10C94">
        <w:rPr>
          <w:rFonts w:ascii="Times New Roman" w:hAnsi="Times New Roman" w:cs="Times New Roman"/>
          <w:sz w:val="28"/>
          <w:szCs w:val="28"/>
        </w:rPr>
        <w:t xml:space="preserve"> It is enough that the written reasons show he considered the same factors. </w:t>
      </w:r>
      <w:r w:rsidR="00705473">
        <w:rPr>
          <w:rFonts w:ascii="Times New Roman" w:hAnsi="Times New Roman" w:cs="Times New Roman"/>
          <w:sz w:val="28"/>
          <w:szCs w:val="28"/>
        </w:rPr>
        <w:t xml:space="preserve"> </w:t>
      </w:r>
      <w:r w:rsidRPr="00D10C94">
        <w:rPr>
          <w:rFonts w:ascii="Times New Roman" w:hAnsi="Times New Roman" w:cs="Times New Roman"/>
          <w:sz w:val="28"/>
          <w:szCs w:val="28"/>
        </w:rPr>
        <w:lastRenderedPageBreak/>
        <w:t>The Minister’s decision, therefore, is consistent with seeking to perform Treaty obligations “in a way that pursues the purpose behind the promise.”</w:t>
      </w:r>
    </w:p>
    <w:p w14:paraId="38ACFF72" w14:textId="1B1718C2"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A treaty is to be interpreted in a manner that does not dishonour the Crown. </w:t>
      </w:r>
      <w:r w:rsidR="000B5508">
        <w:rPr>
          <w:rFonts w:ascii="Times New Roman" w:hAnsi="Times New Roman" w:cs="Times New Roman"/>
          <w:sz w:val="28"/>
          <w:szCs w:val="28"/>
        </w:rPr>
        <w:t xml:space="preserve"> </w:t>
      </w:r>
      <w:r w:rsidRPr="00D10C94">
        <w:rPr>
          <w:rFonts w:ascii="Times New Roman" w:hAnsi="Times New Roman" w:cs="Times New Roman"/>
          <w:i/>
          <w:iCs/>
          <w:sz w:val="28"/>
          <w:szCs w:val="28"/>
        </w:rPr>
        <w:t>Beckman v Little Salmon/</w:t>
      </w:r>
      <w:proofErr w:type="spellStart"/>
      <w:r w:rsidRPr="00D10C94">
        <w:rPr>
          <w:rFonts w:ascii="Times New Roman" w:hAnsi="Times New Roman" w:cs="Times New Roman"/>
          <w:i/>
          <w:iCs/>
          <w:sz w:val="28"/>
          <w:szCs w:val="28"/>
        </w:rPr>
        <w:t>Carmacks</w:t>
      </w:r>
      <w:proofErr w:type="spellEnd"/>
      <w:r w:rsidRPr="00D10C94">
        <w:rPr>
          <w:rFonts w:ascii="Times New Roman" w:hAnsi="Times New Roman" w:cs="Times New Roman"/>
          <w:i/>
          <w:iCs/>
          <w:sz w:val="28"/>
          <w:szCs w:val="28"/>
        </w:rPr>
        <w:t xml:space="preserve"> First Nation,</w:t>
      </w:r>
      <w:r w:rsidRPr="00D10C94">
        <w:rPr>
          <w:rFonts w:ascii="Times New Roman" w:hAnsi="Times New Roman" w:cs="Times New Roman"/>
          <w:sz w:val="28"/>
          <w:szCs w:val="28"/>
        </w:rPr>
        <w:t xml:space="preserve"> </w:t>
      </w:r>
      <w:hyperlink r:id="rId50" w:history="1">
        <w:r w:rsidRPr="00E949AD">
          <w:rPr>
            <w:rStyle w:val="Hyperlink"/>
            <w:rFonts w:ascii="Times New Roman" w:hAnsi="Times New Roman" w:cs="Times New Roman"/>
            <w:color w:val="auto"/>
            <w:sz w:val="28"/>
            <w:szCs w:val="28"/>
            <w:u w:val="none"/>
          </w:rPr>
          <w:t>2010 SCC 53</w:t>
        </w:r>
      </w:hyperlink>
      <w:r w:rsidRPr="00D10C94">
        <w:rPr>
          <w:rFonts w:ascii="Times New Roman" w:hAnsi="Times New Roman" w:cs="Times New Roman"/>
          <w:sz w:val="28"/>
          <w:szCs w:val="28"/>
        </w:rPr>
        <w:t xml:space="preserve">, at para </w:t>
      </w:r>
      <w:hyperlink r:id="rId51" w:anchor="par12" w:history="1">
        <w:r w:rsidRPr="00E949AD">
          <w:rPr>
            <w:rStyle w:val="Hyperlink"/>
            <w:rFonts w:ascii="Times New Roman" w:hAnsi="Times New Roman" w:cs="Times New Roman"/>
            <w:color w:val="auto"/>
            <w:sz w:val="28"/>
            <w:szCs w:val="28"/>
            <w:u w:val="none"/>
          </w:rPr>
          <w:t>12</w:t>
        </w:r>
      </w:hyperlink>
      <w:r w:rsidRPr="00D10C94">
        <w:rPr>
          <w:rFonts w:ascii="Times New Roman" w:hAnsi="Times New Roman" w:cs="Times New Roman"/>
          <w:sz w:val="28"/>
          <w:szCs w:val="28"/>
        </w:rPr>
        <w:t>.</w:t>
      </w:r>
    </w:p>
    <w:p w14:paraId="5FD07AB9"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 find that the Minister’s decision is consistent with s. 13.8.25 and does not impugn the honour of the Crown.</w:t>
      </w:r>
    </w:p>
    <w:p w14:paraId="2DB27D3E" w14:textId="77777777" w:rsidR="00D10C94" w:rsidRPr="00D10C94" w:rsidRDefault="00D10C94" w:rsidP="007547E4">
      <w:pPr>
        <w:pStyle w:val="ListParagraph"/>
        <w:numPr>
          <w:ilvl w:val="0"/>
          <w:numId w:val="36"/>
        </w:numPr>
        <w:spacing w:after="240" w:line="240" w:lineRule="auto"/>
        <w:contextualSpacing w:val="0"/>
        <w:jc w:val="both"/>
        <w:rPr>
          <w:rFonts w:ascii="Times New Roman" w:hAnsi="Times New Roman" w:cs="Times New Roman"/>
          <w:i/>
          <w:iCs/>
          <w:sz w:val="28"/>
          <w:szCs w:val="28"/>
          <w:u w:val="single"/>
        </w:rPr>
      </w:pPr>
      <w:r w:rsidRPr="00D10C94">
        <w:rPr>
          <w:rFonts w:ascii="Times New Roman" w:hAnsi="Times New Roman" w:cs="Times New Roman"/>
          <w:i/>
          <w:iCs/>
          <w:sz w:val="28"/>
          <w:szCs w:val="28"/>
          <w:u w:val="single"/>
        </w:rPr>
        <w:t>Whether the SRRBs deferral was a decision</w:t>
      </w:r>
    </w:p>
    <w:p w14:paraId="589B068F"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In its final report, dated March 30, 2021, the SRRB declares its Recommendation 4.1 and Decision 6.1 are each deferred as the SRRB invites further engagement via Public Listening sessions.</w:t>
      </w:r>
    </w:p>
    <w:p w14:paraId="4E577018" w14:textId="719BBA94"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As Intervener, the SRRB reiterates this position</w:t>
      </w:r>
      <w:r w:rsidR="00AE49EB">
        <w:rPr>
          <w:rFonts w:ascii="Times New Roman" w:hAnsi="Times New Roman" w:cs="Times New Roman"/>
          <w:sz w:val="28"/>
          <w:szCs w:val="28"/>
        </w:rPr>
        <w:t>,</w:t>
      </w:r>
      <w:r w:rsidRPr="00D10C94">
        <w:rPr>
          <w:rFonts w:ascii="Times New Roman" w:hAnsi="Times New Roman" w:cs="Times New Roman"/>
          <w:sz w:val="28"/>
          <w:szCs w:val="28"/>
        </w:rPr>
        <w:t xml:space="preserve"> that a decision to defer is not a final decision that the Minister had authority to vary or set aside and </w:t>
      </w:r>
      <w:r w:rsidR="00AE49EB">
        <w:rPr>
          <w:rFonts w:ascii="Times New Roman" w:hAnsi="Times New Roman" w:cs="Times New Roman"/>
          <w:sz w:val="28"/>
          <w:szCs w:val="28"/>
        </w:rPr>
        <w:t>doing so</w:t>
      </w:r>
      <w:r w:rsidRPr="00D10C94">
        <w:rPr>
          <w:rFonts w:ascii="Times New Roman" w:hAnsi="Times New Roman" w:cs="Times New Roman"/>
          <w:sz w:val="28"/>
          <w:szCs w:val="28"/>
        </w:rPr>
        <w:t xml:space="preserve"> was </w:t>
      </w:r>
      <w:r w:rsidR="00AE49EB">
        <w:rPr>
          <w:rFonts w:ascii="Times New Roman" w:hAnsi="Times New Roman" w:cs="Times New Roman"/>
          <w:sz w:val="28"/>
          <w:szCs w:val="28"/>
        </w:rPr>
        <w:t>both</w:t>
      </w:r>
      <w:r w:rsidRPr="00D10C94">
        <w:rPr>
          <w:rFonts w:ascii="Times New Roman" w:hAnsi="Times New Roman" w:cs="Times New Roman"/>
          <w:sz w:val="28"/>
          <w:szCs w:val="28"/>
        </w:rPr>
        <w:t xml:space="preserve"> incorrect under the Treaty and inconsistent with the Honour of the Crown.</w:t>
      </w:r>
    </w:p>
    <w:p w14:paraId="0B7421E3" w14:textId="5E258B4F"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SRR</w:t>
      </w:r>
      <w:r w:rsidR="00AE49EB">
        <w:rPr>
          <w:rFonts w:ascii="Times New Roman" w:hAnsi="Times New Roman" w:cs="Times New Roman"/>
          <w:sz w:val="28"/>
          <w:szCs w:val="28"/>
        </w:rPr>
        <w:t>B</w:t>
      </w:r>
      <w:r w:rsidRPr="00D10C94">
        <w:rPr>
          <w:rFonts w:ascii="Times New Roman" w:hAnsi="Times New Roman" w:cs="Times New Roman"/>
          <w:sz w:val="28"/>
          <w:szCs w:val="28"/>
        </w:rPr>
        <w:t xml:space="preserve"> also assert</w:t>
      </w:r>
      <w:r w:rsidR="00AE49EB">
        <w:rPr>
          <w:rFonts w:ascii="Times New Roman" w:hAnsi="Times New Roman" w:cs="Times New Roman"/>
          <w:sz w:val="28"/>
          <w:szCs w:val="28"/>
        </w:rPr>
        <w:t>s</w:t>
      </w:r>
      <w:r w:rsidRPr="00D10C94">
        <w:rPr>
          <w:rFonts w:ascii="Times New Roman" w:hAnsi="Times New Roman" w:cs="Times New Roman"/>
          <w:sz w:val="28"/>
          <w:szCs w:val="28"/>
        </w:rPr>
        <w:t xml:space="preserve"> that the Minister’s reasons in its final decision were required to explain why the deferral was rejected and did not do so.</w:t>
      </w:r>
    </w:p>
    <w:p w14:paraId="0144BACA"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The Applicants rely on section 13.8.27(b) of the Treaty to argue that when the SRRB indicated it was deferring its decision on Recommendation 4.1 and Decision 6.1, it was asking for an extension of time to submit its final decision.</w:t>
      </w:r>
    </w:p>
    <w:p w14:paraId="44BE8923" w14:textId="373613A1"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Respondents assert that the SRRB had no option to defer other than to seek a time-extension under s. 13.8.27(b), which they did not request. </w:t>
      </w:r>
      <w:r w:rsidR="0038348F">
        <w:rPr>
          <w:rFonts w:ascii="Times New Roman" w:hAnsi="Times New Roman" w:cs="Times New Roman"/>
          <w:sz w:val="28"/>
          <w:szCs w:val="28"/>
        </w:rPr>
        <w:t xml:space="preserve"> </w:t>
      </w:r>
      <w:r w:rsidRPr="00D10C94">
        <w:rPr>
          <w:rFonts w:ascii="Times New Roman" w:hAnsi="Times New Roman" w:cs="Times New Roman"/>
          <w:sz w:val="28"/>
          <w:szCs w:val="28"/>
        </w:rPr>
        <w:t>The Respondents further argue that the Treaty provides a process for finality in decision-making and the Applicants’ position would violate this and, therefore, the Minister was entitled to treat the SRRB’s second report as the SRRB’s final decision and, accordingly, to issue the Minister’s Final Decision.</w:t>
      </w:r>
    </w:p>
    <w:p w14:paraId="5C9FCE91" w14:textId="2D2E6FA1"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Applicants reply that the GNWT’s treatment of the SRRB’s second report and its deferral statement as having put an end to the iterative decision-making process in the Treaty ignores the SRRB’s role in hearing from communities, participants and RRCs in its policy-making function. </w:t>
      </w:r>
      <w:r w:rsidR="00236A4A">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Applicants further assert that the SRRB decided to seek more input from the Sahtu communities and RRCs in response to concerns raised by the Minister. </w:t>
      </w:r>
      <w:r w:rsidR="00236A4A">
        <w:rPr>
          <w:rFonts w:ascii="Times New Roman" w:hAnsi="Times New Roman" w:cs="Times New Roman"/>
          <w:sz w:val="28"/>
          <w:szCs w:val="28"/>
        </w:rPr>
        <w:t xml:space="preserve"> </w:t>
      </w:r>
      <w:r w:rsidRPr="00D10C94">
        <w:rPr>
          <w:rFonts w:ascii="Times New Roman" w:hAnsi="Times New Roman" w:cs="Times New Roman"/>
          <w:sz w:val="28"/>
          <w:szCs w:val="28"/>
        </w:rPr>
        <w:t>The SRRB’s decision to seek this additional information is consistent with core objectives of the Treaty.</w:t>
      </w:r>
    </w:p>
    <w:p w14:paraId="79C48795" w14:textId="2CB755CE"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lastRenderedPageBreak/>
        <w:t xml:space="preserve">In my view, the Respondents’ position is correct. </w:t>
      </w:r>
      <w:r w:rsidR="00236A4A">
        <w:rPr>
          <w:rFonts w:ascii="Times New Roman" w:hAnsi="Times New Roman" w:cs="Times New Roman"/>
          <w:sz w:val="28"/>
          <w:szCs w:val="28"/>
        </w:rPr>
        <w:t xml:space="preserve"> </w:t>
      </w:r>
      <w:r w:rsidRPr="00D10C94">
        <w:rPr>
          <w:rFonts w:ascii="Times New Roman" w:hAnsi="Times New Roman" w:cs="Times New Roman"/>
          <w:sz w:val="28"/>
          <w:szCs w:val="28"/>
        </w:rPr>
        <w:t xml:space="preserve">Though it is accepted that the SRRB was acting in good faith and in a manner deemed consistent with the Treaty’s objectives and guiding principles, and with the SRRB’s own obligations under the Treaty, if the Treaty is to be a meaningful agreement this court must interpret the respective parties’ obligations under the Treaty as meaningful. </w:t>
      </w:r>
    </w:p>
    <w:p w14:paraId="03926973"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An iterative decision-making regime is established under the Treaty to manage wildlife and is set out in ss. 13.8.24 to 13.8.28 of the Treaty.</w:t>
      </w:r>
    </w:p>
    <w:p w14:paraId="22E4203E" w14:textId="34B268FB"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Under the regime, a decision of the SRRB is forwarded to the Minister (13.8.24).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Minister then reviews the SRRB’s decision and sends back any proposed variation or replacement with written reasons (13.8.25).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Minister may extend this time by 30 days (13.8.26).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The SRRB then, within 30 days, makes its final decision on any replacement or variations received from the Minister, and forward</w:t>
      </w:r>
      <w:r w:rsidR="00691978">
        <w:rPr>
          <w:rFonts w:ascii="Times New Roman" w:hAnsi="Times New Roman" w:cs="Times New Roman"/>
          <w:sz w:val="28"/>
          <w:szCs w:val="28"/>
        </w:rPr>
        <w:t>s this</w:t>
      </w:r>
      <w:r w:rsidRPr="00D10C94">
        <w:rPr>
          <w:rFonts w:ascii="Times New Roman" w:hAnsi="Times New Roman" w:cs="Times New Roman"/>
          <w:sz w:val="28"/>
          <w:szCs w:val="28"/>
        </w:rPr>
        <w:t xml:space="preserve"> to the Minister with written reasons 13.8.27(a).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Minister is empowered to extend the time provided for the SRRB to forward its final decision to the Minister 13.8.27(b).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Minister may, within 30 days of receipt of a final decision of the SRRB accept or vary it, or set it aside and replace it, with written reasons.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The Minister may consider information not before the SRRB and matters of public interest not considered by the SRRB (13.8.28).</w:t>
      </w:r>
    </w:p>
    <w:p w14:paraId="24B5BE98"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Neither party has brought to my attention a specific provision in the Treaty that would allow a party to defer or unilaterally remove itself from the decision-making process once that process is engaged. </w:t>
      </w:r>
    </w:p>
    <w:p w14:paraId="6B5D9F6A" w14:textId="30C2B83D"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While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w:t>
      </w:r>
      <w:r w:rsidRPr="00D10C94">
        <w:rPr>
          <w:rFonts w:ascii="Times New Roman" w:hAnsi="Times New Roman" w:cs="Times New Roman"/>
          <w:sz w:val="28"/>
          <w:szCs w:val="28"/>
        </w:rPr>
        <w:t xml:space="preserve"> directs that close attention be paid to the terms of a modern treaty, and its provisions are to be interpretated </w:t>
      </w:r>
      <w:proofErr w:type="gramStart"/>
      <w:r w:rsidRPr="00D10C94">
        <w:rPr>
          <w:rFonts w:ascii="Times New Roman" w:hAnsi="Times New Roman" w:cs="Times New Roman"/>
          <w:sz w:val="28"/>
          <w:szCs w:val="28"/>
        </w:rPr>
        <w:t>in light of</w:t>
      </w:r>
      <w:proofErr w:type="gramEnd"/>
      <w:r w:rsidRPr="00D10C94">
        <w:rPr>
          <w:rFonts w:ascii="Times New Roman" w:hAnsi="Times New Roman" w:cs="Times New Roman"/>
          <w:sz w:val="28"/>
          <w:szCs w:val="28"/>
        </w:rPr>
        <w:t xml:space="preserve"> the treaty text as a whole, and not interpreted ungenerously, this, in my view, does not resolve this issue in favour of the Applicants’ argument.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Court also said that “reconciliation often demands judicial forbearance.” </w:t>
      </w:r>
      <w:r w:rsidR="00D3352B">
        <w:rPr>
          <w:rFonts w:ascii="Times New Roman" w:hAnsi="Times New Roman" w:cs="Times New Roman"/>
          <w:sz w:val="28"/>
          <w:szCs w:val="28"/>
        </w:rPr>
        <w:t xml:space="preserve"> </w:t>
      </w:r>
      <w:r w:rsidRPr="00D10C94">
        <w:rPr>
          <w:rFonts w:ascii="Times New Roman" w:hAnsi="Times New Roman" w:cs="Times New Roman"/>
          <w:sz w:val="28"/>
          <w:szCs w:val="28"/>
        </w:rPr>
        <w:t xml:space="preserve">In my view, forbearance in this matter, requires this court to defer to the parties’ negotiated language and find that the parties are bound by the negotiated decision-making process of the Treaty. </w:t>
      </w:r>
    </w:p>
    <w:p w14:paraId="01B98951"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As the Respondents rightly point out, there is no ability to unilaterally defer under the Treaty.</w:t>
      </w:r>
    </w:p>
    <w:p w14:paraId="45D599CE" w14:textId="06A292B5"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Though there is an ability under 13.8.27(a) for the SRRB to request an extension in time to submit the final report to the Minister, the SRRB did not request an extension. </w:t>
      </w:r>
      <w:r w:rsidR="009D5282">
        <w:rPr>
          <w:rFonts w:ascii="Times New Roman" w:hAnsi="Times New Roman" w:cs="Times New Roman"/>
          <w:sz w:val="28"/>
          <w:szCs w:val="28"/>
        </w:rPr>
        <w:t xml:space="preserve"> </w:t>
      </w:r>
      <w:r w:rsidRPr="00D10C94">
        <w:rPr>
          <w:rFonts w:ascii="Times New Roman" w:hAnsi="Times New Roman" w:cs="Times New Roman"/>
          <w:sz w:val="28"/>
          <w:szCs w:val="28"/>
        </w:rPr>
        <w:t>In lieu of formally requesting an extension, the SRRB provided its Second Report to the Minister, which stated the SRRB was deferring Recommendation 4.1 and Decision 6.1.</w:t>
      </w:r>
    </w:p>
    <w:p w14:paraId="2E7A4237"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lastRenderedPageBreak/>
        <w:t xml:space="preserve">Based on the co-management decision-making regime in the treaty and consistent with obligations under the </w:t>
      </w:r>
      <w:r w:rsidRPr="00D10C94">
        <w:rPr>
          <w:rFonts w:ascii="Times New Roman" w:hAnsi="Times New Roman" w:cs="Times New Roman"/>
          <w:i/>
          <w:iCs/>
          <w:sz w:val="28"/>
          <w:szCs w:val="28"/>
        </w:rPr>
        <w:t>Wildlife Act</w:t>
      </w:r>
      <w:r w:rsidRPr="00D10C94">
        <w:rPr>
          <w:rFonts w:ascii="Times New Roman" w:hAnsi="Times New Roman" w:cs="Times New Roman"/>
          <w:sz w:val="28"/>
          <w:szCs w:val="28"/>
        </w:rPr>
        <w:t>, once the Minister received the SRRBs second report, the Minister was then required to issue his final decision within 30 days, consistent with the negotiated process in Chapter 13 of the Treaty.</w:t>
      </w:r>
    </w:p>
    <w:p w14:paraId="234B0250"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Under the principles of modern treaty interpretation, the decision-making regime in Chapter 13 of the Treaty must not be considered in isolation, but with reference to the treaty </w:t>
      </w:r>
      <w:proofErr w:type="gramStart"/>
      <w:r w:rsidRPr="00D10C94">
        <w:rPr>
          <w:rFonts w:ascii="Times New Roman" w:hAnsi="Times New Roman" w:cs="Times New Roman"/>
          <w:sz w:val="28"/>
          <w:szCs w:val="28"/>
        </w:rPr>
        <w:t>text as a whole, and</w:t>
      </w:r>
      <w:proofErr w:type="gramEnd"/>
      <w:r w:rsidRPr="00D10C94">
        <w:rPr>
          <w:rFonts w:ascii="Times New Roman" w:hAnsi="Times New Roman" w:cs="Times New Roman"/>
          <w:sz w:val="28"/>
          <w:szCs w:val="28"/>
        </w:rPr>
        <w:t xml:space="preserve"> the treaty’s objectives, set out in s. 1.1.1 of the Treaty. </w:t>
      </w:r>
    </w:p>
    <w:p w14:paraId="0FA471BC" w14:textId="26A95A0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SRRB’s decision to invite community engagement via Public Listening Sessions is in keeping with the objectives of the Treaty. </w:t>
      </w:r>
      <w:r w:rsidR="009D5282">
        <w:rPr>
          <w:rFonts w:ascii="Times New Roman" w:hAnsi="Times New Roman" w:cs="Times New Roman"/>
          <w:sz w:val="28"/>
          <w:szCs w:val="28"/>
        </w:rPr>
        <w:t xml:space="preserve"> </w:t>
      </w:r>
      <w:r w:rsidRPr="00D10C94">
        <w:rPr>
          <w:rFonts w:ascii="Times New Roman" w:hAnsi="Times New Roman" w:cs="Times New Roman"/>
          <w:sz w:val="28"/>
          <w:szCs w:val="28"/>
        </w:rPr>
        <w:t xml:space="preserve">That is not the question. </w:t>
      </w:r>
      <w:r w:rsidR="00FF0CB9">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question is whether the Treaty required, or even authorized, the Minister to defer his final decision whilst the SRRB continued to conduct Public Listening Sessions. </w:t>
      </w:r>
      <w:r w:rsidR="00FF0CB9">
        <w:rPr>
          <w:rFonts w:ascii="Times New Roman" w:hAnsi="Times New Roman" w:cs="Times New Roman"/>
          <w:sz w:val="28"/>
          <w:szCs w:val="28"/>
        </w:rPr>
        <w:t xml:space="preserve"> </w:t>
      </w:r>
      <w:r w:rsidRPr="00D10C94">
        <w:rPr>
          <w:rFonts w:ascii="Times New Roman" w:hAnsi="Times New Roman" w:cs="Times New Roman"/>
          <w:sz w:val="28"/>
          <w:szCs w:val="28"/>
        </w:rPr>
        <w:t>In my view, the Minister had neither the obligation, nor the authority to defer his own decision.</w:t>
      </w:r>
    </w:p>
    <w:p w14:paraId="32ABF564" w14:textId="49EF7983"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I have considered the recent decision of </w:t>
      </w:r>
      <w:r w:rsidRPr="00D10C94">
        <w:rPr>
          <w:rFonts w:ascii="Times New Roman" w:hAnsi="Times New Roman" w:cs="Times New Roman"/>
          <w:i/>
          <w:iCs/>
          <w:sz w:val="28"/>
          <w:szCs w:val="28"/>
        </w:rPr>
        <w:t xml:space="preserve">First Nation of Na-Cho </w:t>
      </w:r>
      <w:proofErr w:type="spellStart"/>
      <w:r w:rsidRPr="00D10C94">
        <w:rPr>
          <w:rFonts w:ascii="Times New Roman" w:hAnsi="Times New Roman" w:cs="Times New Roman"/>
          <w:i/>
          <w:iCs/>
          <w:sz w:val="28"/>
          <w:szCs w:val="28"/>
        </w:rPr>
        <w:t>Nyäk</w:t>
      </w:r>
      <w:proofErr w:type="spellEnd"/>
      <w:r w:rsidRPr="00D10C94">
        <w:rPr>
          <w:rFonts w:ascii="Times New Roman" w:hAnsi="Times New Roman" w:cs="Times New Roman"/>
          <w:i/>
          <w:iCs/>
          <w:sz w:val="28"/>
          <w:szCs w:val="28"/>
        </w:rPr>
        <w:t xml:space="preserve"> Dun v Yukon (</w:t>
      </w:r>
      <w:r w:rsidRPr="00237998">
        <w:rPr>
          <w:rFonts w:ascii="Times New Roman" w:hAnsi="Times New Roman" w:cs="Times New Roman"/>
          <w:i/>
          <w:iCs/>
          <w:sz w:val="28"/>
          <w:szCs w:val="28"/>
        </w:rPr>
        <w:t>Government of</w:t>
      </w:r>
      <w:r w:rsidRPr="00D10C94">
        <w:rPr>
          <w:rFonts w:ascii="Times New Roman" w:hAnsi="Times New Roman" w:cs="Times New Roman"/>
          <w:i/>
          <w:iCs/>
          <w:sz w:val="28"/>
          <w:szCs w:val="28"/>
        </w:rPr>
        <w:t>)</w:t>
      </w:r>
      <w:r w:rsidRPr="00D10C94">
        <w:rPr>
          <w:rFonts w:ascii="Times New Roman" w:hAnsi="Times New Roman" w:cs="Times New Roman"/>
          <w:sz w:val="28"/>
          <w:szCs w:val="28"/>
        </w:rPr>
        <w:t xml:space="preserve">, </w:t>
      </w:r>
      <w:hyperlink r:id="rId52" w:history="1">
        <w:r w:rsidRPr="00E949AD">
          <w:rPr>
            <w:rStyle w:val="Hyperlink"/>
            <w:rFonts w:ascii="Times New Roman" w:hAnsi="Times New Roman" w:cs="Times New Roman"/>
            <w:color w:val="auto"/>
            <w:sz w:val="28"/>
            <w:szCs w:val="28"/>
            <w:u w:val="none"/>
          </w:rPr>
          <w:t>2023 YKSC 5</w:t>
        </w:r>
      </w:hyperlink>
      <w:r w:rsidRPr="00D10C94">
        <w:rPr>
          <w:rFonts w:ascii="Times New Roman" w:hAnsi="Times New Roman" w:cs="Times New Roman"/>
          <w:sz w:val="28"/>
          <w:szCs w:val="28"/>
        </w:rPr>
        <w:t xml:space="preserve"> in which the court considered whether the Crown had violated the Honour of the Crown by failing to consult properly. </w:t>
      </w:r>
      <w:r w:rsidR="00FF0CB9">
        <w:rPr>
          <w:rFonts w:ascii="Times New Roman" w:hAnsi="Times New Roman" w:cs="Times New Roman"/>
          <w:sz w:val="28"/>
          <w:szCs w:val="28"/>
        </w:rPr>
        <w:t xml:space="preserve"> </w:t>
      </w:r>
      <w:r w:rsidRPr="00D10C94">
        <w:rPr>
          <w:rFonts w:ascii="Times New Roman" w:hAnsi="Times New Roman" w:cs="Times New Roman"/>
          <w:sz w:val="28"/>
          <w:szCs w:val="28"/>
        </w:rPr>
        <w:t>At para 157, Chief Justice Duncan found:</w:t>
      </w:r>
    </w:p>
    <w:p w14:paraId="1BFB33C3" w14:textId="77777777" w:rsidR="00D10C94" w:rsidRPr="002C77DB" w:rsidRDefault="00D10C94" w:rsidP="002C77DB">
      <w:pPr>
        <w:pStyle w:val="ListParagraph"/>
        <w:spacing w:after="240" w:line="240" w:lineRule="auto"/>
        <w:ind w:left="567" w:right="571"/>
        <w:contextualSpacing w:val="0"/>
        <w:jc w:val="both"/>
        <w:rPr>
          <w:rFonts w:ascii="Times New Roman" w:hAnsi="Times New Roman" w:cs="Times New Roman"/>
          <w:sz w:val="24"/>
          <w:szCs w:val="24"/>
        </w:rPr>
      </w:pPr>
      <w:r w:rsidRPr="002C77DB">
        <w:rPr>
          <w:rFonts w:ascii="Times New Roman" w:hAnsi="Times New Roman" w:cs="Times New Roman"/>
          <w:sz w:val="24"/>
          <w:szCs w:val="24"/>
        </w:rPr>
        <w:t>Part of consultation at the higher end of the spectrum involves the Crown understanding fully and considering seriously the First Nation concerns. If the First Nation requests the government hear from the rights-holders in the hope this will assist in explaining their concerns fully, then the government must consider this request seriously, in the spirit of reconciliation and fair dealing.</w:t>
      </w:r>
    </w:p>
    <w:p w14:paraId="30F505C8" w14:textId="7EE9D797" w:rsidR="00D10C94" w:rsidRDefault="00D10C94" w:rsidP="002C77DB">
      <w:pPr>
        <w:pStyle w:val="ListParagraph"/>
        <w:spacing w:after="240" w:line="240" w:lineRule="auto"/>
        <w:ind w:left="567" w:right="571"/>
        <w:jc w:val="both"/>
        <w:rPr>
          <w:rFonts w:ascii="Times New Roman" w:hAnsi="Times New Roman" w:cs="Times New Roman"/>
          <w:sz w:val="24"/>
          <w:szCs w:val="24"/>
        </w:rPr>
      </w:pPr>
      <w:r w:rsidRPr="002C77DB">
        <w:rPr>
          <w:rFonts w:ascii="Times New Roman" w:hAnsi="Times New Roman" w:cs="Times New Roman"/>
          <w:sz w:val="24"/>
          <w:szCs w:val="24"/>
        </w:rPr>
        <w:t xml:space="preserve">If the Crown does not consult with community members upon request by the representative Indigenous body, any refusal must include a reasoned explanation and be consistent with the Duty to Consult. </w:t>
      </w:r>
    </w:p>
    <w:p w14:paraId="6C00AAAC" w14:textId="77777777" w:rsidR="002C77DB" w:rsidRPr="002C77DB" w:rsidRDefault="002C77DB" w:rsidP="002C77DB">
      <w:pPr>
        <w:pStyle w:val="ListParagraph"/>
        <w:spacing w:after="240" w:line="240" w:lineRule="auto"/>
        <w:ind w:left="567" w:right="571"/>
        <w:jc w:val="both"/>
        <w:rPr>
          <w:rFonts w:ascii="Times New Roman" w:hAnsi="Times New Roman" w:cs="Times New Roman"/>
          <w:sz w:val="24"/>
          <w:szCs w:val="24"/>
        </w:rPr>
      </w:pPr>
    </w:p>
    <w:p w14:paraId="42EB9E8D"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In the present case, I find the Crown did satisfy its Duty to Consult and uphold the Honour of the Crown when the Minister adhered to the provisions of the Treaty as negotiated between the parties.</w:t>
      </w:r>
    </w:p>
    <w:p w14:paraId="642E5958" w14:textId="4E69E10A"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 have also considered the decisions put forth by the Intervener, SRRB, in support of its position that a deferral is not a decision</w:t>
      </w:r>
      <w:r w:rsidR="00691978">
        <w:rPr>
          <w:rFonts w:ascii="Times New Roman" w:hAnsi="Times New Roman" w:cs="Times New Roman"/>
          <w:sz w:val="28"/>
          <w:szCs w:val="28"/>
        </w:rPr>
        <w:t xml:space="preserve">, </w:t>
      </w:r>
      <w:r w:rsidRPr="00D10C94">
        <w:rPr>
          <w:rFonts w:ascii="Times New Roman" w:hAnsi="Times New Roman" w:cs="Times New Roman"/>
          <w:sz w:val="28"/>
          <w:szCs w:val="28"/>
        </w:rPr>
        <w:t xml:space="preserve">that </w:t>
      </w:r>
      <w:proofErr w:type="gramStart"/>
      <w:r w:rsidR="00691978">
        <w:rPr>
          <w:rFonts w:ascii="Times New Roman" w:hAnsi="Times New Roman" w:cs="Times New Roman"/>
          <w:sz w:val="28"/>
          <w:szCs w:val="28"/>
        </w:rPr>
        <w:t xml:space="preserve">in order </w:t>
      </w:r>
      <w:r w:rsidRPr="00D10C94">
        <w:rPr>
          <w:rFonts w:ascii="Times New Roman" w:hAnsi="Times New Roman" w:cs="Times New Roman"/>
          <w:sz w:val="28"/>
          <w:szCs w:val="28"/>
        </w:rPr>
        <w:t>to</w:t>
      </w:r>
      <w:proofErr w:type="gramEnd"/>
      <w:r w:rsidRPr="00D10C94">
        <w:rPr>
          <w:rFonts w:ascii="Times New Roman" w:hAnsi="Times New Roman" w:cs="Times New Roman"/>
          <w:sz w:val="28"/>
          <w:szCs w:val="28"/>
        </w:rPr>
        <w:t xml:space="preserve"> be a “decision” a decision must determine rights and/or interests, and where a decision does not do so it is not a decision in the full sense of the term. </w:t>
      </w:r>
      <w:r w:rsidR="000E3C7F">
        <w:rPr>
          <w:rFonts w:ascii="Times New Roman" w:hAnsi="Times New Roman" w:cs="Times New Roman"/>
          <w:sz w:val="28"/>
          <w:szCs w:val="28"/>
        </w:rPr>
        <w:t xml:space="preserve"> </w:t>
      </w:r>
      <w:r w:rsidRPr="00D10C94">
        <w:rPr>
          <w:rFonts w:ascii="Times New Roman" w:hAnsi="Times New Roman" w:cs="Times New Roman"/>
          <w:sz w:val="28"/>
          <w:szCs w:val="28"/>
        </w:rPr>
        <w:t xml:space="preserve">The SRRB asserts that in choosing to defer, it did not make a decision that required, or even enabled, the Minister to render its final decision. </w:t>
      </w:r>
      <w:r w:rsidR="000E3C7F">
        <w:rPr>
          <w:rFonts w:ascii="Times New Roman" w:hAnsi="Times New Roman" w:cs="Times New Roman"/>
          <w:sz w:val="28"/>
          <w:szCs w:val="28"/>
        </w:rPr>
        <w:t xml:space="preserve"> </w:t>
      </w:r>
      <w:r w:rsidRPr="00D10C94">
        <w:rPr>
          <w:rFonts w:ascii="Times New Roman" w:hAnsi="Times New Roman" w:cs="Times New Roman"/>
          <w:sz w:val="28"/>
          <w:szCs w:val="28"/>
        </w:rPr>
        <w:t xml:space="preserve">In my view, the authorities presented are distinguishable and do not respond to the issue in these proceedings. </w:t>
      </w:r>
    </w:p>
    <w:p w14:paraId="612661CE" w14:textId="21FC295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lastRenderedPageBreak/>
        <w:t xml:space="preserve">The Treaty does not provide opportunity for the SRRB to defer. </w:t>
      </w:r>
      <w:r w:rsidR="006B2A75">
        <w:rPr>
          <w:rFonts w:ascii="Times New Roman" w:hAnsi="Times New Roman" w:cs="Times New Roman"/>
          <w:sz w:val="28"/>
          <w:szCs w:val="28"/>
        </w:rPr>
        <w:t xml:space="preserve"> </w:t>
      </w:r>
      <w:r w:rsidRPr="00D10C94">
        <w:rPr>
          <w:rFonts w:ascii="Times New Roman" w:hAnsi="Times New Roman" w:cs="Times New Roman"/>
          <w:sz w:val="28"/>
          <w:szCs w:val="28"/>
        </w:rPr>
        <w:t>Nor does the Treaty permit the Minister to delay its own decision at this stage.</w:t>
      </w:r>
      <w:r w:rsidR="006B2A75">
        <w:rPr>
          <w:rFonts w:ascii="Times New Roman" w:hAnsi="Times New Roman" w:cs="Times New Roman"/>
          <w:sz w:val="28"/>
          <w:szCs w:val="28"/>
        </w:rPr>
        <w:t xml:space="preserve"> </w:t>
      </w:r>
      <w:r w:rsidRPr="00D10C94">
        <w:rPr>
          <w:rFonts w:ascii="Times New Roman" w:hAnsi="Times New Roman" w:cs="Times New Roman"/>
          <w:sz w:val="28"/>
          <w:szCs w:val="28"/>
        </w:rPr>
        <w:t xml:space="preserve"> Under s. 13.8.28 of the Treaty, the Minister has 30 days to issue a decision once having received the final decision of the SRRB. </w:t>
      </w:r>
      <w:r w:rsidR="006B2A75">
        <w:rPr>
          <w:rFonts w:ascii="Times New Roman" w:hAnsi="Times New Roman" w:cs="Times New Roman"/>
          <w:sz w:val="28"/>
          <w:szCs w:val="28"/>
        </w:rPr>
        <w:t xml:space="preserve"> </w:t>
      </w:r>
      <w:r w:rsidRPr="00D10C94">
        <w:rPr>
          <w:rFonts w:ascii="Times New Roman" w:hAnsi="Times New Roman" w:cs="Times New Roman"/>
          <w:sz w:val="28"/>
          <w:szCs w:val="28"/>
        </w:rPr>
        <w:t xml:space="preserve">Thus, without an extension request from the SRRB, the Minister was bound to issue his final decision. </w:t>
      </w:r>
    </w:p>
    <w:p w14:paraId="1882F7B3" w14:textId="247FB7F3"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As a result, issuance of the Minister’s final decision complies </w:t>
      </w:r>
      <w:r w:rsidR="00691978">
        <w:rPr>
          <w:rFonts w:ascii="Times New Roman" w:hAnsi="Times New Roman" w:cs="Times New Roman"/>
          <w:sz w:val="28"/>
          <w:szCs w:val="28"/>
        </w:rPr>
        <w:t xml:space="preserve">with </w:t>
      </w:r>
      <w:r w:rsidRPr="00D10C94">
        <w:rPr>
          <w:rFonts w:ascii="Times New Roman" w:hAnsi="Times New Roman" w:cs="Times New Roman"/>
          <w:sz w:val="28"/>
          <w:szCs w:val="28"/>
        </w:rPr>
        <w:t>the Treaty and was correct.</w:t>
      </w:r>
    </w:p>
    <w:p w14:paraId="128855C2" w14:textId="77777777" w:rsidR="00D10C94" w:rsidRPr="00D10C94" w:rsidRDefault="00D10C94" w:rsidP="007547E4">
      <w:pPr>
        <w:pStyle w:val="ListParagraph"/>
        <w:numPr>
          <w:ilvl w:val="0"/>
          <w:numId w:val="36"/>
        </w:numPr>
        <w:spacing w:after="240" w:line="240" w:lineRule="auto"/>
        <w:contextualSpacing w:val="0"/>
        <w:jc w:val="both"/>
        <w:rPr>
          <w:rFonts w:ascii="Times New Roman" w:hAnsi="Times New Roman" w:cs="Times New Roman"/>
          <w:i/>
          <w:iCs/>
          <w:sz w:val="28"/>
          <w:szCs w:val="28"/>
          <w:u w:val="single"/>
        </w:rPr>
      </w:pPr>
      <w:r w:rsidRPr="00D10C94">
        <w:rPr>
          <w:rFonts w:ascii="Times New Roman" w:hAnsi="Times New Roman" w:cs="Times New Roman"/>
          <w:i/>
          <w:iCs/>
          <w:sz w:val="28"/>
          <w:szCs w:val="28"/>
          <w:u w:val="single"/>
        </w:rPr>
        <w:t>Whether the decision to vary Recommendation 4.1 is supported by the Treaty</w:t>
      </w:r>
    </w:p>
    <w:p w14:paraId="466380A3" w14:textId="77777777" w:rsidR="00D10C94" w:rsidRPr="00D10C94" w:rsidRDefault="00D10C94" w:rsidP="007547E4">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Applicants assert that the Minister’s Final Decision misconstrues SRRB Recommendation 4.1.</w:t>
      </w:r>
    </w:p>
    <w:p w14:paraId="724ADA4F"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In his final decision dated April 30, 2021, the Minister rejects the SRRB’s purported deferral of Recommendation 4.1 and confirms his own varied wording that was provided to the SRRB on January 29, </w:t>
      </w:r>
      <w:proofErr w:type="gramStart"/>
      <w:r w:rsidRPr="00D10C94">
        <w:rPr>
          <w:rFonts w:ascii="Times New Roman" w:hAnsi="Times New Roman" w:cs="Times New Roman"/>
          <w:sz w:val="28"/>
          <w:szCs w:val="28"/>
          <w:lang w:val="en-US"/>
        </w:rPr>
        <w:t>2021</w:t>
      </w:r>
      <w:proofErr w:type="gramEnd"/>
      <w:r w:rsidRPr="00D10C94">
        <w:rPr>
          <w:rFonts w:ascii="Times New Roman" w:hAnsi="Times New Roman" w:cs="Times New Roman"/>
          <w:sz w:val="28"/>
          <w:szCs w:val="28"/>
          <w:lang w:val="en-US"/>
        </w:rPr>
        <w:t xml:space="preserve"> in response to the SRRB’s initial decision.</w:t>
      </w:r>
    </w:p>
    <w:p w14:paraId="3CA5F486" w14:textId="61CAAED1"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In this final decision the Minister indicates the SRRB has recommended that the CLRRC be granted the power to issue barren-ground caribou authorizations to </w:t>
      </w:r>
      <w:proofErr w:type="spellStart"/>
      <w:r w:rsidRPr="00D10C94">
        <w:rPr>
          <w:rFonts w:ascii="Times New Roman" w:hAnsi="Times New Roman" w:cs="Times New Roman"/>
          <w:sz w:val="28"/>
          <w:szCs w:val="28"/>
          <w:lang w:val="en-US"/>
        </w:rPr>
        <w:t>Dehla</w:t>
      </w:r>
      <w:proofErr w:type="spellEnd"/>
      <w:r w:rsidRPr="00D10C94">
        <w:rPr>
          <w:rFonts w:ascii="Times New Roman" w:hAnsi="Times New Roman" w:cs="Times New Roman"/>
          <w:sz w:val="28"/>
          <w:szCs w:val="28"/>
          <w:lang w:val="en-US"/>
        </w:rPr>
        <w:t xml:space="preserve"> </w:t>
      </w:r>
      <w:proofErr w:type="spellStart"/>
      <w:r w:rsidRPr="00D10C94">
        <w:rPr>
          <w:rFonts w:ascii="Times New Roman" w:hAnsi="Times New Roman" w:cs="Times New Roman"/>
          <w:sz w:val="28"/>
          <w:szCs w:val="28"/>
          <w:lang w:val="en-US"/>
        </w:rPr>
        <w:t>Got’ine</w:t>
      </w:r>
      <w:proofErr w:type="spellEnd"/>
      <w:r w:rsidRPr="00D10C94">
        <w:rPr>
          <w:rFonts w:ascii="Times New Roman" w:hAnsi="Times New Roman" w:cs="Times New Roman"/>
          <w:sz w:val="28"/>
          <w:szCs w:val="28"/>
          <w:lang w:val="en-US"/>
        </w:rPr>
        <w:t xml:space="preserve"> and non-participant harvesters in the entire Sahtu Barren-ground caribou area 01 (S/BC/01). </w:t>
      </w:r>
      <w:r w:rsidR="006B2A75">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The Minister’s final response indicates that the since SRRB Recommendation 4.1 would delegate decision-making over the extent to which the rights of participants, specifically the Norman Wells and Fort Good Hope RRCs, are restricted, he consulted with these RRCs to ensure they supported the Colville Lake draft community CCP.  </w:t>
      </w:r>
    </w:p>
    <w:p w14:paraId="45A27AD7"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Minister received written responses from the Norman Wells and Fort Good Hope RRCs on April 9 and 10, 2021, neither of which indicated clear support for providing the CLRRC this power and requested further discussions to occur within their communities and with the SRRB.</w:t>
      </w:r>
    </w:p>
    <w:p w14:paraId="054F72DC"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Also at issue here is s. 13.9.4(b) of the Treaty, which reads:</w:t>
      </w:r>
    </w:p>
    <w:p w14:paraId="53F612D9" w14:textId="77777777" w:rsidR="00D10C94" w:rsidRPr="002C77DB" w:rsidRDefault="00D10C94" w:rsidP="002C77DB">
      <w:pPr>
        <w:pStyle w:val="ListParagraph"/>
        <w:spacing w:after="240" w:line="240" w:lineRule="auto"/>
        <w:ind w:left="567" w:right="571"/>
        <w:contextualSpacing w:val="0"/>
        <w:jc w:val="both"/>
        <w:rPr>
          <w:rFonts w:ascii="Times New Roman" w:hAnsi="Times New Roman" w:cs="Times New Roman"/>
          <w:sz w:val="24"/>
          <w:szCs w:val="24"/>
        </w:rPr>
      </w:pPr>
      <w:r w:rsidRPr="002C77DB">
        <w:rPr>
          <w:rFonts w:ascii="Times New Roman" w:hAnsi="Times New Roman" w:cs="Times New Roman"/>
          <w:sz w:val="24"/>
          <w:szCs w:val="24"/>
        </w:rPr>
        <w:t xml:space="preserve">13.9.4 </w:t>
      </w:r>
      <w:r w:rsidRPr="002C77DB">
        <w:rPr>
          <w:rFonts w:ascii="Times New Roman" w:hAnsi="Times New Roman" w:cs="Times New Roman"/>
          <w:sz w:val="24"/>
          <w:szCs w:val="24"/>
        </w:rPr>
        <w:tab/>
        <w:t xml:space="preserve">A Renewable Resources Council shall have the following powers: </w:t>
      </w:r>
    </w:p>
    <w:p w14:paraId="223E0020" w14:textId="77777777" w:rsidR="00D10C94" w:rsidRPr="002C77DB" w:rsidRDefault="00D10C94" w:rsidP="002C77DB">
      <w:pPr>
        <w:pStyle w:val="ListParagraph"/>
        <w:spacing w:after="240" w:line="240" w:lineRule="auto"/>
        <w:ind w:left="567" w:right="571"/>
        <w:contextualSpacing w:val="0"/>
        <w:jc w:val="both"/>
        <w:rPr>
          <w:rFonts w:ascii="Times New Roman" w:hAnsi="Times New Roman" w:cs="Times New Roman"/>
          <w:sz w:val="24"/>
          <w:szCs w:val="24"/>
        </w:rPr>
      </w:pPr>
      <w:r w:rsidRPr="002C77DB">
        <w:rPr>
          <w:rFonts w:ascii="Times New Roman" w:hAnsi="Times New Roman" w:cs="Times New Roman"/>
          <w:sz w:val="24"/>
          <w:szCs w:val="24"/>
        </w:rPr>
        <w:t xml:space="preserve">(b) to manage, in a manner consistent with legislation and the policies of the Board, the local exercise of participants' harvesting rights including the methods, seasons and location of </w:t>
      </w:r>
      <w:proofErr w:type="gramStart"/>
      <w:r w:rsidRPr="002C77DB">
        <w:rPr>
          <w:rFonts w:ascii="Times New Roman" w:hAnsi="Times New Roman" w:cs="Times New Roman"/>
          <w:sz w:val="24"/>
          <w:szCs w:val="24"/>
        </w:rPr>
        <w:t>harvest;</w:t>
      </w:r>
      <w:proofErr w:type="gramEnd"/>
    </w:p>
    <w:p w14:paraId="35A2AFB3"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An issue for the parties is the meaning of “local” within s. 13.9.4(b).</w:t>
      </w:r>
    </w:p>
    <w:p w14:paraId="3D3B366D"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lastRenderedPageBreak/>
        <w:t xml:space="preserve">The Minister’s Final Decision interprets “local” narrowly and grants the CLRRC authority to manage the Herd for its own residents and non-participants, but not for the residents of the other Sahtu communities. </w:t>
      </w:r>
    </w:p>
    <w:p w14:paraId="23A3C99E" w14:textId="77777777" w:rsidR="00D10C94" w:rsidRPr="00D10C94" w:rsidRDefault="00D10C94" w:rsidP="002C77DB">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Respondents assert that the Minister’s reasons for this decision were based on three overarching considerations:</w:t>
      </w:r>
    </w:p>
    <w:p w14:paraId="3EA57163" w14:textId="13E44806" w:rsidR="00D10C94" w:rsidRPr="00A74E13" w:rsidRDefault="00D10C94" w:rsidP="00A74E13">
      <w:pPr>
        <w:pStyle w:val="ListParagraph"/>
        <w:numPr>
          <w:ilvl w:val="3"/>
          <w:numId w:val="39"/>
        </w:numPr>
        <w:spacing w:after="240" w:line="240" w:lineRule="auto"/>
        <w:ind w:left="1134"/>
        <w:contextualSpacing w:val="0"/>
        <w:jc w:val="both"/>
        <w:rPr>
          <w:rFonts w:ascii="Times New Roman" w:hAnsi="Times New Roman" w:cs="Times New Roman"/>
          <w:sz w:val="28"/>
          <w:szCs w:val="28"/>
        </w:rPr>
      </w:pPr>
      <w:r w:rsidRPr="00A74E13">
        <w:rPr>
          <w:rFonts w:ascii="Times New Roman" w:hAnsi="Times New Roman" w:cs="Times New Roman"/>
          <w:sz w:val="28"/>
          <w:szCs w:val="28"/>
        </w:rPr>
        <w:t xml:space="preserve">Pursuant to the Treaty, the Minister is the ultimate authority for managing wildlife in the SSA. </w:t>
      </w:r>
      <w:r w:rsidR="001828F6">
        <w:rPr>
          <w:rFonts w:ascii="Times New Roman" w:hAnsi="Times New Roman" w:cs="Times New Roman"/>
          <w:sz w:val="28"/>
          <w:szCs w:val="28"/>
        </w:rPr>
        <w:t xml:space="preserve"> </w:t>
      </w:r>
      <w:r w:rsidRPr="00A74E13">
        <w:rPr>
          <w:rFonts w:ascii="Times New Roman" w:hAnsi="Times New Roman" w:cs="Times New Roman"/>
          <w:sz w:val="28"/>
          <w:szCs w:val="28"/>
        </w:rPr>
        <w:t xml:space="preserve">The Minister’s role is to safeguard the interests of all who rely on the </w:t>
      </w:r>
      <w:proofErr w:type="gramStart"/>
      <w:r w:rsidRPr="00A74E13">
        <w:rPr>
          <w:rFonts w:ascii="Times New Roman" w:hAnsi="Times New Roman" w:cs="Times New Roman"/>
          <w:sz w:val="28"/>
          <w:szCs w:val="28"/>
        </w:rPr>
        <w:t>Herd;</w:t>
      </w:r>
      <w:proofErr w:type="gramEnd"/>
      <w:r w:rsidRPr="00A74E13">
        <w:rPr>
          <w:rFonts w:ascii="Times New Roman" w:hAnsi="Times New Roman" w:cs="Times New Roman"/>
          <w:sz w:val="28"/>
          <w:szCs w:val="28"/>
        </w:rPr>
        <w:t xml:space="preserve"> </w:t>
      </w:r>
    </w:p>
    <w:p w14:paraId="34AC2F51" w14:textId="51D3611E" w:rsidR="00D10C94" w:rsidRPr="00A74E13" w:rsidRDefault="00D10C94" w:rsidP="00A74E13">
      <w:pPr>
        <w:pStyle w:val="ListParagraph"/>
        <w:numPr>
          <w:ilvl w:val="3"/>
          <w:numId w:val="39"/>
        </w:numPr>
        <w:spacing w:after="240" w:line="240" w:lineRule="auto"/>
        <w:ind w:left="1134"/>
        <w:contextualSpacing w:val="0"/>
        <w:jc w:val="both"/>
        <w:rPr>
          <w:rFonts w:ascii="Times New Roman" w:hAnsi="Times New Roman" w:cs="Times New Roman"/>
          <w:sz w:val="28"/>
          <w:szCs w:val="28"/>
        </w:rPr>
      </w:pPr>
      <w:r w:rsidRPr="00A74E13">
        <w:rPr>
          <w:rFonts w:ascii="Times New Roman" w:hAnsi="Times New Roman" w:cs="Times New Roman"/>
          <w:sz w:val="28"/>
          <w:szCs w:val="28"/>
        </w:rPr>
        <w:t xml:space="preserve">The SRRB – not the local RRCs – is the main instrument for wildlife management within the SSA; and </w:t>
      </w:r>
    </w:p>
    <w:p w14:paraId="33CAD04F" w14:textId="562742D7" w:rsidR="00D10C94" w:rsidRPr="00A74E13" w:rsidRDefault="00D10C94" w:rsidP="00A74E13">
      <w:pPr>
        <w:pStyle w:val="ListParagraph"/>
        <w:numPr>
          <w:ilvl w:val="3"/>
          <w:numId w:val="39"/>
        </w:numPr>
        <w:spacing w:after="240" w:line="240" w:lineRule="auto"/>
        <w:ind w:left="1134"/>
        <w:contextualSpacing w:val="0"/>
        <w:jc w:val="both"/>
        <w:rPr>
          <w:rFonts w:ascii="Times New Roman" w:hAnsi="Times New Roman" w:cs="Times New Roman"/>
          <w:sz w:val="28"/>
          <w:szCs w:val="28"/>
        </w:rPr>
      </w:pPr>
      <w:r w:rsidRPr="00A74E13">
        <w:rPr>
          <w:rFonts w:ascii="Times New Roman" w:hAnsi="Times New Roman" w:cs="Times New Roman"/>
          <w:sz w:val="28"/>
          <w:szCs w:val="28"/>
        </w:rPr>
        <w:t>The role of the RRCs is to manage local issues in each community and harvest by Participants from that community – broad herd management of a transboundary species was never their intended purpose.</w:t>
      </w:r>
    </w:p>
    <w:p w14:paraId="2ED3B02D"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Respondents argue that the Applicant is seeking “exclusive regulatory control of the Caribou Herd” and that the Applicants effort to give RRCs the power to regulate wildlife harvesting for all Participants, could not have been the intent of the Treaty’s drafters and would set an “untenable and problematic precedent.”</w:t>
      </w:r>
    </w:p>
    <w:p w14:paraId="0A1A681F" w14:textId="14EDCBDF"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Respondents further argue that the Treaty offers no basis for a RRC to regulate the affairs of Participants in such a broad manner, and, given there are five RRCs, creates the possibility of a “conflicting patchwork of harvesting laws.” </w:t>
      </w:r>
      <w:r w:rsidR="001828F6">
        <w:rPr>
          <w:rFonts w:ascii="Times New Roman" w:hAnsi="Times New Roman" w:cs="Times New Roman"/>
          <w:sz w:val="28"/>
          <w:szCs w:val="28"/>
        </w:rPr>
        <w:t xml:space="preserve"> </w:t>
      </w:r>
      <w:r w:rsidRPr="00D10C94">
        <w:rPr>
          <w:rFonts w:ascii="Times New Roman" w:hAnsi="Times New Roman" w:cs="Times New Roman"/>
          <w:sz w:val="28"/>
          <w:szCs w:val="28"/>
        </w:rPr>
        <w:t>This cannot have been the intent of the Treaty’s drafters.</w:t>
      </w:r>
    </w:p>
    <w:p w14:paraId="32192276" w14:textId="01B2DE3E"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According to the Respondents, the correct approach is to limit the wildlife management powers of RRCs to only the residents of the specific community that the RRC represents. </w:t>
      </w:r>
      <w:r w:rsidR="001828F6">
        <w:rPr>
          <w:rFonts w:ascii="Times New Roman" w:hAnsi="Times New Roman" w:cs="Times New Roman"/>
          <w:sz w:val="28"/>
          <w:szCs w:val="28"/>
        </w:rPr>
        <w:t xml:space="preserve"> </w:t>
      </w:r>
      <w:r w:rsidRPr="00D10C94">
        <w:rPr>
          <w:rFonts w:ascii="Times New Roman" w:hAnsi="Times New Roman" w:cs="Times New Roman"/>
          <w:sz w:val="28"/>
          <w:szCs w:val="28"/>
        </w:rPr>
        <w:t>The Respondents argue this interpretation is consistent with s. 13.5.2 of the Treaty, which stipulates that the SRRB, and not any of the RRCs, may limit the quantity of wildlife harvest by any Participant.</w:t>
      </w:r>
    </w:p>
    <w:p w14:paraId="094BE15C"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Respondents summarize by stating that while general support for the CLRRC is evident from the Record, the more nuanced question of whether the CLRRC should have exclusive regulatory control of the Herd is less clear.  The Respondents argue that to confer the CLRRC with authority to manage the Herd is contrary to both the Treaty and to the Honour of the Crown. </w:t>
      </w:r>
    </w:p>
    <w:p w14:paraId="3F114DC1" w14:textId="26B77013"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Applicants reply that the Respondents misunderstand their position and disagree with the Respondents on several bases.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First, the Applicants note that the </w:t>
      </w:r>
      <w:r w:rsidRPr="00D10C94">
        <w:rPr>
          <w:rFonts w:ascii="Times New Roman" w:hAnsi="Times New Roman" w:cs="Times New Roman"/>
          <w:sz w:val="28"/>
          <w:szCs w:val="28"/>
          <w:lang w:val="en-US"/>
        </w:rPr>
        <w:lastRenderedPageBreak/>
        <w:t xml:space="preserve">Respondents claim the Treaty’s drafters could not have intended for RRCs to have such powers but offer nothing to support this opinion.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In addition, it is improper to speculate that conflicting harvesting laws could result, and the Minister cannot interpret the Treaty based on speculation of possible outcomes of yet-to-be developed CCPs.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Minister must also consider the terms and objectives of the Treaty.</w:t>
      </w:r>
    </w:p>
    <w:p w14:paraId="15E0BBF5"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Referring to section 13.4.6 and 13.9.4 of the Treaty, the Applicants argue that the Treaty provides RRCs with power to, among other things, allocate Sahtu Needs Level, manage the local exercise of participants’ harvesting rights, and establish group trapping areas.  These powers undermine the Respondents’ position that the Treaty drafters could not have intended to give RRCs the “power to regulate within their own territory.”</w:t>
      </w:r>
    </w:p>
    <w:p w14:paraId="69976D7C" w14:textId="3A8CA910"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In addition, the Applicants reply that it is not their position that RRCs should have exclusive regulatory control of the Herd and that such a position would be inconsistent with the Treaty.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They assert the Respondents incorrectly conflate the exercise of RRC powers to regulate the local exercise of participants’ harvesting rights under s. 13.9.4(b) with the total management and control of harvesting of the migratory Herd.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The Applicants further note that the powers granted to RRCs under s. 13.9.4(b) are both “local” and must be exercised “in a manner consistent with legislation and the policies of the Board.”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Allowing RRCs to regulate local exercise of participants’ harvesting rights per a CCP that must be approved by the SRRB is consistent with the Treaty and creates little risk of creating conflict as envisioned by the Respondents.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Further, via the iterative decision-making process of the Treaty, the Minister has the power to review the SRRB’s determination on how to coordinate among various CCPs and to make ultimate decisions. </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In short, the Treaty has mechanisms to limit any risks of conflicting harvesting laws.</w:t>
      </w:r>
      <w:r w:rsidR="001828F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The proper way to deal with risks is to follow the Treaty procedures that require CCPs to be approved by both the SRRB and the Minister. </w:t>
      </w:r>
      <w:bookmarkStart w:id="4" w:name="_Hlk126849301"/>
    </w:p>
    <w:p w14:paraId="715012D3" w14:textId="7F86C7FC"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In my view, based on the above statement(s), the parties have a different sense of each other’s positions and are thus making argument based on </w:t>
      </w:r>
      <w:r w:rsidR="00E06499">
        <w:rPr>
          <w:rFonts w:ascii="Times New Roman" w:hAnsi="Times New Roman" w:cs="Times New Roman"/>
          <w:sz w:val="28"/>
          <w:szCs w:val="28"/>
        </w:rPr>
        <w:t>conflicting</w:t>
      </w:r>
      <w:r w:rsidRPr="00D10C94">
        <w:rPr>
          <w:rFonts w:ascii="Times New Roman" w:hAnsi="Times New Roman" w:cs="Times New Roman"/>
          <w:sz w:val="28"/>
          <w:szCs w:val="28"/>
        </w:rPr>
        <w:t xml:space="preserve"> assumptions. </w:t>
      </w:r>
      <w:r w:rsidR="001828F6">
        <w:rPr>
          <w:rFonts w:ascii="Times New Roman" w:hAnsi="Times New Roman" w:cs="Times New Roman"/>
          <w:sz w:val="28"/>
          <w:szCs w:val="28"/>
        </w:rPr>
        <w:t xml:space="preserve"> </w:t>
      </w:r>
      <w:r w:rsidRPr="00D10C94">
        <w:rPr>
          <w:rFonts w:ascii="Times New Roman" w:hAnsi="Times New Roman" w:cs="Times New Roman"/>
          <w:sz w:val="28"/>
          <w:szCs w:val="28"/>
        </w:rPr>
        <w:t xml:space="preserve">As a result, the arguments are not entirely responsive to the matters, at least insofar as the other party is receiving a response to a question, they do not acknowledge is a question. </w:t>
      </w:r>
      <w:r w:rsidR="0002545C">
        <w:rPr>
          <w:rFonts w:ascii="Times New Roman" w:hAnsi="Times New Roman" w:cs="Times New Roman"/>
          <w:sz w:val="28"/>
          <w:szCs w:val="28"/>
        </w:rPr>
        <w:t xml:space="preserve"> </w:t>
      </w:r>
      <w:r w:rsidRPr="00D10C94">
        <w:rPr>
          <w:rFonts w:ascii="Times New Roman" w:hAnsi="Times New Roman" w:cs="Times New Roman"/>
          <w:sz w:val="28"/>
          <w:szCs w:val="28"/>
        </w:rPr>
        <w:t xml:space="preserve">For example, if in fact the position of the Applicants is not that the SRRB should be able to grant the CLRRC “exclusive regulatory control of the Caribou Herd”, a position the Applicants acknowledge would not be consistent with the Treaty, then both the Minister’s reasons and the Respondents’ response as expressed in the Respondents’ Brief is not responding to an actual issue. </w:t>
      </w:r>
    </w:p>
    <w:p w14:paraId="27EF0E42"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lastRenderedPageBreak/>
        <w:t xml:space="preserve">It is important to review the language of the Treaty and the SRRB Recommendation 4.1 to determine if the effect of the decision would be to cede to the CLRRC regulatory control of the Herd. </w:t>
      </w:r>
    </w:p>
    <w:tbl>
      <w:tblPr>
        <w:tblStyle w:val="TableGrid"/>
        <w:tblW w:w="0" w:type="auto"/>
        <w:tblInd w:w="421" w:type="dxa"/>
        <w:tblLook w:val="04A0" w:firstRow="1" w:lastRow="0" w:firstColumn="1" w:lastColumn="0" w:noHBand="0" w:noVBand="1"/>
      </w:tblPr>
      <w:tblGrid>
        <w:gridCol w:w="4254"/>
        <w:gridCol w:w="4109"/>
      </w:tblGrid>
      <w:tr w:rsidR="00D10C94" w:rsidRPr="00D10C94" w14:paraId="5371E7E5" w14:textId="77777777" w:rsidTr="009E0C19">
        <w:trPr>
          <w:trHeight w:val="664"/>
        </w:trPr>
        <w:tc>
          <w:tcPr>
            <w:tcW w:w="4254" w:type="dxa"/>
          </w:tcPr>
          <w:p w14:paraId="1902B925"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r w:rsidRPr="00D10C94">
              <w:rPr>
                <w:rFonts w:ascii="Times New Roman" w:hAnsi="Times New Roman" w:cs="Times New Roman"/>
                <w:sz w:val="28"/>
                <w:szCs w:val="28"/>
              </w:rPr>
              <w:t>SRRB Recommendation 4.1</w:t>
            </w:r>
          </w:p>
        </w:tc>
        <w:tc>
          <w:tcPr>
            <w:tcW w:w="4109" w:type="dxa"/>
          </w:tcPr>
          <w:p w14:paraId="188578A4"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r w:rsidRPr="00D10C94">
              <w:rPr>
                <w:rFonts w:ascii="Times New Roman" w:hAnsi="Times New Roman" w:cs="Times New Roman"/>
                <w:sz w:val="28"/>
                <w:szCs w:val="28"/>
              </w:rPr>
              <w:t>Treaty, s. 13.9.4(b)</w:t>
            </w:r>
          </w:p>
        </w:tc>
      </w:tr>
      <w:tr w:rsidR="00D10C94" w:rsidRPr="00D10C94" w14:paraId="7993767D" w14:textId="77777777" w:rsidTr="009E0C19">
        <w:trPr>
          <w:trHeight w:val="3502"/>
        </w:trPr>
        <w:tc>
          <w:tcPr>
            <w:tcW w:w="4254" w:type="dxa"/>
          </w:tcPr>
          <w:p w14:paraId="53DA1E7F"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r w:rsidRPr="00D10C94">
              <w:rPr>
                <w:rFonts w:ascii="Times New Roman" w:hAnsi="Times New Roman" w:cs="Times New Roman"/>
                <w:sz w:val="28"/>
                <w:szCs w:val="28"/>
              </w:rPr>
              <w:t>The SRRB recommends to the Minister that the CLRCC be granted the power to issue authorizations to all types of harvesters in the entire Sahtu Barren-ground caribou area 01 (S/BC/01), subject to a periodic review of the status and location of the Bluenose-West caribou.”</w:t>
            </w:r>
          </w:p>
        </w:tc>
        <w:tc>
          <w:tcPr>
            <w:tcW w:w="4109" w:type="dxa"/>
          </w:tcPr>
          <w:p w14:paraId="71D0D3F6"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r w:rsidRPr="00D10C94">
              <w:rPr>
                <w:rFonts w:ascii="Times New Roman" w:hAnsi="Times New Roman" w:cs="Times New Roman"/>
                <w:sz w:val="28"/>
                <w:szCs w:val="28"/>
              </w:rPr>
              <w:t>13.9.4 - A Renewable Resources Council shall have the following powers:</w:t>
            </w:r>
          </w:p>
          <w:p w14:paraId="73607ECC"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p>
          <w:p w14:paraId="57ED50D1"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(b)to manage, in a manner consistent with legislation and the policies of the Board, the local exercise of participants' harvesting rights including the methods, seasons and location of </w:t>
            </w:r>
            <w:proofErr w:type="gramStart"/>
            <w:r w:rsidRPr="00D10C94">
              <w:rPr>
                <w:rFonts w:ascii="Times New Roman" w:hAnsi="Times New Roman" w:cs="Times New Roman"/>
                <w:sz w:val="28"/>
                <w:szCs w:val="28"/>
              </w:rPr>
              <w:t>harvest;</w:t>
            </w:r>
            <w:proofErr w:type="gramEnd"/>
          </w:p>
          <w:p w14:paraId="464253BE" w14:textId="77777777" w:rsidR="00D10C94" w:rsidRPr="00D10C94" w:rsidRDefault="00D10C94" w:rsidP="007547E4">
            <w:pPr>
              <w:pStyle w:val="ListParagraph"/>
              <w:spacing w:after="240"/>
              <w:ind w:left="0"/>
              <w:contextualSpacing w:val="0"/>
              <w:jc w:val="both"/>
              <w:rPr>
                <w:rFonts w:ascii="Times New Roman" w:hAnsi="Times New Roman" w:cs="Times New Roman"/>
                <w:sz w:val="28"/>
                <w:szCs w:val="28"/>
              </w:rPr>
            </w:pPr>
          </w:p>
        </w:tc>
      </w:tr>
    </w:tbl>
    <w:p w14:paraId="29358AC7" w14:textId="77777777" w:rsidR="00D10C94" w:rsidRPr="00D10C94" w:rsidRDefault="00D10C94" w:rsidP="00606375">
      <w:pPr>
        <w:pStyle w:val="ListParagraph"/>
        <w:spacing w:after="0" w:line="240" w:lineRule="auto"/>
        <w:ind w:left="0"/>
        <w:contextualSpacing w:val="0"/>
        <w:jc w:val="both"/>
        <w:rPr>
          <w:rFonts w:ascii="Times New Roman" w:hAnsi="Times New Roman" w:cs="Times New Roman"/>
          <w:sz w:val="28"/>
          <w:szCs w:val="28"/>
        </w:rPr>
      </w:pPr>
    </w:p>
    <w:p w14:paraId="0619C764" w14:textId="41B5071C"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In reviewing SRRB Recommendation 4.1 and Treaty s. 13.9.4(b) it is easy to see cause for the Minister’s apprehensions.</w:t>
      </w:r>
      <w:r w:rsidR="0002545C">
        <w:rPr>
          <w:rFonts w:ascii="Times New Roman" w:hAnsi="Times New Roman" w:cs="Times New Roman"/>
          <w:sz w:val="28"/>
          <w:szCs w:val="28"/>
        </w:rPr>
        <w:t xml:space="preserve"> </w:t>
      </w:r>
      <w:r w:rsidRPr="00D10C94">
        <w:rPr>
          <w:rFonts w:ascii="Times New Roman" w:hAnsi="Times New Roman" w:cs="Times New Roman"/>
          <w:sz w:val="28"/>
          <w:szCs w:val="28"/>
        </w:rPr>
        <w:t xml:space="preserve"> Section 13.9.4(b) grants RRCs powers to manage the “local” exercise of participants’ harvesting rights. </w:t>
      </w:r>
      <w:r w:rsidR="0002545C">
        <w:rPr>
          <w:rFonts w:ascii="Times New Roman" w:hAnsi="Times New Roman" w:cs="Times New Roman"/>
          <w:sz w:val="28"/>
          <w:szCs w:val="28"/>
        </w:rPr>
        <w:t xml:space="preserve"> </w:t>
      </w:r>
      <w:r w:rsidRPr="00D10C94">
        <w:rPr>
          <w:rFonts w:ascii="Times New Roman" w:hAnsi="Times New Roman" w:cs="Times New Roman"/>
          <w:sz w:val="28"/>
          <w:szCs w:val="28"/>
        </w:rPr>
        <w:t>Section 13.9.4(b) also constrains these powers by stipulating “participants”.</w:t>
      </w:r>
      <w:r w:rsidR="00172DE4">
        <w:rPr>
          <w:rFonts w:ascii="Times New Roman" w:hAnsi="Times New Roman" w:cs="Times New Roman"/>
          <w:sz w:val="28"/>
          <w:szCs w:val="28"/>
        </w:rPr>
        <w:t xml:space="preserve"> </w:t>
      </w:r>
      <w:r w:rsidRPr="00D10C94">
        <w:rPr>
          <w:rFonts w:ascii="Times New Roman" w:hAnsi="Times New Roman" w:cs="Times New Roman"/>
          <w:sz w:val="28"/>
          <w:szCs w:val="28"/>
        </w:rPr>
        <w:t xml:space="preserve"> Recommendation 4.1 appears to significantly broaden this power, proposing to grant the CLRRC the power to grant authorizations to “all types of harvesters”.</w:t>
      </w:r>
      <w:r w:rsidR="00172DE4">
        <w:rPr>
          <w:rFonts w:ascii="Times New Roman" w:hAnsi="Times New Roman" w:cs="Times New Roman"/>
          <w:sz w:val="28"/>
          <w:szCs w:val="28"/>
        </w:rPr>
        <w:t xml:space="preserve"> </w:t>
      </w:r>
      <w:r w:rsidRPr="00D10C94">
        <w:rPr>
          <w:rFonts w:ascii="Times New Roman" w:hAnsi="Times New Roman" w:cs="Times New Roman"/>
          <w:sz w:val="28"/>
          <w:szCs w:val="28"/>
        </w:rPr>
        <w:t xml:space="preserve"> In addition, while the Treaty grants the CLRRC rights to manage the “local” exercise of harvesting rights, Recommendation 4.1 grants authority over the “entire” area of 01 (S/BC/01). </w:t>
      </w:r>
      <w:r w:rsidR="00172DE4">
        <w:rPr>
          <w:rFonts w:ascii="Times New Roman" w:hAnsi="Times New Roman" w:cs="Times New Roman"/>
          <w:sz w:val="28"/>
          <w:szCs w:val="28"/>
        </w:rPr>
        <w:t xml:space="preserve"> </w:t>
      </w:r>
      <w:r w:rsidRPr="00D10C94">
        <w:rPr>
          <w:rFonts w:ascii="Times New Roman" w:hAnsi="Times New Roman" w:cs="Times New Roman"/>
          <w:sz w:val="28"/>
          <w:szCs w:val="28"/>
        </w:rPr>
        <w:t>Also, while the Treaty grants RRCs the power to “manage”, Recommendation 4.1 grants the CLRRC the power to “issue authorizations.”</w:t>
      </w:r>
      <w:r w:rsidR="00172DE4">
        <w:rPr>
          <w:rFonts w:ascii="Times New Roman" w:hAnsi="Times New Roman" w:cs="Times New Roman"/>
          <w:sz w:val="28"/>
          <w:szCs w:val="28"/>
        </w:rPr>
        <w:t xml:space="preserve"> </w:t>
      </w:r>
      <w:r w:rsidRPr="00D10C94">
        <w:rPr>
          <w:rFonts w:ascii="Times New Roman" w:hAnsi="Times New Roman" w:cs="Times New Roman"/>
          <w:sz w:val="28"/>
          <w:szCs w:val="28"/>
        </w:rPr>
        <w:t xml:space="preserve"> Further, the Treaty grants powers to RRCs generally, while Recommendation 4.1 grants powers to the CLRRC specifically. </w:t>
      </w:r>
    </w:p>
    <w:p w14:paraId="26030BAA" w14:textId="58DE81A8"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On the face of it, Recommendation 4.1 is a significant expansion of the powers of the CLRRC and inconsistent with the Treaty. </w:t>
      </w:r>
      <w:r w:rsidR="00172DE4">
        <w:rPr>
          <w:rFonts w:ascii="Times New Roman" w:hAnsi="Times New Roman" w:cs="Times New Roman"/>
          <w:sz w:val="28"/>
          <w:szCs w:val="28"/>
        </w:rPr>
        <w:t xml:space="preserve"> </w:t>
      </w:r>
      <w:r w:rsidRPr="00D10C94">
        <w:rPr>
          <w:rFonts w:ascii="Times New Roman" w:hAnsi="Times New Roman" w:cs="Times New Roman"/>
          <w:sz w:val="28"/>
          <w:szCs w:val="28"/>
        </w:rPr>
        <w:t>From this perspective, the Respondents and the Minister would be correct to vary the Recommendation 4.1 to comply with the Treaty.</w:t>
      </w:r>
    </w:p>
    <w:p w14:paraId="5DE34568"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However, a closer reading supports the Applicants reply statement that: </w:t>
      </w:r>
    </w:p>
    <w:p w14:paraId="2E098F3F" w14:textId="77777777"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rPr>
      </w:pPr>
      <w:r w:rsidRPr="00A74E13">
        <w:rPr>
          <w:rFonts w:ascii="Times New Roman" w:hAnsi="Times New Roman" w:cs="Times New Roman"/>
          <w:sz w:val="24"/>
          <w:szCs w:val="24"/>
        </w:rPr>
        <w:lastRenderedPageBreak/>
        <w:t>…the GNWT is incorrectly and unreasonably conflating the exercise of RRC powers to regulate the local exercise of participants’ harvesting rights under s. 13.9.4(b) with ‘complete management and control over harvesting of the migratory Caribou Herd’...</w:t>
      </w:r>
    </w:p>
    <w:p w14:paraId="26351B8A" w14:textId="346B111A"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Applicants position is that </w:t>
      </w:r>
      <w:proofErr w:type="gramStart"/>
      <w:r w:rsidRPr="00D10C94">
        <w:rPr>
          <w:rFonts w:ascii="Times New Roman" w:hAnsi="Times New Roman" w:cs="Times New Roman"/>
          <w:sz w:val="28"/>
          <w:szCs w:val="28"/>
        </w:rPr>
        <w:t>a</w:t>
      </w:r>
      <w:proofErr w:type="gramEnd"/>
      <w:r w:rsidRPr="00D10C94">
        <w:rPr>
          <w:rFonts w:ascii="Times New Roman" w:hAnsi="Times New Roman" w:cs="Times New Roman"/>
          <w:sz w:val="28"/>
          <w:szCs w:val="28"/>
        </w:rPr>
        <w:t xml:space="preserve"> RRC, including the CLRRC, would still need to propose a CCP to the SRRB, which may approve plans via s. 13.8.23(c), and the SRRB would still need to follow the Treaty’s iterative decision-making process and seek ultimate approval from the Minister, unless the Minister directs otherwise.</w:t>
      </w:r>
      <w:r w:rsidR="00504F9E">
        <w:rPr>
          <w:rFonts w:ascii="Times New Roman" w:hAnsi="Times New Roman" w:cs="Times New Roman"/>
          <w:sz w:val="28"/>
          <w:szCs w:val="28"/>
        </w:rPr>
        <w:t xml:space="preserve"> </w:t>
      </w:r>
      <w:r w:rsidRPr="00D10C94">
        <w:rPr>
          <w:rFonts w:ascii="Times New Roman" w:hAnsi="Times New Roman" w:cs="Times New Roman"/>
          <w:sz w:val="28"/>
          <w:szCs w:val="28"/>
        </w:rPr>
        <w:t xml:space="preserve"> For this reason, the Applicants take the position that Recommendation 4.1 would not have the effect of unduly empowering the CLRRC over other RRCs. </w:t>
      </w:r>
    </w:p>
    <w:p w14:paraId="5E6E3301" w14:textId="3DA8A21E"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In considering whether SRRB Recommendation 4.1 violates the Treaty, it is also important to be mindful that modern treaties are “intended to renew the relationship between Indigenous peoples and the Crown to one of equal partnership.” </w:t>
      </w:r>
      <w:r w:rsidRPr="00D10C94">
        <w:rPr>
          <w:rFonts w:ascii="Times New Roman" w:hAnsi="Times New Roman" w:cs="Times New Roman"/>
          <w:i/>
          <w:iCs/>
          <w:sz w:val="28"/>
          <w:szCs w:val="28"/>
        </w:rPr>
        <w:t xml:space="preserve">Nacho </w:t>
      </w:r>
      <w:proofErr w:type="spellStart"/>
      <w:r w:rsidRPr="00D10C94">
        <w:rPr>
          <w:rFonts w:ascii="Times New Roman" w:hAnsi="Times New Roman" w:cs="Times New Roman"/>
          <w:i/>
          <w:iCs/>
          <w:sz w:val="28"/>
          <w:szCs w:val="28"/>
        </w:rPr>
        <w:t>Nyak</w:t>
      </w:r>
      <w:proofErr w:type="spellEnd"/>
      <w:r w:rsidRPr="00D10C94">
        <w:rPr>
          <w:rFonts w:ascii="Times New Roman" w:hAnsi="Times New Roman" w:cs="Times New Roman"/>
          <w:i/>
          <w:iCs/>
          <w:sz w:val="28"/>
          <w:szCs w:val="28"/>
        </w:rPr>
        <w:t xml:space="preserve"> Dun, </w:t>
      </w:r>
      <w:r w:rsidRPr="00D10C94">
        <w:rPr>
          <w:rFonts w:ascii="Times New Roman" w:hAnsi="Times New Roman" w:cs="Times New Roman"/>
          <w:sz w:val="28"/>
          <w:szCs w:val="28"/>
        </w:rPr>
        <w:t xml:space="preserve">at para </w:t>
      </w:r>
      <w:hyperlink r:id="rId53" w:anchor="par33" w:history="1">
        <w:r w:rsidRPr="00E949AD">
          <w:rPr>
            <w:rStyle w:val="Hyperlink"/>
            <w:rFonts w:ascii="Times New Roman" w:hAnsi="Times New Roman" w:cs="Times New Roman"/>
            <w:color w:val="auto"/>
            <w:sz w:val="28"/>
            <w:szCs w:val="28"/>
            <w:u w:val="none"/>
          </w:rPr>
          <w:t>33</w:t>
        </w:r>
      </w:hyperlink>
      <w:r w:rsidR="008B3A76">
        <w:rPr>
          <w:rFonts w:ascii="Times New Roman" w:hAnsi="Times New Roman" w:cs="Times New Roman"/>
          <w:sz w:val="28"/>
          <w:szCs w:val="28"/>
        </w:rPr>
        <w:t>.</w:t>
      </w:r>
    </w:p>
    <w:p w14:paraId="44A79E35"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Based on a review of Recommendation 4.1, the Treaty, and the law regarding modern treaties, and the parties’ positions, I find that Recommendation 4.1 is not violative of the Treaty.</w:t>
      </w:r>
    </w:p>
    <w:p w14:paraId="6D6D1FDB"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Reviewed on a correctness standard where deference is not given to the Minister’s decision, I find the Minister’s decision incorrect to the extent that it fails to consider that the position taken in Recommendation 4.1 would be constrained by the guardrails already negotiated into the Treaty.</w:t>
      </w:r>
    </w:p>
    <w:p w14:paraId="0E6C1524"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Minister’s decision to vary Recommendation 4.1 is not supported by the language in Recommendation 4.1 or by the language of the Treaty itself. </w:t>
      </w:r>
    </w:p>
    <w:p w14:paraId="6373ADDD" w14:textId="77777777" w:rsidR="00D10C94" w:rsidRPr="00D10C94"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This aspect of the Minister’s decision is incorrect.  </w:t>
      </w:r>
      <w:bookmarkEnd w:id="4"/>
    </w:p>
    <w:p w14:paraId="5FB88C6C" w14:textId="77777777" w:rsidR="00D10C94" w:rsidRPr="00D10C94" w:rsidRDefault="00D10C94" w:rsidP="007547E4">
      <w:pPr>
        <w:pStyle w:val="ListParagraph"/>
        <w:numPr>
          <w:ilvl w:val="0"/>
          <w:numId w:val="36"/>
        </w:numPr>
        <w:spacing w:after="240" w:line="240" w:lineRule="auto"/>
        <w:contextualSpacing w:val="0"/>
        <w:jc w:val="both"/>
        <w:rPr>
          <w:rFonts w:ascii="Times New Roman" w:hAnsi="Times New Roman" w:cs="Times New Roman"/>
          <w:i/>
          <w:iCs/>
          <w:sz w:val="28"/>
          <w:szCs w:val="28"/>
          <w:u w:val="single"/>
          <w:lang w:val="en-US"/>
        </w:rPr>
      </w:pPr>
      <w:r w:rsidRPr="00D10C94">
        <w:rPr>
          <w:rFonts w:ascii="Times New Roman" w:hAnsi="Times New Roman" w:cs="Times New Roman"/>
          <w:i/>
          <w:iCs/>
          <w:sz w:val="28"/>
          <w:szCs w:val="28"/>
          <w:u w:val="single"/>
          <w:lang w:val="en-US"/>
        </w:rPr>
        <w:t>Whether the decision to vary SRRB Decision 6.1 is supported by the Treaty</w:t>
      </w:r>
    </w:p>
    <w:p w14:paraId="2033B011"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The Applicants argue the Minister’s Decision to maintain a TAH relies on an incorrect interpretation of sections 13.5.2, 13.8.25, and 13.8.28 of the Treaty, and misapplies the common law requirement of minimal impairment of treaty rights.</w:t>
      </w:r>
    </w:p>
    <w:p w14:paraId="79F6400F" w14:textId="77777777" w:rsidR="00D10C94" w:rsidRPr="00D10C94"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rPr>
      </w:pPr>
      <w:r w:rsidRPr="00D10C94">
        <w:rPr>
          <w:rFonts w:ascii="Times New Roman" w:hAnsi="Times New Roman" w:cs="Times New Roman"/>
          <w:sz w:val="28"/>
          <w:szCs w:val="28"/>
        </w:rPr>
        <w:t>Sections 13.5.2, 13.8.25, and 13.8.28 read:</w:t>
      </w:r>
    </w:p>
    <w:p w14:paraId="77046F04" w14:textId="77777777" w:rsidR="00D10C94" w:rsidRPr="00A74E13" w:rsidRDefault="00D10C94" w:rsidP="00A74E13">
      <w:pPr>
        <w:pStyle w:val="ListParagraph"/>
        <w:spacing w:after="240" w:line="240" w:lineRule="auto"/>
        <w:ind w:left="567" w:right="571"/>
        <w:jc w:val="both"/>
        <w:rPr>
          <w:rFonts w:ascii="Times New Roman" w:hAnsi="Times New Roman" w:cs="Times New Roman"/>
          <w:sz w:val="24"/>
          <w:szCs w:val="24"/>
        </w:rPr>
      </w:pPr>
      <w:r w:rsidRPr="00A74E13">
        <w:rPr>
          <w:rFonts w:ascii="Times New Roman" w:hAnsi="Times New Roman" w:cs="Times New Roman"/>
          <w:sz w:val="24"/>
          <w:szCs w:val="24"/>
        </w:rPr>
        <w:t>13.5.2</w:t>
      </w:r>
      <w:r w:rsidRPr="00A74E13">
        <w:rPr>
          <w:rFonts w:ascii="Times New Roman" w:hAnsi="Times New Roman" w:cs="Times New Roman"/>
          <w:sz w:val="24"/>
          <w:szCs w:val="24"/>
        </w:rPr>
        <w:tab/>
        <w:t xml:space="preserve">The Board may, in accordance with this chapter, establish, </w:t>
      </w:r>
      <w:proofErr w:type="gramStart"/>
      <w:r w:rsidRPr="00A74E13">
        <w:rPr>
          <w:rFonts w:ascii="Times New Roman" w:hAnsi="Times New Roman" w:cs="Times New Roman"/>
          <w:sz w:val="24"/>
          <w:szCs w:val="24"/>
        </w:rPr>
        <w:t>modify</w:t>
      </w:r>
      <w:proofErr w:type="gramEnd"/>
      <w:r w:rsidRPr="00A74E13">
        <w:rPr>
          <w:rFonts w:ascii="Times New Roman" w:hAnsi="Times New Roman" w:cs="Times New Roman"/>
          <w:sz w:val="24"/>
          <w:szCs w:val="24"/>
        </w:rPr>
        <w:t xml:space="preserve"> or remove total allowable harvest levels from time to time in the settlement area but shall establish or modify such levels only if required for conservation and to the extent necessary to achieve conservation. Unless a total allowable harvest is established, the quantity of the harvest by participants may not be limited.</w:t>
      </w:r>
    </w:p>
    <w:p w14:paraId="0023D821" w14:textId="77777777" w:rsidR="00D10C94" w:rsidRPr="00A74E13" w:rsidRDefault="00D10C94" w:rsidP="00A74E13">
      <w:pPr>
        <w:pStyle w:val="ListParagraph"/>
        <w:spacing w:after="240" w:line="240" w:lineRule="auto"/>
        <w:ind w:left="567" w:right="571"/>
        <w:jc w:val="both"/>
        <w:rPr>
          <w:rFonts w:ascii="Times New Roman" w:hAnsi="Times New Roman" w:cs="Times New Roman"/>
          <w:sz w:val="24"/>
          <w:szCs w:val="24"/>
        </w:rPr>
      </w:pPr>
    </w:p>
    <w:p w14:paraId="7A271E36" w14:textId="77777777" w:rsidR="00D10C94" w:rsidRPr="00A74E13" w:rsidRDefault="00D10C94" w:rsidP="00A74E13">
      <w:pPr>
        <w:pStyle w:val="ListParagraph"/>
        <w:spacing w:after="240" w:line="240" w:lineRule="auto"/>
        <w:ind w:left="567" w:right="571"/>
        <w:jc w:val="both"/>
        <w:rPr>
          <w:rFonts w:ascii="Times New Roman" w:hAnsi="Times New Roman" w:cs="Times New Roman"/>
          <w:sz w:val="24"/>
          <w:szCs w:val="24"/>
        </w:rPr>
      </w:pPr>
      <w:r w:rsidRPr="00A74E13">
        <w:rPr>
          <w:rFonts w:ascii="Times New Roman" w:hAnsi="Times New Roman" w:cs="Times New Roman"/>
          <w:sz w:val="24"/>
          <w:szCs w:val="24"/>
        </w:rPr>
        <w:lastRenderedPageBreak/>
        <w:t>13.8.25</w:t>
      </w:r>
      <w:r w:rsidRPr="00A74E13">
        <w:rPr>
          <w:rFonts w:ascii="Times New Roman" w:hAnsi="Times New Roman" w:cs="Times New Roman"/>
          <w:sz w:val="24"/>
          <w:szCs w:val="24"/>
        </w:rPr>
        <w:tab/>
        <w:t xml:space="preserve">The Minister may, within 60 days of the receipt of a decision under 13.8.24, accept, </w:t>
      </w:r>
      <w:proofErr w:type="gramStart"/>
      <w:r w:rsidRPr="00A74E13">
        <w:rPr>
          <w:rFonts w:ascii="Times New Roman" w:hAnsi="Times New Roman" w:cs="Times New Roman"/>
          <w:sz w:val="24"/>
          <w:szCs w:val="24"/>
        </w:rPr>
        <w:t>vary</w:t>
      </w:r>
      <w:proofErr w:type="gramEnd"/>
      <w:r w:rsidRPr="00A74E13">
        <w:rPr>
          <w:rFonts w:ascii="Times New Roman" w:hAnsi="Times New Roman" w:cs="Times New Roman"/>
          <w:sz w:val="24"/>
          <w:szCs w:val="24"/>
        </w:rPr>
        <w:t xml:space="preserve"> or set aside and replace the decision. The Minister must consider the same factors as were considered by the Board and, in addition, may consider information not before the Board and matters of public interest not considered by the Board. Any proposed variation or replacement shall be sent back to the Board by the Minister with written reasons.</w:t>
      </w:r>
    </w:p>
    <w:p w14:paraId="49BEEE9C" w14:textId="77777777" w:rsidR="00D10C94" w:rsidRPr="00A74E13" w:rsidRDefault="00D10C94" w:rsidP="00A74E13">
      <w:pPr>
        <w:pStyle w:val="ListParagraph"/>
        <w:spacing w:after="240" w:line="240" w:lineRule="auto"/>
        <w:ind w:left="567" w:right="571"/>
        <w:jc w:val="both"/>
        <w:rPr>
          <w:rFonts w:ascii="Times New Roman" w:hAnsi="Times New Roman" w:cs="Times New Roman"/>
          <w:sz w:val="24"/>
          <w:szCs w:val="24"/>
        </w:rPr>
      </w:pPr>
    </w:p>
    <w:p w14:paraId="3CD4BB9A" w14:textId="77777777" w:rsidR="00D10C94" w:rsidRPr="00A74E13" w:rsidRDefault="00D10C94" w:rsidP="00A74E13">
      <w:pPr>
        <w:pStyle w:val="ListParagraph"/>
        <w:spacing w:after="240" w:line="240" w:lineRule="auto"/>
        <w:ind w:left="567" w:right="571"/>
        <w:jc w:val="both"/>
        <w:rPr>
          <w:rFonts w:ascii="Times New Roman" w:hAnsi="Times New Roman" w:cs="Times New Roman"/>
          <w:sz w:val="24"/>
          <w:szCs w:val="24"/>
        </w:rPr>
      </w:pPr>
      <w:r w:rsidRPr="00A74E13">
        <w:rPr>
          <w:rFonts w:ascii="Times New Roman" w:hAnsi="Times New Roman" w:cs="Times New Roman"/>
          <w:sz w:val="24"/>
          <w:szCs w:val="24"/>
        </w:rPr>
        <w:t>13.8.28</w:t>
      </w:r>
      <w:r w:rsidRPr="00A74E13">
        <w:rPr>
          <w:rFonts w:ascii="Times New Roman" w:hAnsi="Times New Roman" w:cs="Times New Roman"/>
          <w:sz w:val="24"/>
          <w:szCs w:val="24"/>
        </w:rPr>
        <w:tab/>
        <w:t>The Minister may, within 30 days of receipt of a final decision of the Board accept or vary it, or set it aside and replace it, with written reasons. The Minister may consider information not before the Board and matters of public interest not considered by the Board.</w:t>
      </w:r>
    </w:p>
    <w:p w14:paraId="482DD01F" w14:textId="77777777"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rPr>
      </w:pPr>
    </w:p>
    <w:p w14:paraId="2096128D"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 xml:space="preserve">The Applicants submit that the Minister did more than simply “vary” SRRB Decision 6.1, exceeding the Minister’s powers under sections 13.8.25 and 13.8.28 of the Treaty. </w:t>
      </w:r>
    </w:p>
    <w:p w14:paraId="3852642B"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Further, the Applicants assert that s. 13.5.1 sets out a process for limiting the harvest and, per s. 13.5.2, a TAH may only be implemented to the extent necessary for conservation, and only where the necessity of a TAH for conservation is specifically considered and established based on evidence presented to the SRRB at a public hearing, called per s. 13.8.21(b) specifically to consider a TAH.</w:t>
      </w:r>
    </w:p>
    <w:p w14:paraId="4BD9A142"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Section 13.8.21(b) reads:</w:t>
      </w:r>
    </w:p>
    <w:p w14:paraId="770C406F" w14:textId="1E7FE337" w:rsidR="00D10C94" w:rsidRDefault="00D10C94" w:rsidP="00A74E13">
      <w:pPr>
        <w:pStyle w:val="ListParagraph"/>
        <w:spacing w:after="240" w:line="240" w:lineRule="auto"/>
        <w:ind w:left="567" w:right="571"/>
        <w:jc w:val="both"/>
        <w:rPr>
          <w:rFonts w:ascii="Times New Roman" w:hAnsi="Times New Roman" w:cs="Times New Roman"/>
          <w:sz w:val="24"/>
          <w:szCs w:val="24"/>
        </w:rPr>
      </w:pPr>
      <w:r w:rsidRPr="00A74E13">
        <w:rPr>
          <w:rFonts w:ascii="Times New Roman" w:hAnsi="Times New Roman" w:cs="Times New Roman"/>
          <w:sz w:val="24"/>
          <w:szCs w:val="24"/>
        </w:rPr>
        <w:t>(b) A public hearing shall be held when the Board intends to consider establishing a total allowable harvest and a Sahtu Needs Level in respect of a species or population of wildlife which has not been subject to a total allowable harvest level within the previous two years.</w:t>
      </w:r>
    </w:p>
    <w:p w14:paraId="2B3C6828" w14:textId="77777777" w:rsidR="00A74E13" w:rsidRPr="00A74E13" w:rsidRDefault="00A74E13" w:rsidP="00A74E13">
      <w:pPr>
        <w:pStyle w:val="ListParagraph"/>
        <w:spacing w:after="240" w:line="240" w:lineRule="auto"/>
        <w:ind w:left="567" w:right="571"/>
        <w:jc w:val="both"/>
        <w:rPr>
          <w:rFonts w:ascii="Times New Roman" w:hAnsi="Times New Roman" w:cs="Times New Roman"/>
          <w:sz w:val="24"/>
          <w:szCs w:val="24"/>
        </w:rPr>
      </w:pPr>
    </w:p>
    <w:p w14:paraId="2C10CBE6"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The Applicants also allege the Minister did not follow the procedures in the Treaty when he issued the Minister’s Final Decision involving a TAH. Evidence required to establish or modify a TAH was not adduced, and the Minister did not adequately consider evidence presented at the 2020 Public Listening Hearing, evidence which demonstrates a TAH is detrimental and ineffective as a conservation tool.</w:t>
      </w:r>
    </w:p>
    <w:p w14:paraId="1B6B0DD9"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Finally, the Applicants argue the Minister’s reasons did not disclose a basis for concluding a TAH is needed for conservation purposes.</w:t>
      </w:r>
    </w:p>
    <w:p w14:paraId="74FF08C2" w14:textId="31798896"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Respondents assert the TAH needed to remain in place because the status of the Herd had not improved. </w:t>
      </w:r>
      <w:r w:rsidR="00490F2C">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As the Minister’s Initial Decision explained:</w:t>
      </w:r>
    </w:p>
    <w:p w14:paraId="76FFECE4" w14:textId="77777777"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lang w:val="en-US"/>
        </w:rPr>
      </w:pPr>
      <w:r w:rsidRPr="00A74E13">
        <w:rPr>
          <w:rFonts w:ascii="Times New Roman" w:hAnsi="Times New Roman" w:cs="Times New Roman"/>
          <w:sz w:val="24"/>
          <w:szCs w:val="24"/>
          <w:lang w:val="en-US"/>
        </w:rPr>
        <w:lastRenderedPageBreak/>
        <w:t>The status of the caribou herd has not improved since the Minister of ENR accepted the SRRB decision to impose a total allowable harvest (TAH) on the Caribou herd in 2008.</w:t>
      </w:r>
    </w:p>
    <w:p w14:paraId="6C1B998D" w14:textId="77777777"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lang w:val="en-US"/>
        </w:rPr>
      </w:pPr>
      <w:r w:rsidRPr="00A74E13">
        <w:rPr>
          <w:rFonts w:ascii="Times New Roman" w:hAnsi="Times New Roman" w:cs="Times New Roman"/>
          <w:sz w:val="24"/>
          <w:szCs w:val="24"/>
          <w:lang w:val="en-US"/>
        </w:rPr>
        <w:tab/>
      </w:r>
      <w:r w:rsidRPr="00A74E13">
        <w:rPr>
          <w:rFonts w:ascii="Times New Roman" w:hAnsi="Times New Roman" w:cs="Times New Roman"/>
          <w:sz w:val="24"/>
          <w:szCs w:val="24"/>
          <w:lang w:val="en-US"/>
        </w:rPr>
        <w:tab/>
        <w:t>…</w:t>
      </w:r>
    </w:p>
    <w:p w14:paraId="6FE3E719" w14:textId="77777777" w:rsidR="00D10C94" w:rsidRPr="00D10C94" w:rsidRDefault="00D10C94" w:rsidP="00A74E13">
      <w:pPr>
        <w:pStyle w:val="ListParagraph"/>
        <w:spacing w:after="240" w:line="240" w:lineRule="auto"/>
        <w:ind w:left="567" w:right="571"/>
        <w:contextualSpacing w:val="0"/>
        <w:jc w:val="both"/>
        <w:rPr>
          <w:rFonts w:ascii="Times New Roman" w:hAnsi="Times New Roman" w:cs="Times New Roman"/>
          <w:sz w:val="28"/>
          <w:szCs w:val="28"/>
          <w:lang w:val="en-US"/>
        </w:rPr>
      </w:pPr>
      <w:r w:rsidRPr="00A74E13">
        <w:rPr>
          <w:rFonts w:ascii="Times New Roman" w:hAnsi="Times New Roman" w:cs="Times New Roman"/>
          <w:sz w:val="24"/>
          <w:szCs w:val="24"/>
          <w:lang w:val="en-US"/>
        </w:rPr>
        <w:t>At the latest ACCWM herd status meeting, the SRRB agreed to the caribou herd being in the orange zone, which means that it is recommended that there be a mandatory limit on subsistence harvest based on a TAH accepted by the ACCWM. It is important that this conservation measure be applied at a herd-wide level, with the approach for the caribou herd taken within the Sahtu Settlement Area for the caribou herd consistent with parts of the herd’s range in other land claim areas</w:t>
      </w:r>
      <w:r w:rsidRPr="00D10C94">
        <w:rPr>
          <w:rFonts w:ascii="Times New Roman" w:hAnsi="Times New Roman" w:cs="Times New Roman"/>
          <w:sz w:val="28"/>
          <w:szCs w:val="28"/>
          <w:lang w:val="en-US"/>
        </w:rPr>
        <w:t>.</w:t>
      </w:r>
    </w:p>
    <w:p w14:paraId="5F9294D2"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Respondents further assert the Minister’s Final Decision is consistent with the precautionary principle, and he rejected the removal of the TAH on the basis that the alternative proposed by the SRRB (i.e. the Colville Plan) inappropriately vested the CLRRC with complete management and control over harvesting of the migratory Herd while within the area of 01 (S/BC/01), which would have implications for the overall management and conservation of the Herd. </w:t>
      </w:r>
    </w:p>
    <w:p w14:paraId="1564130F" w14:textId="77777777"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Minister confirmed as much in both his Initial and Final Decisions:</w:t>
      </w:r>
    </w:p>
    <w:p w14:paraId="3B3BE6F7" w14:textId="5AF78539"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rPr>
      </w:pPr>
      <w:r w:rsidRPr="00A74E13">
        <w:rPr>
          <w:rFonts w:ascii="Times New Roman" w:hAnsi="Times New Roman" w:cs="Times New Roman"/>
          <w:sz w:val="24"/>
          <w:szCs w:val="24"/>
        </w:rPr>
        <w:t>As has been previously stated, the three wildlife management boards with authority over the…Herd (the SRRB, GRRB, and WMAC-NWT) established and subsequently reconfirmed the need to continue a sustainable overall harvest level of 4%. The effectiveness of management actions is eroded when not implemented equally across the range of the…Herd.</w:t>
      </w:r>
    </w:p>
    <w:p w14:paraId="04185445" w14:textId="77777777"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rPr>
      </w:pPr>
      <w:r w:rsidRPr="00A74E13">
        <w:rPr>
          <w:rFonts w:ascii="Times New Roman" w:hAnsi="Times New Roman" w:cs="Times New Roman"/>
          <w:sz w:val="24"/>
          <w:szCs w:val="24"/>
        </w:rPr>
        <w:tab/>
      </w:r>
      <w:r w:rsidRPr="00A74E13">
        <w:rPr>
          <w:rFonts w:ascii="Times New Roman" w:hAnsi="Times New Roman" w:cs="Times New Roman"/>
          <w:sz w:val="24"/>
          <w:szCs w:val="24"/>
        </w:rPr>
        <w:tab/>
        <w:t>…</w:t>
      </w:r>
    </w:p>
    <w:p w14:paraId="346599EF" w14:textId="42337CA5"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rPr>
      </w:pPr>
      <w:r w:rsidRPr="00A74E13">
        <w:rPr>
          <w:rFonts w:ascii="Times New Roman" w:hAnsi="Times New Roman" w:cs="Times New Roman"/>
          <w:sz w:val="24"/>
          <w:szCs w:val="24"/>
        </w:rPr>
        <w:t>As noted in the reasons for varied Recommendation 4.1, participants from other Sahtu communities cannot be required to obtain an authorization from CLRRC to harvest caribou from the caribou herd in S/BC/01. The TAH allocations for the caribou herd to applicable Sahtu communities must therefore be maintained to provide a means of regulating the harvest of caribou that restricts the right to harvest under 13.4.1…to the minimum extent necessary to achieve the conservation objective.</w:t>
      </w:r>
    </w:p>
    <w:p w14:paraId="7E51F663" w14:textId="77777777" w:rsidR="00D10C94" w:rsidRPr="00D10C94"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Respondents argue:</w:t>
      </w:r>
    </w:p>
    <w:p w14:paraId="29663B23" w14:textId="64BECB59" w:rsidR="00D10C94" w:rsidRPr="00A74E13" w:rsidRDefault="00D10C94" w:rsidP="00A74E13">
      <w:pPr>
        <w:pStyle w:val="ListParagraph"/>
        <w:spacing w:after="240" w:line="240" w:lineRule="auto"/>
        <w:ind w:left="567" w:right="571"/>
        <w:contextualSpacing w:val="0"/>
        <w:jc w:val="both"/>
        <w:rPr>
          <w:rFonts w:ascii="Times New Roman" w:hAnsi="Times New Roman" w:cs="Times New Roman"/>
          <w:sz w:val="24"/>
          <w:szCs w:val="24"/>
        </w:rPr>
      </w:pPr>
      <w:r w:rsidRPr="00A74E13">
        <w:rPr>
          <w:rFonts w:ascii="Times New Roman" w:hAnsi="Times New Roman" w:cs="Times New Roman"/>
          <w:sz w:val="24"/>
          <w:szCs w:val="24"/>
        </w:rPr>
        <w:t>…to remove the TAH, and replace it with the Colville Plan, which the Applicants admit ‘does not impose a predetermine limit on the quantity of the harvest’, would have meant there would be no defined limits on the harvest of the Caribous Herd, while the caribou were in S/BC/01. Such a decision would have the potential to seriously impact the constitutionally protected treaty rights of all Participants, the Inuvialuit, and the Gwich’in, each of whom also have an interest in the Caribou Herd and the health of its population.</w:t>
      </w:r>
    </w:p>
    <w:p w14:paraId="1E40B978" w14:textId="3A39A476"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lastRenderedPageBreak/>
        <w:t xml:space="preserve">The Respondents also argue allowing the CLRRC to authorize harvesting of the Herd would violate s. 13.5.2 of the Treaty, which provides that only the SRRB can impose a restriction on harvest through the TAH mechanism. </w:t>
      </w:r>
      <w:r w:rsidR="00FC2A25">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These management decisions, which affect the entire Herd, must be made and applied by the Minister following the appropriate Treaty processes.</w:t>
      </w:r>
      <w:r w:rsidR="00FC2A25">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Thus, the Minister was correct to conclude that “the effectiveness of management actions is eroded when not implemented equally across the range of the Bluenose-West herd.” </w:t>
      </w:r>
    </w:p>
    <w:p w14:paraId="3417FB4C" w14:textId="7A771668" w:rsidR="00D10C94" w:rsidRPr="00D10C94" w:rsidRDefault="00D10C94" w:rsidP="00A74E13">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Applicants repl</w:t>
      </w:r>
      <w:r w:rsidR="00E06499">
        <w:rPr>
          <w:rFonts w:ascii="Times New Roman" w:hAnsi="Times New Roman" w:cs="Times New Roman"/>
          <w:sz w:val="28"/>
          <w:szCs w:val="28"/>
          <w:lang w:val="en-US"/>
        </w:rPr>
        <w:t>y</w:t>
      </w:r>
      <w:r w:rsidRPr="00D10C94">
        <w:rPr>
          <w:rFonts w:ascii="Times New Roman" w:hAnsi="Times New Roman" w:cs="Times New Roman"/>
          <w:sz w:val="28"/>
          <w:szCs w:val="28"/>
          <w:lang w:val="en-US"/>
        </w:rPr>
        <w:t xml:space="preserve"> that, while the Board criticized the TAH and made findings about the ineffectiveness of a TAH, it did not remove the TAH. The Board’s decision was to direct Colville to submit another draft CCP with additional details on key points, and:</w:t>
      </w:r>
    </w:p>
    <w:p w14:paraId="1710701F" w14:textId="77777777" w:rsidR="00D10C94" w:rsidRPr="00911161" w:rsidRDefault="00D10C94" w:rsidP="00911161">
      <w:pPr>
        <w:pStyle w:val="ListParagraph"/>
        <w:spacing w:after="240" w:line="240" w:lineRule="auto"/>
        <w:ind w:left="567" w:right="571"/>
        <w:contextualSpacing w:val="0"/>
        <w:jc w:val="both"/>
        <w:rPr>
          <w:rFonts w:ascii="Times New Roman" w:hAnsi="Times New Roman" w:cs="Times New Roman"/>
          <w:sz w:val="24"/>
          <w:szCs w:val="24"/>
        </w:rPr>
      </w:pPr>
      <w:proofErr w:type="gramStart"/>
      <w:r w:rsidRPr="00911161">
        <w:rPr>
          <w:rFonts w:ascii="Times New Roman" w:hAnsi="Times New Roman" w:cs="Times New Roman"/>
          <w:sz w:val="24"/>
          <w:szCs w:val="24"/>
        </w:rPr>
        <w:t>If and when</w:t>
      </w:r>
      <w:proofErr w:type="gramEnd"/>
      <w:r w:rsidRPr="00911161">
        <w:rPr>
          <w:rFonts w:ascii="Times New Roman" w:hAnsi="Times New Roman" w:cs="Times New Roman"/>
          <w:sz w:val="24"/>
          <w:szCs w:val="24"/>
        </w:rPr>
        <w:t xml:space="preserve"> Colville does this, the revised CCP will be reviewed by the Board and the Minister under the process set out in s. 13.8.23 to 13.8.28. At that time, the Board and Minister will also consider whether a TAH is required </w:t>
      </w:r>
      <w:proofErr w:type="gramStart"/>
      <w:r w:rsidRPr="00911161">
        <w:rPr>
          <w:rFonts w:ascii="Times New Roman" w:hAnsi="Times New Roman" w:cs="Times New Roman"/>
          <w:sz w:val="24"/>
          <w:szCs w:val="24"/>
        </w:rPr>
        <w:t>in light of</w:t>
      </w:r>
      <w:proofErr w:type="gramEnd"/>
      <w:r w:rsidRPr="00911161">
        <w:rPr>
          <w:rFonts w:ascii="Times New Roman" w:hAnsi="Times New Roman" w:cs="Times New Roman"/>
          <w:sz w:val="24"/>
          <w:szCs w:val="24"/>
        </w:rPr>
        <w:t xml:space="preserve"> the submitted CCP.</w:t>
      </w:r>
    </w:p>
    <w:p w14:paraId="5611DECF" w14:textId="5B8BEEB3"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According to the Applicants, the Minister’s findings about the TAH cannot be separated from the fact he “failed to consider several core factors the Board considered in coming to its deferral.”</w:t>
      </w:r>
      <w:r w:rsidR="00FA4C6F">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One such factor, according to the Applicants, is evidence that a TAH has been ineffective at protecting the Herd, and the finding that a well-designed CCP, such as the </w:t>
      </w:r>
      <w:proofErr w:type="spellStart"/>
      <w:r w:rsidRPr="00D10C94">
        <w:rPr>
          <w:rFonts w:ascii="Times New Roman" w:hAnsi="Times New Roman" w:cs="Times New Roman"/>
          <w:sz w:val="28"/>
          <w:szCs w:val="28"/>
          <w:lang w:val="en-US"/>
        </w:rPr>
        <w:t>Dehla</w:t>
      </w:r>
      <w:proofErr w:type="spellEnd"/>
      <w:r w:rsidRPr="00D10C94">
        <w:rPr>
          <w:rFonts w:ascii="Times New Roman" w:hAnsi="Times New Roman" w:cs="Times New Roman"/>
          <w:sz w:val="28"/>
          <w:szCs w:val="28"/>
          <w:lang w:val="en-US"/>
        </w:rPr>
        <w:t xml:space="preserve"> </w:t>
      </w:r>
      <w:proofErr w:type="spellStart"/>
      <w:r w:rsidRPr="00D10C94">
        <w:rPr>
          <w:rFonts w:ascii="Times New Roman" w:hAnsi="Times New Roman" w:cs="Times New Roman"/>
          <w:sz w:val="28"/>
          <w:szCs w:val="28"/>
          <w:lang w:val="en-US"/>
        </w:rPr>
        <w:t>Got’ine</w:t>
      </w:r>
      <w:proofErr w:type="spellEnd"/>
      <w:r w:rsidRPr="00D10C94">
        <w:rPr>
          <w:rFonts w:ascii="Times New Roman" w:hAnsi="Times New Roman" w:cs="Times New Roman"/>
          <w:sz w:val="28"/>
          <w:szCs w:val="28"/>
          <w:lang w:val="en-US"/>
        </w:rPr>
        <w:t xml:space="preserve"> CCP, is likely to be more effective than a TAH. </w:t>
      </w:r>
    </w:p>
    <w:p w14:paraId="069D8BEF"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Applicants argue that the Board, not the Minister, is the main fact-finding and decision-making body for wildlife management under the Treaty process.  Therefore, the “Minister owes respectful consideration to the Board’s determinations,” an obligation, the Applicants assert, the Minister failed to fulfill.</w:t>
      </w:r>
    </w:p>
    <w:p w14:paraId="650E1668" w14:textId="227BF93B"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In my view, the Respondents’ position must prevail. </w:t>
      </w:r>
      <w:r w:rsidR="00FA4C6F">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The Minister is responsible for the health of the wildlife for the Northwest Territories as a whole and must consider the health of the Herd for the entirety of its Range within the Northwest Territories, not just within the SSA. </w:t>
      </w:r>
      <w:r w:rsidR="00FA4C6F">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Applicants did not present a completed CCP or a justification for removing the TAH that was acceptable to the Minister.</w:t>
      </w:r>
    </w:p>
    <w:p w14:paraId="687E71AA"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The Applicants assert a TAH is not the optimal approach to management of the Herd, but they had</w:t>
      </w:r>
      <w:r w:rsidRPr="00D10C94">
        <w:rPr>
          <w:rFonts w:ascii="Times New Roman" w:hAnsi="Times New Roman" w:cs="Times New Roman"/>
          <w:sz w:val="28"/>
          <w:szCs w:val="28"/>
        </w:rPr>
        <w:t xml:space="preserve"> </w:t>
      </w:r>
      <w:r w:rsidRPr="00D10C94">
        <w:rPr>
          <w:rFonts w:ascii="Times New Roman" w:hAnsi="Times New Roman" w:cs="Times New Roman"/>
          <w:sz w:val="28"/>
          <w:szCs w:val="28"/>
          <w:lang w:val="en-US"/>
        </w:rPr>
        <w:t xml:space="preserve">not completed with public hearings prior to the Minister’s Final Decision being issued. </w:t>
      </w:r>
    </w:p>
    <w:p w14:paraId="55DB7773" w14:textId="0751D75C"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I begin by noting that the precautionary principle has been included in many treaty and policy documents related to the protection and preservation of wildlife. </w:t>
      </w:r>
      <w:r w:rsidR="002E1E26">
        <w:rPr>
          <w:rFonts w:ascii="Times New Roman" w:hAnsi="Times New Roman" w:cs="Times New Roman"/>
          <w:sz w:val="28"/>
          <w:szCs w:val="28"/>
          <w:lang w:val="en-US"/>
        </w:rPr>
        <w:t xml:space="preserve"> </w:t>
      </w:r>
      <w:r w:rsidRPr="00D10C94">
        <w:rPr>
          <w:rFonts w:ascii="Times New Roman" w:hAnsi="Times New Roman" w:cs="Times New Roman"/>
          <w:i/>
          <w:iCs/>
          <w:sz w:val="28"/>
          <w:szCs w:val="28"/>
          <w:lang w:val="en-US"/>
        </w:rPr>
        <w:lastRenderedPageBreak/>
        <w:t xml:space="preserve">114957 Canada </w:t>
      </w:r>
      <w:proofErr w:type="spellStart"/>
      <w:r w:rsidRPr="00D10C94">
        <w:rPr>
          <w:rFonts w:ascii="Times New Roman" w:hAnsi="Times New Roman" w:cs="Times New Roman"/>
          <w:i/>
          <w:iCs/>
          <w:sz w:val="28"/>
          <w:szCs w:val="28"/>
          <w:lang w:val="en-US"/>
        </w:rPr>
        <w:t>Ltée</w:t>
      </w:r>
      <w:proofErr w:type="spellEnd"/>
      <w:r w:rsidRPr="00D10C94">
        <w:rPr>
          <w:rFonts w:ascii="Times New Roman" w:hAnsi="Times New Roman" w:cs="Times New Roman"/>
          <w:i/>
          <w:iCs/>
          <w:sz w:val="28"/>
          <w:szCs w:val="28"/>
          <w:lang w:val="en-US"/>
        </w:rPr>
        <w:t xml:space="preserve"> (</w:t>
      </w:r>
      <w:proofErr w:type="spellStart"/>
      <w:r w:rsidRPr="009E06F5">
        <w:rPr>
          <w:rFonts w:ascii="Times New Roman" w:hAnsi="Times New Roman" w:cs="Times New Roman"/>
          <w:i/>
          <w:iCs/>
          <w:sz w:val="28"/>
          <w:szCs w:val="28"/>
          <w:lang w:val="en-US"/>
        </w:rPr>
        <w:t>Spraytech</w:t>
      </w:r>
      <w:proofErr w:type="spellEnd"/>
      <w:r w:rsidRPr="009E06F5">
        <w:rPr>
          <w:rFonts w:ascii="Times New Roman" w:hAnsi="Times New Roman" w:cs="Times New Roman"/>
          <w:i/>
          <w:iCs/>
          <w:sz w:val="28"/>
          <w:szCs w:val="28"/>
          <w:lang w:val="en-US"/>
        </w:rPr>
        <w:t xml:space="preserve">, Société </w:t>
      </w:r>
      <w:proofErr w:type="spellStart"/>
      <w:r w:rsidRPr="009E06F5">
        <w:rPr>
          <w:rFonts w:ascii="Times New Roman" w:hAnsi="Times New Roman" w:cs="Times New Roman"/>
          <w:i/>
          <w:iCs/>
          <w:sz w:val="28"/>
          <w:szCs w:val="28"/>
          <w:lang w:val="en-US"/>
        </w:rPr>
        <w:t>d'arrosage</w:t>
      </w:r>
      <w:proofErr w:type="spellEnd"/>
      <w:r w:rsidRPr="00D10C94">
        <w:rPr>
          <w:rFonts w:ascii="Times New Roman" w:hAnsi="Times New Roman" w:cs="Times New Roman"/>
          <w:i/>
          <w:iCs/>
          <w:sz w:val="28"/>
          <w:szCs w:val="28"/>
          <w:lang w:val="en-US"/>
        </w:rPr>
        <w:t>) v Hudson (Town),</w:t>
      </w:r>
      <w:r w:rsidRPr="00D10C94">
        <w:rPr>
          <w:rFonts w:ascii="Times New Roman" w:hAnsi="Times New Roman" w:cs="Times New Roman"/>
          <w:sz w:val="28"/>
          <w:szCs w:val="28"/>
          <w:lang w:val="en-US"/>
        </w:rPr>
        <w:t xml:space="preserve"> </w:t>
      </w:r>
      <w:hyperlink r:id="rId54" w:history="1">
        <w:r w:rsidRPr="003F54E4">
          <w:rPr>
            <w:rStyle w:val="Hyperlink"/>
            <w:rFonts w:ascii="Times New Roman" w:hAnsi="Times New Roman" w:cs="Times New Roman"/>
            <w:color w:val="auto"/>
            <w:sz w:val="28"/>
            <w:szCs w:val="28"/>
            <w:u w:val="none"/>
            <w:lang w:val="en-US"/>
          </w:rPr>
          <w:t>2001 SCC 40</w:t>
        </w:r>
      </w:hyperlink>
      <w:r w:rsidRPr="00D10C94">
        <w:rPr>
          <w:rFonts w:ascii="Times New Roman" w:hAnsi="Times New Roman" w:cs="Times New Roman"/>
          <w:sz w:val="28"/>
          <w:szCs w:val="28"/>
          <w:lang w:val="en-US"/>
        </w:rPr>
        <w:t xml:space="preserve">, at para </w:t>
      </w:r>
      <w:hyperlink r:id="rId55" w:anchor="par32" w:history="1">
        <w:r w:rsidRPr="003F54E4">
          <w:rPr>
            <w:rStyle w:val="Hyperlink"/>
            <w:rFonts w:ascii="Times New Roman" w:hAnsi="Times New Roman" w:cs="Times New Roman"/>
            <w:color w:val="auto"/>
            <w:sz w:val="28"/>
            <w:szCs w:val="28"/>
            <w:u w:val="none"/>
            <w:lang w:val="en-US"/>
          </w:rPr>
          <w:t>32</w:t>
        </w:r>
      </w:hyperlink>
      <w:r w:rsidRPr="00D10C94">
        <w:rPr>
          <w:rFonts w:ascii="Times New Roman" w:hAnsi="Times New Roman" w:cs="Times New Roman"/>
          <w:sz w:val="28"/>
          <w:szCs w:val="28"/>
          <w:lang w:val="en-US"/>
        </w:rPr>
        <w:t xml:space="preserve">. </w:t>
      </w:r>
      <w:r w:rsidR="002E1E2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The principle can be regarded as a general principle of precaution which holds that a lack of full scientific certainty must not be used as cause for postponing measures to avoid or minimize threats to environment, wildlife, or habitat.</w:t>
      </w:r>
    </w:p>
    <w:p w14:paraId="5F8257CF"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It is this principle upon which the Minister purported to base the Minister’s decision, at least in part.</w:t>
      </w:r>
    </w:p>
    <w:p w14:paraId="266F82A8" w14:textId="6203A58B"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proofErr w:type="gramStart"/>
      <w:r w:rsidRPr="00D10C94">
        <w:rPr>
          <w:rFonts w:ascii="Times New Roman" w:hAnsi="Times New Roman" w:cs="Times New Roman"/>
          <w:sz w:val="28"/>
          <w:szCs w:val="28"/>
          <w:lang w:val="en-US"/>
        </w:rPr>
        <w:t>With this in mind, I</w:t>
      </w:r>
      <w:proofErr w:type="gramEnd"/>
      <w:r w:rsidRPr="00D10C94">
        <w:rPr>
          <w:rFonts w:ascii="Times New Roman" w:hAnsi="Times New Roman" w:cs="Times New Roman"/>
          <w:sz w:val="28"/>
          <w:szCs w:val="28"/>
          <w:lang w:val="en-US"/>
        </w:rPr>
        <w:t xml:space="preserve"> find that without further evidence, the Minister was entitled to rely on the most recent complete reports which showed the Herd was still in orange status.</w:t>
      </w:r>
      <w:r w:rsidR="002E1E26">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Consistent with the precautionary principle, </w:t>
      </w:r>
      <w:proofErr w:type="gramStart"/>
      <w:r w:rsidRPr="00D10C94">
        <w:rPr>
          <w:rFonts w:ascii="Times New Roman" w:hAnsi="Times New Roman" w:cs="Times New Roman"/>
          <w:sz w:val="28"/>
          <w:szCs w:val="28"/>
          <w:lang w:val="en-US"/>
        </w:rPr>
        <w:t>disagreement</w:t>
      </w:r>
      <w:proofErr w:type="gramEnd"/>
      <w:r w:rsidRPr="00D10C94">
        <w:rPr>
          <w:rFonts w:ascii="Times New Roman" w:hAnsi="Times New Roman" w:cs="Times New Roman"/>
          <w:sz w:val="28"/>
          <w:szCs w:val="28"/>
          <w:lang w:val="en-US"/>
        </w:rPr>
        <w:t xml:space="preserve"> and lack of complete scientific certainty regarding the most optimal approach to conserving the Herd, the Minister chose to maintain the TAH.  </w:t>
      </w:r>
    </w:p>
    <w:p w14:paraId="1EF4346F" w14:textId="40F2A8B4"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Per s. 13.3.1 of the Treaty, the “Government shall retain the ultimate jurisdiction for the management of wildlife and wildlife habitat.”  </w:t>
      </w:r>
    </w:p>
    <w:p w14:paraId="198C5228"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Since a TAH was recommended when the Herd was in orange status the Minister chose to maintain a TAH while the Herd remained in orange status. </w:t>
      </w:r>
    </w:p>
    <w:p w14:paraId="3738751D"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Whether a TAH is the best conservation method is not the role of this court to decide. </w:t>
      </w:r>
    </w:p>
    <w:p w14:paraId="0BF1B64D" w14:textId="7C2E6CD6"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This court is reviewing the Minister’s decision on a standard of correctness.</w:t>
      </w:r>
      <w:r w:rsidR="00416748">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 I find that the Minister’s action in this respect is authorized by the Treaty and must survive correctness review.</w:t>
      </w:r>
      <w:r w:rsidRPr="00D10C94">
        <w:rPr>
          <w:rFonts w:ascii="Times New Roman" w:hAnsi="Times New Roman" w:cs="Times New Roman"/>
          <w:b/>
          <w:bCs/>
          <w:i/>
          <w:iCs/>
          <w:sz w:val="28"/>
          <w:szCs w:val="28"/>
          <w:u w:val="single"/>
          <w:lang w:val="en-US"/>
        </w:rPr>
        <w:t xml:space="preserve">  </w:t>
      </w:r>
    </w:p>
    <w:p w14:paraId="52EB5681" w14:textId="77777777" w:rsidR="00D10C94" w:rsidRDefault="00D10C94" w:rsidP="007547E4">
      <w:pPr>
        <w:pStyle w:val="ListParagraph"/>
        <w:spacing w:after="240" w:line="240" w:lineRule="auto"/>
        <w:ind w:left="0"/>
        <w:jc w:val="both"/>
        <w:rPr>
          <w:rFonts w:ascii="Times New Roman" w:hAnsi="Times New Roman" w:cs="Times New Roman"/>
          <w:b/>
          <w:bCs/>
          <w:sz w:val="28"/>
          <w:szCs w:val="28"/>
          <w:u w:val="single"/>
        </w:rPr>
      </w:pPr>
      <w:r w:rsidRPr="00D10C94">
        <w:rPr>
          <w:rFonts w:ascii="Times New Roman" w:hAnsi="Times New Roman" w:cs="Times New Roman"/>
          <w:b/>
          <w:bCs/>
          <w:sz w:val="28"/>
          <w:szCs w:val="28"/>
          <w:u w:val="single"/>
        </w:rPr>
        <w:t>Disposition of Application</w:t>
      </w:r>
    </w:p>
    <w:p w14:paraId="07029AB2" w14:textId="77777777" w:rsidR="00416748" w:rsidRPr="00D10C94" w:rsidRDefault="00416748" w:rsidP="007547E4">
      <w:pPr>
        <w:pStyle w:val="ListParagraph"/>
        <w:spacing w:after="240" w:line="240" w:lineRule="auto"/>
        <w:ind w:left="0"/>
        <w:jc w:val="both"/>
        <w:rPr>
          <w:rFonts w:ascii="Times New Roman" w:hAnsi="Times New Roman" w:cs="Times New Roman"/>
          <w:b/>
          <w:bCs/>
          <w:sz w:val="28"/>
          <w:szCs w:val="28"/>
          <w:u w:val="single"/>
        </w:rPr>
      </w:pPr>
    </w:p>
    <w:p w14:paraId="296264FD" w14:textId="6DF6CDBD" w:rsidR="00D10C94" w:rsidRPr="00596D86" w:rsidRDefault="00D10C94" w:rsidP="007547E4">
      <w:pPr>
        <w:pStyle w:val="ListParagraph"/>
        <w:numPr>
          <w:ilvl w:val="0"/>
          <w:numId w:val="11"/>
        </w:numPr>
        <w:spacing w:after="240" w:line="240" w:lineRule="auto"/>
        <w:contextualSpacing w:val="0"/>
        <w:jc w:val="both"/>
        <w:rPr>
          <w:rFonts w:ascii="Times New Roman" w:hAnsi="Times New Roman" w:cs="Times New Roman"/>
          <w:sz w:val="28"/>
          <w:szCs w:val="28"/>
        </w:rPr>
      </w:pPr>
      <w:r w:rsidRPr="00596D86">
        <w:rPr>
          <w:rFonts w:ascii="Times New Roman" w:hAnsi="Times New Roman" w:cs="Times New Roman"/>
          <w:sz w:val="28"/>
          <w:szCs w:val="28"/>
          <w:lang w:val="en-US"/>
        </w:rPr>
        <w:t>In this Application, the Applicants sought the following Relief:</w:t>
      </w:r>
    </w:p>
    <w:p w14:paraId="3EC8F462" w14:textId="77777777" w:rsidR="00D10C94" w:rsidRPr="00596D86" w:rsidRDefault="00D10C94" w:rsidP="007547E4">
      <w:pPr>
        <w:pStyle w:val="ListParagraph"/>
        <w:numPr>
          <w:ilvl w:val="0"/>
          <w:numId w:val="25"/>
        </w:numPr>
        <w:spacing w:after="240" w:line="240" w:lineRule="auto"/>
        <w:contextualSpacing w:val="0"/>
        <w:jc w:val="both"/>
        <w:rPr>
          <w:rFonts w:ascii="Times New Roman" w:hAnsi="Times New Roman" w:cs="Times New Roman"/>
          <w:sz w:val="28"/>
          <w:szCs w:val="28"/>
          <w:lang w:val="en-US"/>
        </w:rPr>
      </w:pPr>
      <w:r w:rsidRPr="00D10C94">
        <w:rPr>
          <w:rFonts w:ascii="Times New Roman" w:hAnsi="Times New Roman" w:cs="Times New Roman"/>
          <w:sz w:val="28"/>
          <w:szCs w:val="28"/>
          <w:lang w:val="en-US"/>
        </w:rPr>
        <w:t xml:space="preserve">An Order to quash and set aside the Minister’s decision to vary Decision </w:t>
      </w:r>
      <w:r w:rsidRPr="00596D86">
        <w:rPr>
          <w:rFonts w:ascii="Times New Roman" w:hAnsi="Times New Roman" w:cs="Times New Roman"/>
          <w:sz w:val="28"/>
          <w:szCs w:val="28"/>
          <w:lang w:val="en-US"/>
        </w:rPr>
        <w:t>6.1 and Recommendation 4.1</w:t>
      </w:r>
    </w:p>
    <w:p w14:paraId="3E542F77" w14:textId="2121FC9B" w:rsidR="00D10C94" w:rsidRPr="00D10C94" w:rsidRDefault="00596D86" w:rsidP="007547E4">
      <w:pPr>
        <w:pStyle w:val="ListParagraph"/>
        <w:numPr>
          <w:ilvl w:val="0"/>
          <w:numId w:val="25"/>
        </w:numPr>
        <w:spacing w:after="240" w:line="240" w:lineRule="auto"/>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A D</w:t>
      </w:r>
      <w:r w:rsidR="00D10C94" w:rsidRPr="00D10C94">
        <w:rPr>
          <w:rFonts w:ascii="Times New Roman" w:hAnsi="Times New Roman" w:cs="Times New Roman"/>
          <w:sz w:val="28"/>
          <w:szCs w:val="28"/>
          <w:lang w:val="en-US"/>
        </w:rPr>
        <w:t>eclaration the Minister’s interpretation of the Treaty is wrong in that it limits the rights and powers granted to RRCs and unnecessarily impairs the wildlife harvesting and management rights of participants under the Treaty through the imposition of a TAH when the Treaty provides for other less intrusive and more appropriate means to manage wildlife harvesting by participants.</w:t>
      </w:r>
    </w:p>
    <w:p w14:paraId="3EADB63B" w14:textId="62509873" w:rsidR="00D10C94" w:rsidRPr="00D10C94" w:rsidRDefault="00596D86" w:rsidP="007547E4">
      <w:pPr>
        <w:pStyle w:val="ListParagraph"/>
        <w:numPr>
          <w:ilvl w:val="0"/>
          <w:numId w:val="25"/>
        </w:numPr>
        <w:spacing w:after="240" w:line="240" w:lineRule="auto"/>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D</w:t>
      </w:r>
      <w:r w:rsidR="00D10C94" w:rsidRPr="00D10C94">
        <w:rPr>
          <w:rFonts w:ascii="Times New Roman" w:hAnsi="Times New Roman" w:cs="Times New Roman"/>
          <w:sz w:val="28"/>
          <w:szCs w:val="28"/>
          <w:lang w:val="en-US"/>
        </w:rPr>
        <w:t xml:space="preserve">eclaration that Colville Lake Renewable Resources Council has power under s. 13.9.4 (b) to manage the exercise of participant harvesting rights under the Treaty within a local area in a manner consistent with legislation and the policies of the Board.  </w:t>
      </w:r>
    </w:p>
    <w:p w14:paraId="6A81DC48"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The Supreme Court of Canada has explained the purpose and availability of declaratory relief:</w:t>
      </w:r>
    </w:p>
    <w:p w14:paraId="12EC95EB" w14:textId="77777777" w:rsidR="00D10C94" w:rsidRPr="00911161" w:rsidRDefault="00D10C94" w:rsidP="00911161">
      <w:pPr>
        <w:pStyle w:val="ListParagraph"/>
        <w:spacing w:after="240" w:line="240" w:lineRule="auto"/>
        <w:ind w:left="567" w:right="571"/>
        <w:contextualSpacing w:val="0"/>
        <w:jc w:val="both"/>
        <w:rPr>
          <w:rFonts w:ascii="Times New Roman" w:hAnsi="Times New Roman" w:cs="Times New Roman"/>
          <w:sz w:val="24"/>
          <w:szCs w:val="24"/>
        </w:rPr>
      </w:pPr>
      <w:r w:rsidRPr="00911161">
        <w:rPr>
          <w:rFonts w:ascii="Times New Roman" w:hAnsi="Times New Roman" w:cs="Times New Roman"/>
          <w:sz w:val="24"/>
          <w:szCs w:val="24"/>
        </w:rPr>
        <w:t xml:space="preserve">A declaration is a narrow remedy but one that is available without a cause of action and </w:t>
      </w:r>
      <w:proofErr w:type="gramStart"/>
      <w:r w:rsidRPr="00911161">
        <w:rPr>
          <w:rFonts w:ascii="Times New Roman" w:hAnsi="Times New Roman" w:cs="Times New Roman"/>
          <w:sz w:val="24"/>
          <w:szCs w:val="24"/>
        </w:rPr>
        <w:t>whether or not</w:t>
      </w:r>
      <w:proofErr w:type="gramEnd"/>
      <w:r w:rsidRPr="00911161">
        <w:rPr>
          <w:rFonts w:ascii="Times New Roman" w:hAnsi="Times New Roman" w:cs="Times New Roman"/>
          <w:sz w:val="24"/>
          <w:szCs w:val="24"/>
        </w:rPr>
        <w:t xml:space="preserve"> any consequential relief is available ... A court may, in its discretion, grant a declaration where it has jurisdiction to hear the issue, where the dispute before the court is real and not theoretical, where the party raising the issue has a genuine interest in its resolution, and where the respondent has an interest in opposing the declaration sought … (</w:t>
      </w:r>
      <w:r w:rsidRPr="00911161">
        <w:rPr>
          <w:rFonts w:ascii="Times New Roman" w:hAnsi="Times New Roman" w:cs="Times New Roman"/>
          <w:i/>
          <w:iCs/>
          <w:sz w:val="24"/>
          <w:szCs w:val="24"/>
        </w:rPr>
        <w:t>Ewert v Canada</w:t>
      </w:r>
      <w:r w:rsidRPr="00911161">
        <w:rPr>
          <w:rFonts w:ascii="Times New Roman" w:hAnsi="Times New Roman" w:cs="Times New Roman"/>
          <w:sz w:val="24"/>
          <w:szCs w:val="24"/>
        </w:rPr>
        <w:t xml:space="preserve">, </w:t>
      </w:r>
      <w:hyperlink r:id="rId56" w:history="1">
        <w:r w:rsidRPr="00C64001">
          <w:rPr>
            <w:rStyle w:val="Hyperlink"/>
            <w:rFonts w:ascii="Times New Roman" w:hAnsi="Times New Roman" w:cs="Times New Roman"/>
            <w:color w:val="auto"/>
            <w:sz w:val="24"/>
            <w:szCs w:val="24"/>
            <w:u w:val="none"/>
          </w:rPr>
          <w:t>2018 SCC  30</w:t>
        </w:r>
      </w:hyperlink>
      <w:r w:rsidRPr="00911161">
        <w:rPr>
          <w:rFonts w:ascii="Times New Roman" w:hAnsi="Times New Roman" w:cs="Times New Roman"/>
          <w:sz w:val="24"/>
          <w:szCs w:val="24"/>
        </w:rPr>
        <w:t xml:space="preserve">, at para </w:t>
      </w:r>
      <w:hyperlink r:id="rId57" w:anchor="par81" w:history="1">
        <w:r w:rsidRPr="00C64001">
          <w:rPr>
            <w:rStyle w:val="Hyperlink"/>
            <w:rFonts w:ascii="Times New Roman" w:hAnsi="Times New Roman" w:cs="Times New Roman"/>
            <w:color w:val="auto"/>
            <w:sz w:val="24"/>
            <w:szCs w:val="24"/>
            <w:u w:val="none"/>
          </w:rPr>
          <w:t>81</w:t>
        </w:r>
      </w:hyperlink>
      <w:r w:rsidRPr="00911161">
        <w:rPr>
          <w:rFonts w:ascii="Times New Roman" w:hAnsi="Times New Roman" w:cs="Times New Roman"/>
          <w:sz w:val="24"/>
          <w:szCs w:val="24"/>
        </w:rPr>
        <w:t>)</w:t>
      </w:r>
    </w:p>
    <w:p w14:paraId="49DC8C73"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In the present case, I am satisfied granting declaratory relief is an available option for this court.</w:t>
      </w:r>
    </w:p>
    <w:p w14:paraId="2D05039A" w14:textId="77777777"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rPr>
        <w:t>I will not declare the Minister’s imposition of the TAH to be a violation of the Treaty.</w:t>
      </w:r>
    </w:p>
    <w:p w14:paraId="3467ED08" w14:textId="5A0872DA"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I do declare </w:t>
      </w:r>
      <w:r w:rsidR="00596D86">
        <w:rPr>
          <w:rFonts w:ascii="Times New Roman" w:hAnsi="Times New Roman" w:cs="Times New Roman"/>
          <w:sz w:val="28"/>
          <w:szCs w:val="28"/>
          <w:lang w:val="en-US"/>
        </w:rPr>
        <w:t xml:space="preserve">that </w:t>
      </w:r>
      <w:r w:rsidRPr="00D10C94">
        <w:rPr>
          <w:rFonts w:ascii="Times New Roman" w:hAnsi="Times New Roman" w:cs="Times New Roman"/>
          <w:sz w:val="28"/>
          <w:szCs w:val="28"/>
          <w:lang w:val="en-US"/>
        </w:rPr>
        <w:t xml:space="preserve">the Treaty does not prevent consideration of </w:t>
      </w:r>
      <w:r w:rsidR="00596D86">
        <w:rPr>
          <w:rFonts w:ascii="Times New Roman" w:hAnsi="Times New Roman" w:cs="Times New Roman"/>
          <w:sz w:val="28"/>
          <w:szCs w:val="28"/>
          <w:lang w:val="en-US"/>
        </w:rPr>
        <w:t>a</w:t>
      </w:r>
      <w:r w:rsidRPr="00D10C94">
        <w:rPr>
          <w:rFonts w:ascii="Times New Roman" w:hAnsi="Times New Roman" w:cs="Times New Roman"/>
          <w:sz w:val="28"/>
          <w:szCs w:val="28"/>
          <w:lang w:val="en-US"/>
        </w:rPr>
        <w:t xml:space="preserve"> community conservation plan that would enable the CLRRC to exercise its powers under s. 13.9.4(b) of the Treaty to manage the exercise of Participant harvesting rights within a local area in a manner consistent with legislation and the policies of the SRRB, subject to review by the Minister in his capacity as ultimate decision-making authority in matters of Herd management and conservation. </w:t>
      </w:r>
    </w:p>
    <w:p w14:paraId="11FD2DB1" w14:textId="3F95A8C0" w:rsidR="00D10C94" w:rsidRPr="00D10C94" w:rsidRDefault="00596D86"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lang w:val="en-US"/>
        </w:rPr>
        <w:t>On t</w:t>
      </w:r>
      <w:r w:rsidR="00D10C94" w:rsidRPr="00D10C94">
        <w:rPr>
          <w:rFonts w:ascii="Times New Roman" w:hAnsi="Times New Roman" w:cs="Times New Roman"/>
          <w:sz w:val="28"/>
          <w:szCs w:val="28"/>
          <w:lang w:val="en-US"/>
        </w:rPr>
        <w:t>his narrow issue alone</w:t>
      </w:r>
      <w:r>
        <w:rPr>
          <w:rFonts w:ascii="Times New Roman" w:hAnsi="Times New Roman" w:cs="Times New Roman"/>
          <w:sz w:val="28"/>
          <w:szCs w:val="28"/>
          <w:lang w:val="en-US"/>
        </w:rPr>
        <w:t>,</w:t>
      </w:r>
      <w:r w:rsidR="00D10C94" w:rsidRPr="00D10C94">
        <w:rPr>
          <w:rFonts w:ascii="Times New Roman" w:hAnsi="Times New Roman" w:cs="Times New Roman"/>
          <w:sz w:val="28"/>
          <w:szCs w:val="28"/>
          <w:lang w:val="en-US"/>
        </w:rPr>
        <w:t xml:space="preserve"> of whether the Minister misapplied s. 13.9.4(b</w:t>
      </w:r>
      <w:r w:rsidRPr="00D10C94">
        <w:rPr>
          <w:rFonts w:ascii="Times New Roman" w:hAnsi="Times New Roman" w:cs="Times New Roman"/>
          <w:sz w:val="28"/>
          <w:szCs w:val="28"/>
          <w:lang w:val="en-US"/>
        </w:rPr>
        <w:t>),</w:t>
      </w:r>
      <w:r>
        <w:rPr>
          <w:rFonts w:ascii="Times New Roman" w:hAnsi="Times New Roman" w:cs="Times New Roman"/>
          <w:sz w:val="28"/>
          <w:szCs w:val="28"/>
          <w:lang w:val="en-US"/>
        </w:rPr>
        <w:t xml:space="preserve"> the Minister’s Final Decision is</w:t>
      </w:r>
      <w:r w:rsidR="00D10C94" w:rsidRPr="00D10C94">
        <w:rPr>
          <w:rFonts w:ascii="Times New Roman" w:hAnsi="Times New Roman" w:cs="Times New Roman"/>
          <w:sz w:val="28"/>
          <w:szCs w:val="28"/>
        </w:rPr>
        <w:t xml:space="preserve"> set aside. </w:t>
      </w:r>
      <w:r w:rsidR="006153E5">
        <w:rPr>
          <w:rFonts w:ascii="Times New Roman" w:hAnsi="Times New Roman" w:cs="Times New Roman"/>
          <w:sz w:val="28"/>
          <w:szCs w:val="28"/>
        </w:rPr>
        <w:t xml:space="preserve"> </w:t>
      </w:r>
      <w:r w:rsidR="00D10C94" w:rsidRPr="00D10C94">
        <w:rPr>
          <w:rFonts w:ascii="Times New Roman" w:hAnsi="Times New Roman" w:cs="Times New Roman"/>
          <w:sz w:val="28"/>
          <w:szCs w:val="28"/>
        </w:rPr>
        <w:t>This aspect of the matter will return to the Minister for further consideration.  </w:t>
      </w:r>
    </w:p>
    <w:p w14:paraId="38CE945A" w14:textId="07ACDADA" w:rsidR="00D10C94" w:rsidRPr="00E949AD" w:rsidRDefault="00E949AD" w:rsidP="007547E4">
      <w:pPr>
        <w:pStyle w:val="ListParagraph"/>
        <w:spacing w:after="240" w:line="240" w:lineRule="auto"/>
        <w:ind w:left="0"/>
        <w:jc w:val="both"/>
        <w:rPr>
          <w:rFonts w:ascii="Times New Roman" w:hAnsi="Times New Roman" w:cs="Times New Roman"/>
          <w:b/>
          <w:bCs/>
          <w:sz w:val="28"/>
          <w:szCs w:val="28"/>
          <w:lang w:val="en-US"/>
        </w:rPr>
      </w:pPr>
      <w:r w:rsidRPr="00E949AD">
        <w:rPr>
          <w:rFonts w:ascii="Times New Roman" w:hAnsi="Times New Roman" w:cs="Times New Roman"/>
          <w:b/>
          <w:bCs/>
          <w:sz w:val="28"/>
          <w:szCs w:val="28"/>
          <w:lang w:val="en-US"/>
        </w:rPr>
        <w:t>COSTS</w:t>
      </w:r>
    </w:p>
    <w:p w14:paraId="58AE838F" w14:textId="77777777" w:rsidR="00911161" w:rsidRPr="00D10C94" w:rsidRDefault="00911161" w:rsidP="007547E4">
      <w:pPr>
        <w:pStyle w:val="ListParagraph"/>
        <w:spacing w:after="240" w:line="240" w:lineRule="auto"/>
        <w:ind w:left="0"/>
        <w:jc w:val="both"/>
        <w:rPr>
          <w:rFonts w:ascii="Times New Roman" w:hAnsi="Times New Roman" w:cs="Times New Roman"/>
          <w:b/>
          <w:bCs/>
          <w:sz w:val="28"/>
          <w:szCs w:val="28"/>
        </w:rPr>
      </w:pPr>
    </w:p>
    <w:p w14:paraId="681E0B3F" w14:textId="49CD2C2F" w:rsidR="00D10C94" w:rsidRPr="00D10C94" w:rsidRDefault="00D10C94" w:rsidP="00911161">
      <w:pPr>
        <w:pStyle w:val="ListParagraph"/>
        <w:numPr>
          <w:ilvl w:val="0"/>
          <w:numId w:val="11"/>
        </w:numPr>
        <w:spacing w:after="240" w:line="240" w:lineRule="auto"/>
        <w:ind w:left="0" w:firstLine="0"/>
        <w:contextualSpacing w:val="0"/>
        <w:jc w:val="both"/>
        <w:rPr>
          <w:rFonts w:ascii="Times New Roman" w:hAnsi="Times New Roman" w:cs="Times New Roman"/>
          <w:sz w:val="28"/>
          <w:szCs w:val="28"/>
        </w:rPr>
      </w:pPr>
      <w:r w:rsidRPr="00D10C94">
        <w:rPr>
          <w:rFonts w:ascii="Times New Roman" w:hAnsi="Times New Roman" w:cs="Times New Roman"/>
          <w:sz w:val="28"/>
          <w:szCs w:val="28"/>
          <w:lang w:val="en-US"/>
        </w:rPr>
        <w:t xml:space="preserve">The Applicants were unsuccessful in </w:t>
      </w:r>
      <w:r w:rsidR="00596D86">
        <w:rPr>
          <w:rFonts w:ascii="Times New Roman" w:hAnsi="Times New Roman" w:cs="Times New Roman"/>
          <w:sz w:val="28"/>
          <w:szCs w:val="28"/>
          <w:lang w:val="en-US"/>
        </w:rPr>
        <w:t xml:space="preserve">their </w:t>
      </w:r>
      <w:r w:rsidRPr="00D10C94">
        <w:rPr>
          <w:rFonts w:ascii="Times New Roman" w:hAnsi="Times New Roman" w:cs="Times New Roman"/>
          <w:sz w:val="28"/>
          <w:szCs w:val="28"/>
          <w:lang w:val="en-US"/>
        </w:rPr>
        <w:t xml:space="preserve">efforts to have the Minister’s Decision quashed or set aside and I have not found the Minister violated the Treaty by maintaining a Total Allowable Harvest for the Herd. </w:t>
      </w:r>
      <w:r w:rsidR="00C644AA">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 xml:space="preserve">However, I have ordered that the Minister’s Final Decision be amended to reflect the Declaration respecting the powers of Renewable Resources Councils under s. 13.9.4(b) of the Treaty. </w:t>
      </w:r>
      <w:r w:rsidR="00C644AA">
        <w:rPr>
          <w:rFonts w:ascii="Times New Roman" w:hAnsi="Times New Roman" w:cs="Times New Roman"/>
          <w:sz w:val="28"/>
          <w:szCs w:val="28"/>
          <w:lang w:val="en-US"/>
        </w:rPr>
        <w:t xml:space="preserve"> </w:t>
      </w:r>
      <w:r w:rsidRPr="00D10C94">
        <w:rPr>
          <w:rFonts w:ascii="Times New Roman" w:hAnsi="Times New Roman" w:cs="Times New Roman"/>
          <w:sz w:val="28"/>
          <w:szCs w:val="28"/>
          <w:lang w:val="en-US"/>
        </w:rPr>
        <w:t>Thus, in my view, success on this Application was mixed.  For that reason, I would think that the parties might agree to bear their own costs.</w:t>
      </w:r>
      <w:r w:rsidRPr="00D10C94">
        <w:rPr>
          <w:rFonts w:ascii="Times New Roman" w:hAnsi="Times New Roman" w:cs="Times New Roman"/>
          <w:sz w:val="28"/>
          <w:szCs w:val="28"/>
        </w:rPr>
        <w:t xml:space="preserve"> </w:t>
      </w:r>
      <w:r w:rsidR="00C644AA">
        <w:rPr>
          <w:rFonts w:ascii="Times New Roman" w:hAnsi="Times New Roman" w:cs="Times New Roman"/>
          <w:sz w:val="28"/>
          <w:szCs w:val="28"/>
        </w:rPr>
        <w:t xml:space="preserve"> </w:t>
      </w:r>
      <w:r w:rsidR="00596D86">
        <w:rPr>
          <w:rFonts w:ascii="Times New Roman" w:hAnsi="Times New Roman" w:cs="Times New Roman"/>
          <w:sz w:val="28"/>
          <w:szCs w:val="28"/>
        </w:rPr>
        <w:t>I</w:t>
      </w:r>
      <w:r w:rsidRPr="00D10C94">
        <w:rPr>
          <w:rFonts w:ascii="Times New Roman" w:hAnsi="Times New Roman" w:cs="Times New Roman"/>
          <w:sz w:val="28"/>
          <w:szCs w:val="28"/>
          <w:lang w:val="en-US"/>
        </w:rPr>
        <w:t xml:space="preserve">f either party wishes to attempt </w:t>
      </w:r>
      <w:r w:rsidRPr="00D10C94">
        <w:rPr>
          <w:rFonts w:ascii="Times New Roman" w:hAnsi="Times New Roman" w:cs="Times New Roman"/>
          <w:sz w:val="28"/>
          <w:szCs w:val="28"/>
          <w:lang w:val="en-US"/>
        </w:rPr>
        <w:lastRenderedPageBreak/>
        <w:t>to persuade me that a different result should obtain, they may make written submissions, limited to five typewritten pages, excluding attachments, as follows:</w:t>
      </w:r>
    </w:p>
    <w:p w14:paraId="63A265D2" w14:textId="3C0882F4" w:rsidR="00D10C94" w:rsidRDefault="00D10C94" w:rsidP="00911161">
      <w:pPr>
        <w:pStyle w:val="ListParagraph"/>
        <w:numPr>
          <w:ilvl w:val="0"/>
          <w:numId w:val="44"/>
        </w:numPr>
        <w:spacing w:after="240" w:line="240" w:lineRule="auto"/>
        <w:jc w:val="both"/>
        <w:rPr>
          <w:rFonts w:ascii="Times New Roman" w:hAnsi="Times New Roman" w:cs="Times New Roman"/>
          <w:sz w:val="28"/>
          <w:szCs w:val="28"/>
        </w:rPr>
      </w:pPr>
      <w:r w:rsidRPr="00911161">
        <w:rPr>
          <w:rFonts w:ascii="Times New Roman" w:hAnsi="Times New Roman" w:cs="Times New Roman"/>
          <w:sz w:val="28"/>
          <w:szCs w:val="28"/>
        </w:rPr>
        <w:t>The Applicants shall serve and file their submissions within 10 days of the release of this endorsement.</w:t>
      </w:r>
    </w:p>
    <w:p w14:paraId="2D948D54" w14:textId="77777777" w:rsidR="00911161" w:rsidRPr="00911161" w:rsidRDefault="00911161" w:rsidP="00911161">
      <w:pPr>
        <w:pStyle w:val="ListParagraph"/>
        <w:spacing w:after="240" w:line="240" w:lineRule="auto"/>
        <w:ind w:left="1440"/>
        <w:jc w:val="both"/>
        <w:rPr>
          <w:rFonts w:ascii="Times New Roman" w:hAnsi="Times New Roman" w:cs="Times New Roman"/>
          <w:sz w:val="28"/>
          <w:szCs w:val="28"/>
        </w:rPr>
      </w:pPr>
    </w:p>
    <w:p w14:paraId="60BFB03B" w14:textId="12B40D3A" w:rsidR="00911161" w:rsidRDefault="00D10C94" w:rsidP="00911161">
      <w:pPr>
        <w:pStyle w:val="ListParagraph"/>
        <w:numPr>
          <w:ilvl w:val="0"/>
          <w:numId w:val="44"/>
        </w:numPr>
        <w:spacing w:after="240" w:line="240" w:lineRule="auto"/>
        <w:jc w:val="both"/>
        <w:rPr>
          <w:rFonts w:ascii="Times New Roman" w:hAnsi="Times New Roman" w:cs="Times New Roman"/>
          <w:sz w:val="28"/>
          <w:szCs w:val="28"/>
        </w:rPr>
      </w:pPr>
      <w:r w:rsidRPr="00911161">
        <w:rPr>
          <w:rFonts w:ascii="Times New Roman" w:hAnsi="Times New Roman" w:cs="Times New Roman"/>
          <w:sz w:val="28"/>
          <w:szCs w:val="28"/>
        </w:rPr>
        <w:t>The Respondents shall serve and file their submissions within 10 days of the receipt of the Applicants’ submissions or, if none are received and the Respondent wishes to pursue costs, within 20 days of the release of this endorsement, in which case the Applicants shall serve and file her submissions within 10 days of the receipt of the Respondents submissions; and</w:t>
      </w:r>
    </w:p>
    <w:p w14:paraId="6D2F671E" w14:textId="77777777" w:rsidR="00911161" w:rsidRPr="00911161" w:rsidRDefault="00911161" w:rsidP="00911161">
      <w:pPr>
        <w:pStyle w:val="ListParagraph"/>
        <w:rPr>
          <w:rFonts w:ascii="Times New Roman" w:hAnsi="Times New Roman" w:cs="Times New Roman"/>
          <w:sz w:val="28"/>
          <w:szCs w:val="28"/>
        </w:rPr>
      </w:pPr>
    </w:p>
    <w:p w14:paraId="63097845" w14:textId="77777777" w:rsidR="00D10C94" w:rsidRPr="00D10C94" w:rsidRDefault="00D10C94" w:rsidP="00911161">
      <w:pPr>
        <w:pStyle w:val="ListParagraph"/>
        <w:numPr>
          <w:ilvl w:val="0"/>
          <w:numId w:val="44"/>
        </w:numPr>
        <w:spacing w:after="240" w:line="240" w:lineRule="auto"/>
        <w:jc w:val="both"/>
        <w:rPr>
          <w:rFonts w:ascii="Times New Roman" w:hAnsi="Times New Roman" w:cs="Times New Roman"/>
          <w:sz w:val="28"/>
          <w:szCs w:val="28"/>
          <w:lang w:val="en-US"/>
        </w:rPr>
      </w:pPr>
      <w:r w:rsidRPr="00D10C94">
        <w:rPr>
          <w:rFonts w:ascii="Times New Roman" w:hAnsi="Times New Roman" w:cs="Times New Roman"/>
          <w:sz w:val="28"/>
          <w:szCs w:val="28"/>
        </w:rPr>
        <w:t xml:space="preserve">The parties shall serve and file </w:t>
      </w:r>
      <w:proofErr w:type="gramStart"/>
      <w:r w:rsidRPr="00D10C94">
        <w:rPr>
          <w:rFonts w:ascii="Times New Roman" w:hAnsi="Times New Roman" w:cs="Times New Roman"/>
          <w:sz w:val="28"/>
          <w:szCs w:val="28"/>
        </w:rPr>
        <w:t>reply</w:t>
      </w:r>
      <w:proofErr w:type="gramEnd"/>
      <w:r w:rsidRPr="00D10C94">
        <w:rPr>
          <w:rFonts w:ascii="Times New Roman" w:hAnsi="Times New Roman" w:cs="Times New Roman"/>
          <w:sz w:val="28"/>
          <w:szCs w:val="28"/>
        </w:rPr>
        <w:t xml:space="preserve"> submissions, if any, within 10 days of the receipt of the opposing party’s submissions.</w:t>
      </w:r>
    </w:p>
    <w:p w14:paraId="7D57D0EB" w14:textId="3CC80189" w:rsidR="00D10C94" w:rsidRDefault="00D10C94" w:rsidP="007547E4">
      <w:pPr>
        <w:pStyle w:val="ListParagraph"/>
        <w:spacing w:after="240" w:line="240" w:lineRule="auto"/>
        <w:jc w:val="both"/>
        <w:rPr>
          <w:rFonts w:ascii="Times New Roman" w:hAnsi="Times New Roman" w:cs="Times New Roman"/>
          <w:sz w:val="28"/>
          <w:szCs w:val="28"/>
          <w:lang w:val="en-US"/>
        </w:rPr>
      </w:pPr>
    </w:p>
    <w:p w14:paraId="53A6E55D" w14:textId="77777777" w:rsidR="007F1453" w:rsidRDefault="007F1453" w:rsidP="007547E4">
      <w:pPr>
        <w:pStyle w:val="ListParagraph"/>
        <w:spacing w:after="240" w:line="240" w:lineRule="auto"/>
        <w:jc w:val="both"/>
        <w:rPr>
          <w:rFonts w:ascii="Times New Roman" w:hAnsi="Times New Roman" w:cs="Times New Roman"/>
          <w:sz w:val="28"/>
          <w:szCs w:val="28"/>
          <w:lang w:val="en-US"/>
        </w:rPr>
      </w:pPr>
    </w:p>
    <w:p w14:paraId="30E15A7E" w14:textId="77777777" w:rsidR="007F1453" w:rsidRDefault="007F1453" w:rsidP="007547E4">
      <w:pPr>
        <w:pStyle w:val="ListParagraph"/>
        <w:spacing w:after="240" w:line="240" w:lineRule="auto"/>
        <w:jc w:val="both"/>
        <w:rPr>
          <w:rFonts w:ascii="Times New Roman" w:hAnsi="Times New Roman" w:cs="Times New Roman"/>
          <w:sz w:val="28"/>
          <w:szCs w:val="28"/>
          <w:lang w:val="en-US"/>
        </w:rPr>
      </w:pPr>
    </w:p>
    <w:p w14:paraId="2C7F2AB6" w14:textId="12E41324" w:rsidR="00911161" w:rsidRPr="00827700" w:rsidRDefault="000B1A06" w:rsidP="00827700">
      <w:pPr>
        <w:pStyle w:val="ListParagraph"/>
        <w:spacing w:after="240" w:line="240" w:lineRule="auto"/>
        <w:ind w:left="6480"/>
        <w:jc w:val="both"/>
        <w:rPr>
          <w:rFonts w:ascii="Times New Roman" w:hAnsi="Times New Roman" w:cs="Times New Roman"/>
          <w:sz w:val="28"/>
          <w:szCs w:val="28"/>
          <w:u w:val="single"/>
          <w:lang w:val="en-US"/>
        </w:rPr>
      </w:pPr>
      <w:proofErr w:type="spellStart"/>
      <w:r>
        <w:rPr>
          <w:rFonts w:ascii="Times New Roman" w:hAnsi="Times New Roman" w:cs="Times New Roman"/>
          <w:sz w:val="28"/>
          <w:szCs w:val="28"/>
          <w:u w:val="single"/>
          <w:lang w:val="en-US"/>
        </w:rPr>
        <w:t>S.</w:t>
      </w:r>
      <w:proofErr w:type="gramStart"/>
      <w:r w:rsidR="004B7643">
        <w:rPr>
          <w:rFonts w:ascii="Times New Roman" w:hAnsi="Times New Roman" w:cs="Times New Roman"/>
          <w:sz w:val="28"/>
          <w:szCs w:val="28"/>
          <w:u w:val="single"/>
          <w:lang w:val="en-US"/>
        </w:rPr>
        <w:t>H.Smallwood</w:t>
      </w:r>
      <w:proofErr w:type="spellEnd"/>
      <w:proofErr w:type="gramEnd"/>
    </w:p>
    <w:p w14:paraId="4B64A413" w14:textId="77777777" w:rsidR="0089248E" w:rsidRDefault="0089248E" w:rsidP="007547E4">
      <w:pPr>
        <w:pStyle w:val="ListParagraph"/>
        <w:spacing w:after="240" w:line="240" w:lineRule="auto"/>
        <w:jc w:val="both"/>
        <w:rPr>
          <w:rFonts w:ascii="Times New Roman" w:hAnsi="Times New Roman" w:cs="Times New Roman"/>
          <w:sz w:val="28"/>
          <w:szCs w:val="28"/>
          <w:lang w:val="en-US"/>
        </w:rPr>
      </w:pPr>
    </w:p>
    <w:p w14:paraId="2CF6D01E" w14:textId="2F11F49F" w:rsidR="00D10C94" w:rsidRPr="00D10C94" w:rsidRDefault="00D10C94" w:rsidP="007547E4">
      <w:pPr>
        <w:pStyle w:val="ListParagraph"/>
        <w:spacing w:after="240" w:line="240" w:lineRule="auto"/>
        <w:ind w:left="0"/>
        <w:jc w:val="both"/>
        <w:rPr>
          <w:rFonts w:ascii="Times New Roman" w:hAnsi="Times New Roman" w:cs="Times New Roman"/>
          <w:sz w:val="28"/>
          <w:szCs w:val="28"/>
        </w:rPr>
      </w:pP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003467E9">
        <w:rPr>
          <w:rFonts w:ascii="Times New Roman" w:hAnsi="Times New Roman" w:cs="Times New Roman"/>
          <w:sz w:val="28"/>
          <w:szCs w:val="28"/>
        </w:rPr>
        <w:t>f</w:t>
      </w:r>
      <w:r w:rsidR="000C1DFD">
        <w:rPr>
          <w:rFonts w:ascii="Times New Roman" w:hAnsi="Times New Roman" w:cs="Times New Roman"/>
          <w:sz w:val="28"/>
          <w:szCs w:val="28"/>
        </w:rPr>
        <w:t>or/</w:t>
      </w:r>
      <w:r w:rsidRPr="00D10C94">
        <w:rPr>
          <w:rFonts w:ascii="Times New Roman" w:hAnsi="Times New Roman" w:cs="Times New Roman"/>
          <w:sz w:val="28"/>
          <w:szCs w:val="28"/>
        </w:rPr>
        <w:t>A.M. Mah</w:t>
      </w:r>
      <w:r w:rsidR="000B1A06">
        <w:rPr>
          <w:rFonts w:ascii="Times New Roman" w:hAnsi="Times New Roman" w:cs="Times New Roman"/>
          <w:sz w:val="28"/>
          <w:szCs w:val="28"/>
        </w:rPr>
        <w:t>a</w:t>
      </w:r>
      <w:r w:rsidRPr="00D10C94">
        <w:rPr>
          <w:rFonts w:ascii="Times New Roman" w:hAnsi="Times New Roman" w:cs="Times New Roman"/>
          <w:sz w:val="28"/>
          <w:szCs w:val="28"/>
        </w:rPr>
        <w:t>r</w:t>
      </w:r>
    </w:p>
    <w:p w14:paraId="139AD569" w14:textId="77777777" w:rsidR="00D10C94" w:rsidRPr="00D10C94" w:rsidRDefault="00D10C94" w:rsidP="007547E4">
      <w:pPr>
        <w:pStyle w:val="ListParagraph"/>
        <w:spacing w:after="240" w:line="240" w:lineRule="auto"/>
        <w:jc w:val="both"/>
        <w:rPr>
          <w:rFonts w:ascii="Times New Roman" w:hAnsi="Times New Roman" w:cs="Times New Roman"/>
          <w:sz w:val="28"/>
          <w:szCs w:val="28"/>
        </w:rPr>
      </w:pP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r>
      <w:r w:rsidRPr="00D10C94">
        <w:rPr>
          <w:rFonts w:ascii="Times New Roman" w:hAnsi="Times New Roman" w:cs="Times New Roman"/>
          <w:sz w:val="28"/>
          <w:szCs w:val="28"/>
        </w:rPr>
        <w:tab/>
        <w:t xml:space="preserve">        </w:t>
      </w:r>
      <w:r w:rsidRPr="00D10C94">
        <w:rPr>
          <w:rFonts w:ascii="Times New Roman" w:hAnsi="Times New Roman" w:cs="Times New Roman"/>
          <w:sz w:val="28"/>
          <w:szCs w:val="28"/>
        </w:rPr>
        <w:tab/>
        <w:t>J.S.C.</w:t>
      </w:r>
    </w:p>
    <w:p w14:paraId="35F9CDB3" w14:textId="77777777" w:rsidR="00D10C94" w:rsidRDefault="00D10C94" w:rsidP="007547E4">
      <w:pPr>
        <w:pStyle w:val="ListParagraph"/>
        <w:spacing w:after="240" w:line="240" w:lineRule="auto"/>
        <w:jc w:val="both"/>
        <w:rPr>
          <w:rFonts w:ascii="Times New Roman" w:hAnsi="Times New Roman" w:cs="Times New Roman"/>
          <w:sz w:val="28"/>
          <w:szCs w:val="28"/>
        </w:rPr>
      </w:pPr>
    </w:p>
    <w:p w14:paraId="0FDDA815" w14:textId="77777777" w:rsidR="007F1453" w:rsidRPr="00D10C94" w:rsidRDefault="007F1453" w:rsidP="007547E4">
      <w:pPr>
        <w:pStyle w:val="ListParagraph"/>
        <w:spacing w:after="240" w:line="240" w:lineRule="auto"/>
        <w:jc w:val="both"/>
        <w:rPr>
          <w:rFonts w:ascii="Times New Roman" w:hAnsi="Times New Roman" w:cs="Times New Roman"/>
          <w:sz w:val="28"/>
          <w:szCs w:val="28"/>
        </w:rPr>
      </w:pPr>
    </w:p>
    <w:p w14:paraId="4B551A7A" w14:textId="77777777" w:rsidR="00D10C94" w:rsidRPr="00D10C94" w:rsidRDefault="00D10C94" w:rsidP="007547E4">
      <w:pPr>
        <w:pStyle w:val="ListParagraph"/>
        <w:spacing w:after="240" w:line="240" w:lineRule="auto"/>
        <w:jc w:val="both"/>
        <w:rPr>
          <w:rFonts w:ascii="Times New Roman" w:hAnsi="Times New Roman" w:cs="Times New Roman"/>
          <w:sz w:val="28"/>
          <w:szCs w:val="28"/>
        </w:rPr>
      </w:pPr>
      <w:r w:rsidRPr="00D10C94">
        <w:rPr>
          <w:rFonts w:ascii="Times New Roman" w:hAnsi="Times New Roman" w:cs="Times New Roman"/>
          <w:sz w:val="28"/>
          <w:szCs w:val="28"/>
        </w:rPr>
        <w:t xml:space="preserve">Dated at Yellowknife, NT, </w:t>
      </w:r>
      <w:proofErr w:type="gramStart"/>
      <w:r w:rsidRPr="00D10C94">
        <w:rPr>
          <w:rFonts w:ascii="Times New Roman" w:hAnsi="Times New Roman" w:cs="Times New Roman"/>
          <w:sz w:val="28"/>
          <w:szCs w:val="28"/>
        </w:rPr>
        <w:t>this</w:t>
      </w:r>
      <w:proofErr w:type="gramEnd"/>
    </w:p>
    <w:p w14:paraId="1AE59AFB" w14:textId="11946D0C" w:rsidR="00D10C94" w:rsidRPr="00D10C94" w:rsidRDefault="00C772C9" w:rsidP="007547E4">
      <w:pPr>
        <w:pStyle w:val="ListParagraph"/>
        <w:spacing w:after="240" w:line="240" w:lineRule="auto"/>
        <w:jc w:val="both"/>
        <w:rPr>
          <w:rFonts w:ascii="Times New Roman" w:hAnsi="Times New Roman" w:cs="Times New Roman"/>
          <w:sz w:val="28"/>
          <w:szCs w:val="28"/>
        </w:rPr>
      </w:pPr>
      <w:r>
        <w:rPr>
          <w:rFonts w:ascii="Times New Roman" w:hAnsi="Times New Roman" w:cs="Times New Roman"/>
          <w:sz w:val="28"/>
          <w:szCs w:val="28"/>
        </w:rPr>
        <w:t>11</w:t>
      </w:r>
      <w:r w:rsidR="00D10C94" w:rsidRPr="00D10C94">
        <w:rPr>
          <w:rFonts w:ascii="Times New Roman" w:hAnsi="Times New Roman" w:cs="Times New Roman"/>
          <w:sz w:val="28"/>
          <w:szCs w:val="28"/>
          <w:vertAlign w:val="superscript"/>
        </w:rPr>
        <w:t>th</w:t>
      </w:r>
      <w:r w:rsidR="00D10C94" w:rsidRPr="00D10C94">
        <w:rPr>
          <w:rFonts w:ascii="Times New Roman" w:hAnsi="Times New Roman" w:cs="Times New Roman"/>
          <w:sz w:val="28"/>
          <w:szCs w:val="28"/>
        </w:rPr>
        <w:t xml:space="preserve"> day of </w:t>
      </w:r>
      <w:proofErr w:type="gramStart"/>
      <w:r w:rsidR="00D10C94" w:rsidRPr="00D10C94">
        <w:rPr>
          <w:rFonts w:ascii="Times New Roman" w:hAnsi="Times New Roman" w:cs="Times New Roman"/>
          <w:sz w:val="28"/>
          <w:szCs w:val="28"/>
        </w:rPr>
        <w:t>August,</w:t>
      </w:r>
      <w:proofErr w:type="gramEnd"/>
      <w:r w:rsidR="00D10C94" w:rsidRPr="00D10C94">
        <w:rPr>
          <w:rFonts w:ascii="Times New Roman" w:hAnsi="Times New Roman" w:cs="Times New Roman"/>
          <w:sz w:val="28"/>
          <w:szCs w:val="28"/>
        </w:rPr>
        <w:t xml:space="preserve"> 2023</w:t>
      </w:r>
    </w:p>
    <w:p w14:paraId="75774ECB" w14:textId="77777777" w:rsidR="00D10C94" w:rsidRDefault="00D10C94" w:rsidP="007547E4">
      <w:pPr>
        <w:pStyle w:val="ListParagraph"/>
        <w:spacing w:after="240" w:line="240" w:lineRule="auto"/>
        <w:jc w:val="both"/>
        <w:rPr>
          <w:rFonts w:ascii="Times New Roman" w:hAnsi="Times New Roman" w:cs="Times New Roman"/>
          <w:sz w:val="28"/>
          <w:szCs w:val="28"/>
        </w:rPr>
      </w:pPr>
    </w:p>
    <w:p w14:paraId="4FFD7D10"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6793B4C5"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73FD7ED2"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4EEE7078"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18D23C26"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24607A7A"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5EDF3883"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5C537746"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52576AC7"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13D0CD9B"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773CACD7"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6F668194"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143A1404"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16B36BBF"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4C1091EE" w14:textId="77777777" w:rsidR="007F1453" w:rsidRDefault="007F1453" w:rsidP="007547E4">
      <w:pPr>
        <w:pStyle w:val="ListParagraph"/>
        <w:spacing w:after="240" w:line="240" w:lineRule="auto"/>
        <w:jc w:val="both"/>
        <w:rPr>
          <w:rFonts w:ascii="Times New Roman" w:hAnsi="Times New Roman" w:cs="Times New Roman"/>
          <w:sz w:val="28"/>
          <w:szCs w:val="28"/>
        </w:rPr>
      </w:pPr>
    </w:p>
    <w:p w14:paraId="7D16CA1D" w14:textId="616E7E62" w:rsidR="00D10C94" w:rsidRDefault="00D10C94" w:rsidP="007547E4">
      <w:pPr>
        <w:pStyle w:val="ListParagraph"/>
        <w:spacing w:after="240" w:line="240" w:lineRule="auto"/>
        <w:ind w:left="0"/>
        <w:jc w:val="both"/>
        <w:rPr>
          <w:rFonts w:ascii="Times New Roman" w:hAnsi="Times New Roman" w:cs="Times New Roman"/>
          <w:sz w:val="28"/>
          <w:szCs w:val="28"/>
        </w:rPr>
      </w:pPr>
      <w:r w:rsidRPr="00D10C94">
        <w:rPr>
          <w:rFonts w:ascii="Times New Roman" w:hAnsi="Times New Roman" w:cs="Times New Roman"/>
          <w:sz w:val="28"/>
          <w:szCs w:val="28"/>
        </w:rPr>
        <w:t xml:space="preserve">Counsel for </w:t>
      </w:r>
      <w:r w:rsidR="005C5E21">
        <w:rPr>
          <w:rFonts w:ascii="Times New Roman" w:hAnsi="Times New Roman" w:cs="Times New Roman"/>
          <w:sz w:val="28"/>
          <w:szCs w:val="28"/>
        </w:rPr>
        <w:t>the Applicants:</w:t>
      </w:r>
      <w:r w:rsidR="005C5E21">
        <w:rPr>
          <w:rFonts w:ascii="Times New Roman" w:hAnsi="Times New Roman" w:cs="Times New Roman"/>
          <w:sz w:val="28"/>
          <w:szCs w:val="28"/>
        </w:rPr>
        <w:tab/>
      </w:r>
      <w:r w:rsidR="005C5E21">
        <w:rPr>
          <w:rFonts w:ascii="Times New Roman" w:hAnsi="Times New Roman" w:cs="Times New Roman"/>
          <w:sz w:val="28"/>
          <w:szCs w:val="28"/>
        </w:rPr>
        <w:tab/>
      </w:r>
      <w:r w:rsidR="005C5E21">
        <w:rPr>
          <w:rFonts w:ascii="Times New Roman" w:hAnsi="Times New Roman" w:cs="Times New Roman"/>
          <w:sz w:val="28"/>
          <w:szCs w:val="28"/>
        </w:rPr>
        <w:tab/>
      </w:r>
      <w:r w:rsidR="005C5E21">
        <w:rPr>
          <w:rFonts w:ascii="Times New Roman" w:hAnsi="Times New Roman" w:cs="Times New Roman"/>
          <w:sz w:val="28"/>
          <w:szCs w:val="28"/>
        </w:rPr>
        <w:tab/>
        <w:t>Larry Innes</w:t>
      </w:r>
    </w:p>
    <w:p w14:paraId="510DBE0B" w14:textId="10A9ACC6" w:rsidR="005C5E21" w:rsidRDefault="005C5E21" w:rsidP="007547E4">
      <w:pPr>
        <w:pStyle w:val="ListParagraph"/>
        <w:spacing w:after="24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Senwung Luk</w:t>
      </w:r>
    </w:p>
    <w:p w14:paraId="0C24E1C8" w14:textId="3B5C260A" w:rsidR="007349F7" w:rsidRDefault="009168E3" w:rsidP="007547E4">
      <w:pPr>
        <w:pStyle w:val="ListParagraph"/>
        <w:spacing w:after="24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Krista Nerland</w:t>
      </w:r>
    </w:p>
    <w:p w14:paraId="0E23FC6F" w14:textId="4569D604" w:rsidR="009168E3" w:rsidRDefault="009168E3" w:rsidP="007547E4">
      <w:pPr>
        <w:pStyle w:val="ListParagraph"/>
        <w:spacing w:after="24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Jennifer Duncan</w:t>
      </w:r>
      <w:r>
        <w:rPr>
          <w:rFonts w:ascii="Times New Roman" w:hAnsi="Times New Roman" w:cs="Times New Roman"/>
          <w:sz w:val="28"/>
          <w:szCs w:val="28"/>
        </w:rPr>
        <w:tab/>
      </w:r>
    </w:p>
    <w:p w14:paraId="3A57C51A" w14:textId="06218817" w:rsidR="009168E3" w:rsidRDefault="008B1C4A" w:rsidP="007547E4">
      <w:pPr>
        <w:pStyle w:val="ListParagraph"/>
        <w:spacing w:after="24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7F1453">
        <w:rPr>
          <w:rFonts w:ascii="Times New Roman" w:hAnsi="Times New Roman" w:cs="Times New Roman"/>
          <w:sz w:val="28"/>
          <w:szCs w:val="28"/>
        </w:rPr>
        <w:t>Gaëlle</w:t>
      </w:r>
      <w:proofErr w:type="spellEnd"/>
      <w:r w:rsidR="007F1453">
        <w:rPr>
          <w:rFonts w:ascii="Times New Roman" w:hAnsi="Times New Roman" w:cs="Times New Roman"/>
          <w:sz w:val="28"/>
          <w:szCs w:val="28"/>
        </w:rPr>
        <w:t xml:space="preserve"> </w:t>
      </w:r>
      <w:proofErr w:type="spellStart"/>
      <w:r w:rsidR="007F1453">
        <w:rPr>
          <w:rFonts w:ascii="Times New Roman" w:hAnsi="Times New Roman" w:cs="Times New Roman"/>
          <w:sz w:val="28"/>
          <w:szCs w:val="28"/>
        </w:rPr>
        <w:t>Groux</w:t>
      </w:r>
      <w:proofErr w:type="spellEnd"/>
    </w:p>
    <w:p w14:paraId="5CD9F1DB" w14:textId="77777777" w:rsidR="007F1453" w:rsidRDefault="007F1453" w:rsidP="007547E4">
      <w:pPr>
        <w:pStyle w:val="ListParagraph"/>
        <w:spacing w:after="240" w:line="240" w:lineRule="auto"/>
        <w:ind w:left="0"/>
        <w:jc w:val="both"/>
        <w:rPr>
          <w:rFonts w:ascii="Times New Roman" w:hAnsi="Times New Roman" w:cs="Times New Roman"/>
          <w:sz w:val="28"/>
          <w:szCs w:val="28"/>
        </w:rPr>
      </w:pPr>
    </w:p>
    <w:p w14:paraId="5B9B6B2C" w14:textId="77777777" w:rsidR="009168E3" w:rsidRDefault="005C5E21" w:rsidP="007547E4">
      <w:pPr>
        <w:pStyle w:val="ListParagraph"/>
        <w:spacing w:after="240" w:line="240" w:lineRule="auto"/>
        <w:ind w:left="0"/>
        <w:jc w:val="both"/>
        <w:rPr>
          <w:rFonts w:ascii="Times New Roman" w:hAnsi="Times New Roman" w:cs="Times New Roman"/>
          <w:sz w:val="28"/>
          <w:szCs w:val="28"/>
        </w:rPr>
      </w:pPr>
      <w:r>
        <w:rPr>
          <w:rFonts w:ascii="Times New Roman" w:hAnsi="Times New Roman" w:cs="Times New Roman"/>
          <w:sz w:val="28"/>
          <w:szCs w:val="28"/>
        </w:rPr>
        <w:t>Counsel for the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168E3">
        <w:rPr>
          <w:rFonts w:ascii="Times New Roman" w:hAnsi="Times New Roman" w:cs="Times New Roman"/>
          <w:sz w:val="28"/>
          <w:szCs w:val="28"/>
        </w:rPr>
        <w:t>Maren Zimmer</w:t>
      </w:r>
    </w:p>
    <w:p w14:paraId="10F1703D" w14:textId="1B4FB33A" w:rsidR="005C5E21" w:rsidRDefault="005C5E21" w:rsidP="009168E3">
      <w:pPr>
        <w:pStyle w:val="ListParagraph"/>
        <w:spacing w:after="24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Karin Taylor</w:t>
      </w:r>
    </w:p>
    <w:p w14:paraId="3C4CEE67" w14:textId="688BE810" w:rsidR="005C5E21" w:rsidRDefault="005C5E21" w:rsidP="005C5E21">
      <w:pPr>
        <w:pStyle w:val="ListParagraph"/>
        <w:spacing w:after="240" w:line="240" w:lineRule="auto"/>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Kyle Ereaux</w:t>
      </w:r>
    </w:p>
    <w:p w14:paraId="24A56E86" w14:textId="77777777" w:rsidR="005C5E21" w:rsidRDefault="005C5E21" w:rsidP="005C5E21">
      <w:pPr>
        <w:pStyle w:val="ListParagraph"/>
        <w:spacing w:after="240" w:line="240" w:lineRule="auto"/>
        <w:ind w:left="3600" w:firstLine="720"/>
        <w:jc w:val="both"/>
        <w:rPr>
          <w:rFonts w:ascii="Times New Roman" w:hAnsi="Times New Roman" w:cs="Times New Roman"/>
          <w:sz w:val="28"/>
          <w:szCs w:val="28"/>
        </w:rPr>
      </w:pPr>
    </w:p>
    <w:p w14:paraId="7BF99FF8" w14:textId="5A52A014" w:rsidR="005C5E21" w:rsidRPr="00D10C94" w:rsidRDefault="005C5E21" w:rsidP="007547E4">
      <w:pPr>
        <w:pStyle w:val="ListParagraph"/>
        <w:spacing w:after="240" w:line="240" w:lineRule="auto"/>
        <w:ind w:left="0"/>
        <w:jc w:val="both"/>
        <w:rPr>
          <w:rFonts w:ascii="Times New Roman" w:hAnsi="Times New Roman" w:cs="Times New Roman"/>
          <w:sz w:val="28"/>
          <w:szCs w:val="28"/>
        </w:rPr>
      </w:pPr>
      <w:r>
        <w:rPr>
          <w:rFonts w:ascii="Times New Roman" w:hAnsi="Times New Roman" w:cs="Times New Roman"/>
          <w:sz w:val="28"/>
          <w:szCs w:val="28"/>
        </w:rPr>
        <w:t>Counsel for Sahtu Renewable Resources Board:</w:t>
      </w:r>
      <w:r>
        <w:rPr>
          <w:rFonts w:ascii="Times New Roman" w:hAnsi="Times New Roman" w:cs="Times New Roman"/>
          <w:sz w:val="28"/>
          <w:szCs w:val="28"/>
        </w:rPr>
        <w:tab/>
        <w:t xml:space="preserve">Kate Phipps </w:t>
      </w:r>
    </w:p>
    <w:p w14:paraId="6E54AADA" w14:textId="798DD1DC" w:rsidR="00D10C94" w:rsidRDefault="005C5E21" w:rsidP="007547E4">
      <w:pPr>
        <w:pStyle w:val="ListParagraph"/>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Mark Underhill</w:t>
      </w:r>
    </w:p>
    <w:p w14:paraId="50B8D431" w14:textId="64BE393F" w:rsidR="005C5E21" w:rsidRDefault="005C5E21" w:rsidP="005C5E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Counsel for Inuvialuit Game Council:</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John Donihee</w:t>
      </w:r>
    </w:p>
    <w:p w14:paraId="5D5861CC" w14:textId="66AD6835" w:rsidR="005C5E21" w:rsidRDefault="005C5E21" w:rsidP="001F08D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Raeya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Jackiw</w:t>
      </w:r>
      <w:proofErr w:type="spellEnd"/>
    </w:p>
    <w:p w14:paraId="53E29B06" w14:textId="330B32A1" w:rsidR="001F08D1" w:rsidRPr="005C5E21" w:rsidRDefault="001F08D1" w:rsidP="005C5E21">
      <w:p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291B6A">
        <w:rPr>
          <w:rFonts w:ascii="Times New Roman" w:hAnsi="Times New Roman" w:cs="Times New Roman"/>
          <w:sz w:val="28"/>
          <w:szCs w:val="28"/>
          <w:lang w:val="en-US"/>
        </w:rPr>
        <w:t xml:space="preserve">Julie </w:t>
      </w:r>
      <w:proofErr w:type="spellStart"/>
      <w:r w:rsidR="00291B6A">
        <w:rPr>
          <w:rFonts w:ascii="Times New Roman" w:hAnsi="Times New Roman" w:cs="Times New Roman"/>
          <w:sz w:val="28"/>
          <w:szCs w:val="28"/>
          <w:lang w:val="en-US"/>
        </w:rPr>
        <w:t>Abouchar</w:t>
      </w:r>
      <w:proofErr w:type="spellEnd"/>
    </w:p>
    <w:p w14:paraId="44C17E50" w14:textId="77777777" w:rsidR="00827700" w:rsidRDefault="00827700" w:rsidP="005B6CAA">
      <w:pPr>
        <w:spacing w:after="240"/>
        <w:jc w:val="both"/>
        <w:rPr>
          <w:rFonts w:ascii="Times New Roman" w:hAnsi="Times New Roman" w:cs="Times New Roman"/>
          <w:sz w:val="28"/>
          <w:szCs w:val="28"/>
          <w:lang w:val="en-US"/>
        </w:rPr>
      </w:pPr>
    </w:p>
    <w:p w14:paraId="5CF39EE6" w14:textId="00B1EC43" w:rsidR="007F1453" w:rsidRDefault="007F1453" w:rsidP="005B6CAA">
      <w:pPr>
        <w:spacing w:after="240"/>
        <w:jc w:val="both"/>
        <w:rPr>
          <w:rFonts w:ascii="Times New Roman" w:hAnsi="Times New Roman" w:cs="Times New Roman"/>
          <w:sz w:val="28"/>
          <w:szCs w:val="28"/>
          <w:lang w:val="en-US"/>
        </w:rPr>
        <w:sectPr w:rsidR="007F1453" w:rsidSect="000C4202">
          <w:headerReference w:type="default" r:id="rId58"/>
          <w:type w:val="continuous"/>
          <w:pgSz w:w="12240" w:h="15840"/>
          <w:pgMar w:top="1440" w:right="1440" w:bottom="1440" w:left="1440" w:header="708" w:footer="708" w:gutter="0"/>
          <w:cols w:space="708"/>
          <w:titlePg/>
          <w:docGrid w:linePitch="360"/>
        </w:sectPr>
      </w:pPr>
    </w:p>
    <w:p w14:paraId="184B5AEB" w14:textId="360174EE" w:rsidR="00D10C94" w:rsidRPr="00353CC8" w:rsidRDefault="00DF6E46" w:rsidP="008E0430">
      <w:pPr>
        <w:spacing w:after="0"/>
        <w:jc w:val="center"/>
        <w:rPr>
          <w:rFonts w:ascii="Times New Roman" w:hAnsi="Times New Roman" w:cs="Times New Roman"/>
          <w:b/>
          <w:bCs/>
          <w:sz w:val="24"/>
          <w:szCs w:val="24"/>
          <w:lang w:val="en-US"/>
        </w:rPr>
      </w:pPr>
      <w:r w:rsidRPr="00353CC8">
        <w:rPr>
          <w:rFonts w:ascii="Times New Roman" w:hAnsi="Times New Roman" w:cs="Times New Roman"/>
          <w:b/>
          <w:bCs/>
          <w:sz w:val="24"/>
          <w:szCs w:val="24"/>
          <w:lang w:val="en-US"/>
        </w:rPr>
        <w:lastRenderedPageBreak/>
        <w:t>Corrigendum of the Memorandum of Judgment</w:t>
      </w:r>
    </w:p>
    <w:p w14:paraId="364BF5CF" w14:textId="304A0F88" w:rsidR="00DF6E46" w:rsidRPr="00353CC8" w:rsidRDefault="00DF6E46" w:rsidP="008E0430">
      <w:pPr>
        <w:spacing w:after="0"/>
        <w:jc w:val="center"/>
        <w:rPr>
          <w:rFonts w:ascii="Times New Roman" w:hAnsi="Times New Roman" w:cs="Times New Roman"/>
          <w:b/>
          <w:bCs/>
          <w:sz w:val="24"/>
          <w:szCs w:val="24"/>
          <w:lang w:val="en-US"/>
        </w:rPr>
      </w:pPr>
      <w:r w:rsidRPr="00353CC8">
        <w:rPr>
          <w:rFonts w:ascii="Times New Roman" w:hAnsi="Times New Roman" w:cs="Times New Roman"/>
          <w:b/>
          <w:bCs/>
          <w:sz w:val="24"/>
          <w:szCs w:val="24"/>
          <w:lang w:val="en-US"/>
        </w:rPr>
        <w:t xml:space="preserve">Of </w:t>
      </w:r>
    </w:p>
    <w:p w14:paraId="5CA67EFA" w14:textId="05F2E0B4" w:rsidR="002C1453" w:rsidRDefault="00DF6E46" w:rsidP="008E0430">
      <w:pPr>
        <w:spacing w:after="0"/>
        <w:jc w:val="center"/>
        <w:rPr>
          <w:rFonts w:ascii="Times New Roman" w:hAnsi="Times New Roman" w:cs="Times New Roman"/>
          <w:b/>
          <w:bCs/>
          <w:sz w:val="24"/>
          <w:szCs w:val="24"/>
          <w:lang w:val="en-US"/>
        </w:rPr>
      </w:pPr>
      <w:r w:rsidRPr="00353CC8">
        <w:rPr>
          <w:rFonts w:ascii="Times New Roman" w:hAnsi="Times New Roman" w:cs="Times New Roman"/>
          <w:b/>
          <w:bCs/>
          <w:sz w:val="24"/>
          <w:szCs w:val="24"/>
          <w:lang w:val="en-US"/>
        </w:rPr>
        <w:t xml:space="preserve">The </w:t>
      </w:r>
      <w:proofErr w:type="spellStart"/>
      <w:r w:rsidRPr="00353CC8">
        <w:rPr>
          <w:rFonts w:ascii="Times New Roman" w:hAnsi="Times New Roman" w:cs="Times New Roman"/>
          <w:b/>
          <w:bCs/>
          <w:sz w:val="24"/>
          <w:szCs w:val="24"/>
          <w:lang w:val="en-US"/>
        </w:rPr>
        <w:t>Honourable</w:t>
      </w:r>
      <w:proofErr w:type="spellEnd"/>
      <w:r w:rsidRPr="00353CC8">
        <w:rPr>
          <w:rFonts w:ascii="Times New Roman" w:hAnsi="Times New Roman" w:cs="Times New Roman"/>
          <w:b/>
          <w:bCs/>
          <w:sz w:val="24"/>
          <w:szCs w:val="24"/>
          <w:lang w:val="en-US"/>
        </w:rPr>
        <w:t xml:space="preserve"> Justice A.M. Mahar</w:t>
      </w:r>
    </w:p>
    <w:p w14:paraId="5285F407" w14:textId="77777777" w:rsidR="008E0430" w:rsidRDefault="008E0430" w:rsidP="008E0430">
      <w:pPr>
        <w:spacing w:after="0"/>
        <w:jc w:val="center"/>
        <w:rPr>
          <w:rFonts w:ascii="Times New Roman" w:hAnsi="Times New Roman" w:cs="Times New Roman"/>
          <w:b/>
          <w:bCs/>
          <w:sz w:val="24"/>
          <w:szCs w:val="24"/>
          <w:lang w:val="en-US"/>
        </w:rPr>
      </w:pPr>
    </w:p>
    <w:p w14:paraId="760B4F1C" w14:textId="77777777" w:rsidR="007F6649" w:rsidRDefault="007F6649" w:rsidP="008E0430">
      <w:pPr>
        <w:spacing w:after="0"/>
        <w:jc w:val="center"/>
        <w:rPr>
          <w:rFonts w:ascii="Times New Roman" w:hAnsi="Times New Roman" w:cs="Times New Roman"/>
          <w:b/>
          <w:bCs/>
          <w:sz w:val="24"/>
          <w:szCs w:val="24"/>
          <w:lang w:val="en-US"/>
        </w:rPr>
      </w:pPr>
    </w:p>
    <w:p w14:paraId="69FB966D" w14:textId="7025279D" w:rsidR="00207714" w:rsidRPr="00CF19F2" w:rsidRDefault="00F72CC2" w:rsidP="00C64B65">
      <w:pPr>
        <w:pStyle w:val="ListParagraph"/>
        <w:numPr>
          <w:ilvl w:val="0"/>
          <w:numId w:val="46"/>
        </w:numPr>
        <w:spacing w:after="0"/>
        <w:jc w:val="both"/>
        <w:rPr>
          <w:rFonts w:ascii="Times New Roman" w:hAnsi="Times New Roman" w:cs="Times New Roman"/>
          <w:b/>
          <w:bCs/>
          <w:sz w:val="24"/>
          <w:szCs w:val="24"/>
          <w:lang w:val="en-US"/>
        </w:rPr>
      </w:pPr>
      <w:r>
        <w:rPr>
          <w:rFonts w:ascii="Times New Roman" w:hAnsi="Times New Roman" w:cs="Times New Roman"/>
          <w:sz w:val="24"/>
          <w:szCs w:val="24"/>
          <w:lang w:val="en-US"/>
        </w:rPr>
        <w:t>An error occu</w:t>
      </w:r>
      <w:r w:rsidR="00A903F1">
        <w:rPr>
          <w:rFonts w:ascii="Times New Roman" w:hAnsi="Times New Roman" w:cs="Times New Roman"/>
          <w:sz w:val="24"/>
          <w:szCs w:val="24"/>
          <w:lang w:val="en-US"/>
        </w:rPr>
        <w:t>rred on P</w:t>
      </w:r>
      <w:r w:rsidR="00CF19F2">
        <w:rPr>
          <w:rFonts w:ascii="Times New Roman" w:hAnsi="Times New Roman" w:cs="Times New Roman"/>
          <w:sz w:val="24"/>
          <w:szCs w:val="24"/>
          <w:lang w:val="en-US"/>
        </w:rPr>
        <w:t>age 30 in the Judge’s signature block</w:t>
      </w:r>
      <w:r w:rsidR="007F6649">
        <w:rPr>
          <w:rFonts w:ascii="Times New Roman" w:hAnsi="Times New Roman" w:cs="Times New Roman"/>
          <w:sz w:val="24"/>
          <w:szCs w:val="24"/>
          <w:lang w:val="en-US"/>
        </w:rPr>
        <w:t>.</w:t>
      </w:r>
    </w:p>
    <w:p w14:paraId="45750622" w14:textId="77777777" w:rsidR="00CF19F2" w:rsidRDefault="00CF19F2" w:rsidP="00CF19F2">
      <w:pPr>
        <w:pStyle w:val="ListParagraph"/>
        <w:spacing w:after="0"/>
        <w:jc w:val="both"/>
        <w:rPr>
          <w:rFonts w:ascii="Times New Roman" w:hAnsi="Times New Roman" w:cs="Times New Roman"/>
          <w:sz w:val="24"/>
          <w:szCs w:val="24"/>
          <w:lang w:val="en-US"/>
        </w:rPr>
      </w:pPr>
    </w:p>
    <w:p w14:paraId="03EB9CEF" w14:textId="32FEB2FB" w:rsidR="00CF19F2" w:rsidRDefault="00CF19F2" w:rsidP="00CF19F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7F6649">
        <w:rPr>
          <w:rFonts w:ascii="Times New Roman" w:hAnsi="Times New Roman" w:cs="Times New Roman"/>
          <w:sz w:val="24"/>
          <w:szCs w:val="24"/>
          <w:lang w:val="en-US"/>
        </w:rPr>
        <w:t>r</w:t>
      </w:r>
      <w:r>
        <w:rPr>
          <w:rFonts w:ascii="Times New Roman" w:hAnsi="Times New Roman" w:cs="Times New Roman"/>
          <w:sz w:val="24"/>
          <w:szCs w:val="24"/>
          <w:lang w:val="en-US"/>
        </w:rPr>
        <w:t>eads:</w:t>
      </w:r>
    </w:p>
    <w:p w14:paraId="1DDAAA94" w14:textId="77777777" w:rsidR="00CF19F2" w:rsidRDefault="00CF19F2" w:rsidP="00CF19F2">
      <w:pPr>
        <w:pStyle w:val="ListParagraph"/>
        <w:spacing w:after="0"/>
        <w:jc w:val="both"/>
        <w:rPr>
          <w:rFonts w:ascii="Times New Roman" w:hAnsi="Times New Roman" w:cs="Times New Roman"/>
          <w:sz w:val="24"/>
          <w:szCs w:val="24"/>
          <w:lang w:val="en-US"/>
        </w:rPr>
      </w:pPr>
    </w:p>
    <w:p w14:paraId="5D3EF1D4" w14:textId="1BBC4C88" w:rsidR="00CF19F2" w:rsidRDefault="00CF19F2" w:rsidP="00CF19F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F6A50">
        <w:rPr>
          <w:rFonts w:ascii="Times New Roman" w:hAnsi="Times New Roman" w:cs="Times New Roman"/>
          <w:sz w:val="24"/>
          <w:szCs w:val="24"/>
          <w:lang w:val="en-US"/>
        </w:rPr>
        <w:t>A.M. Maher</w:t>
      </w:r>
    </w:p>
    <w:p w14:paraId="5E8EBABA" w14:textId="77777777" w:rsidR="007F6A50" w:rsidRDefault="007F6A50" w:rsidP="00CF19F2">
      <w:pPr>
        <w:pStyle w:val="ListParagraph"/>
        <w:spacing w:after="0"/>
        <w:jc w:val="both"/>
        <w:rPr>
          <w:rFonts w:ascii="Times New Roman" w:hAnsi="Times New Roman" w:cs="Times New Roman"/>
          <w:sz w:val="24"/>
          <w:szCs w:val="24"/>
          <w:lang w:val="en-US"/>
        </w:rPr>
      </w:pPr>
    </w:p>
    <w:p w14:paraId="6C5777EB" w14:textId="67B4CF4B" w:rsidR="007F6A50" w:rsidRDefault="007F6A50" w:rsidP="00CF19F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 has been amended to read:</w:t>
      </w:r>
    </w:p>
    <w:p w14:paraId="65FEBF57" w14:textId="77777777" w:rsidR="007F6A50" w:rsidRDefault="007F6A50" w:rsidP="00CF19F2">
      <w:pPr>
        <w:pStyle w:val="ListParagraph"/>
        <w:spacing w:after="0"/>
        <w:jc w:val="both"/>
        <w:rPr>
          <w:rFonts w:ascii="Times New Roman" w:hAnsi="Times New Roman" w:cs="Times New Roman"/>
          <w:sz w:val="24"/>
          <w:szCs w:val="24"/>
          <w:lang w:val="en-US"/>
        </w:rPr>
      </w:pPr>
    </w:p>
    <w:p w14:paraId="781E0877" w14:textId="50FAFC77" w:rsidR="007F6A50" w:rsidRDefault="007F6A50" w:rsidP="00CF19F2">
      <w:pPr>
        <w:pStyle w:val="ListParagraph"/>
        <w:spacing w:after="0"/>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ab/>
        <w:t xml:space="preserve">A.M. </w:t>
      </w:r>
      <w:r w:rsidRPr="007F6A50">
        <w:rPr>
          <w:rFonts w:ascii="Times New Roman" w:hAnsi="Times New Roman" w:cs="Times New Roman"/>
          <w:b/>
          <w:bCs/>
          <w:sz w:val="24"/>
          <w:szCs w:val="24"/>
          <w:u w:val="single"/>
          <w:lang w:val="en-US"/>
        </w:rPr>
        <w:t>Mahar</w:t>
      </w:r>
    </w:p>
    <w:p w14:paraId="679E7AF8" w14:textId="77777777" w:rsidR="007F6A50" w:rsidRPr="007F6A50" w:rsidRDefault="007F6A50" w:rsidP="00CF19F2">
      <w:pPr>
        <w:pStyle w:val="ListParagraph"/>
        <w:spacing w:after="0"/>
        <w:jc w:val="both"/>
        <w:rPr>
          <w:rFonts w:ascii="Times New Roman" w:hAnsi="Times New Roman" w:cs="Times New Roman"/>
          <w:b/>
          <w:bCs/>
          <w:sz w:val="24"/>
          <w:szCs w:val="24"/>
          <w:u w:val="single"/>
          <w:lang w:val="en-US"/>
        </w:rPr>
      </w:pPr>
    </w:p>
    <w:p w14:paraId="588FA138" w14:textId="60A0C88F" w:rsidR="00DF6E46" w:rsidRPr="00353CC8" w:rsidRDefault="000A1A79" w:rsidP="00291B6A">
      <w:pPr>
        <w:pStyle w:val="ListParagraph"/>
        <w:numPr>
          <w:ilvl w:val="0"/>
          <w:numId w:val="45"/>
        </w:numPr>
        <w:spacing w:after="0"/>
        <w:jc w:val="both"/>
        <w:rPr>
          <w:rFonts w:ascii="Times New Roman" w:hAnsi="Times New Roman" w:cs="Times New Roman"/>
          <w:sz w:val="24"/>
          <w:szCs w:val="24"/>
          <w:lang w:val="en-US"/>
        </w:rPr>
      </w:pPr>
      <w:r w:rsidRPr="00353CC8">
        <w:rPr>
          <w:rFonts w:ascii="Times New Roman" w:hAnsi="Times New Roman" w:cs="Times New Roman"/>
          <w:sz w:val="24"/>
          <w:szCs w:val="24"/>
          <w:lang w:val="en-US"/>
        </w:rPr>
        <w:t>An error occurred</w:t>
      </w:r>
      <w:r w:rsidR="005E2AAB">
        <w:rPr>
          <w:rFonts w:ascii="Times New Roman" w:hAnsi="Times New Roman" w:cs="Times New Roman"/>
          <w:sz w:val="24"/>
          <w:szCs w:val="24"/>
          <w:lang w:val="en-US"/>
        </w:rPr>
        <w:t xml:space="preserve"> on Page 30 </w:t>
      </w:r>
      <w:r w:rsidR="007574B1">
        <w:rPr>
          <w:rFonts w:ascii="Times New Roman" w:hAnsi="Times New Roman" w:cs="Times New Roman"/>
          <w:sz w:val="24"/>
          <w:szCs w:val="24"/>
          <w:lang w:val="en-US"/>
        </w:rPr>
        <w:t>regarding</w:t>
      </w:r>
      <w:r w:rsidR="006F6480">
        <w:rPr>
          <w:rFonts w:ascii="Times New Roman" w:hAnsi="Times New Roman" w:cs="Times New Roman"/>
          <w:sz w:val="24"/>
          <w:szCs w:val="24"/>
          <w:lang w:val="en-US"/>
        </w:rPr>
        <w:t xml:space="preserve"> </w:t>
      </w:r>
      <w:r w:rsidR="005E2AAB">
        <w:rPr>
          <w:rFonts w:ascii="Times New Roman" w:hAnsi="Times New Roman" w:cs="Times New Roman"/>
          <w:sz w:val="24"/>
          <w:szCs w:val="24"/>
          <w:lang w:val="en-US"/>
        </w:rPr>
        <w:t>Counsel names.</w:t>
      </w:r>
    </w:p>
    <w:p w14:paraId="7EA7A357" w14:textId="77777777" w:rsidR="00353CC8" w:rsidRPr="00353CC8" w:rsidRDefault="00353CC8" w:rsidP="00291B6A">
      <w:pPr>
        <w:pStyle w:val="ListParagraph"/>
        <w:spacing w:after="0"/>
        <w:jc w:val="both"/>
        <w:rPr>
          <w:rFonts w:ascii="Times New Roman" w:hAnsi="Times New Roman" w:cs="Times New Roman"/>
          <w:sz w:val="24"/>
          <w:szCs w:val="24"/>
          <w:lang w:val="en-US"/>
        </w:rPr>
      </w:pPr>
    </w:p>
    <w:p w14:paraId="59FBE0E5" w14:textId="3C299B67" w:rsidR="00BF337D" w:rsidRDefault="00BF337D" w:rsidP="00291B6A">
      <w:pPr>
        <w:pStyle w:val="ListParagraph"/>
        <w:spacing w:after="0"/>
        <w:jc w:val="both"/>
        <w:rPr>
          <w:rFonts w:ascii="Times New Roman" w:hAnsi="Times New Roman" w:cs="Times New Roman"/>
          <w:b/>
          <w:bCs/>
          <w:sz w:val="24"/>
          <w:szCs w:val="24"/>
          <w:lang w:val="en-US"/>
        </w:rPr>
      </w:pPr>
      <w:r w:rsidRPr="002C1453">
        <w:rPr>
          <w:rFonts w:ascii="Times New Roman" w:hAnsi="Times New Roman" w:cs="Times New Roman"/>
          <w:b/>
          <w:bCs/>
          <w:sz w:val="24"/>
          <w:szCs w:val="24"/>
          <w:lang w:val="en-US"/>
        </w:rPr>
        <w:t xml:space="preserve">It </w:t>
      </w:r>
      <w:r w:rsidR="002C1453" w:rsidRPr="002C1453">
        <w:rPr>
          <w:rFonts w:ascii="Times New Roman" w:hAnsi="Times New Roman" w:cs="Times New Roman"/>
          <w:b/>
          <w:bCs/>
          <w:sz w:val="24"/>
          <w:szCs w:val="24"/>
          <w:lang w:val="en-US"/>
        </w:rPr>
        <w:t>r</w:t>
      </w:r>
      <w:r w:rsidRPr="002C1453">
        <w:rPr>
          <w:rFonts w:ascii="Times New Roman" w:hAnsi="Times New Roman" w:cs="Times New Roman"/>
          <w:b/>
          <w:bCs/>
          <w:sz w:val="24"/>
          <w:szCs w:val="24"/>
          <w:lang w:val="en-US"/>
        </w:rPr>
        <w:t>ead</w:t>
      </w:r>
      <w:r w:rsidR="00325FFB" w:rsidRPr="002C1453">
        <w:rPr>
          <w:rFonts w:ascii="Times New Roman" w:hAnsi="Times New Roman" w:cs="Times New Roman"/>
          <w:b/>
          <w:bCs/>
          <w:sz w:val="24"/>
          <w:szCs w:val="24"/>
          <w:lang w:val="en-US"/>
        </w:rPr>
        <w:t>s</w:t>
      </w:r>
      <w:r w:rsidRPr="002C1453">
        <w:rPr>
          <w:rFonts w:ascii="Times New Roman" w:hAnsi="Times New Roman" w:cs="Times New Roman"/>
          <w:b/>
          <w:bCs/>
          <w:sz w:val="24"/>
          <w:szCs w:val="24"/>
          <w:lang w:val="en-US"/>
        </w:rPr>
        <w:t>:</w:t>
      </w:r>
    </w:p>
    <w:p w14:paraId="3AD1E34B" w14:textId="77777777" w:rsidR="009E6A66" w:rsidRPr="002C1453" w:rsidRDefault="009E6A66" w:rsidP="00291B6A">
      <w:pPr>
        <w:pStyle w:val="ListParagraph"/>
        <w:spacing w:after="0"/>
        <w:jc w:val="both"/>
        <w:rPr>
          <w:rFonts w:ascii="Times New Roman" w:hAnsi="Times New Roman" w:cs="Times New Roman"/>
          <w:b/>
          <w:bCs/>
          <w:sz w:val="24"/>
          <w:szCs w:val="24"/>
          <w:lang w:val="en-US"/>
        </w:rPr>
      </w:pPr>
    </w:p>
    <w:p w14:paraId="3C0D8D4B" w14:textId="77777777" w:rsidR="00BF337D" w:rsidRPr="00353CC8" w:rsidRDefault="00BF337D" w:rsidP="00291B6A">
      <w:pPr>
        <w:pStyle w:val="ListParagraph"/>
        <w:spacing w:after="0" w:line="240" w:lineRule="auto"/>
        <w:ind w:left="0" w:firstLine="720"/>
        <w:jc w:val="both"/>
        <w:rPr>
          <w:rFonts w:ascii="Times New Roman" w:hAnsi="Times New Roman" w:cs="Times New Roman"/>
          <w:sz w:val="24"/>
          <w:szCs w:val="24"/>
        </w:rPr>
      </w:pPr>
      <w:r w:rsidRPr="00353CC8">
        <w:rPr>
          <w:rFonts w:ascii="Times New Roman" w:hAnsi="Times New Roman" w:cs="Times New Roman"/>
          <w:sz w:val="24"/>
          <w:szCs w:val="24"/>
        </w:rPr>
        <w:t>Counsel for the Applicants:</w:t>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t>Larry Innes</w:t>
      </w:r>
    </w:p>
    <w:p w14:paraId="6EF237BB" w14:textId="2B06C29A" w:rsidR="00BF337D" w:rsidRPr="00353CC8" w:rsidRDefault="00BF337D" w:rsidP="00291B6A">
      <w:pPr>
        <w:pStyle w:val="ListParagraph"/>
        <w:spacing w:after="0" w:line="240" w:lineRule="auto"/>
        <w:ind w:left="0"/>
        <w:jc w:val="both"/>
        <w:rPr>
          <w:rFonts w:ascii="Times New Roman" w:hAnsi="Times New Roman" w:cs="Times New Roman"/>
          <w:sz w:val="24"/>
          <w:szCs w:val="24"/>
        </w:rPr>
      </w:pP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00050DEE">
        <w:rPr>
          <w:rFonts w:ascii="Times New Roman" w:hAnsi="Times New Roman" w:cs="Times New Roman"/>
          <w:sz w:val="24"/>
          <w:szCs w:val="24"/>
        </w:rPr>
        <w:tab/>
      </w:r>
      <w:r w:rsidRPr="00353CC8">
        <w:rPr>
          <w:rFonts w:ascii="Times New Roman" w:hAnsi="Times New Roman" w:cs="Times New Roman"/>
          <w:sz w:val="24"/>
          <w:szCs w:val="24"/>
        </w:rPr>
        <w:t>Senwung Luk</w:t>
      </w:r>
    </w:p>
    <w:p w14:paraId="5D50F7B2" w14:textId="77777777" w:rsidR="00BF337D" w:rsidRPr="00353CC8" w:rsidRDefault="00BF337D" w:rsidP="00291B6A">
      <w:pPr>
        <w:pStyle w:val="ListParagraph"/>
        <w:spacing w:after="0" w:line="240" w:lineRule="auto"/>
        <w:ind w:left="0"/>
        <w:jc w:val="both"/>
        <w:rPr>
          <w:rFonts w:ascii="Times New Roman" w:hAnsi="Times New Roman" w:cs="Times New Roman"/>
          <w:sz w:val="24"/>
          <w:szCs w:val="24"/>
        </w:rPr>
      </w:pPr>
    </w:p>
    <w:p w14:paraId="063B3DC3" w14:textId="64A180FD" w:rsidR="00BF337D" w:rsidRPr="00353CC8" w:rsidRDefault="00BF337D" w:rsidP="00291B6A">
      <w:pPr>
        <w:pStyle w:val="ListParagraph"/>
        <w:spacing w:after="0" w:line="240" w:lineRule="auto"/>
        <w:ind w:left="0" w:firstLine="720"/>
        <w:jc w:val="both"/>
        <w:rPr>
          <w:rFonts w:ascii="Times New Roman" w:hAnsi="Times New Roman" w:cs="Times New Roman"/>
          <w:sz w:val="24"/>
          <w:szCs w:val="24"/>
        </w:rPr>
      </w:pPr>
      <w:r w:rsidRPr="00353CC8">
        <w:rPr>
          <w:rFonts w:ascii="Times New Roman" w:hAnsi="Times New Roman" w:cs="Times New Roman"/>
          <w:sz w:val="24"/>
          <w:szCs w:val="24"/>
        </w:rPr>
        <w:t>Counsel for the Respondents:</w:t>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r>
      <w:r w:rsidRPr="00353CC8">
        <w:rPr>
          <w:rFonts w:ascii="Times New Roman" w:hAnsi="Times New Roman" w:cs="Times New Roman"/>
          <w:sz w:val="24"/>
          <w:szCs w:val="24"/>
        </w:rPr>
        <w:tab/>
        <w:t>Karin Taylor</w:t>
      </w:r>
    </w:p>
    <w:p w14:paraId="29BD0A01" w14:textId="69EC585C" w:rsidR="00BF337D" w:rsidRPr="00353CC8" w:rsidRDefault="00BF337D" w:rsidP="00291B6A">
      <w:pPr>
        <w:pStyle w:val="ListParagraph"/>
        <w:spacing w:after="0" w:line="240" w:lineRule="auto"/>
        <w:ind w:left="3600" w:firstLine="720"/>
        <w:jc w:val="both"/>
        <w:rPr>
          <w:rFonts w:ascii="Times New Roman" w:hAnsi="Times New Roman" w:cs="Times New Roman"/>
          <w:sz w:val="24"/>
          <w:szCs w:val="24"/>
        </w:rPr>
      </w:pPr>
      <w:r w:rsidRPr="00353CC8">
        <w:rPr>
          <w:rFonts w:ascii="Times New Roman" w:hAnsi="Times New Roman" w:cs="Times New Roman"/>
          <w:sz w:val="24"/>
          <w:szCs w:val="24"/>
        </w:rPr>
        <w:t xml:space="preserve"> </w:t>
      </w:r>
      <w:r w:rsidRPr="00353CC8">
        <w:rPr>
          <w:rFonts w:ascii="Times New Roman" w:hAnsi="Times New Roman" w:cs="Times New Roman"/>
          <w:sz w:val="24"/>
          <w:szCs w:val="24"/>
        </w:rPr>
        <w:tab/>
      </w:r>
      <w:r w:rsidR="00050DEE">
        <w:rPr>
          <w:rFonts w:ascii="Times New Roman" w:hAnsi="Times New Roman" w:cs="Times New Roman"/>
          <w:sz w:val="24"/>
          <w:szCs w:val="24"/>
        </w:rPr>
        <w:tab/>
      </w:r>
      <w:r w:rsidRPr="00353CC8">
        <w:rPr>
          <w:rFonts w:ascii="Times New Roman" w:hAnsi="Times New Roman" w:cs="Times New Roman"/>
          <w:sz w:val="24"/>
          <w:szCs w:val="24"/>
        </w:rPr>
        <w:t>Kyle Ereaux</w:t>
      </w:r>
    </w:p>
    <w:p w14:paraId="543589A0" w14:textId="53E09621" w:rsidR="00BF337D" w:rsidRPr="00353CC8" w:rsidRDefault="00050DEE" w:rsidP="00291B6A">
      <w:pPr>
        <w:pStyle w:val="ListParagraph"/>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b/>
      </w:r>
    </w:p>
    <w:p w14:paraId="24EDA0FC" w14:textId="77777777" w:rsidR="00BF337D" w:rsidRPr="00353CC8" w:rsidRDefault="00BF337D" w:rsidP="00291B6A">
      <w:pPr>
        <w:pStyle w:val="ListParagraph"/>
        <w:spacing w:after="0" w:line="240" w:lineRule="auto"/>
        <w:ind w:left="0" w:firstLine="720"/>
        <w:jc w:val="both"/>
        <w:rPr>
          <w:rFonts w:ascii="Times New Roman" w:hAnsi="Times New Roman" w:cs="Times New Roman"/>
          <w:sz w:val="24"/>
          <w:szCs w:val="24"/>
        </w:rPr>
      </w:pPr>
      <w:r w:rsidRPr="00353CC8">
        <w:rPr>
          <w:rFonts w:ascii="Times New Roman" w:hAnsi="Times New Roman" w:cs="Times New Roman"/>
          <w:sz w:val="24"/>
          <w:szCs w:val="24"/>
        </w:rPr>
        <w:t>Counsel for Sahtu Renewable Resources Board:</w:t>
      </w:r>
      <w:r w:rsidRPr="00353CC8">
        <w:rPr>
          <w:rFonts w:ascii="Times New Roman" w:hAnsi="Times New Roman" w:cs="Times New Roman"/>
          <w:sz w:val="24"/>
          <w:szCs w:val="24"/>
        </w:rPr>
        <w:tab/>
        <w:t xml:space="preserve">Kate Phipps </w:t>
      </w:r>
    </w:p>
    <w:p w14:paraId="4B459F90" w14:textId="3D64471E" w:rsidR="00BF337D" w:rsidRDefault="00BF337D" w:rsidP="00291B6A">
      <w:pPr>
        <w:pStyle w:val="ListParagraph"/>
        <w:spacing w:after="0" w:line="240" w:lineRule="auto"/>
        <w:jc w:val="both"/>
        <w:rPr>
          <w:rFonts w:ascii="Times New Roman" w:hAnsi="Times New Roman" w:cs="Times New Roman"/>
          <w:sz w:val="24"/>
          <w:szCs w:val="24"/>
          <w:lang w:val="en-US"/>
        </w:rPr>
      </w:pP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00050DEE">
        <w:rPr>
          <w:rFonts w:ascii="Times New Roman" w:hAnsi="Times New Roman" w:cs="Times New Roman"/>
          <w:sz w:val="24"/>
          <w:szCs w:val="24"/>
          <w:lang w:val="en-US"/>
        </w:rPr>
        <w:tab/>
      </w:r>
      <w:r w:rsidRPr="00353CC8">
        <w:rPr>
          <w:rFonts w:ascii="Times New Roman" w:hAnsi="Times New Roman" w:cs="Times New Roman"/>
          <w:sz w:val="24"/>
          <w:szCs w:val="24"/>
          <w:lang w:val="en-US"/>
        </w:rPr>
        <w:t>Mark Underhill</w:t>
      </w:r>
    </w:p>
    <w:p w14:paraId="0F8E12F0" w14:textId="77777777" w:rsidR="00AE542E" w:rsidRPr="00353CC8" w:rsidRDefault="00AE542E" w:rsidP="00291B6A">
      <w:pPr>
        <w:pStyle w:val="ListParagraph"/>
        <w:spacing w:after="0" w:line="240" w:lineRule="auto"/>
        <w:jc w:val="both"/>
        <w:rPr>
          <w:rFonts w:ascii="Times New Roman" w:hAnsi="Times New Roman" w:cs="Times New Roman"/>
          <w:sz w:val="24"/>
          <w:szCs w:val="24"/>
          <w:lang w:val="en-US"/>
        </w:rPr>
      </w:pPr>
    </w:p>
    <w:p w14:paraId="4907441C" w14:textId="2656ECFA" w:rsidR="00BF337D" w:rsidRPr="00353CC8" w:rsidRDefault="00BF337D" w:rsidP="00291B6A">
      <w:pPr>
        <w:spacing w:after="0" w:line="240" w:lineRule="auto"/>
        <w:ind w:firstLine="720"/>
        <w:jc w:val="both"/>
        <w:rPr>
          <w:rFonts w:ascii="Times New Roman" w:hAnsi="Times New Roman" w:cs="Times New Roman"/>
          <w:sz w:val="24"/>
          <w:szCs w:val="24"/>
          <w:lang w:val="en-US"/>
        </w:rPr>
      </w:pPr>
      <w:r w:rsidRPr="00353CC8">
        <w:rPr>
          <w:rFonts w:ascii="Times New Roman" w:hAnsi="Times New Roman" w:cs="Times New Roman"/>
          <w:sz w:val="24"/>
          <w:szCs w:val="24"/>
          <w:lang w:val="en-US"/>
        </w:rPr>
        <w:t>Counsel for Inuvialuit Game Council:</w:t>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t>John Donihee</w:t>
      </w:r>
    </w:p>
    <w:p w14:paraId="36CCB61F" w14:textId="4B091414" w:rsidR="00BF337D" w:rsidRDefault="00BF337D" w:rsidP="00291B6A">
      <w:pPr>
        <w:spacing w:after="0" w:line="240" w:lineRule="auto"/>
        <w:jc w:val="both"/>
        <w:rPr>
          <w:rFonts w:ascii="Times New Roman" w:hAnsi="Times New Roman" w:cs="Times New Roman"/>
          <w:sz w:val="24"/>
          <w:szCs w:val="24"/>
          <w:lang w:val="en-US"/>
        </w:rPr>
      </w:pP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Pr="00353CC8">
        <w:rPr>
          <w:rFonts w:ascii="Times New Roman" w:hAnsi="Times New Roman" w:cs="Times New Roman"/>
          <w:sz w:val="24"/>
          <w:szCs w:val="24"/>
          <w:lang w:val="en-US"/>
        </w:rPr>
        <w:tab/>
      </w:r>
      <w:r w:rsidR="00050DEE">
        <w:rPr>
          <w:rFonts w:ascii="Times New Roman" w:hAnsi="Times New Roman" w:cs="Times New Roman"/>
          <w:sz w:val="24"/>
          <w:szCs w:val="24"/>
          <w:lang w:val="en-US"/>
        </w:rPr>
        <w:tab/>
      </w:r>
      <w:proofErr w:type="spellStart"/>
      <w:r w:rsidRPr="00353CC8">
        <w:rPr>
          <w:rFonts w:ascii="Times New Roman" w:hAnsi="Times New Roman" w:cs="Times New Roman"/>
          <w:sz w:val="24"/>
          <w:szCs w:val="24"/>
          <w:lang w:val="en-US"/>
        </w:rPr>
        <w:t>Raeya</w:t>
      </w:r>
      <w:proofErr w:type="spellEnd"/>
      <w:r w:rsidRPr="00353CC8">
        <w:rPr>
          <w:rFonts w:ascii="Times New Roman" w:hAnsi="Times New Roman" w:cs="Times New Roman"/>
          <w:sz w:val="24"/>
          <w:szCs w:val="24"/>
          <w:lang w:val="en-US"/>
        </w:rPr>
        <w:t xml:space="preserve"> </w:t>
      </w:r>
      <w:proofErr w:type="spellStart"/>
      <w:r w:rsidRPr="00353CC8">
        <w:rPr>
          <w:rFonts w:ascii="Times New Roman" w:hAnsi="Times New Roman" w:cs="Times New Roman"/>
          <w:sz w:val="24"/>
          <w:szCs w:val="24"/>
          <w:lang w:val="en-US"/>
        </w:rPr>
        <w:t>Jackiw</w:t>
      </w:r>
      <w:proofErr w:type="spellEnd"/>
    </w:p>
    <w:p w14:paraId="3BC6BC5D" w14:textId="77777777" w:rsidR="00AE542E" w:rsidRPr="00353CC8" w:rsidRDefault="00AE542E" w:rsidP="00291B6A">
      <w:pPr>
        <w:spacing w:after="0" w:line="240" w:lineRule="auto"/>
        <w:jc w:val="both"/>
        <w:rPr>
          <w:rFonts w:ascii="Times New Roman" w:hAnsi="Times New Roman" w:cs="Times New Roman"/>
          <w:sz w:val="24"/>
          <w:szCs w:val="24"/>
          <w:lang w:val="en-US"/>
        </w:rPr>
      </w:pPr>
    </w:p>
    <w:p w14:paraId="51D8DED8" w14:textId="133B12C8" w:rsidR="00BF337D" w:rsidRDefault="00353CC8" w:rsidP="00291B6A">
      <w:pPr>
        <w:spacing w:after="0"/>
        <w:ind w:firstLine="720"/>
        <w:jc w:val="both"/>
        <w:rPr>
          <w:rFonts w:ascii="Times New Roman" w:hAnsi="Times New Roman" w:cs="Times New Roman"/>
          <w:b/>
          <w:bCs/>
          <w:sz w:val="24"/>
          <w:szCs w:val="24"/>
          <w:lang w:val="en-US"/>
        </w:rPr>
      </w:pPr>
      <w:r w:rsidRPr="002C1453">
        <w:rPr>
          <w:rFonts w:ascii="Times New Roman" w:hAnsi="Times New Roman" w:cs="Times New Roman"/>
          <w:b/>
          <w:bCs/>
          <w:sz w:val="24"/>
          <w:szCs w:val="24"/>
          <w:lang w:val="en-US"/>
        </w:rPr>
        <w:t xml:space="preserve">The </w:t>
      </w:r>
      <w:r w:rsidR="00ED5973">
        <w:rPr>
          <w:rFonts w:ascii="Times New Roman" w:hAnsi="Times New Roman" w:cs="Times New Roman"/>
          <w:b/>
          <w:bCs/>
          <w:sz w:val="24"/>
          <w:szCs w:val="24"/>
          <w:lang w:val="en-US"/>
        </w:rPr>
        <w:t xml:space="preserve">Counsel </w:t>
      </w:r>
      <w:r w:rsidRPr="002C1453">
        <w:rPr>
          <w:rFonts w:ascii="Times New Roman" w:hAnsi="Times New Roman" w:cs="Times New Roman"/>
          <w:b/>
          <w:bCs/>
          <w:sz w:val="24"/>
          <w:szCs w:val="24"/>
          <w:lang w:val="en-US"/>
        </w:rPr>
        <w:t>names have now been amended to read:</w:t>
      </w:r>
    </w:p>
    <w:p w14:paraId="57FEBEA5" w14:textId="77777777" w:rsidR="00AE542E" w:rsidRPr="002C1453" w:rsidRDefault="00AE542E" w:rsidP="00291B6A">
      <w:pPr>
        <w:spacing w:after="0"/>
        <w:ind w:firstLine="720"/>
        <w:jc w:val="both"/>
        <w:rPr>
          <w:rFonts w:ascii="Times New Roman" w:hAnsi="Times New Roman" w:cs="Times New Roman"/>
          <w:b/>
          <w:bCs/>
          <w:sz w:val="24"/>
          <w:szCs w:val="24"/>
          <w:lang w:val="en-US"/>
        </w:rPr>
      </w:pPr>
    </w:p>
    <w:p w14:paraId="33CE561F" w14:textId="77777777" w:rsidR="009E6A66" w:rsidRPr="00D82549" w:rsidRDefault="009E6A66" w:rsidP="00291B6A">
      <w:pPr>
        <w:pStyle w:val="ListParagraph"/>
        <w:spacing w:after="0" w:line="240" w:lineRule="auto"/>
        <w:ind w:left="0" w:firstLine="720"/>
        <w:jc w:val="both"/>
        <w:rPr>
          <w:rFonts w:ascii="Times New Roman" w:hAnsi="Times New Roman" w:cs="Times New Roman"/>
          <w:sz w:val="24"/>
          <w:szCs w:val="24"/>
        </w:rPr>
      </w:pPr>
      <w:r w:rsidRPr="00D82549">
        <w:rPr>
          <w:rFonts w:ascii="Times New Roman" w:hAnsi="Times New Roman" w:cs="Times New Roman"/>
          <w:sz w:val="24"/>
          <w:szCs w:val="24"/>
        </w:rPr>
        <w:t>Counsel for the Applicants:</w:t>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t>Larry Innes</w:t>
      </w:r>
    </w:p>
    <w:p w14:paraId="0DCAB78F" w14:textId="0ACBDD9C" w:rsidR="009E6A66" w:rsidRPr="00D82549" w:rsidRDefault="009E6A66" w:rsidP="00291B6A">
      <w:pPr>
        <w:pStyle w:val="ListParagraph"/>
        <w:spacing w:after="0" w:line="240" w:lineRule="auto"/>
        <w:ind w:left="0"/>
        <w:jc w:val="both"/>
        <w:rPr>
          <w:rFonts w:ascii="Times New Roman" w:hAnsi="Times New Roman" w:cs="Times New Roman"/>
          <w:sz w:val="24"/>
          <w:szCs w:val="24"/>
        </w:rPr>
      </w:pP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00EB3792">
        <w:rPr>
          <w:rFonts w:ascii="Times New Roman" w:hAnsi="Times New Roman" w:cs="Times New Roman"/>
          <w:sz w:val="24"/>
          <w:szCs w:val="24"/>
        </w:rPr>
        <w:tab/>
      </w:r>
      <w:r w:rsidRPr="00D82549">
        <w:rPr>
          <w:rFonts w:ascii="Times New Roman" w:hAnsi="Times New Roman" w:cs="Times New Roman"/>
          <w:sz w:val="24"/>
          <w:szCs w:val="24"/>
        </w:rPr>
        <w:t>Senwung Luk</w:t>
      </w:r>
    </w:p>
    <w:p w14:paraId="34F0A9B0" w14:textId="4A0152CF" w:rsidR="009E6A66" w:rsidRDefault="002C3D1A" w:rsidP="00291B6A">
      <w:pPr>
        <w:pStyle w:val="ListParagraph"/>
        <w:spacing w:after="0" w:line="240" w:lineRule="auto"/>
        <w:ind w:left="0"/>
        <w:jc w:val="both"/>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3792">
        <w:rPr>
          <w:rFonts w:ascii="Times New Roman" w:hAnsi="Times New Roman" w:cs="Times New Roman"/>
          <w:sz w:val="24"/>
          <w:szCs w:val="24"/>
        </w:rPr>
        <w:tab/>
      </w:r>
      <w:r>
        <w:rPr>
          <w:rFonts w:ascii="Times New Roman" w:hAnsi="Times New Roman" w:cs="Times New Roman"/>
          <w:b/>
          <w:bCs/>
          <w:sz w:val="24"/>
          <w:szCs w:val="24"/>
          <w:u w:val="single"/>
        </w:rPr>
        <w:t>Krista Nerland</w:t>
      </w:r>
    </w:p>
    <w:p w14:paraId="792D7C11" w14:textId="2FD29E53" w:rsidR="00A4448C" w:rsidRPr="00A4448C" w:rsidRDefault="002C3D1A" w:rsidP="00291B6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B3792">
        <w:rPr>
          <w:rFonts w:ascii="Times New Roman" w:hAnsi="Times New Roman" w:cs="Times New Roman"/>
          <w:b/>
          <w:bCs/>
          <w:sz w:val="24"/>
          <w:szCs w:val="24"/>
        </w:rPr>
        <w:tab/>
      </w:r>
      <w:r w:rsidR="008A06E3" w:rsidRPr="008A06E3">
        <w:rPr>
          <w:rFonts w:ascii="Times New Roman" w:hAnsi="Times New Roman" w:cs="Times New Roman"/>
          <w:b/>
          <w:bCs/>
          <w:sz w:val="24"/>
          <w:szCs w:val="24"/>
          <w:u w:val="single"/>
        </w:rPr>
        <w:t>Jennifer Duncan</w:t>
      </w:r>
      <w:r w:rsidR="00A4448C">
        <w:rPr>
          <w:rFonts w:ascii="Times New Roman" w:hAnsi="Times New Roman" w:cs="Times New Roman"/>
          <w:sz w:val="24"/>
          <w:szCs w:val="24"/>
        </w:rPr>
        <w:tab/>
      </w:r>
      <w:r w:rsidR="00A4448C">
        <w:rPr>
          <w:rFonts w:ascii="Times New Roman" w:hAnsi="Times New Roman" w:cs="Times New Roman"/>
          <w:sz w:val="24"/>
          <w:szCs w:val="24"/>
        </w:rPr>
        <w:tab/>
      </w:r>
    </w:p>
    <w:p w14:paraId="6B54CA92" w14:textId="3E10A8CC" w:rsidR="008A06E3" w:rsidRDefault="00A4448C" w:rsidP="00291B6A">
      <w:pPr>
        <w:pStyle w:val="ListParagraph"/>
        <w:spacing w:after="0" w:line="240" w:lineRule="auto"/>
        <w:ind w:left="0"/>
        <w:jc w:val="both"/>
        <w:rPr>
          <w:rFonts w:ascii="Times New Roman" w:hAnsi="Times New Roman" w:cs="Times New Roman"/>
          <w:b/>
          <w:bCs/>
          <w:sz w:val="24"/>
          <w:szCs w:val="24"/>
          <w:u w:val="single"/>
        </w:rPr>
      </w:pPr>
      <w:r w:rsidRPr="00A4448C">
        <w:rPr>
          <w:rFonts w:ascii="Times New Roman" w:hAnsi="Times New Roman" w:cs="Times New Roman"/>
          <w:sz w:val="24"/>
          <w:szCs w:val="24"/>
        </w:rPr>
        <w:tab/>
      </w:r>
      <w:r w:rsidRPr="00A4448C">
        <w:rPr>
          <w:rFonts w:ascii="Times New Roman" w:hAnsi="Times New Roman" w:cs="Times New Roman"/>
          <w:sz w:val="24"/>
          <w:szCs w:val="24"/>
        </w:rPr>
        <w:tab/>
      </w:r>
      <w:r w:rsidRPr="00A4448C">
        <w:rPr>
          <w:rFonts w:ascii="Times New Roman" w:hAnsi="Times New Roman" w:cs="Times New Roman"/>
          <w:sz w:val="24"/>
          <w:szCs w:val="24"/>
        </w:rPr>
        <w:tab/>
      </w:r>
      <w:r w:rsidRPr="00A4448C">
        <w:rPr>
          <w:rFonts w:ascii="Times New Roman" w:hAnsi="Times New Roman" w:cs="Times New Roman"/>
          <w:sz w:val="24"/>
          <w:szCs w:val="24"/>
        </w:rPr>
        <w:tab/>
      </w:r>
      <w:r w:rsidRPr="00A4448C">
        <w:rPr>
          <w:rFonts w:ascii="Times New Roman" w:hAnsi="Times New Roman" w:cs="Times New Roman"/>
          <w:sz w:val="24"/>
          <w:szCs w:val="24"/>
        </w:rPr>
        <w:tab/>
      </w:r>
      <w:r w:rsidRPr="00A4448C">
        <w:rPr>
          <w:rFonts w:ascii="Times New Roman" w:hAnsi="Times New Roman" w:cs="Times New Roman"/>
          <w:sz w:val="24"/>
          <w:szCs w:val="24"/>
        </w:rPr>
        <w:tab/>
      </w:r>
      <w:r w:rsidRPr="00A4448C">
        <w:rPr>
          <w:rFonts w:ascii="Times New Roman" w:hAnsi="Times New Roman" w:cs="Times New Roman"/>
          <w:sz w:val="24"/>
          <w:szCs w:val="24"/>
        </w:rPr>
        <w:tab/>
      </w:r>
      <w:r w:rsidR="00EB3792">
        <w:rPr>
          <w:rFonts w:ascii="Times New Roman" w:hAnsi="Times New Roman" w:cs="Times New Roman"/>
          <w:sz w:val="24"/>
          <w:szCs w:val="24"/>
        </w:rPr>
        <w:tab/>
      </w:r>
      <w:proofErr w:type="spellStart"/>
      <w:r w:rsidR="00050DEE">
        <w:rPr>
          <w:rFonts w:ascii="Times New Roman" w:hAnsi="Times New Roman" w:cs="Times New Roman"/>
          <w:b/>
          <w:bCs/>
          <w:sz w:val="24"/>
          <w:szCs w:val="24"/>
          <w:u w:val="single"/>
        </w:rPr>
        <w:t>Gaëlle</w:t>
      </w:r>
      <w:proofErr w:type="spellEnd"/>
      <w:r w:rsidR="00050DEE">
        <w:rPr>
          <w:rFonts w:ascii="Times New Roman" w:hAnsi="Times New Roman" w:cs="Times New Roman"/>
          <w:b/>
          <w:bCs/>
          <w:sz w:val="24"/>
          <w:szCs w:val="24"/>
          <w:u w:val="single"/>
        </w:rPr>
        <w:t xml:space="preserve"> </w:t>
      </w:r>
      <w:proofErr w:type="spellStart"/>
      <w:r w:rsidR="00050DEE">
        <w:rPr>
          <w:rFonts w:ascii="Times New Roman" w:hAnsi="Times New Roman" w:cs="Times New Roman"/>
          <w:b/>
          <w:bCs/>
          <w:sz w:val="24"/>
          <w:szCs w:val="24"/>
          <w:u w:val="single"/>
        </w:rPr>
        <w:t>Groux</w:t>
      </w:r>
      <w:proofErr w:type="spellEnd"/>
    </w:p>
    <w:p w14:paraId="26FD6EA8" w14:textId="77777777" w:rsidR="00050DEE" w:rsidRPr="00A4448C" w:rsidRDefault="00050DEE" w:rsidP="00291B6A">
      <w:pPr>
        <w:pStyle w:val="ListParagraph"/>
        <w:spacing w:after="0" w:line="240" w:lineRule="auto"/>
        <w:ind w:left="0"/>
        <w:jc w:val="both"/>
        <w:rPr>
          <w:rFonts w:ascii="Times New Roman" w:hAnsi="Times New Roman" w:cs="Times New Roman"/>
          <w:b/>
          <w:bCs/>
          <w:sz w:val="24"/>
          <w:szCs w:val="24"/>
          <w:u w:val="single"/>
        </w:rPr>
      </w:pPr>
    </w:p>
    <w:p w14:paraId="0B54700C" w14:textId="0D509632" w:rsidR="00505AC8" w:rsidRPr="00505AC8" w:rsidRDefault="009E6A66" w:rsidP="00291B6A">
      <w:pPr>
        <w:pStyle w:val="ListParagraph"/>
        <w:spacing w:after="0" w:line="240" w:lineRule="auto"/>
        <w:ind w:left="0" w:firstLine="720"/>
        <w:jc w:val="both"/>
        <w:rPr>
          <w:rFonts w:ascii="Times New Roman" w:hAnsi="Times New Roman" w:cs="Times New Roman"/>
          <w:b/>
          <w:bCs/>
          <w:sz w:val="24"/>
          <w:szCs w:val="24"/>
          <w:u w:val="single"/>
        </w:rPr>
      </w:pPr>
      <w:r w:rsidRPr="00D82549">
        <w:rPr>
          <w:rFonts w:ascii="Times New Roman" w:hAnsi="Times New Roman" w:cs="Times New Roman"/>
          <w:sz w:val="24"/>
          <w:szCs w:val="24"/>
        </w:rPr>
        <w:t>Counsel for the Respondents:</w:t>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Pr="00D82549">
        <w:rPr>
          <w:rFonts w:ascii="Times New Roman" w:hAnsi="Times New Roman" w:cs="Times New Roman"/>
          <w:sz w:val="24"/>
          <w:szCs w:val="24"/>
        </w:rPr>
        <w:tab/>
      </w:r>
      <w:r w:rsidR="00505AC8" w:rsidRPr="00505AC8">
        <w:rPr>
          <w:rFonts w:ascii="Times New Roman" w:hAnsi="Times New Roman" w:cs="Times New Roman"/>
          <w:b/>
          <w:bCs/>
          <w:sz w:val="24"/>
          <w:szCs w:val="24"/>
          <w:u w:val="single"/>
        </w:rPr>
        <w:t>Maren Zimmer</w:t>
      </w:r>
    </w:p>
    <w:p w14:paraId="0FAA9C62" w14:textId="00565701" w:rsidR="009E6A66" w:rsidRPr="00D82549" w:rsidRDefault="009E6A66" w:rsidP="00291B6A">
      <w:pPr>
        <w:pStyle w:val="ListParagraph"/>
        <w:spacing w:after="0" w:line="240" w:lineRule="auto"/>
        <w:ind w:left="5040" w:firstLine="720"/>
        <w:jc w:val="both"/>
        <w:rPr>
          <w:rFonts w:ascii="Times New Roman" w:hAnsi="Times New Roman" w:cs="Times New Roman"/>
          <w:sz w:val="24"/>
          <w:szCs w:val="24"/>
        </w:rPr>
      </w:pPr>
      <w:r w:rsidRPr="00D82549">
        <w:rPr>
          <w:rFonts w:ascii="Times New Roman" w:hAnsi="Times New Roman" w:cs="Times New Roman"/>
          <w:sz w:val="24"/>
          <w:szCs w:val="24"/>
        </w:rPr>
        <w:t>Karin Taylor</w:t>
      </w:r>
    </w:p>
    <w:p w14:paraId="1F3E0E1B" w14:textId="2028815D" w:rsidR="009E6A66" w:rsidRPr="00D82549" w:rsidRDefault="009E6A66" w:rsidP="00291B6A">
      <w:pPr>
        <w:pStyle w:val="ListParagraph"/>
        <w:spacing w:after="0" w:line="240" w:lineRule="auto"/>
        <w:ind w:left="3600" w:firstLine="720"/>
        <w:jc w:val="both"/>
        <w:rPr>
          <w:rFonts w:ascii="Times New Roman" w:hAnsi="Times New Roman" w:cs="Times New Roman"/>
          <w:sz w:val="24"/>
          <w:szCs w:val="24"/>
        </w:rPr>
      </w:pPr>
      <w:r w:rsidRPr="00D82549">
        <w:rPr>
          <w:rFonts w:ascii="Times New Roman" w:hAnsi="Times New Roman" w:cs="Times New Roman"/>
          <w:sz w:val="24"/>
          <w:szCs w:val="24"/>
        </w:rPr>
        <w:t xml:space="preserve"> </w:t>
      </w:r>
      <w:r w:rsidRPr="00D82549">
        <w:rPr>
          <w:rFonts w:ascii="Times New Roman" w:hAnsi="Times New Roman" w:cs="Times New Roman"/>
          <w:sz w:val="24"/>
          <w:szCs w:val="24"/>
        </w:rPr>
        <w:tab/>
      </w:r>
      <w:r w:rsidR="00EB3792">
        <w:rPr>
          <w:rFonts w:ascii="Times New Roman" w:hAnsi="Times New Roman" w:cs="Times New Roman"/>
          <w:sz w:val="24"/>
          <w:szCs w:val="24"/>
        </w:rPr>
        <w:tab/>
      </w:r>
      <w:r w:rsidRPr="00D82549">
        <w:rPr>
          <w:rFonts w:ascii="Times New Roman" w:hAnsi="Times New Roman" w:cs="Times New Roman"/>
          <w:sz w:val="24"/>
          <w:szCs w:val="24"/>
        </w:rPr>
        <w:t>Kyle Ereaux</w:t>
      </w:r>
    </w:p>
    <w:p w14:paraId="2AAFE59F" w14:textId="77777777" w:rsidR="009E6A66" w:rsidRPr="00D82549" w:rsidRDefault="009E6A66" w:rsidP="00291B6A">
      <w:pPr>
        <w:pStyle w:val="ListParagraph"/>
        <w:spacing w:after="0" w:line="240" w:lineRule="auto"/>
        <w:ind w:left="3600" w:firstLine="720"/>
        <w:jc w:val="both"/>
        <w:rPr>
          <w:rFonts w:ascii="Times New Roman" w:hAnsi="Times New Roman" w:cs="Times New Roman"/>
          <w:sz w:val="24"/>
          <w:szCs w:val="24"/>
        </w:rPr>
      </w:pPr>
    </w:p>
    <w:p w14:paraId="1DCC61B3" w14:textId="77777777" w:rsidR="005E31C3" w:rsidRDefault="005E31C3" w:rsidP="00291B6A">
      <w:pPr>
        <w:pStyle w:val="ListParagraph"/>
        <w:spacing w:after="0" w:line="240" w:lineRule="auto"/>
        <w:ind w:left="0" w:firstLine="720"/>
        <w:jc w:val="both"/>
        <w:rPr>
          <w:rFonts w:ascii="Times New Roman" w:hAnsi="Times New Roman" w:cs="Times New Roman"/>
          <w:sz w:val="24"/>
          <w:szCs w:val="24"/>
        </w:rPr>
      </w:pPr>
    </w:p>
    <w:p w14:paraId="0379E3BB" w14:textId="77777777" w:rsidR="005E31C3" w:rsidRDefault="005E31C3" w:rsidP="00291B6A">
      <w:pPr>
        <w:pStyle w:val="ListParagraph"/>
        <w:spacing w:after="0" w:line="240" w:lineRule="auto"/>
        <w:ind w:left="0" w:firstLine="720"/>
        <w:jc w:val="both"/>
        <w:rPr>
          <w:rFonts w:ascii="Times New Roman" w:hAnsi="Times New Roman" w:cs="Times New Roman"/>
          <w:sz w:val="24"/>
          <w:szCs w:val="24"/>
        </w:rPr>
      </w:pPr>
    </w:p>
    <w:p w14:paraId="187CDFC2" w14:textId="77777777" w:rsidR="005E31C3" w:rsidRDefault="005E31C3" w:rsidP="00291B6A">
      <w:pPr>
        <w:pStyle w:val="ListParagraph"/>
        <w:spacing w:after="0" w:line="240" w:lineRule="auto"/>
        <w:ind w:left="0" w:firstLine="720"/>
        <w:jc w:val="both"/>
        <w:rPr>
          <w:rFonts w:ascii="Times New Roman" w:hAnsi="Times New Roman" w:cs="Times New Roman"/>
          <w:sz w:val="24"/>
          <w:szCs w:val="24"/>
        </w:rPr>
      </w:pPr>
    </w:p>
    <w:p w14:paraId="7BBF627A" w14:textId="77777777" w:rsidR="005E31C3" w:rsidRDefault="005E31C3" w:rsidP="00291B6A">
      <w:pPr>
        <w:pStyle w:val="ListParagraph"/>
        <w:spacing w:after="0" w:line="240" w:lineRule="auto"/>
        <w:ind w:left="0" w:firstLine="720"/>
        <w:jc w:val="both"/>
        <w:rPr>
          <w:rFonts w:ascii="Times New Roman" w:hAnsi="Times New Roman" w:cs="Times New Roman"/>
          <w:sz w:val="24"/>
          <w:szCs w:val="24"/>
        </w:rPr>
      </w:pPr>
    </w:p>
    <w:p w14:paraId="3908C700" w14:textId="09A0E009" w:rsidR="009E6A66" w:rsidRPr="00D82549" w:rsidRDefault="009E6A66" w:rsidP="00291B6A">
      <w:pPr>
        <w:pStyle w:val="ListParagraph"/>
        <w:spacing w:after="0" w:line="240" w:lineRule="auto"/>
        <w:ind w:left="0" w:firstLine="720"/>
        <w:jc w:val="both"/>
        <w:rPr>
          <w:rFonts w:ascii="Times New Roman" w:hAnsi="Times New Roman" w:cs="Times New Roman"/>
          <w:sz w:val="24"/>
          <w:szCs w:val="24"/>
        </w:rPr>
      </w:pPr>
      <w:r w:rsidRPr="00D82549">
        <w:rPr>
          <w:rFonts w:ascii="Times New Roman" w:hAnsi="Times New Roman" w:cs="Times New Roman"/>
          <w:sz w:val="24"/>
          <w:szCs w:val="24"/>
        </w:rPr>
        <w:t>Counsel for Sahtu Renewable Resources Board:</w:t>
      </w:r>
      <w:r w:rsidRPr="00D82549">
        <w:rPr>
          <w:rFonts w:ascii="Times New Roman" w:hAnsi="Times New Roman" w:cs="Times New Roman"/>
          <w:sz w:val="24"/>
          <w:szCs w:val="24"/>
        </w:rPr>
        <w:tab/>
        <w:t xml:space="preserve">Kate Phipps </w:t>
      </w:r>
    </w:p>
    <w:p w14:paraId="493FC92B" w14:textId="77777777" w:rsidR="00CB5AC5" w:rsidRDefault="009E6A66" w:rsidP="00291B6A">
      <w:pPr>
        <w:pStyle w:val="ListParagraph"/>
        <w:spacing w:after="0" w:line="240" w:lineRule="auto"/>
        <w:jc w:val="both"/>
        <w:rPr>
          <w:rFonts w:ascii="Times New Roman" w:hAnsi="Times New Roman" w:cs="Times New Roman"/>
          <w:sz w:val="24"/>
          <w:szCs w:val="24"/>
          <w:lang w:val="en-US"/>
        </w:rPr>
      </w:pP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00EB3792">
        <w:rPr>
          <w:rFonts w:ascii="Times New Roman" w:hAnsi="Times New Roman" w:cs="Times New Roman"/>
          <w:sz w:val="24"/>
          <w:szCs w:val="24"/>
          <w:lang w:val="en-US"/>
        </w:rPr>
        <w:tab/>
      </w:r>
      <w:r w:rsidRPr="00D82549">
        <w:rPr>
          <w:rFonts w:ascii="Times New Roman" w:hAnsi="Times New Roman" w:cs="Times New Roman"/>
          <w:sz w:val="24"/>
          <w:szCs w:val="24"/>
          <w:lang w:val="en-US"/>
        </w:rPr>
        <w:t>Mark Underhill</w:t>
      </w:r>
    </w:p>
    <w:p w14:paraId="2DEC1CB1"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0EFC88D0"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2D46F24C" w14:textId="77777777" w:rsidR="005E31C3" w:rsidRPr="00D82549" w:rsidRDefault="005E31C3" w:rsidP="005E31C3">
      <w:pPr>
        <w:spacing w:after="0" w:line="240" w:lineRule="auto"/>
        <w:ind w:firstLine="720"/>
        <w:jc w:val="both"/>
        <w:rPr>
          <w:rFonts w:ascii="Times New Roman" w:hAnsi="Times New Roman" w:cs="Times New Roman"/>
          <w:sz w:val="24"/>
          <w:szCs w:val="24"/>
          <w:lang w:val="en-US"/>
        </w:rPr>
      </w:pPr>
      <w:r w:rsidRPr="00D82549">
        <w:rPr>
          <w:rFonts w:ascii="Times New Roman" w:hAnsi="Times New Roman" w:cs="Times New Roman"/>
          <w:sz w:val="24"/>
          <w:szCs w:val="24"/>
          <w:lang w:val="en-US"/>
        </w:rPr>
        <w:t>Counsel for Inuvialuit Game Council:</w:t>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t>John Donihee</w:t>
      </w:r>
    </w:p>
    <w:p w14:paraId="15CA11DF" w14:textId="77777777" w:rsidR="005E31C3" w:rsidRDefault="005E31C3" w:rsidP="005E31C3">
      <w:pPr>
        <w:spacing w:after="0" w:line="240" w:lineRule="auto"/>
        <w:jc w:val="both"/>
        <w:rPr>
          <w:rFonts w:ascii="Times New Roman" w:hAnsi="Times New Roman" w:cs="Times New Roman"/>
          <w:sz w:val="24"/>
          <w:szCs w:val="24"/>
          <w:lang w:val="en-US"/>
        </w:rPr>
      </w:pP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sidRPr="00D82549">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Pr="00D82549">
        <w:rPr>
          <w:rFonts w:ascii="Times New Roman" w:hAnsi="Times New Roman" w:cs="Times New Roman"/>
          <w:sz w:val="24"/>
          <w:szCs w:val="24"/>
          <w:lang w:val="en-US"/>
        </w:rPr>
        <w:t>Raeya</w:t>
      </w:r>
      <w:proofErr w:type="spellEnd"/>
      <w:r w:rsidRPr="00D82549">
        <w:rPr>
          <w:rFonts w:ascii="Times New Roman" w:hAnsi="Times New Roman" w:cs="Times New Roman"/>
          <w:sz w:val="24"/>
          <w:szCs w:val="24"/>
          <w:lang w:val="en-US"/>
        </w:rPr>
        <w:t xml:space="preserve"> </w:t>
      </w:r>
      <w:proofErr w:type="spellStart"/>
      <w:r w:rsidRPr="00D82549">
        <w:rPr>
          <w:rFonts w:ascii="Times New Roman" w:hAnsi="Times New Roman" w:cs="Times New Roman"/>
          <w:sz w:val="24"/>
          <w:szCs w:val="24"/>
          <w:lang w:val="en-US"/>
        </w:rPr>
        <w:t>Jackiw</w:t>
      </w:r>
      <w:proofErr w:type="spellEnd"/>
    </w:p>
    <w:p w14:paraId="041C5DB3" w14:textId="77777777" w:rsidR="005E31C3" w:rsidRDefault="005E31C3" w:rsidP="005E31C3">
      <w:pPr>
        <w:spacing w:after="0" w:line="240" w:lineRule="auto"/>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4448C">
        <w:rPr>
          <w:rFonts w:ascii="Times New Roman" w:hAnsi="Times New Roman" w:cs="Times New Roman"/>
          <w:b/>
          <w:bCs/>
          <w:sz w:val="24"/>
          <w:szCs w:val="24"/>
          <w:u w:val="single"/>
          <w:lang w:val="en-US"/>
        </w:rPr>
        <w:t xml:space="preserve">Julie </w:t>
      </w:r>
      <w:proofErr w:type="spellStart"/>
      <w:r w:rsidRPr="00A4448C">
        <w:rPr>
          <w:rFonts w:ascii="Times New Roman" w:hAnsi="Times New Roman" w:cs="Times New Roman"/>
          <w:b/>
          <w:bCs/>
          <w:sz w:val="24"/>
          <w:szCs w:val="24"/>
          <w:u w:val="single"/>
          <w:lang w:val="en-US"/>
        </w:rPr>
        <w:t>Abouchar</w:t>
      </w:r>
      <w:proofErr w:type="spellEnd"/>
    </w:p>
    <w:p w14:paraId="4F434CA8" w14:textId="77777777" w:rsidR="005E31C3" w:rsidRPr="00A4448C" w:rsidRDefault="005E31C3" w:rsidP="005E31C3">
      <w:pPr>
        <w:spacing w:after="0" w:line="240" w:lineRule="auto"/>
        <w:jc w:val="both"/>
        <w:rPr>
          <w:rFonts w:ascii="Times New Roman" w:hAnsi="Times New Roman" w:cs="Times New Roman"/>
          <w:b/>
          <w:bCs/>
          <w:sz w:val="24"/>
          <w:szCs w:val="24"/>
          <w:u w:val="single"/>
          <w:lang w:val="en-US"/>
        </w:rPr>
      </w:pPr>
    </w:p>
    <w:p w14:paraId="63E09E73" w14:textId="77777777" w:rsidR="005E31C3" w:rsidRDefault="005E31C3" w:rsidP="005E31C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Citation has been amended to read:</w:t>
      </w:r>
    </w:p>
    <w:p w14:paraId="3B2B7E50" w14:textId="77777777" w:rsidR="005E31C3" w:rsidRDefault="005E31C3" w:rsidP="005E31C3">
      <w:pPr>
        <w:spacing w:after="0"/>
        <w:jc w:val="both"/>
        <w:rPr>
          <w:rFonts w:ascii="Times New Roman" w:hAnsi="Times New Roman" w:cs="Times New Roman"/>
          <w:sz w:val="24"/>
          <w:szCs w:val="24"/>
          <w:lang w:val="en-US"/>
        </w:rPr>
      </w:pPr>
    </w:p>
    <w:p w14:paraId="5B5A2E0C" w14:textId="3602E716" w:rsidR="00332FED" w:rsidRDefault="005E31C3" w:rsidP="005E31C3">
      <w:pPr>
        <w:spacing w:after="0" w:line="240" w:lineRule="auto"/>
        <w:contextualSpacing/>
        <w:rPr>
          <w:rFonts w:ascii="Times New Roman" w:hAnsi="Times New Roman" w:cs="Times New Roman"/>
          <w:i/>
          <w:iCs/>
          <w:sz w:val="24"/>
          <w:szCs w:val="24"/>
          <w:lang w:val="en-US"/>
        </w:rPr>
      </w:pPr>
      <w:r w:rsidRPr="00730FC7">
        <w:rPr>
          <w:rFonts w:ascii="Times New Roman" w:hAnsi="Times New Roman" w:cs="Times New Roman"/>
          <w:i/>
          <w:iCs/>
          <w:sz w:val="24"/>
          <w:szCs w:val="24"/>
          <w:lang w:val="en-US"/>
        </w:rPr>
        <w:t>Colville Lake Renewable Resources Council et al v G</w:t>
      </w:r>
      <w:r>
        <w:rPr>
          <w:rFonts w:ascii="Times New Roman" w:hAnsi="Times New Roman" w:cs="Times New Roman"/>
          <w:i/>
          <w:iCs/>
          <w:sz w:val="24"/>
          <w:szCs w:val="24"/>
          <w:lang w:val="en-US"/>
        </w:rPr>
        <w:t xml:space="preserve">ov’t of the </w:t>
      </w:r>
      <w:r w:rsidRPr="00730FC7">
        <w:rPr>
          <w:rFonts w:ascii="Times New Roman" w:hAnsi="Times New Roman" w:cs="Times New Roman"/>
          <w:i/>
          <w:iCs/>
          <w:sz w:val="24"/>
          <w:szCs w:val="24"/>
          <w:lang w:val="en-US"/>
        </w:rPr>
        <w:t>NWT et al</w:t>
      </w:r>
      <w:r w:rsidR="00332FED">
        <w:rPr>
          <w:rFonts w:ascii="Times New Roman" w:hAnsi="Times New Roman" w:cs="Times New Roman"/>
          <w:i/>
          <w:iCs/>
          <w:sz w:val="24"/>
          <w:szCs w:val="24"/>
          <w:lang w:val="en-US"/>
        </w:rPr>
        <w:t>,</w:t>
      </w:r>
    </w:p>
    <w:p w14:paraId="0E99A96B" w14:textId="5B620B59" w:rsidR="005E31C3" w:rsidRPr="00730FC7" w:rsidRDefault="005E31C3" w:rsidP="005E31C3">
      <w:pPr>
        <w:spacing w:after="0" w:line="240" w:lineRule="auto"/>
        <w:contextualSpacing/>
        <w:rPr>
          <w:rFonts w:ascii="Times New Roman" w:hAnsi="Times New Roman" w:cs="Times New Roman"/>
          <w:sz w:val="24"/>
          <w:szCs w:val="24"/>
          <w:lang w:val="en-US"/>
        </w:rPr>
      </w:pPr>
      <w:r w:rsidRPr="00730FC7">
        <w:rPr>
          <w:rFonts w:ascii="Times New Roman" w:hAnsi="Times New Roman" w:cs="Times New Roman"/>
          <w:i/>
          <w:iCs/>
          <w:sz w:val="24"/>
          <w:szCs w:val="24"/>
          <w:lang w:val="en-US"/>
        </w:rPr>
        <w:t xml:space="preserve"> </w:t>
      </w:r>
      <w:r w:rsidRPr="00730FC7">
        <w:rPr>
          <w:rFonts w:ascii="Times New Roman" w:hAnsi="Times New Roman" w:cs="Times New Roman"/>
          <w:sz w:val="24"/>
          <w:szCs w:val="24"/>
          <w:lang w:val="en-US"/>
        </w:rPr>
        <w:t>2023 NWTSC 22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w:t>
      </w:r>
      <w:proofErr w:type="spellEnd"/>
      <w:r>
        <w:rPr>
          <w:rFonts w:ascii="Times New Roman" w:hAnsi="Times New Roman" w:cs="Times New Roman"/>
          <w:sz w:val="24"/>
          <w:szCs w:val="24"/>
          <w:lang w:val="en-US"/>
        </w:rPr>
        <w:t xml:space="preserve"> 1</w:t>
      </w:r>
    </w:p>
    <w:p w14:paraId="380525FE" w14:textId="77777777" w:rsidR="005E31C3" w:rsidRDefault="005E31C3" w:rsidP="005E31C3">
      <w:pPr>
        <w:spacing w:after="0"/>
        <w:jc w:val="both"/>
        <w:rPr>
          <w:rFonts w:ascii="Times New Roman" w:hAnsi="Times New Roman" w:cs="Times New Roman"/>
          <w:sz w:val="24"/>
          <w:szCs w:val="24"/>
          <w:lang w:val="en-US"/>
        </w:rPr>
      </w:pPr>
    </w:p>
    <w:p w14:paraId="388F5CFD" w14:textId="77777777" w:rsidR="005E31C3" w:rsidRDefault="005E31C3" w:rsidP="005E31C3">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(The changes to the text of the document are highlighted and underlined)</w:t>
      </w:r>
    </w:p>
    <w:p w14:paraId="2926238C"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0FB7E372"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565B6E80"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19814389"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587D39EF"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2C736C08"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33093FDC"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2A16E281"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46BB29E6"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4BDE7124"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4348A351" w14:textId="77777777" w:rsidR="005E31C3" w:rsidRDefault="005E31C3" w:rsidP="00291B6A">
      <w:pPr>
        <w:pStyle w:val="ListParagraph"/>
        <w:spacing w:after="0" w:line="240" w:lineRule="auto"/>
        <w:jc w:val="both"/>
        <w:rPr>
          <w:rFonts w:ascii="Times New Roman" w:hAnsi="Times New Roman" w:cs="Times New Roman"/>
          <w:sz w:val="24"/>
          <w:szCs w:val="24"/>
          <w:lang w:val="en-US"/>
        </w:rPr>
      </w:pPr>
    </w:p>
    <w:p w14:paraId="1339B034" w14:textId="2FA76133" w:rsidR="005E31C3" w:rsidRDefault="005E31C3" w:rsidP="00291B6A">
      <w:pPr>
        <w:pStyle w:val="ListParagraph"/>
        <w:spacing w:after="0" w:line="240" w:lineRule="auto"/>
        <w:jc w:val="both"/>
        <w:rPr>
          <w:rFonts w:ascii="Times New Roman" w:hAnsi="Times New Roman" w:cs="Times New Roman"/>
          <w:sz w:val="24"/>
          <w:szCs w:val="24"/>
          <w:lang w:val="en-US"/>
        </w:rPr>
        <w:sectPr w:rsidR="005E31C3" w:rsidSect="00AE542E">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993" w:left="1440" w:header="720" w:footer="720" w:gutter="0"/>
          <w:cols w:space="720"/>
          <w:titlePg/>
          <w:docGrid w:linePitch="360"/>
        </w:sectPr>
      </w:pPr>
    </w:p>
    <w:p w14:paraId="76848AFF" w14:textId="1E6D2617" w:rsidR="007F6649" w:rsidRDefault="001D2853" w:rsidP="00291B6A">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D86BBE" w14:textId="77777777" w:rsidR="00AE542E" w:rsidRPr="00D82549" w:rsidRDefault="00AE542E" w:rsidP="00291B6A">
      <w:pPr>
        <w:pStyle w:val="ListParagraph"/>
        <w:spacing w:after="0" w:line="240" w:lineRule="auto"/>
        <w:jc w:val="both"/>
        <w:rPr>
          <w:rFonts w:ascii="Times New Roman" w:hAnsi="Times New Roman" w:cs="Times New Roman"/>
          <w:sz w:val="24"/>
          <w:szCs w:val="24"/>
          <w:lang w:val="en-US"/>
        </w:rPr>
      </w:pPr>
    </w:p>
    <w:p w14:paraId="5A3E3307" w14:textId="77EFA4D4" w:rsidR="008E0430" w:rsidRDefault="008E0430" w:rsidP="00E70AA5">
      <w:pPr>
        <w:spacing w:after="240"/>
        <w:jc w:val="both"/>
        <w:rPr>
          <w:rFonts w:ascii="Times New Roman" w:hAnsi="Times New Roman" w:cs="Times New Roman"/>
          <w:sz w:val="28"/>
          <w:szCs w:val="28"/>
        </w:rPr>
        <w:sectPr w:rsidR="008E0430" w:rsidSect="00CB5AC5">
          <w:headerReference w:type="default" r:id="rId65"/>
          <w:type w:val="continuous"/>
          <w:pgSz w:w="12240" w:h="15840"/>
          <w:pgMar w:top="1440" w:right="1440" w:bottom="993" w:left="1440" w:header="720" w:footer="720" w:gutter="0"/>
          <w:cols w:space="720"/>
          <w:titlePg/>
          <w:docGrid w:linePitch="360"/>
        </w:sectPr>
      </w:pPr>
    </w:p>
    <w:tbl>
      <w:tblPr>
        <w:tblStyle w:val="TableGrid"/>
        <w:tblpPr w:leftFromText="180" w:rightFromText="180" w:vertAnchor="page" w:horzAnchor="page" w:tblpX="5206" w:tblpY="1966"/>
        <w:tblW w:w="6480" w:type="dxa"/>
        <w:tblBorders>
          <w:top w:val="none" w:sz="0" w:space="0" w:color="auto"/>
          <w:left w:val="none" w:sz="0" w:space="0" w:color="auto"/>
          <w:right w:val="none" w:sz="0" w:space="0" w:color="auto"/>
        </w:tblBorders>
        <w:tblLook w:val="04A0" w:firstRow="1" w:lastRow="0" w:firstColumn="1" w:lastColumn="0" w:noHBand="0" w:noVBand="1"/>
      </w:tblPr>
      <w:tblGrid>
        <w:gridCol w:w="6480"/>
      </w:tblGrid>
      <w:tr w:rsidR="002D10D4" w:rsidRPr="0032647A" w14:paraId="5A3E330B" w14:textId="77777777" w:rsidTr="00E16C9E">
        <w:tc>
          <w:tcPr>
            <w:tcW w:w="6480" w:type="dxa"/>
          </w:tcPr>
          <w:p w14:paraId="5A3E330A" w14:textId="45DD3FAC" w:rsidR="002D10D4" w:rsidRPr="0032647A" w:rsidRDefault="008C09DB" w:rsidP="002D10D4">
            <w:pPr>
              <w:jc w:val="right"/>
              <w:rPr>
                <w:rFonts w:ascii="Times New Roman" w:hAnsi="Times New Roman" w:cs="Times New Roman"/>
                <w:sz w:val="28"/>
                <w:szCs w:val="28"/>
              </w:rPr>
            </w:pPr>
            <w:r w:rsidRPr="001F5970">
              <w:rPr>
                <w:rFonts w:ascii="Times New Roman" w:hAnsi="Times New Roman" w:cs="Times New Roman"/>
                <w:sz w:val="28"/>
                <w:szCs w:val="28"/>
                <w:u w:val="single"/>
              </w:rPr>
              <w:br w:type="column"/>
            </w:r>
            <w:r w:rsidR="002D10D4" w:rsidRPr="00D10C94">
              <w:rPr>
                <w:rFonts w:ascii="Times New Roman" w:hAnsi="Times New Roman" w:cs="Times New Roman"/>
                <w:sz w:val="28"/>
                <w:szCs w:val="28"/>
              </w:rPr>
              <w:t>S-0001-CV</w:t>
            </w:r>
            <w:r w:rsidR="003A6EEA">
              <w:rPr>
                <w:rFonts w:ascii="Times New Roman" w:hAnsi="Times New Roman" w:cs="Times New Roman"/>
                <w:sz w:val="28"/>
                <w:szCs w:val="28"/>
              </w:rPr>
              <w:t>-</w:t>
            </w:r>
            <w:r w:rsidR="002D10D4" w:rsidRPr="00D10C94">
              <w:rPr>
                <w:rFonts w:ascii="Times New Roman" w:hAnsi="Times New Roman" w:cs="Times New Roman"/>
                <w:sz w:val="28"/>
                <w:szCs w:val="28"/>
              </w:rPr>
              <w:t>2021 000 144</w:t>
            </w:r>
          </w:p>
        </w:tc>
      </w:tr>
      <w:tr w:rsidR="002D10D4" w:rsidRPr="0032647A" w14:paraId="5A3E3310" w14:textId="77777777" w:rsidTr="00E16C9E">
        <w:tc>
          <w:tcPr>
            <w:tcW w:w="6480" w:type="dxa"/>
          </w:tcPr>
          <w:p w14:paraId="4879CD98" w14:textId="77777777" w:rsidR="002D10D4" w:rsidRPr="00D10C94" w:rsidRDefault="002D10D4" w:rsidP="002D10D4">
            <w:pPr>
              <w:pStyle w:val="ListParagraph"/>
              <w:spacing w:after="240"/>
              <w:jc w:val="center"/>
              <w:rPr>
                <w:rFonts w:ascii="Times New Roman" w:hAnsi="Times New Roman" w:cs="Times New Roman"/>
                <w:b/>
                <w:bCs/>
                <w:sz w:val="28"/>
                <w:szCs w:val="28"/>
                <w:lang w:val="en-GB"/>
              </w:rPr>
            </w:pPr>
          </w:p>
          <w:p w14:paraId="03D12287" w14:textId="77777777" w:rsidR="002D10D4" w:rsidRPr="00D10C94" w:rsidRDefault="002D10D4" w:rsidP="002D10D4">
            <w:pPr>
              <w:pStyle w:val="ListParagraph"/>
              <w:spacing w:after="240"/>
              <w:jc w:val="center"/>
              <w:rPr>
                <w:rFonts w:ascii="Times New Roman" w:hAnsi="Times New Roman" w:cs="Times New Roman"/>
                <w:b/>
                <w:bCs/>
                <w:sz w:val="28"/>
                <w:szCs w:val="28"/>
                <w:lang w:val="en-GB"/>
              </w:rPr>
            </w:pPr>
            <w:r w:rsidRPr="00D10C94">
              <w:rPr>
                <w:rFonts w:ascii="Times New Roman" w:hAnsi="Times New Roman" w:cs="Times New Roman"/>
                <w:b/>
                <w:bCs/>
                <w:sz w:val="28"/>
                <w:szCs w:val="28"/>
                <w:lang w:val="en-GB"/>
              </w:rPr>
              <w:t>IN THE SUPREME COURT OF THE</w:t>
            </w:r>
          </w:p>
          <w:p w14:paraId="09265483" w14:textId="77777777" w:rsidR="002D10D4" w:rsidRPr="00D10C94" w:rsidRDefault="002D10D4" w:rsidP="002D10D4">
            <w:pPr>
              <w:pStyle w:val="ListParagraph"/>
              <w:spacing w:after="240"/>
              <w:jc w:val="center"/>
              <w:rPr>
                <w:rFonts w:ascii="Times New Roman" w:hAnsi="Times New Roman" w:cs="Times New Roman"/>
                <w:b/>
                <w:bCs/>
                <w:sz w:val="28"/>
                <w:szCs w:val="28"/>
                <w:lang w:val="en-GB"/>
              </w:rPr>
            </w:pPr>
            <w:r w:rsidRPr="00D10C94">
              <w:rPr>
                <w:rFonts w:ascii="Times New Roman" w:hAnsi="Times New Roman" w:cs="Times New Roman"/>
                <w:b/>
                <w:bCs/>
                <w:sz w:val="28"/>
                <w:szCs w:val="28"/>
                <w:lang w:val="en-GB"/>
              </w:rPr>
              <w:t>NORTHWEST TERRITORIES</w:t>
            </w:r>
          </w:p>
          <w:p w14:paraId="5A3E330F" w14:textId="77777777" w:rsidR="002D10D4" w:rsidRPr="0032647A" w:rsidRDefault="002D10D4" w:rsidP="002D10D4">
            <w:pPr>
              <w:pStyle w:val="NoSpacing"/>
              <w:rPr>
                <w:rFonts w:ascii="Times New Roman" w:hAnsi="Times New Roman" w:cs="Times New Roman"/>
                <w:sz w:val="28"/>
                <w:szCs w:val="28"/>
                <w:lang w:val="en-GB"/>
              </w:rPr>
            </w:pPr>
          </w:p>
        </w:tc>
      </w:tr>
      <w:tr w:rsidR="002D10D4" w:rsidRPr="0032647A" w14:paraId="5A3E331F" w14:textId="77777777" w:rsidTr="00E16C9E">
        <w:tc>
          <w:tcPr>
            <w:tcW w:w="6480" w:type="dxa"/>
          </w:tcPr>
          <w:p w14:paraId="1E84D34C" w14:textId="77777777" w:rsidR="002D10D4" w:rsidRPr="00D10C94" w:rsidRDefault="002D10D4" w:rsidP="00621FE6">
            <w:pPr>
              <w:pStyle w:val="ListParagraph"/>
              <w:spacing w:after="240"/>
              <w:rPr>
                <w:rFonts w:ascii="Times New Roman" w:hAnsi="Times New Roman" w:cs="Times New Roman"/>
                <w:b/>
                <w:bCs/>
                <w:sz w:val="28"/>
                <w:szCs w:val="28"/>
              </w:rPr>
            </w:pPr>
            <w:r w:rsidRPr="00D10C94">
              <w:rPr>
                <w:rFonts w:ascii="Times New Roman" w:hAnsi="Times New Roman" w:cs="Times New Roman"/>
                <w:b/>
                <w:bCs/>
                <w:sz w:val="28"/>
                <w:szCs w:val="28"/>
              </w:rPr>
              <w:t>BETWEEN:</w:t>
            </w:r>
          </w:p>
          <w:p w14:paraId="68AADCCE" w14:textId="77777777" w:rsidR="002D10D4" w:rsidRPr="00D10C94" w:rsidRDefault="002D10D4" w:rsidP="002D10D4">
            <w:pPr>
              <w:pStyle w:val="ListParagraph"/>
              <w:spacing w:after="240"/>
              <w:jc w:val="center"/>
              <w:rPr>
                <w:rFonts w:ascii="Times New Roman" w:hAnsi="Times New Roman" w:cs="Times New Roman"/>
                <w:sz w:val="28"/>
                <w:szCs w:val="28"/>
              </w:rPr>
            </w:pPr>
          </w:p>
          <w:p w14:paraId="7DE5AEA3" w14:textId="77777777" w:rsidR="002D10D4" w:rsidRPr="00D10C94" w:rsidRDefault="002D10D4" w:rsidP="002D10D4">
            <w:pPr>
              <w:pStyle w:val="ListParagraph"/>
              <w:spacing w:after="240"/>
              <w:jc w:val="center"/>
              <w:rPr>
                <w:rFonts w:ascii="Times New Roman" w:hAnsi="Times New Roman" w:cs="Times New Roman"/>
                <w:sz w:val="28"/>
                <w:szCs w:val="28"/>
              </w:rPr>
            </w:pPr>
            <w:r w:rsidRPr="00D10C94">
              <w:rPr>
                <w:rFonts w:ascii="Times New Roman" w:hAnsi="Times New Roman" w:cs="Times New Roman"/>
                <w:sz w:val="28"/>
                <w:szCs w:val="28"/>
              </w:rPr>
              <w:t>COLVILLE LAKE RENEWABLE RESOURCES COUNCIL; BEDHZI AHDA’’ FIRST NATION and AYONI KEH LAND CORPORATION</w:t>
            </w:r>
          </w:p>
          <w:p w14:paraId="6F69A151" w14:textId="77777777" w:rsidR="002D10D4" w:rsidRPr="00D10C94" w:rsidRDefault="002D10D4" w:rsidP="0069475D">
            <w:pPr>
              <w:pStyle w:val="ListParagraph"/>
              <w:spacing w:after="240"/>
              <w:jc w:val="right"/>
              <w:rPr>
                <w:rFonts w:ascii="Times New Roman" w:hAnsi="Times New Roman" w:cs="Times New Roman"/>
                <w:sz w:val="28"/>
                <w:szCs w:val="28"/>
              </w:rPr>
            </w:pPr>
            <w:r w:rsidRPr="00D10C94">
              <w:rPr>
                <w:rFonts w:ascii="Times New Roman" w:hAnsi="Times New Roman" w:cs="Times New Roman"/>
                <w:sz w:val="28"/>
                <w:szCs w:val="28"/>
              </w:rPr>
              <w:t>Applicants</w:t>
            </w:r>
          </w:p>
          <w:p w14:paraId="425E953D" w14:textId="77777777" w:rsidR="002D10D4" w:rsidRPr="00D10C94" w:rsidRDefault="002D10D4" w:rsidP="002D10D4">
            <w:pPr>
              <w:pStyle w:val="ListParagraph"/>
              <w:spacing w:after="240"/>
              <w:jc w:val="center"/>
              <w:rPr>
                <w:rFonts w:ascii="Times New Roman" w:hAnsi="Times New Roman" w:cs="Times New Roman"/>
                <w:sz w:val="28"/>
                <w:szCs w:val="28"/>
                <w:lang w:val="en-US"/>
              </w:rPr>
            </w:pPr>
          </w:p>
          <w:p w14:paraId="419025E5" w14:textId="77777777" w:rsidR="002D10D4" w:rsidRPr="00D10C94" w:rsidRDefault="002D10D4" w:rsidP="002D10D4">
            <w:pPr>
              <w:pStyle w:val="ListParagraph"/>
              <w:spacing w:after="240"/>
              <w:jc w:val="center"/>
              <w:rPr>
                <w:rFonts w:ascii="Times New Roman" w:hAnsi="Times New Roman" w:cs="Times New Roman"/>
                <w:sz w:val="28"/>
                <w:szCs w:val="28"/>
                <w:lang w:val="en-US"/>
              </w:rPr>
            </w:pPr>
            <w:r w:rsidRPr="00D10C94">
              <w:rPr>
                <w:rFonts w:ascii="Times New Roman" w:hAnsi="Times New Roman" w:cs="Times New Roman"/>
                <w:sz w:val="28"/>
                <w:szCs w:val="28"/>
                <w:lang w:val="en-US"/>
              </w:rPr>
              <w:t>-and-</w:t>
            </w:r>
          </w:p>
          <w:p w14:paraId="520A88C6" w14:textId="77777777" w:rsidR="002D10D4" w:rsidRPr="00D10C94" w:rsidRDefault="002D10D4" w:rsidP="002D10D4">
            <w:pPr>
              <w:pStyle w:val="ListParagraph"/>
              <w:spacing w:after="240"/>
              <w:jc w:val="center"/>
              <w:rPr>
                <w:rFonts w:ascii="Times New Roman" w:hAnsi="Times New Roman" w:cs="Times New Roman"/>
                <w:sz w:val="28"/>
                <w:szCs w:val="28"/>
                <w:lang w:val="en-US"/>
              </w:rPr>
            </w:pPr>
          </w:p>
          <w:p w14:paraId="792DF1D0" w14:textId="77777777" w:rsidR="002D10D4" w:rsidRPr="00D10C94" w:rsidRDefault="002D10D4" w:rsidP="002D10D4">
            <w:pPr>
              <w:pStyle w:val="ListParagraph"/>
              <w:spacing w:after="240"/>
              <w:jc w:val="center"/>
              <w:rPr>
                <w:rFonts w:ascii="Times New Roman" w:hAnsi="Times New Roman" w:cs="Times New Roman"/>
                <w:sz w:val="28"/>
                <w:szCs w:val="28"/>
                <w:lang w:val="en-US"/>
              </w:rPr>
            </w:pPr>
            <w:r w:rsidRPr="00D10C94">
              <w:rPr>
                <w:rFonts w:ascii="Times New Roman" w:hAnsi="Times New Roman" w:cs="Times New Roman"/>
                <w:sz w:val="28"/>
                <w:szCs w:val="28"/>
                <w:lang w:val="en-US"/>
              </w:rPr>
              <w:t>GOVERNMENT OF THE NORTHWEST TERRITORIES, AS REPRESENTED BY MINISTER OF ENVIRONMENT AND NATURAL RESOURCES</w:t>
            </w:r>
          </w:p>
          <w:p w14:paraId="72A2A940" w14:textId="77777777" w:rsidR="002D10D4" w:rsidRPr="00D10C94" w:rsidRDefault="002D10D4" w:rsidP="0069475D">
            <w:pPr>
              <w:pStyle w:val="ListParagraph"/>
              <w:spacing w:after="240"/>
              <w:jc w:val="right"/>
              <w:rPr>
                <w:rFonts w:ascii="Times New Roman" w:hAnsi="Times New Roman" w:cs="Times New Roman"/>
                <w:sz w:val="28"/>
                <w:szCs w:val="28"/>
                <w:lang w:val="en-US"/>
              </w:rPr>
            </w:pPr>
            <w:r w:rsidRPr="00D10C94">
              <w:rPr>
                <w:rFonts w:ascii="Times New Roman" w:hAnsi="Times New Roman" w:cs="Times New Roman"/>
                <w:sz w:val="28"/>
                <w:szCs w:val="28"/>
                <w:lang w:val="en-US"/>
              </w:rPr>
              <w:t>Respondents</w:t>
            </w:r>
          </w:p>
          <w:p w14:paraId="654403A5" w14:textId="77777777" w:rsidR="002D10D4" w:rsidRPr="00D10C94" w:rsidRDefault="002D10D4" w:rsidP="002D10D4">
            <w:pPr>
              <w:pStyle w:val="ListParagraph"/>
              <w:spacing w:after="240"/>
              <w:jc w:val="center"/>
              <w:rPr>
                <w:rFonts w:ascii="Times New Roman" w:hAnsi="Times New Roman" w:cs="Times New Roman"/>
                <w:sz w:val="28"/>
                <w:szCs w:val="28"/>
                <w:lang w:val="en-US"/>
              </w:rPr>
            </w:pPr>
            <w:r w:rsidRPr="00D10C94">
              <w:rPr>
                <w:rFonts w:ascii="Times New Roman" w:hAnsi="Times New Roman" w:cs="Times New Roman"/>
                <w:sz w:val="28"/>
                <w:szCs w:val="28"/>
                <w:lang w:val="en-US"/>
              </w:rPr>
              <w:t>-and-</w:t>
            </w:r>
          </w:p>
          <w:p w14:paraId="7D4CB378" w14:textId="77777777" w:rsidR="002D10D4" w:rsidRPr="00D10C94" w:rsidRDefault="002D10D4" w:rsidP="002D10D4">
            <w:pPr>
              <w:pStyle w:val="ListParagraph"/>
              <w:spacing w:after="240"/>
              <w:jc w:val="center"/>
              <w:rPr>
                <w:rFonts w:ascii="Times New Roman" w:hAnsi="Times New Roman" w:cs="Times New Roman"/>
                <w:sz w:val="28"/>
                <w:szCs w:val="28"/>
                <w:lang w:val="en-US"/>
              </w:rPr>
            </w:pPr>
          </w:p>
          <w:p w14:paraId="028DFD55" w14:textId="77777777" w:rsidR="002D10D4" w:rsidRPr="00D10C94" w:rsidRDefault="002D10D4" w:rsidP="002D10D4">
            <w:pPr>
              <w:pStyle w:val="ListParagraph"/>
              <w:spacing w:after="240"/>
              <w:jc w:val="center"/>
              <w:rPr>
                <w:rFonts w:ascii="Times New Roman" w:hAnsi="Times New Roman" w:cs="Times New Roman"/>
                <w:sz w:val="28"/>
                <w:szCs w:val="28"/>
                <w:lang w:val="en-US"/>
              </w:rPr>
            </w:pPr>
            <w:r w:rsidRPr="00D10C94">
              <w:rPr>
                <w:rFonts w:ascii="Times New Roman" w:hAnsi="Times New Roman" w:cs="Times New Roman"/>
                <w:sz w:val="28"/>
                <w:szCs w:val="28"/>
                <w:lang w:val="en-US"/>
              </w:rPr>
              <w:t>SAHTU RENEWABLE RESOURCES BOARD and INUVIALUIT GAME COUNCIL</w:t>
            </w:r>
          </w:p>
          <w:p w14:paraId="1C3C4760" w14:textId="77777777" w:rsidR="002D10D4" w:rsidRPr="00D10C94" w:rsidRDefault="002D10D4" w:rsidP="002D10D4">
            <w:pPr>
              <w:pStyle w:val="ListParagraph"/>
              <w:spacing w:after="240"/>
              <w:jc w:val="center"/>
              <w:rPr>
                <w:rFonts w:ascii="Times New Roman" w:hAnsi="Times New Roman" w:cs="Times New Roman"/>
                <w:sz w:val="28"/>
                <w:szCs w:val="28"/>
                <w:lang w:val="en-US"/>
              </w:rPr>
            </w:pPr>
          </w:p>
          <w:p w14:paraId="4F8AE8C5" w14:textId="77777777" w:rsidR="002D10D4" w:rsidRPr="00D10C94" w:rsidRDefault="002D10D4" w:rsidP="0069475D">
            <w:pPr>
              <w:pStyle w:val="ListParagraph"/>
              <w:spacing w:after="240"/>
              <w:jc w:val="right"/>
              <w:rPr>
                <w:rFonts w:ascii="Times New Roman" w:hAnsi="Times New Roman" w:cs="Times New Roman"/>
                <w:sz w:val="28"/>
                <w:szCs w:val="28"/>
                <w:lang w:val="en-US"/>
              </w:rPr>
            </w:pPr>
            <w:r w:rsidRPr="00D10C94">
              <w:rPr>
                <w:rFonts w:ascii="Times New Roman" w:hAnsi="Times New Roman" w:cs="Times New Roman"/>
                <w:sz w:val="28"/>
                <w:szCs w:val="28"/>
                <w:lang w:val="en-US"/>
              </w:rPr>
              <w:t>Interveners</w:t>
            </w:r>
          </w:p>
          <w:p w14:paraId="1F10B592" w14:textId="77777777" w:rsidR="002D10D4" w:rsidRPr="00D10C94" w:rsidRDefault="002D10D4" w:rsidP="002D10D4">
            <w:pPr>
              <w:pStyle w:val="ListParagraph"/>
              <w:spacing w:after="240"/>
              <w:jc w:val="center"/>
              <w:rPr>
                <w:rFonts w:ascii="Times New Roman" w:hAnsi="Times New Roman" w:cs="Times New Roman"/>
                <w:sz w:val="28"/>
                <w:szCs w:val="28"/>
              </w:rPr>
            </w:pPr>
          </w:p>
          <w:tbl>
            <w:tblPr>
              <w:tblW w:w="0" w:type="auto"/>
              <w:jc w:val="center"/>
              <w:tblCellMar>
                <w:left w:w="264" w:type="dxa"/>
                <w:right w:w="264" w:type="dxa"/>
              </w:tblCellMar>
              <w:tblLook w:val="0000" w:firstRow="0" w:lastRow="0" w:firstColumn="0" w:lastColumn="0" w:noHBand="0" w:noVBand="0"/>
            </w:tblPr>
            <w:tblGrid>
              <w:gridCol w:w="6158"/>
            </w:tblGrid>
            <w:tr w:rsidR="006B6F91" w14:paraId="093599DC" w14:textId="77777777" w:rsidTr="0052580C">
              <w:trPr>
                <w:jc w:val="center"/>
              </w:trPr>
              <w:tc>
                <w:tcPr>
                  <w:tcW w:w="6480" w:type="dxa"/>
                  <w:tcBorders>
                    <w:top w:val="double" w:sz="14" w:space="0" w:color="000000"/>
                    <w:left w:val="double" w:sz="14" w:space="0" w:color="000000"/>
                    <w:bottom w:val="double" w:sz="14" w:space="0" w:color="000000"/>
                    <w:right w:val="double" w:sz="14" w:space="0" w:color="000000"/>
                  </w:tcBorders>
                </w:tcPr>
                <w:p w14:paraId="32AF46A3" w14:textId="77777777" w:rsidR="006B6F91" w:rsidRPr="00DF2C2C" w:rsidRDefault="006B6F91" w:rsidP="00F13E6E">
                  <w:pPr>
                    <w:framePr w:hSpace="180" w:wrap="around" w:vAnchor="page" w:hAnchor="page" w:x="5206" w:y="1966"/>
                    <w:spacing w:after="144"/>
                    <w:jc w:val="both"/>
                    <w:rPr>
                      <w:rFonts w:ascii="Times New Roman" w:hAnsi="Times New Roman" w:cs="Times New Roman"/>
                      <w:sz w:val="24"/>
                      <w:szCs w:val="24"/>
                      <w:lang w:val="en-GB"/>
                    </w:rPr>
                  </w:pPr>
                  <w:r w:rsidRPr="00DF2C2C">
                    <w:rPr>
                      <w:rFonts w:ascii="Times New Roman" w:hAnsi="Times New Roman" w:cs="Times New Roman"/>
                      <w:b/>
                      <w:bCs/>
                      <w:sz w:val="24"/>
                      <w:szCs w:val="24"/>
                      <w:lang w:val="en-GB"/>
                    </w:rPr>
                    <w:t>Corrected judgment</w:t>
                  </w:r>
                  <w:r w:rsidRPr="00DF2C2C">
                    <w:rPr>
                      <w:rFonts w:ascii="Times New Roman" w:hAnsi="Times New Roman" w:cs="Times New Roman"/>
                      <w:sz w:val="24"/>
                      <w:szCs w:val="24"/>
                      <w:lang w:val="en-GB"/>
                    </w:rPr>
                    <w:t xml:space="preserve">: A corrigendum was issued on </w:t>
                  </w:r>
                  <w:r>
                    <w:rPr>
                      <w:rFonts w:ascii="Times New Roman" w:hAnsi="Times New Roman" w:cs="Times New Roman"/>
                      <w:sz w:val="24"/>
                      <w:szCs w:val="24"/>
                      <w:lang w:val="en-GB"/>
                    </w:rPr>
                    <w:t>August 14</w:t>
                  </w:r>
                  <w:r w:rsidRPr="00DF2C2C">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2023</w:t>
                  </w:r>
                  <w:proofErr w:type="gramEnd"/>
                  <w:r w:rsidRPr="00DF2C2C">
                    <w:rPr>
                      <w:rFonts w:ascii="Times New Roman" w:hAnsi="Times New Roman" w:cs="Times New Roman"/>
                      <w:sz w:val="24"/>
                      <w:szCs w:val="24"/>
                      <w:lang w:val="en-GB"/>
                    </w:rPr>
                    <w:t xml:space="preserve"> the corrections have been made to the text and the corrigendum is appended to this judgment.</w:t>
                  </w:r>
                </w:p>
              </w:tc>
            </w:tr>
          </w:tbl>
          <w:p w14:paraId="5F125A02" w14:textId="77777777" w:rsidR="002D10D4" w:rsidRPr="00D10C94" w:rsidRDefault="002D10D4" w:rsidP="002D10D4">
            <w:pPr>
              <w:pStyle w:val="ListParagraph"/>
              <w:spacing w:after="240"/>
              <w:jc w:val="center"/>
              <w:rPr>
                <w:rFonts w:ascii="Times New Roman" w:hAnsi="Times New Roman" w:cs="Times New Roman"/>
                <w:sz w:val="28"/>
                <w:szCs w:val="28"/>
                <w:lang w:val="en-GB"/>
              </w:rPr>
            </w:pPr>
          </w:p>
          <w:p w14:paraId="5A3E331E" w14:textId="77777777" w:rsidR="002D10D4" w:rsidRPr="0032647A" w:rsidRDefault="002D10D4" w:rsidP="002D10D4">
            <w:pPr>
              <w:rPr>
                <w:rFonts w:ascii="Times New Roman" w:hAnsi="Times New Roman" w:cs="Times New Roman"/>
                <w:sz w:val="28"/>
                <w:szCs w:val="28"/>
              </w:rPr>
            </w:pPr>
          </w:p>
        </w:tc>
      </w:tr>
      <w:tr w:rsidR="002D10D4" w:rsidRPr="0032647A" w14:paraId="5A3E3324" w14:textId="77777777" w:rsidTr="00E16C9E">
        <w:tc>
          <w:tcPr>
            <w:tcW w:w="6480" w:type="dxa"/>
          </w:tcPr>
          <w:p w14:paraId="5A3E3323" w14:textId="246FFED5" w:rsidR="002D10D4" w:rsidRPr="0032647A" w:rsidRDefault="0069475D" w:rsidP="002D10D4">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rPr>
              <w:t>MEMORANDUM OF JUDGMENT OF THE HONOURABLE JUSTICE A.M. MAHAR</w:t>
            </w:r>
          </w:p>
        </w:tc>
      </w:tr>
    </w:tbl>
    <w:p w14:paraId="5A3E3325" w14:textId="77777777" w:rsidR="000812FA" w:rsidRDefault="000812FA" w:rsidP="005E31C3">
      <w:pPr>
        <w:pStyle w:val="ListParagraph"/>
        <w:tabs>
          <w:tab w:val="right" w:pos="4230"/>
        </w:tabs>
        <w:spacing w:after="0" w:line="240" w:lineRule="auto"/>
        <w:ind w:left="0" w:right="-432"/>
        <w:rPr>
          <w:rFonts w:ascii="Times New Roman" w:hAnsi="Times New Roman" w:cs="Times New Roman"/>
          <w:sz w:val="28"/>
          <w:szCs w:val="28"/>
        </w:rPr>
      </w:pPr>
    </w:p>
    <w:sectPr w:rsidR="000812FA" w:rsidSect="000812FA">
      <w:headerReference w:type="default" r:id="rId66"/>
      <w:headerReference w:type="first" r:id="rId67"/>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79EE" w14:textId="77777777" w:rsidR="00DC5230" w:rsidRDefault="00DC5230" w:rsidP="005B5B19">
      <w:pPr>
        <w:spacing w:after="0" w:line="240" w:lineRule="auto"/>
      </w:pPr>
      <w:r>
        <w:separator/>
      </w:r>
    </w:p>
  </w:endnote>
  <w:endnote w:type="continuationSeparator" w:id="0">
    <w:p w14:paraId="585AF033" w14:textId="77777777" w:rsidR="00DC5230" w:rsidRDefault="00DC5230"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2D" w14:textId="77777777" w:rsidR="00BF3211" w:rsidRDefault="00BF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2E" w14:textId="77777777" w:rsidR="00BF3211" w:rsidRDefault="00BF3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31" w14:textId="77777777" w:rsidR="00BF3211" w:rsidRDefault="00BF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7EA8" w14:textId="77777777" w:rsidR="00DC5230" w:rsidRDefault="00DC5230" w:rsidP="005B5B19">
      <w:pPr>
        <w:spacing w:after="0" w:line="240" w:lineRule="auto"/>
      </w:pPr>
      <w:r>
        <w:separator/>
      </w:r>
    </w:p>
  </w:footnote>
  <w:footnote w:type="continuationSeparator" w:id="0">
    <w:p w14:paraId="2A28AA97" w14:textId="77777777" w:rsidR="00DC5230" w:rsidRDefault="00DC5230"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07631650"/>
      <w:docPartObj>
        <w:docPartGallery w:val="Page Numbers (Top of Page)"/>
        <w:docPartUnique/>
      </w:docPartObj>
    </w:sdtPr>
    <w:sdtEndPr>
      <w:rPr>
        <w:noProof/>
      </w:rPr>
    </w:sdtEndPr>
    <w:sdtContent>
      <w:p w14:paraId="3EFB913B" w14:textId="0C0C6D73" w:rsidR="00BB604B" w:rsidRPr="00BB0BD0" w:rsidRDefault="000C4202">
        <w:pPr>
          <w:pStyle w:val="Header"/>
          <w:jc w:val="right"/>
          <w:rPr>
            <w:rFonts w:ascii="Times New Roman" w:hAnsi="Times New Roman" w:cs="Times New Roman"/>
            <w:sz w:val="24"/>
            <w:szCs w:val="24"/>
          </w:rPr>
        </w:pPr>
        <w:r w:rsidRPr="00BB0BD0">
          <w:rPr>
            <w:rFonts w:ascii="Times New Roman" w:hAnsi="Times New Roman" w:cs="Times New Roman"/>
            <w:sz w:val="24"/>
            <w:szCs w:val="24"/>
          </w:rPr>
          <w:t xml:space="preserve">Page:  </w:t>
        </w:r>
        <w:r w:rsidR="00BB604B" w:rsidRPr="00BB0BD0">
          <w:rPr>
            <w:rFonts w:ascii="Times New Roman" w:hAnsi="Times New Roman" w:cs="Times New Roman"/>
            <w:sz w:val="24"/>
            <w:szCs w:val="24"/>
          </w:rPr>
          <w:fldChar w:fldCharType="begin"/>
        </w:r>
        <w:r w:rsidR="00BB604B" w:rsidRPr="00BB0BD0">
          <w:rPr>
            <w:rFonts w:ascii="Times New Roman" w:hAnsi="Times New Roman" w:cs="Times New Roman"/>
            <w:sz w:val="24"/>
            <w:szCs w:val="24"/>
          </w:rPr>
          <w:instrText xml:space="preserve"> PAGE   \* MERGEFORMAT </w:instrText>
        </w:r>
        <w:r w:rsidR="00BB604B" w:rsidRPr="00BB0BD0">
          <w:rPr>
            <w:rFonts w:ascii="Times New Roman" w:hAnsi="Times New Roman" w:cs="Times New Roman"/>
            <w:sz w:val="24"/>
            <w:szCs w:val="24"/>
          </w:rPr>
          <w:fldChar w:fldCharType="separate"/>
        </w:r>
        <w:r w:rsidR="00BB604B" w:rsidRPr="00BB0BD0">
          <w:rPr>
            <w:rFonts w:ascii="Times New Roman" w:hAnsi="Times New Roman" w:cs="Times New Roman"/>
            <w:noProof/>
            <w:sz w:val="24"/>
            <w:szCs w:val="24"/>
          </w:rPr>
          <w:t>2</w:t>
        </w:r>
        <w:r w:rsidR="00BB604B" w:rsidRPr="00BB0BD0">
          <w:rPr>
            <w:rFonts w:ascii="Times New Roman" w:hAnsi="Times New Roman" w:cs="Times New Roman"/>
            <w:noProof/>
            <w:sz w:val="24"/>
            <w:szCs w:val="24"/>
          </w:rPr>
          <w:fldChar w:fldCharType="end"/>
        </w:r>
      </w:p>
    </w:sdtContent>
  </w:sdt>
  <w:p w14:paraId="77E22FF9" w14:textId="77777777" w:rsidR="00BB604B" w:rsidRDefault="00BB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2A" w14:textId="77777777" w:rsidR="00BF3211" w:rsidRDefault="00BF3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2B" w14:textId="6D4B91C3" w:rsidR="00BF3211" w:rsidRPr="00943943" w:rsidRDefault="00BF3211" w:rsidP="00943943">
    <w:pPr>
      <w:pStyle w:val="Header"/>
      <w:tabs>
        <w:tab w:val="left" w:pos="8565"/>
      </w:tabs>
      <w:rPr>
        <w:rFonts w:ascii="Times New Roman" w:hAnsi="Times New Roman" w:cs="Times New Roman"/>
      </w:rPr>
    </w:pPr>
    <w:r>
      <w:tab/>
    </w:r>
    <w:r>
      <w:tab/>
    </w:r>
  </w:p>
  <w:p w14:paraId="5A3E332C" w14:textId="77777777" w:rsidR="00BF3211" w:rsidRDefault="00BF3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2F" w14:textId="77777777" w:rsidR="00BF3211" w:rsidRDefault="00BF3211">
    <w:pPr>
      <w:pStyle w:val="Header"/>
      <w:jc w:val="right"/>
    </w:pPr>
  </w:p>
  <w:p w14:paraId="5A3E3330" w14:textId="77777777" w:rsidR="00BF3211" w:rsidRDefault="00BF3211" w:rsidP="005B5B19">
    <w:pPr>
      <w:pStyle w:val="Header"/>
      <w:tabs>
        <w:tab w:val="clea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03A2" w14:textId="1D34798E" w:rsidR="00CB5AC5" w:rsidRPr="00943943" w:rsidRDefault="00CB5AC5" w:rsidP="00943943">
    <w:pPr>
      <w:pStyle w:val="Header"/>
      <w:tabs>
        <w:tab w:val="left" w:pos="8565"/>
      </w:tabs>
      <w:rPr>
        <w:rFonts w:ascii="Times New Roman" w:hAnsi="Times New Roman" w:cs="Times New Roman"/>
      </w:rPr>
    </w:pPr>
    <w:r>
      <w:tab/>
    </w:r>
    <w:r>
      <w:tab/>
    </w:r>
  </w:p>
  <w:p w14:paraId="45926B8A" w14:textId="77777777" w:rsidR="00CB5AC5" w:rsidRDefault="00CB5A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33" w14:textId="77777777" w:rsidR="00BF3211" w:rsidRDefault="00BF32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34" w14:textId="77777777" w:rsidR="00BF3211" w:rsidRDefault="00BF3211">
    <w:pPr>
      <w:pStyle w:val="Header"/>
      <w:jc w:val="right"/>
    </w:pPr>
  </w:p>
  <w:p w14:paraId="5A3E3335" w14:textId="77777777" w:rsidR="00BF3211" w:rsidRDefault="00BF3211"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6020" w:hanging="360"/>
      </w:pPr>
      <w:rPr>
        <w:rFonts w:ascii="Times New Roman" w:eastAsiaTheme="minorHAnsi" w:hAnsi="Times New Roman" w:cs="Times New Roman" w:hint="default"/>
      </w:rPr>
    </w:lvl>
    <w:lvl w:ilvl="1" w:tplc="04090003" w:tentative="1">
      <w:start w:val="1"/>
      <w:numFmt w:val="bullet"/>
      <w:lvlText w:val="o"/>
      <w:lvlJc w:val="left"/>
      <w:pPr>
        <w:ind w:left="6740" w:hanging="360"/>
      </w:pPr>
      <w:rPr>
        <w:rFonts w:ascii="Courier New" w:hAnsi="Courier New" w:cs="Courier New" w:hint="default"/>
      </w:rPr>
    </w:lvl>
    <w:lvl w:ilvl="2" w:tplc="04090005" w:tentative="1">
      <w:start w:val="1"/>
      <w:numFmt w:val="bullet"/>
      <w:lvlText w:val=""/>
      <w:lvlJc w:val="left"/>
      <w:pPr>
        <w:ind w:left="7460" w:hanging="360"/>
      </w:pPr>
      <w:rPr>
        <w:rFonts w:ascii="Wingdings" w:hAnsi="Wingdings" w:hint="default"/>
      </w:rPr>
    </w:lvl>
    <w:lvl w:ilvl="3" w:tplc="04090001" w:tentative="1">
      <w:start w:val="1"/>
      <w:numFmt w:val="bullet"/>
      <w:lvlText w:val=""/>
      <w:lvlJc w:val="left"/>
      <w:pPr>
        <w:ind w:left="8180" w:hanging="360"/>
      </w:pPr>
      <w:rPr>
        <w:rFonts w:ascii="Symbol" w:hAnsi="Symbol" w:hint="default"/>
      </w:rPr>
    </w:lvl>
    <w:lvl w:ilvl="4" w:tplc="04090003" w:tentative="1">
      <w:start w:val="1"/>
      <w:numFmt w:val="bullet"/>
      <w:lvlText w:val="o"/>
      <w:lvlJc w:val="left"/>
      <w:pPr>
        <w:ind w:left="8900" w:hanging="360"/>
      </w:pPr>
      <w:rPr>
        <w:rFonts w:ascii="Courier New" w:hAnsi="Courier New" w:cs="Courier New" w:hint="default"/>
      </w:rPr>
    </w:lvl>
    <w:lvl w:ilvl="5" w:tplc="04090005" w:tentative="1">
      <w:start w:val="1"/>
      <w:numFmt w:val="bullet"/>
      <w:lvlText w:val=""/>
      <w:lvlJc w:val="left"/>
      <w:pPr>
        <w:ind w:left="9620" w:hanging="360"/>
      </w:pPr>
      <w:rPr>
        <w:rFonts w:ascii="Wingdings" w:hAnsi="Wingdings" w:hint="default"/>
      </w:rPr>
    </w:lvl>
    <w:lvl w:ilvl="6" w:tplc="04090001" w:tentative="1">
      <w:start w:val="1"/>
      <w:numFmt w:val="bullet"/>
      <w:lvlText w:val=""/>
      <w:lvlJc w:val="left"/>
      <w:pPr>
        <w:ind w:left="10340" w:hanging="360"/>
      </w:pPr>
      <w:rPr>
        <w:rFonts w:ascii="Symbol" w:hAnsi="Symbol" w:hint="default"/>
      </w:rPr>
    </w:lvl>
    <w:lvl w:ilvl="7" w:tplc="04090003" w:tentative="1">
      <w:start w:val="1"/>
      <w:numFmt w:val="bullet"/>
      <w:lvlText w:val="o"/>
      <w:lvlJc w:val="left"/>
      <w:pPr>
        <w:ind w:left="11060" w:hanging="360"/>
      </w:pPr>
      <w:rPr>
        <w:rFonts w:ascii="Courier New" w:hAnsi="Courier New" w:cs="Courier New" w:hint="default"/>
      </w:rPr>
    </w:lvl>
    <w:lvl w:ilvl="8" w:tplc="04090005" w:tentative="1">
      <w:start w:val="1"/>
      <w:numFmt w:val="bullet"/>
      <w:lvlText w:val=""/>
      <w:lvlJc w:val="left"/>
      <w:pPr>
        <w:ind w:left="11780" w:hanging="360"/>
      </w:pPr>
      <w:rPr>
        <w:rFonts w:ascii="Wingdings" w:hAnsi="Wingdings" w:hint="default"/>
      </w:rPr>
    </w:lvl>
  </w:abstractNum>
  <w:abstractNum w:abstractNumId="1" w15:restartNumberingAfterBreak="0">
    <w:nsid w:val="04542984"/>
    <w:multiLevelType w:val="hybridMultilevel"/>
    <w:tmpl w:val="88267980"/>
    <w:lvl w:ilvl="0" w:tplc="072C7450">
      <w:start w:val="1"/>
      <w:numFmt w:val="lowerLetter"/>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06F47F84"/>
    <w:multiLevelType w:val="multilevel"/>
    <w:tmpl w:val="8E7003B2"/>
    <w:numStyleLink w:val="JudgmentParagraphs"/>
  </w:abstractNum>
  <w:abstractNum w:abstractNumId="3" w15:restartNumberingAfterBreak="0">
    <w:nsid w:val="085B298C"/>
    <w:multiLevelType w:val="hybridMultilevel"/>
    <w:tmpl w:val="32CC04A4"/>
    <w:lvl w:ilvl="0" w:tplc="31CA60CC">
      <w:start w:val="1"/>
      <w:numFmt w:val="decimal"/>
      <w:lvlText w:val="[%1]"/>
      <w:lvlJc w:val="left"/>
      <w:pPr>
        <w:ind w:left="360" w:hanging="360"/>
      </w:pPr>
      <w:rPr>
        <w:rFonts w:ascii="Times New Roman" w:hAnsi="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3FBE"/>
    <w:multiLevelType w:val="multilevel"/>
    <w:tmpl w:val="2018827A"/>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B165F2F"/>
    <w:multiLevelType w:val="hybridMultilevel"/>
    <w:tmpl w:val="3EEA0AA8"/>
    <w:lvl w:ilvl="0" w:tplc="259C4F50">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15:restartNumberingAfterBreak="0">
    <w:nsid w:val="1B6A73BA"/>
    <w:multiLevelType w:val="hybridMultilevel"/>
    <w:tmpl w:val="26EC7A9E"/>
    <w:lvl w:ilvl="0" w:tplc="873C8E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13A8D"/>
    <w:multiLevelType w:val="multilevel"/>
    <w:tmpl w:val="C5E2136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2A303E5"/>
    <w:multiLevelType w:val="hybridMultilevel"/>
    <w:tmpl w:val="9FE21E6A"/>
    <w:lvl w:ilvl="0" w:tplc="0D12CC4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3DD0750"/>
    <w:multiLevelType w:val="hybridMultilevel"/>
    <w:tmpl w:val="84240150"/>
    <w:lvl w:ilvl="0" w:tplc="E8AA60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1E50FF"/>
    <w:multiLevelType w:val="hybridMultilevel"/>
    <w:tmpl w:val="7B260380"/>
    <w:lvl w:ilvl="0" w:tplc="3936152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3F2A1E"/>
    <w:multiLevelType w:val="hybridMultilevel"/>
    <w:tmpl w:val="F23A4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67DE8"/>
    <w:multiLevelType w:val="hybridMultilevel"/>
    <w:tmpl w:val="51BC1EB6"/>
    <w:lvl w:ilvl="0" w:tplc="FFFFFFFF">
      <w:start w:val="1"/>
      <w:numFmt w:val="decimal"/>
      <w:lvlText w:val="[%1]"/>
      <w:lvlJc w:val="left"/>
      <w:pPr>
        <w:ind w:left="36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DD0B23"/>
    <w:multiLevelType w:val="hybridMultilevel"/>
    <w:tmpl w:val="9BBCFD66"/>
    <w:lvl w:ilvl="0" w:tplc="CD8E44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D2FB8"/>
    <w:multiLevelType w:val="hybridMultilevel"/>
    <w:tmpl w:val="C3E01AF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516A2"/>
    <w:multiLevelType w:val="multilevel"/>
    <w:tmpl w:val="8E7003B2"/>
    <w:numStyleLink w:val="JudgmentParagraphs"/>
  </w:abstractNum>
  <w:abstractNum w:abstractNumId="18" w15:restartNumberingAfterBreak="0">
    <w:nsid w:val="37B30A56"/>
    <w:multiLevelType w:val="hybridMultilevel"/>
    <w:tmpl w:val="E9F27BEC"/>
    <w:lvl w:ilvl="0" w:tplc="FFFFFFFF">
      <w:start w:val="1"/>
      <w:numFmt w:val="decimal"/>
      <w:lvlText w:val="[%1]"/>
      <w:lvlJc w:val="left"/>
      <w:pPr>
        <w:ind w:left="36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814706"/>
    <w:multiLevelType w:val="hybridMultilevel"/>
    <w:tmpl w:val="BC080296"/>
    <w:lvl w:ilvl="0" w:tplc="BF2C78CC">
      <w:start w:val="1"/>
      <w:numFmt w:val="decimal"/>
      <w:lvlText w:val="(%1)"/>
      <w:lvlJc w:val="left"/>
      <w:pPr>
        <w:ind w:left="2087" w:hanging="405"/>
      </w:pPr>
      <w:rPr>
        <w:rFonts w:hint="default"/>
      </w:rPr>
    </w:lvl>
    <w:lvl w:ilvl="1" w:tplc="10090019" w:tentative="1">
      <w:start w:val="1"/>
      <w:numFmt w:val="lowerLetter"/>
      <w:lvlText w:val="%2."/>
      <w:lvlJc w:val="left"/>
      <w:pPr>
        <w:ind w:left="2762" w:hanging="360"/>
      </w:pPr>
    </w:lvl>
    <w:lvl w:ilvl="2" w:tplc="1009001B" w:tentative="1">
      <w:start w:val="1"/>
      <w:numFmt w:val="lowerRoman"/>
      <w:lvlText w:val="%3."/>
      <w:lvlJc w:val="right"/>
      <w:pPr>
        <w:ind w:left="3482" w:hanging="180"/>
      </w:pPr>
    </w:lvl>
    <w:lvl w:ilvl="3" w:tplc="1009000F" w:tentative="1">
      <w:start w:val="1"/>
      <w:numFmt w:val="decimal"/>
      <w:lvlText w:val="%4."/>
      <w:lvlJc w:val="left"/>
      <w:pPr>
        <w:ind w:left="4202" w:hanging="360"/>
      </w:pPr>
    </w:lvl>
    <w:lvl w:ilvl="4" w:tplc="10090019" w:tentative="1">
      <w:start w:val="1"/>
      <w:numFmt w:val="lowerLetter"/>
      <w:lvlText w:val="%5."/>
      <w:lvlJc w:val="left"/>
      <w:pPr>
        <w:ind w:left="4922" w:hanging="360"/>
      </w:pPr>
    </w:lvl>
    <w:lvl w:ilvl="5" w:tplc="1009001B" w:tentative="1">
      <w:start w:val="1"/>
      <w:numFmt w:val="lowerRoman"/>
      <w:lvlText w:val="%6."/>
      <w:lvlJc w:val="right"/>
      <w:pPr>
        <w:ind w:left="5642" w:hanging="180"/>
      </w:pPr>
    </w:lvl>
    <w:lvl w:ilvl="6" w:tplc="1009000F" w:tentative="1">
      <w:start w:val="1"/>
      <w:numFmt w:val="decimal"/>
      <w:lvlText w:val="%7."/>
      <w:lvlJc w:val="left"/>
      <w:pPr>
        <w:ind w:left="6362" w:hanging="360"/>
      </w:pPr>
    </w:lvl>
    <w:lvl w:ilvl="7" w:tplc="10090019" w:tentative="1">
      <w:start w:val="1"/>
      <w:numFmt w:val="lowerLetter"/>
      <w:lvlText w:val="%8."/>
      <w:lvlJc w:val="left"/>
      <w:pPr>
        <w:ind w:left="7082" w:hanging="360"/>
      </w:pPr>
    </w:lvl>
    <w:lvl w:ilvl="8" w:tplc="1009001B" w:tentative="1">
      <w:start w:val="1"/>
      <w:numFmt w:val="lowerRoman"/>
      <w:lvlText w:val="%9."/>
      <w:lvlJc w:val="right"/>
      <w:pPr>
        <w:ind w:left="7802" w:hanging="180"/>
      </w:pPr>
    </w:lvl>
  </w:abstractNum>
  <w:abstractNum w:abstractNumId="20" w15:restartNumberingAfterBreak="0">
    <w:nsid w:val="3BC00006"/>
    <w:multiLevelType w:val="hybridMultilevel"/>
    <w:tmpl w:val="300ED26A"/>
    <w:lvl w:ilvl="0" w:tplc="FFFFFFFF">
      <w:start w:val="1"/>
      <w:numFmt w:val="decimal"/>
      <w:lvlText w:val="[%1]"/>
      <w:lvlJc w:val="left"/>
      <w:pPr>
        <w:ind w:left="36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F729A8"/>
    <w:multiLevelType w:val="hybridMultilevel"/>
    <w:tmpl w:val="5D2604D8"/>
    <w:lvl w:ilvl="0" w:tplc="482AEA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F7249"/>
    <w:multiLevelType w:val="hybridMultilevel"/>
    <w:tmpl w:val="0BF88290"/>
    <w:lvl w:ilvl="0" w:tplc="DD6052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A51D8E"/>
    <w:multiLevelType w:val="multilevel"/>
    <w:tmpl w:val="EA76527E"/>
    <w:lvl w:ilvl="0">
      <w:start w:val="1"/>
      <w:numFmt w:val="decimal"/>
      <w:lvlText w:val="%1."/>
      <w:lvlJc w:val="left"/>
      <w:pPr>
        <w:ind w:left="585" w:hanging="585"/>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25" w15:restartNumberingAfterBreak="0">
    <w:nsid w:val="4F9C5E19"/>
    <w:multiLevelType w:val="hybridMultilevel"/>
    <w:tmpl w:val="3D101B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964CDE"/>
    <w:multiLevelType w:val="hybridMultilevel"/>
    <w:tmpl w:val="4E56A66A"/>
    <w:lvl w:ilvl="0" w:tplc="ECF2988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7883439"/>
    <w:multiLevelType w:val="hybridMultilevel"/>
    <w:tmpl w:val="CC927F22"/>
    <w:lvl w:ilvl="0" w:tplc="05B07D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79478C"/>
    <w:multiLevelType w:val="hybridMultilevel"/>
    <w:tmpl w:val="CC7ADD6C"/>
    <w:lvl w:ilvl="0" w:tplc="0E1CAA32">
      <w:start w:val="1"/>
      <w:numFmt w:val="decimal"/>
      <w:lvlText w:val="[%1]"/>
      <w:lvlJc w:val="left"/>
      <w:pPr>
        <w:ind w:left="360" w:hanging="360"/>
      </w:pPr>
      <w:rPr>
        <w:rFonts w:hint="default"/>
        <w:b w:val="0"/>
        <w:bCs w:val="0"/>
        <w:i w:val="0"/>
        <w:i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C75C83"/>
    <w:multiLevelType w:val="hybridMultilevel"/>
    <w:tmpl w:val="DA9C2032"/>
    <w:lvl w:ilvl="0" w:tplc="721CFC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EED6A38"/>
    <w:multiLevelType w:val="multilevel"/>
    <w:tmpl w:val="8E7003B2"/>
    <w:styleLink w:val="JudgmentParagraphs"/>
    <w:lvl w:ilvl="0">
      <w:start w:val="1"/>
      <w:numFmt w:val="decimal"/>
      <w:lvlText w:val="[%1]"/>
      <w:lvlJc w:val="left"/>
      <w:pPr>
        <w:ind w:left="0" w:firstLine="0"/>
      </w:pPr>
      <w:rPr>
        <w:rFonts w:ascii="Times New Roman" w:hAnsi="Times New Roman" w:hint="default"/>
        <w:sz w:val="28"/>
      </w:rPr>
    </w:lvl>
    <w:lvl w:ilvl="1">
      <w:start w:val="1"/>
      <w:numFmt w:val="none"/>
      <w:lvlText w:val="%2"/>
      <w:lvlJc w:val="left"/>
      <w:pPr>
        <w:ind w:left="720" w:hanging="72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6C7342F"/>
    <w:multiLevelType w:val="hybridMultilevel"/>
    <w:tmpl w:val="70061674"/>
    <w:lvl w:ilvl="0" w:tplc="9E56F8A4">
      <w:start w:val="1"/>
      <w:numFmt w:val="lowerRoman"/>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F45B64"/>
    <w:multiLevelType w:val="hybridMultilevel"/>
    <w:tmpl w:val="E746EF90"/>
    <w:lvl w:ilvl="0" w:tplc="FFFFFFFF">
      <w:start w:val="1"/>
      <w:numFmt w:val="decimal"/>
      <w:lvlText w:val="[%1]"/>
      <w:lvlJc w:val="left"/>
      <w:pPr>
        <w:ind w:left="36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CE55F4"/>
    <w:multiLevelType w:val="hybridMultilevel"/>
    <w:tmpl w:val="581EFECA"/>
    <w:lvl w:ilvl="0" w:tplc="286ACED2">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4343A3"/>
    <w:multiLevelType w:val="hybridMultilevel"/>
    <w:tmpl w:val="FF506A2E"/>
    <w:lvl w:ilvl="0" w:tplc="7AEA037C">
      <w:start w:val="1"/>
      <w:numFmt w:val="upp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5" w15:restartNumberingAfterBreak="0">
    <w:nsid w:val="6F183FC0"/>
    <w:multiLevelType w:val="hybridMultilevel"/>
    <w:tmpl w:val="C1AEE576"/>
    <w:lvl w:ilvl="0" w:tplc="82AA3D36">
      <w:start w:val="1"/>
      <w:numFmt w:val="lowerLetter"/>
      <w:lvlText w:val="%1)"/>
      <w:lvlJc w:val="left"/>
      <w:pPr>
        <w:ind w:left="2010" w:hanging="57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15:restartNumberingAfterBreak="0">
    <w:nsid w:val="70E01C38"/>
    <w:multiLevelType w:val="hybridMultilevel"/>
    <w:tmpl w:val="35DA35A0"/>
    <w:lvl w:ilvl="0" w:tplc="82AA3D36">
      <w:start w:val="1"/>
      <w:numFmt w:val="lowerLetter"/>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8" w15:restartNumberingAfterBreak="0">
    <w:nsid w:val="719359DF"/>
    <w:multiLevelType w:val="hybridMultilevel"/>
    <w:tmpl w:val="C77692D6"/>
    <w:lvl w:ilvl="0" w:tplc="410031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F03642"/>
    <w:multiLevelType w:val="hybridMultilevel"/>
    <w:tmpl w:val="855CAD64"/>
    <w:lvl w:ilvl="0" w:tplc="DD605242">
      <w:start w:val="1"/>
      <w:numFmt w:val="decimal"/>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0" w15:restartNumberingAfterBreak="0">
    <w:nsid w:val="799113FD"/>
    <w:multiLevelType w:val="hybridMultilevel"/>
    <w:tmpl w:val="B00AFD68"/>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9FB5D84"/>
    <w:multiLevelType w:val="hybridMultilevel"/>
    <w:tmpl w:val="D6A2BC16"/>
    <w:lvl w:ilvl="0" w:tplc="1E0C30C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7BF6670D"/>
    <w:multiLevelType w:val="hybridMultilevel"/>
    <w:tmpl w:val="DC60F9D6"/>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C7A1FF0"/>
    <w:multiLevelType w:val="hybridMultilevel"/>
    <w:tmpl w:val="62FA64B8"/>
    <w:lvl w:ilvl="0" w:tplc="E69E008C">
      <w:start w:val="1"/>
      <w:numFmt w:val="lowerLetter"/>
      <w:lvlText w:val="(%1)"/>
      <w:lvlJc w:val="left"/>
      <w:pPr>
        <w:ind w:left="1155" w:hanging="375"/>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44" w15:restartNumberingAfterBreak="0">
    <w:nsid w:val="7E5A262D"/>
    <w:multiLevelType w:val="hybridMultilevel"/>
    <w:tmpl w:val="5290C5B4"/>
    <w:lvl w:ilvl="0" w:tplc="E9446320">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5" w15:restartNumberingAfterBreak="0">
    <w:nsid w:val="7FBB057D"/>
    <w:multiLevelType w:val="hybridMultilevel"/>
    <w:tmpl w:val="47FACBB0"/>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9075311">
    <w:abstractNumId w:val="16"/>
  </w:num>
  <w:num w:numId="2" w16cid:durableId="2012634420">
    <w:abstractNumId w:val="22"/>
  </w:num>
  <w:num w:numId="3" w16cid:durableId="1449426833">
    <w:abstractNumId w:val="4"/>
  </w:num>
  <w:num w:numId="4" w16cid:durableId="1145704087">
    <w:abstractNumId w:val="0"/>
  </w:num>
  <w:num w:numId="5" w16cid:durableId="1797023968">
    <w:abstractNumId w:val="36"/>
  </w:num>
  <w:num w:numId="6" w16cid:durableId="865682270">
    <w:abstractNumId w:val="3"/>
  </w:num>
  <w:num w:numId="7" w16cid:durableId="1792475491">
    <w:abstractNumId w:val="30"/>
  </w:num>
  <w:num w:numId="8" w16cid:durableId="447241950">
    <w:abstractNumId w:val="17"/>
  </w:num>
  <w:num w:numId="9" w16cid:durableId="980768941">
    <w:abstractNumId w:val="2"/>
  </w:num>
  <w:num w:numId="10" w16cid:durableId="1259364083">
    <w:abstractNumId w:val="45"/>
  </w:num>
  <w:num w:numId="11" w16cid:durableId="1328745281">
    <w:abstractNumId w:val="28"/>
  </w:num>
  <w:num w:numId="12" w16cid:durableId="2133281268">
    <w:abstractNumId w:val="37"/>
  </w:num>
  <w:num w:numId="13" w16cid:durableId="1427309984">
    <w:abstractNumId w:val="27"/>
  </w:num>
  <w:num w:numId="14" w16cid:durableId="212035666">
    <w:abstractNumId w:val="6"/>
  </w:num>
  <w:num w:numId="15" w16cid:durableId="1737165572">
    <w:abstractNumId w:val="10"/>
  </w:num>
  <w:num w:numId="16" w16cid:durableId="976449472">
    <w:abstractNumId w:val="44"/>
  </w:num>
  <w:num w:numId="17" w16cid:durableId="1930429302">
    <w:abstractNumId w:val="14"/>
  </w:num>
  <w:num w:numId="18" w16cid:durableId="81952700">
    <w:abstractNumId w:val="7"/>
  </w:num>
  <w:num w:numId="19" w16cid:durableId="304699593">
    <w:abstractNumId w:val="34"/>
  </w:num>
  <w:num w:numId="20" w16cid:durableId="1387796487">
    <w:abstractNumId w:val="5"/>
  </w:num>
  <w:num w:numId="21" w16cid:durableId="2037005302">
    <w:abstractNumId w:val="33"/>
  </w:num>
  <w:num w:numId="22" w16cid:durableId="2125227621">
    <w:abstractNumId w:val="21"/>
  </w:num>
  <w:num w:numId="23" w16cid:durableId="207375983">
    <w:abstractNumId w:val="38"/>
  </w:num>
  <w:num w:numId="24" w16cid:durableId="1013728177">
    <w:abstractNumId w:val="9"/>
  </w:num>
  <w:num w:numId="25" w16cid:durableId="554584956">
    <w:abstractNumId w:val="1"/>
  </w:num>
  <w:num w:numId="26" w16cid:durableId="717897168">
    <w:abstractNumId w:val="35"/>
  </w:num>
  <w:num w:numId="27" w16cid:durableId="495146448">
    <w:abstractNumId w:val="41"/>
  </w:num>
  <w:num w:numId="28" w16cid:durableId="1269628987">
    <w:abstractNumId w:val="26"/>
  </w:num>
  <w:num w:numId="29" w16cid:durableId="348990236">
    <w:abstractNumId w:val="13"/>
  </w:num>
  <w:num w:numId="30" w16cid:durableId="223416567">
    <w:abstractNumId w:val="24"/>
  </w:num>
  <w:num w:numId="31" w16cid:durableId="267852643">
    <w:abstractNumId w:val="11"/>
  </w:num>
  <w:num w:numId="32" w16cid:durableId="1540820435">
    <w:abstractNumId w:val="8"/>
  </w:num>
  <w:num w:numId="33" w16cid:durableId="425927081">
    <w:abstractNumId w:val="43"/>
  </w:num>
  <w:num w:numId="34" w16cid:durableId="435373697">
    <w:abstractNumId w:val="18"/>
  </w:num>
  <w:num w:numId="35" w16cid:durableId="2075004141">
    <w:abstractNumId w:val="23"/>
  </w:num>
  <w:num w:numId="36" w16cid:durableId="85347827">
    <w:abstractNumId w:val="31"/>
  </w:num>
  <w:num w:numId="37" w16cid:durableId="741030475">
    <w:abstractNumId w:val="29"/>
  </w:num>
  <w:num w:numId="38" w16cid:durableId="327901843">
    <w:abstractNumId w:val="20"/>
  </w:num>
  <w:num w:numId="39" w16cid:durableId="1842506923">
    <w:abstractNumId w:val="42"/>
  </w:num>
  <w:num w:numId="40" w16cid:durableId="714086180">
    <w:abstractNumId w:val="19"/>
  </w:num>
  <w:num w:numId="41" w16cid:durableId="1669865205">
    <w:abstractNumId w:val="32"/>
  </w:num>
  <w:num w:numId="42" w16cid:durableId="601693328">
    <w:abstractNumId w:val="40"/>
  </w:num>
  <w:num w:numId="43" w16cid:durableId="472210877">
    <w:abstractNumId w:val="39"/>
  </w:num>
  <w:num w:numId="44" w16cid:durableId="90972429">
    <w:abstractNumId w:val="15"/>
  </w:num>
  <w:num w:numId="45" w16cid:durableId="317272655">
    <w:abstractNumId w:val="25"/>
  </w:num>
  <w:num w:numId="46" w16cid:durableId="8728389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5D"/>
    <w:rsid w:val="00013EA2"/>
    <w:rsid w:val="000161B2"/>
    <w:rsid w:val="0002545C"/>
    <w:rsid w:val="00027F70"/>
    <w:rsid w:val="00037A82"/>
    <w:rsid w:val="00047B9F"/>
    <w:rsid w:val="00050DEE"/>
    <w:rsid w:val="00052BF6"/>
    <w:rsid w:val="0005588D"/>
    <w:rsid w:val="000570FE"/>
    <w:rsid w:val="0007583D"/>
    <w:rsid w:val="00077230"/>
    <w:rsid w:val="000812FA"/>
    <w:rsid w:val="000867DC"/>
    <w:rsid w:val="00086E43"/>
    <w:rsid w:val="000A1A79"/>
    <w:rsid w:val="000A3258"/>
    <w:rsid w:val="000B1A06"/>
    <w:rsid w:val="000B5508"/>
    <w:rsid w:val="000C0025"/>
    <w:rsid w:val="000C1DFD"/>
    <w:rsid w:val="000C4202"/>
    <w:rsid w:val="000D10E3"/>
    <w:rsid w:val="000D2E65"/>
    <w:rsid w:val="000E3C7F"/>
    <w:rsid w:val="000E5221"/>
    <w:rsid w:val="000F53DB"/>
    <w:rsid w:val="000F6AF0"/>
    <w:rsid w:val="0010463D"/>
    <w:rsid w:val="00111809"/>
    <w:rsid w:val="001164E8"/>
    <w:rsid w:val="001173DA"/>
    <w:rsid w:val="0012435E"/>
    <w:rsid w:val="00127C5D"/>
    <w:rsid w:val="00140126"/>
    <w:rsid w:val="00144FD8"/>
    <w:rsid w:val="001531A7"/>
    <w:rsid w:val="00172DE4"/>
    <w:rsid w:val="00174553"/>
    <w:rsid w:val="001828F6"/>
    <w:rsid w:val="0018371A"/>
    <w:rsid w:val="0019022A"/>
    <w:rsid w:val="00190B32"/>
    <w:rsid w:val="001922F6"/>
    <w:rsid w:val="001A0788"/>
    <w:rsid w:val="001A6E7F"/>
    <w:rsid w:val="001B0C0B"/>
    <w:rsid w:val="001C1005"/>
    <w:rsid w:val="001C57DA"/>
    <w:rsid w:val="001D2160"/>
    <w:rsid w:val="001D2853"/>
    <w:rsid w:val="001D72DB"/>
    <w:rsid w:val="001E0F8F"/>
    <w:rsid w:val="001F08D1"/>
    <w:rsid w:val="001F5970"/>
    <w:rsid w:val="001F5E80"/>
    <w:rsid w:val="00200EB3"/>
    <w:rsid w:val="0020345B"/>
    <w:rsid w:val="00204686"/>
    <w:rsid w:val="00207714"/>
    <w:rsid w:val="00213F9F"/>
    <w:rsid w:val="00236A4A"/>
    <w:rsid w:val="00237998"/>
    <w:rsid w:val="00275CD2"/>
    <w:rsid w:val="00277F74"/>
    <w:rsid w:val="002817BE"/>
    <w:rsid w:val="00284D7E"/>
    <w:rsid w:val="00291B6A"/>
    <w:rsid w:val="00293A6A"/>
    <w:rsid w:val="002A26A9"/>
    <w:rsid w:val="002B0442"/>
    <w:rsid w:val="002C1453"/>
    <w:rsid w:val="002C3490"/>
    <w:rsid w:val="002C3D1A"/>
    <w:rsid w:val="002C6F6C"/>
    <w:rsid w:val="002C77DB"/>
    <w:rsid w:val="002D10D4"/>
    <w:rsid w:val="002E071B"/>
    <w:rsid w:val="002E1E26"/>
    <w:rsid w:val="002E601A"/>
    <w:rsid w:val="002F7863"/>
    <w:rsid w:val="00307735"/>
    <w:rsid w:val="003079CA"/>
    <w:rsid w:val="0031231A"/>
    <w:rsid w:val="00321645"/>
    <w:rsid w:val="00324D3C"/>
    <w:rsid w:val="00324F1E"/>
    <w:rsid w:val="00325FFB"/>
    <w:rsid w:val="003274B4"/>
    <w:rsid w:val="00332FED"/>
    <w:rsid w:val="00336D15"/>
    <w:rsid w:val="003461BD"/>
    <w:rsid w:val="003467E9"/>
    <w:rsid w:val="00352E8F"/>
    <w:rsid w:val="00352F71"/>
    <w:rsid w:val="00353CC8"/>
    <w:rsid w:val="003805E1"/>
    <w:rsid w:val="00382E88"/>
    <w:rsid w:val="0038348F"/>
    <w:rsid w:val="003926E0"/>
    <w:rsid w:val="003971BD"/>
    <w:rsid w:val="003A6EEA"/>
    <w:rsid w:val="003D3E8C"/>
    <w:rsid w:val="003E563D"/>
    <w:rsid w:val="003F1CE4"/>
    <w:rsid w:val="003F2B8B"/>
    <w:rsid w:val="003F54E4"/>
    <w:rsid w:val="003F614D"/>
    <w:rsid w:val="0040346C"/>
    <w:rsid w:val="00416748"/>
    <w:rsid w:val="00420719"/>
    <w:rsid w:val="00424B1C"/>
    <w:rsid w:val="00471053"/>
    <w:rsid w:val="00490F2C"/>
    <w:rsid w:val="004A01B1"/>
    <w:rsid w:val="004A4584"/>
    <w:rsid w:val="004B126D"/>
    <w:rsid w:val="004B2ADC"/>
    <w:rsid w:val="004B7643"/>
    <w:rsid w:val="004C75DC"/>
    <w:rsid w:val="004D0DA8"/>
    <w:rsid w:val="004D2EE6"/>
    <w:rsid w:val="004D3716"/>
    <w:rsid w:val="004D373E"/>
    <w:rsid w:val="004E39EF"/>
    <w:rsid w:val="004F2B21"/>
    <w:rsid w:val="00502C9F"/>
    <w:rsid w:val="00504F9E"/>
    <w:rsid w:val="00505206"/>
    <w:rsid w:val="00505AC8"/>
    <w:rsid w:val="005161F1"/>
    <w:rsid w:val="00521029"/>
    <w:rsid w:val="00527031"/>
    <w:rsid w:val="00530CEB"/>
    <w:rsid w:val="00533F06"/>
    <w:rsid w:val="0056385F"/>
    <w:rsid w:val="00572126"/>
    <w:rsid w:val="005872A7"/>
    <w:rsid w:val="00596D86"/>
    <w:rsid w:val="005A43C1"/>
    <w:rsid w:val="005A466D"/>
    <w:rsid w:val="005B5B19"/>
    <w:rsid w:val="005B6CAA"/>
    <w:rsid w:val="005B7D09"/>
    <w:rsid w:val="005C5E21"/>
    <w:rsid w:val="005E2AAB"/>
    <w:rsid w:val="005E31C3"/>
    <w:rsid w:val="005E6994"/>
    <w:rsid w:val="005F14FC"/>
    <w:rsid w:val="005F1D62"/>
    <w:rsid w:val="0060518E"/>
    <w:rsid w:val="00606375"/>
    <w:rsid w:val="006129D7"/>
    <w:rsid w:val="006153E5"/>
    <w:rsid w:val="006172D3"/>
    <w:rsid w:val="00617978"/>
    <w:rsid w:val="00621FE6"/>
    <w:rsid w:val="00630EC6"/>
    <w:rsid w:val="00632B9E"/>
    <w:rsid w:val="00641E27"/>
    <w:rsid w:val="006471B2"/>
    <w:rsid w:val="0065090F"/>
    <w:rsid w:val="006637B1"/>
    <w:rsid w:val="00687A5E"/>
    <w:rsid w:val="00691978"/>
    <w:rsid w:val="00692BCB"/>
    <w:rsid w:val="0069475D"/>
    <w:rsid w:val="006B2A75"/>
    <w:rsid w:val="006B6F91"/>
    <w:rsid w:val="006D3C0F"/>
    <w:rsid w:val="006E3720"/>
    <w:rsid w:val="006E4675"/>
    <w:rsid w:val="006F6480"/>
    <w:rsid w:val="00705473"/>
    <w:rsid w:val="00722221"/>
    <w:rsid w:val="00722C75"/>
    <w:rsid w:val="007309B6"/>
    <w:rsid w:val="00730FC7"/>
    <w:rsid w:val="007349F7"/>
    <w:rsid w:val="00735C1E"/>
    <w:rsid w:val="007404D1"/>
    <w:rsid w:val="00740CB9"/>
    <w:rsid w:val="007547E4"/>
    <w:rsid w:val="007574B1"/>
    <w:rsid w:val="00765753"/>
    <w:rsid w:val="00777B6B"/>
    <w:rsid w:val="00784254"/>
    <w:rsid w:val="0079099F"/>
    <w:rsid w:val="00790CE3"/>
    <w:rsid w:val="00795911"/>
    <w:rsid w:val="007B3046"/>
    <w:rsid w:val="007D3FC9"/>
    <w:rsid w:val="007E047D"/>
    <w:rsid w:val="007E4421"/>
    <w:rsid w:val="007E51DD"/>
    <w:rsid w:val="007F1453"/>
    <w:rsid w:val="007F6649"/>
    <w:rsid w:val="007F6A50"/>
    <w:rsid w:val="008123F0"/>
    <w:rsid w:val="00812A16"/>
    <w:rsid w:val="00816089"/>
    <w:rsid w:val="00816620"/>
    <w:rsid w:val="00820028"/>
    <w:rsid w:val="008212D8"/>
    <w:rsid w:val="00822664"/>
    <w:rsid w:val="00825723"/>
    <w:rsid w:val="00827700"/>
    <w:rsid w:val="008363F9"/>
    <w:rsid w:val="00840027"/>
    <w:rsid w:val="00852397"/>
    <w:rsid w:val="00856056"/>
    <w:rsid w:val="00865005"/>
    <w:rsid w:val="00866B24"/>
    <w:rsid w:val="008671B4"/>
    <w:rsid w:val="00872248"/>
    <w:rsid w:val="00892400"/>
    <w:rsid w:val="0089248E"/>
    <w:rsid w:val="00893B95"/>
    <w:rsid w:val="008A06E3"/>
    <w:rsid w:val="008A61F7"/>
    <w:rsid w:val="008A7AE6"/>
    <w:rsid w:val="008B1C4A"/>
    <w:rsid w:val="008B3A76"/>
    <w:rsid w:val="008C09DB"/>
    <w:rsid w:val="008C2056"/>
    <w:rsid w:val="008E0430"/>
    <w:rsid w:val="008E7D32"/>
    <w:rsid w:val="008F0685"/>
    <w:rsid w:val="00901A12"/>
    <w:rsid w:val="00911161"/>
    <w:rsid w:val="009168E3"/>
    <w:rsid w:val="00925725"/>
    <w:rsid w:val="00943943"/>
    <w:rsid w:val="00944891"/>
    <w:rsid w:val="00955D9C"/>
    <w:rsid w:val="00967D4E"/>
    <w:rsid w:val="00974606"/>
    <w:rsid w:val="00976A6B"/>
    <w:rsid w:val="009A0374"/>
    <w:rsid w:val="009B2FF1"/>
    <w:rsid w:val="009B63AD"/>
    <w:rsid w:val="009C2CC4"/>
    <w:rsid w:val="009C474B"/>
    <w:rsid w:val="009C7410"/>
    <w:rsid w:val="009D5282"/>
    <w:rsid w:val="009E06F5"/>
    <w:rsid w:val="009E1FFC"/>
    <w:rsid w:val="009E21CF"/>
    <w:rsid w:val="009E3749"/>
    <w:rsid w:val="009E62AA"/>
    <w:rsid w:val="009E6A66"/>
    <w:rsid w:val="00A06F57"/>
    <w:rsid w:val="00A20B24"/>
    <w:rsid w:val="00A4448C"/>
    <w:rsid w:val="00A46DED"/>
    <w:rsid w:val="00A57615"/>
    <w:rsid w:val="00A649A1"/>
    <w:rsid w:val="00A673CB"/>
    <w:rsid w:val="00A74A95"/>
    <w:rsid w:val="00A74E13"/>
    <w:rsid w:val="00A77448"/>
    <w:rsid w:val="00A87C2E"/>
    <w:rsid w:val="00A903F1"/>
    <w:rsid w:val="00AA3FE0"/>
    <w:rsid w:val="00AA48C8"/>
    <w:rsid w:val="00AA4D1C"/>
    <w:rsid w:val="00AB0716"/>
    <w:rsid w:val="00AB40E0"/>
    <w:rsid w:val="00AC1E9B"/>
    <w:rsid w:val="00AD30A8"/>
    <w:rsid w:val="00AE49EB"/>
    <w:rsid w:val="00AE542E"/>
    <w:rsid w:val="00AF15D9"/>
    <w:rsid w:val="00B11A8F"/>
    <w:rsid w:val="00B22232"/>
    <w:rsid w:val="00B2599C"/>
    <w:rsid w:val="00B27D1C"/>
    <w:rsid w:val="00B512D6"/>
    <w:rsid w:val="00B53E6B"/>
    <w:rsid w:val="00B54298"/>
    <w:rsid w:val="00B56F23"/>
    <w:rsid w:val="00B6095E"/>
    <w:rsid w:val="00B65469"/>
    <w:rsid w:val="00B73981"/>
    <w:rsid w:val="00B77A8B"/>
    <w:rsid w:val="00B93D1E"/>
    <w:rsid w:val="00B94F8E"/>
    <w:rsid w:val="00BA1E52"/>
    <w:rsid w:val="00BB0BD0"/>
    <w:rsid w:val="00BB193F"/>
    <w:rsid w:val="00BB251B"/>
    <w:rsid w:val="00BB324C"/>
    <w:rsid w:val="00BB604B"/>
    <w:rsid w:val="00BB6B8E"/>
    <w:rsid w:val="00BB78FA"/>
    <w:rsid w:val="00BC4E78"/>
    <w:rsid w:val="00BC75B9"/>
    <w:rsid w:val="00BF3211"/>
    <w:rsid w:val="00BF337D"/>
    <w:rsid w:val="00BF3687"/>
    <w:rsid w:val="00BF5CC1"/>
    <w:rsid w:val="00C00A27"/>
    <w:rsid w:val="00C07F25"/>
    <w:rsid w:val="00C15DA6"/>
    <w:rsid w:val="00C2085D"/>
    <w:rsid w:val="00C22334"/>
    <w:rsid w:val="00C34722"/>
    <w:rsid w:val="00C35F4C"/>
    <w:rsid w:val="00C41585"/>
    <w:rsid w:val="00C41ECA"/>
    <w:rsid w:val="00C50A76"/>
    <w:rsid w:val="00C64001"/>
    <w:rsid w:val="00C644AA"/>
    <w:rsid w:val="00C6457B"/>
    <w:rsid w:val="00C64B65"/>
    <w:rsid w:val="00C67AA9"/>
    <w:rsid w:val="00C7323B"/>
    <w:rsid w:val="00C74568"/>
    <w:rsid w:val="00C772C9"/>
    <w:rsid w:val="00C91A33"/>
    <w:rsid w:val="00CA1299"/>
    <w:rsid w:val="00CA135F"/>
    <w:rsid w:val="00CA714B"/>
    <w:rsid w:val="00CB5AC5"/>
    <w:rsid w:val="00CC42E5"/>
    <w:rsid w:val="00CC5305"/>
    <w:rsid w:val="00CC6EA2"/>
    <w:rsid w:val="00CD40A7"/>
    <w:rsid w:val="00CE5A20"/>
    <w:rsid w:val="00CF19F2"/>
    <w:rsid w:val="00D0182F"/>
    <w:rsid w:val="00D10C94"/>
    <w:rsid w:val="00D16872"/>
    <w:rsid w:val="00D3352B"/>
    <w:rsid w:val="00D37E56"/>
    <w:rsid w:val="00D40EBC"/>
    <w:rsid w:val="00D50DBA"/>
    <w:rsid w:val="00D57A5B"/>
    <w:rsid w:val="00D61F71"/>
    <w:rsid w:val="00D65B3A"/>
    <w:rsid w:val="00D66A1A"/>
    <w:rsid w:val="00D82549"/>
    <w:rsid w:val="00D850A9"/>
    <w:rsid w:val="00D91EB5"/>
    <w:rsid w:val="00DA0542"/>
    <w:rsid w:val="00DA3DB4"/>
    <w:rsid w:val="00DA5DD6"/>
    <w:rsid w:val="00DB2506"/>
    <w:rsid w:val="00DC5230"/>
    <w:rsid w:val="00DF2C2C"/>
    <w:rsid w:val="00DF55F4"/>
    <w:rsid w:val="00DF69A6"/>
    <w:rsid w:val="00DF6E46"/>
    <w:rsid w:val="00DF6E60"/>
    <w:rsid w:val="00E06499"/>
    <w:rsid w:val="00E074CE"/>
    <w:rsid w:val="00E124DA"/>
    <w:rsid w:val="00E16C9E"/>
    <w:rsid w:val="00E178F2"/>
    <w:rsid w:val="00E41396"/>
    <w:rsid w:val="00E46658"/>
    <w:rsid w:val="00E528A5"/>
    <w:rsid w:val="00E5680C"/>
    <w:rsid w:val="00E631AC"/>
    <w:rsid w:val="00E70AA5"/>
    <w:rsid w:val="00E7213F"/>
    <w:rsid w:val="00E723B0"/>
    <w:rsid w:val="00E811F8"/>
    <w:rsid w:val="00E81A20"/>
    <w:rsid w:val="00E82245"/>
    <w:rsid w:val="00E949AD"/>
    <w:rsid w:val="00EA15D9"/>
    <w:rsid w:val="00EB077A"/>
    <w:rsid w:val="00EB3792"/>
    <w:rsid w:val="00ED5973"/>
    <w:rsid w:val="00ED6BFF"/>
    <w:rsid w:val="00ED780F"/>
    <w:rsid w:val="00EF67D6"/>
    <w:rsid w:val="00F069DC"/>
    <w:rsid w:val="00F109E4"/>
    <w:rsid w:val="00F13E6E"/>
    <w:rsid w:val="00F3475C"/>
    <w:rsid w:val="00F410A3"/>
    <w:rsid w:val="00F41535"/>
    <w:rsid w:val="00F416B1"/>
    <w:rsid w:val="00F72CC2"/>
    <w:rsid w:val="00F74451"/>
    <w:rsid w:val="00F77CF0"/>
    <w:rsid w:val="00F85F57"/>
    <w:rsid w:val="00F9280F"/>
    <w:rsid w:val="00FA1D7A"/>
    <w:rsid w:val="00FA4C6F"/>
    <w:rsid w:val="00FB3E8F"/>
    <w:rsid w:val="00FC2A25"/>
    <w:rsid w:val="00FD3589"/>
    <w:rsid w:val="00FF0CB9"/>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E32E9"/>
  <w15:docId w15:val="{4652E4CB-0D72-4C01-B0B3-F61913D3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7D"/>
    <w:rPr>
      <w:lang w:val="en-CA"/>
    </w:rPr>
  </w:style>
  <w:style w:type="paragraph" w:styleId="Heading1">
    <w:name w:val="heading 1"/>
    <w:basedOn w:val="Normal"/>
    <w:next w:val="Normal"/>
    <w:link w:val="Heading1Char"/>
    <w:uiPriority w:val="9"/>
    <w:qFormat/>
    <w:rsid w:val="00D10C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9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8123F0"/>
    <w:pPr>
      <w:spacing w:after="0" w:line="240" w:lineRule="auto"/>
      <w:jc w:val="both"/>
    </w:pPr>
    <w:rPr>
      <w:rFonts w:ascii="Arial" w:hAnsi="Arial"/>
    </w:rPr>
  </w:style>
  <w:style w:type="table" w:styleId="TableGrid">
    <w:name w:val="Table Grid"/>
    <w:basedOn w:val="TableNormal"/>
    <w:uiPriority w:val="59"/>
    <w:rsid w:val="00812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JudgmentParagraphs">
    <w:name w:val="Judgment Paragraphs"/>
    <w:uiPriority w:val="99"/>
    <w:rsid w:val="00E16C9E"/>
    <w:pPr>
      <w:numPr>
        <w:numId w:val="7"/>
      </w:numPr>
    </w:pPr>
  </w:style>
  <w:style w:type="character" w:customStyle="1" w:styleId="term01">
    <w:name w:val="term01"/>
    <w:basedOn w:val="DefaultParagraphFont"/>
    <w:rsid w:val="00B22232"/>
    <w:rPr>
      <w:shd w:val="clear" w:color="auto" w:fill="FFB4B4"/>
    </w:rPr>
  </w:style>
  <w:style w:type="character" w:customStyle="1" w:styleId="Heading1Char">
    <w:name w:val="Heading 1 Char"/>
    <w:basedOn w:val="DefaultParagraphFont"/>
    <w:link w:val="Heading1"/>
    <w:uiPriority w:val="9"/>
    <w:rsid w:val="00D10C94"/>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D10C94"/>
    <w:rPr>
      <w:rFonts w:asciiTheme="majorHAnsi" w:eastAsiaTheme="majorEastAsia" w:hAnsiTheme="majorHAnsi" w:cstheme="majorBidi"/>
      <w:color w:val="365F91" w:themeColor="accent1" w:themeShade="BF"/>
      <w:sz w:val="26"/>
      <w:szCs w:val="26"/>
      <w:lang w:val="en-CA"/>
    </w:rPr>
  </w:style>
  <w:style w:type="paragraph" w:styleId="FootnoteText">
    <w:name w:val="footnote text"/>
    <w:basedOn w:val="Normal"/>
    <w:link w:val="FootnoteTextChar"/>
    <w:uiPriority w:val="99"/>
    <w:semiHidden/>
    <w:unhideWhenUsed/>
    <w:rsid w:val="00D10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C94"/>
    <w:rPr>
      <w:sz w:val="20"/>
      <w:szCs w:val="20"/>
      <w:lang w:val="en-CA"/>
    </w:rPr>
  </w:style>
  <w:style w:type="character" w:styleId="FootnoteReference">
    <w:name w:val="footnote reference"/>
    <w:basedOn w:val="DefaultParagraphFont"/>
    <w:uiPriority w:val="99"/>
    <w:semiHidden/>
    <w:unhideWhenUsed/>
    <w:rsid w:val="00D10C94"/>
    <w:rPr>
      <w:vertAlign w:val="superscript"/>
    </w:rPr>
  </w:style>
  <w:style w:type="character" w:styleId="Hyperlink">
    <w:name w:val="Hyperlink"/>
    <w:basedOn w:val="DefaultParagraphFont"/>
    <w:uiPriority w:val="99"/>
    <w:unhideWhenUsed/>
    <w:rsid w:val="00D10C94"/>
    <w:rPr>
      <w:color w:val="0000FF"/>
      <w:u w:val="single"/>
    </w:rPr>
  </w:style>
  <w:style w:type="character" w:styleId="CommentReference">
    <w:name w:val="annotation reference"/>
    <w:basedOn w:val="DefaultParagraphFont"/>
    <w:uiPriority w:val="99"/>
    <w:semiHidden/>
    <w:unhideWhenUsed/>
    <w:rsid w:val="00D10C94"/>
    <w:rPr>
      <w:sz w:val="16"/>
      <w:szCs w:val="16"/>
    </w:rPr>
  </w:style>
  <w:style w:type="paragraph" w:styleId="CommentText">
    <w:name w:val="annotation text"/>
    <w:basedOn w:val="Normal"/>
    <w:link w:val="CommentTextChar"/>
    <w:uiPriority w:val="99"/>
    <w:semiHidden/>
    <w:unhideWhenUsed/>
    <w:rsid w:val="00D10C9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10C94"/>
    <w:rPr>
      <w:sz w:val="20"/>
      <w:szCs w:val="20"/>
      <w:lang w:val="en-CA"/>
    </w:rPr>
  </w:style>
  <w:style w:type="paragraph" w:styleId="CommentSubject">
    <w:name w:val="annotation subject"/>
    <w:basedOn w:val="CommentText"/>
    <w:next w:val="CommentText"/>
    <w:link w:val="CommentSubjectChar"/>
    <w:uiPriority w:val="99"/>
    <w:semiHidden/>
    <w:unhideWhenUsed/>
    <w:rsid w:val="00D10C94"/>
    <w:rPr>
      <w:b/>
      <w:bCs/>
    </w:rPr>
  </w:style>
  <w:style w:type="character" w:customStyle="1" w:styleId="CommentSubjectChar">
    <w:name w:val="Comment Subject Char"/>
    <w:basedOn w:val="CommentTextChar"/>
    <w:link w:val="CommentSubject"/>
    <w:uiPriority w:val="99"/>
    <w:semiHidden/>
    <w:rsid w:val="00D10C94"/>
    <w:rPr>
      <w:b/>
      <w:bCs/>
      <w:sz w:val="20"/>
      <w:szCs w:val="20"/>
      <w:lang w:val="en-CA"/>
    </w:rPr>
  </w:style>
  <w:style w:type="character" w:styleId="UnresolvedMention">
    <w:name w:val="Unresolved Mention"/>
    <w:basedOn w:val="DefaultParagraphFont"/>
    <w:uiPriority w:val="99"/>
    <w:semiHidden/>
    <w:unhideWhenUsed/>
    <w:rsid w:val="00D10C94"/>
    <w:rPr>
      <w:color w:val="605E5C"/>
      <w:shd w:val="clear" w:color="auto" w:fill="E1DFDD"/>
    </w:rPr>
  </w:style>
  <w:style w:type="paragraph" w:styleId="NormalWeb">
    <w:name w:val="Normal (Web)"/>
    <w:basedOn w:val="Normal"/>
    <w:uiPriority w:val="99"/>
    <w:semiHidden/>
    <w:unhideWhenUsed/>
    <w:rsid w:val="00D10C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df-viewer-line">
    <w:name w:val="pdf-viewer-line"/>
    <w:basedOn w:val="DefaultParagraphFont"/>
    <w:rsid w:val="00D10C94"/>
  </w:style>
  <w:style w:type="character" w:customStyle="1" w:styleId="solexhl">
    <w:name w:val="solexhl"/>
    <w:basedOn w:val="DefaultParagraphFont"/>
    <w:rsid w:val="00D10C94"/>
  </w:style>
  <w:style w:type="character" w:styleId="FollowedHyperlink">
    <w:name w:val="FollowedHyperlink"/>
    <w:basedOn w:val="DefaultParagraphFont"/>
    <w:uiPriority w:val="99"/>
    <w:semiHidden/>
    <w:unhideWhenUsed/>
    <w:rsid w:val="00D10C94"/>
    <w:rPr>
      <w:color w:val="800080" w:themeColor="followedHyperlink"/>
      <w:u w:val="single"/>
    </w:rPr>
  </w:style>
  <w:style w:type="character" w:styleId="Emphasis">
    <w:name w:val="Emphasis"/>
    <w:basedOn w:val="DefaultParagraphFont"/>
    <w:uiPriority w:val="20"/>
    <w:qFormat/>
    <w:rsid w:val="00D10C94"/>
    <w:rPr>
      <w:i/>
      <w:iCs/>
    </w:rPr>
  </w:style>
  <w:style w:type="character" w:customStyle="1" w:styleId="reflex">
    <w:name w:val="reflex"/>
    <w:basedOn w:val="DefaultParagraphFont"/>
    <w:rsid w:val="00D10C94"/>
  </w:style>
  <w:style w:type="paragraph" w:styleId="Revision">
    <w:name w:val="Revision"/>
    <w:hidden/>
    <w:uiPriority w:val="99"/>
    <w:semiHidden/>
    <w:rsid w:val="00D10C94"/>
    <w:pPr>
      <w:spacing w:after="0" w:line="240" w:lineRule="auto"/>
    </w:pPr>
    <w:rPr>
      <w:lang w:val="en-CA"/>
    </w:rPr>
  </w:style>
  <w:style w:type="character" w:customStyle="1" w:styleId="A6">
    <w:name w:val="A6"/>
    <w:uiPriority w:val="99"/>
    <w:rsid w:val="00D10C94"/>
    <w:rPr>
      <w:rFonts w:cs="Sabon LT Std"/>
      <w:color w:val="000000"/>
      <w:sz w:val="12"/>
      <w:szCs w:val="12"/>
    </w:rPr>
  </w:style>
  <w:style w:type="paragraph" w:customStyle="1" w:styleId="Pa12">
    <w:name w:val="Pa12"/>
    <w:basedOn w:val="Normal"/>
    <w:next w:val="Normal"/>
    <w:uiPriority w:val="99"/>
    <w:rsid w:val="00D10C94"/>
    <w:pPr>
      <w:autoSpaceDE w:val="0"/>
      <w:autoSpaceDN w:val="0"/>
      <w:adjustRightInd w:val="0"/>
      <w:spacing w:after="0" w:line="211" w:lineRule="atLeast"/>
    </w:pPr>
    <w:rPr>
      <w:rFonts w:ascii="Sabon LT Std" w:hAnsi="Sabon LT Std"/>
      <w:sz w:val="24"/>
      <w:szCs w:val="24"/>
    </w:rPr>
  </w:style>
  <w:style w:type="table" w:customStyle="1" w:styleId="TableGrid1">
    <w:name w:val="Table Grid1"/>
    <w:basedOn w:val="TableNormal"/>
    <w:next w:val="TableGrid"/>
    <w:uiPriority w:val="39"/>
    <w:rsid w:val="00D10C9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scc/doc/2017/2017scc58/2017scc58.html" TargetMode="External"/><Relationship Id="rId21" Type="http://schemas.openxmlformats.org/officeDocument/2006/relationships/hyperlink" Target="https://www.canlii.org/en/ca/scc/doc/1999/1999canlii665/1999canlii665.html" TargetMode="External"/><Relationship Id="rId42" Type="http://schemas.openxmlformats.org/officeDocument/2006/relationships/hyperlink" Target="https://www.canlii.org/en/ca/scc/doc/2013/2013scc14/2013scc14.html" TargetMode="External"/><Relationship Id="rId47" Type="http://schemas.openxmlformats.org/officeDocument/2006/relationships/hyperlink" Target="https://www.canlii.org/en/ca/scc/doc/2020/2020scc32/2020scc32.html" TargetMode="External"/><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nlii.org/en/bc/bcca/doc/2011/2011bcca122/2011bcca122.html" TargetMode="External"/><Relationship Id="rId29" Type="http://schemas.openxmlformats.org/officeDocument/2006/relationships/hyperlink" Target="https://www.canlii.org/en/ca/scc/doc/2017/2017scc58/2017scc58.html" TargetMode="External"/><Relationship Id="rId11" Type="http://schemas.openxmlformats.org/officeDocument/2006/relationships/hyperlink" Target="https://www.canlii.org/en/nt/laws/stat/snwt-2013-c-30/161767/snwt-2013-c-30.html" TargetMode="External"/><Relationship Id="rId24" Type="http://schemas.openxmlformats.org/officeDocument/2006/relationships/hyperlink" Target="https://www.canlii.org/en/ca/scc/doc/2017/2017scc58/2017scc58.html" TargetMode="External"/><Relationship Id="rId32" Type="http://schemas.openxmlformats.org/officeDocument/2006/relationships/hyperlink" Target="https://www.canlii.org/en/ca/scc/doc/2021/2021scc17/2021scc17.html" TargetMode="External"/><Relationship Id="rId37" Type="http://schemas.openxmlformats.org/officeDocument/2006/relationships/hyperlink" Target="https://www.canlii.org/en/ca/scc/doc/2021/2021scc28/2021scc28.html" TargetMode="External"/><Relationship Id="rId40" Type="http://schemas.openxmlformats.org/officeDocument/2006/relationships/hyperlink" Target="https://www.canlii.org/en/ca/scc/doc/2010/2010scc53/2010scc53.html" TargetMode="External"/><Relationship Id="rId45" Type="http://schemas.openxmlformats.org/officeDocument/2006/relationships/hyperlink" Target="https://www.canlii.org/en/ca/scc/doc/2013/2013scc14/2013scc14.html" TargetMode="External"/><Relationship Id="rId53" Type="http://schemas.openxmlformats.org/officeDocument/2006/relationships/hyperlink" Target="https://www.canlii.org/en/ca/scc/doc/2017/2017scc58/2017scc58.html" TargetMode="External"/><Relationship Id="rId58" Type="http://schemas.openxmlformats.org/officeDocument/2006/relationships/header" Target="header1.xml"/><Relationship Id="rId66"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canlii.org/en/ca/scc/doc/1996/1996canlii236/1996canlii236.html" TargetMode="External"/><Relationship Id="rId14" Type="http://schemas.openxmlformats.org/officeDocument/2006/relationships/hyperlink" Target="https://www.canlii.org/en/ca/scc/doc/2019/2019scc65/2019scc65.html" TargetMode="External"/><Relationship Id="rId22" Type="http://schemas.openxmlformats.org/officeDocument/2006/relationships/hyperlink" Target="https://www.canlii.org/en/ca/scc/doc/1999/1999canlii665/1999canlii665.html" TargetMode="External"/><Relationship Id="rId27" Type="http://schemas.openxmlformats.org/officeDocument/2006/relationships/hyperlink" Target="https://www.canlii.org/en/ca/scc/doc/2017/2017scc58/2017scc58.html" TargetMode="External"/><Relationship Id="rId30" Type="http://schemas.openxmlformats.org/officeDocument/2006/relationships/hyperlink" Target="https://www.canlii.org/en/ca/scc/doc/2005/2005scc69/2005scc69.html" TargetMode="External"/><Relationship Id="rId35" Type="http://schemas.openxmlformats.org/officeDocument/2006/relationships/hyperlink" Target="https://www.canlii.org/en/ca/scc/doc/2013/2013scc14/2013scc14.html" TargetMode="External"/><Relationship Id="rId43" Type="http://schemas.openxmlformats.org/officeDocument/2006/relationships/hyperlink" Target="https://www.canlii.org/en/ca/scc/doc/2004/2004scc73/2004scc73.html" TargetMode="External"/><Relationship Id="rId48" Type="http://schemas.openxmlformats.org/officeDocument/2006/relationships/hyperlink" Target="https://www.canlii.org/en/ca/scc/doc/2020/2020scc32/2020scc32.html" TargetMode="External"/><Relationship Id="rId56" Type="http://schemas.openxmlformats.org/officeDocument/2006/relationships/hyperlink" Target="https://www.canlii.org/en/ca/scc/doc/2018/2018scc30/2018scc30.html"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anlii.org/en/ca/scc/doc/2010/2010scc53/2010scc53.html" TargetMode="External"/><Relationship Id="rId3" Type="http://schemas.openxmlformats.org/officeDocument/2006/relationships/customXml" Target="../customXml/item3.xml"/><Relationship Id="rId12" Type="http://schemas.openxmlformats.org/officeDocument/2006/relationships/hyperlink" Target="https://www.canlii.org/en/ca/fca/doc/2021/2021fca184/2021fca184.html" TargetMode="External"/><Relationship Id="rId17" Type="http://schemas.openxmlformats.org/officeDocument/2006/relationships/hyperlink" Target="https://www.canlii.org/en/ca/fca/doc/2021/2021fca184/2021fca184.html" TargetMode="External"/><Relationship Id="rId25" Type="http://schemas.openxmlformats.org/officeDocument/2006/relationships/hyperlink" Target="https://www.canlii.org/en/ca/scc/doc/2017/2017scc58/2017scc58.html" TargetMode="External"/><Relationship Id="rId33" Type="http://schemas.openxmlformats.org/officeDocument/2006/relationships/hyperlink" Target="https://www.canlii.org/en/ca/scc/doc/2021/2021scc17/2021scc17.html" TargetMode="External"/><Relationship Id="rId38" Type="http://schemas.openxmlformats.org/officeDocument/2006/relationships/hyperlink" Target="https://www.canlii.org/en/ca/scc/doc/2021/2021scc28/2021scc28.html" TargetMode="External"/><Relationship Id="rId46" Type="http://schemas.openxmlformats.org/officeDocument/2006/relationships/hyperlink" Target="https://www.canlii.org/en/ca/scc/doc/2013/2013scc14/2013scc14.html" TargetMode="External"/><Relationship Id="rId59" Type="http://schemas.openxmlformats.org/officeDocument/2006/relationships/header" Target="header2.xml"/><Relationship Id="rId67" Type="http://schemas.openxmlformats.org/officeDocument/2006/relationships/header" Target="header7.xml"/><Relationship Id="rId20" Type="http://schemas.openxmlformats.org/officeDocument/2006/relationships/hyperlink" Target="https://www.canlii.org/en/ca/scc/doc/1996/1996canlii236/1996canlii236.html" TargetMode="External"/><Relationship Id="rId41" Type="http://schemas.openxmlformats.org/officeDocument/2006/relationships/hyperlink" Target="https://www.canlii.org/en/ca/scc/doc/1990/1990canlii104/1990canlii104.html" TargetMode="External"/><Relationship Id="rId54" Type="http://schemas.openxmlformats.org/officeDocument/2006/relationships/hyperlink" Target="https://www.canlii.org/en/ca/scc/doc/2001/2001scc40/2001scc40.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nlii.org/en/bc/bcca/doc/2011/2011bcca122/2011bcca122.html" TargetMode="External"/><Relationship Id="rId23" Type="http://schemas.openxmlformats.org/officeDocument/2006/relationships/hyperlink" Target="https://www.canlii.org/en/ca/scc/doc/2017/2017scc58/2017scc58.html" TargetMode="External"/><Relationship Id="rId28" Type="http://schemas.openxmlformats.org/officeDocument/2006/relationships/hyperlink" Target="https://www.canlii.org/en/ca/scc/doc/2017/2017scc58/2017scc58.html" TargetMode="External"/><Relationship Id="rId36" Type="http://schemas.openxmlformats.org/officeDocument/2006/relationships/hyperlink" Target="https://www.canlii.org/en/ca/scc/doc/2017/2017scc58/2017scc58.html" TargetMode="External"/><Relationship Id="rId49" Type="http://schemas.openxmlformats.org/officeDocument/2006/relationships/hyperlink" Target="https://www.canlii.org/en/ca/scc/doc/2017/2017scc58/2017scc58.html" TargetMode="External"/><Relationship Id="rId57" Type="http://schemas.openxmlformats.org/officeDocument/2006/relationships/hyperlink" Target="https://www.canlii.org/en/ca/scc/doc/2018/2018scc30/2018scc30.html" TargetMode="External"/><Relationship Id="rId10" Type="http://schemas.openxmlformats.org/officeDocument/2006/relationships/endnotes" Target="endnotes.xml"/><Relationship Id="rId31" Type="http://schemas.openxmlformats.org/officeDocument/2006/relationships/hyperlink" Target="https://www.canlii.org/en/ca/scc/doc/2005/2005scc69/2005scc69.html" TargetMode="External"/><Relationship Id="rId44" Type="http://schemas.openxmlformats.org/officeDocument/2006/relationships/hyperlink" Target="https://www.canlii.org/en/ca/scc/doc/2004/2004scc73/2004scc73.html" TargetMode="External"/><Relationship Id="rId52" Type="http://schemas.openxmlformats.org/officeDocument/2006/relationships/hyperlink" Target="https://www.canlii.org/en/yk/yksc/doc/2023/2023yksc5/2023yksc5.html" TargetMode="External"/><Relationship Id="rId60" Type="http://schemas.openxmlformats.org/officeDocument/2006/relationships/header" Target="header3.xml"/><Relationship Id="rId6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anlii.org/en/ca/fca/doc/2021/2021fca184/2021fca184.html" TargetMode="External"/><Relationship Id="rId18" Type="http://schemas.openxmlformats.org/officeDocument/2006/relationships/hyperlink" Target="https://www.canlii.org/en/ca/fca/doc/2021/2021fca184/2021fca184.html" TargetMode="External"/><Relationship Id="rId39" Type="http://schemas.openxmlformats.org/officeDocument/2006/relationships/hyperlink" Target="https://www.canlii.org/en/ca/scc/doc/2010/2010scc53/2010scc53.html" TargetMode="External"/><Relationship Id="rId34" Type="http://schemas.openxmlformats.org/officeDocument/2006/relationships/hyperlink" Target="https://www.canlii.org/en/ca/scc/doc/2013/2013scc14/2013scc14.html" TargetMode="External"/><Relationship Id="rId50" Type="http://schemas.openxmlformats.org/officeDocument/2006/relationships/hyperlink" Target="https://www.canlii.org/en/ca/scc/doc/2010/2010scc53/2010scc53.html" TargetMode="External"/><Relationship Id="rId55" Type="http://schemas.openxmlformats.org/officeDocument/2006/relationships/hyperlink" Target="https://www.canlii.org/en/ca/scc/doc/2001/2001scc40/2001scc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20GOOD\JUDGMENT\A%20Template%20-%20Word\Memorandum%20of%20Judgmen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2" ma:contentTypeDescription="Create a new document." ma:contentTypeScope="" ma:versionID="c06500ac656ca4389518399650a9c2f6">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7c1a736e25566b3d5363ec0404da7411"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824F1-A4BF-4052-8338-5A6DA1BF550F}">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68728EE5-F2D2-4B48-B62C-0F2E5DB6F0D5}">
  <ds:schemaRefs>
    <ds:schemaRef ds:uri="http://schemas.openxmlformats.org/officeDocument/2006/bibliography"/>
  </ds:schemaRefs>
</ds:datastoreItem>
</file>

<file path=customXml/itemProps3.xml><?xml version="1.0" encoding="utf-8"?>
<ds:datastoreItem xmlns:ds="http://schemas.openxmlformats.org/officeDocument/2006/customXml" ds:itemID="{4EA9D155-AF2F-47FF-813A-51B9A1CF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B1116-A94D-4B45-BBCE-1A55C72EA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 of Judgment - Template.dotx</Template>
  <TotalTime>88</TotalTime>
  <Pages>34</Pages>
  <Words>11014</Words>
  <Characters>62782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73649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O'Rourke</dc:creator>
  <cp:lastModifiedBy>Shirley Mair</cp:lastModifiedBy>
  <cp:revision>83</cp:revision>
  <cp:lastPrinted>2023-08-14T19:35:00Z</cp:lastPrinted>
  <dcterms:created xsi:type="dcterms:W3CDTF">2023-08-12T23:11:00Z</dcterms:created>
  <dcterms:modified xsi:type="dcterms:W3CDTF">2023-08-14T19:40:00Z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679600</vt:r8>
  </property>
  <property fmtid="{D5CDD505-2E9C-101B-9397-08002B2CF9AE}" pid="4" name="MSIP_Label_defa4170-0d19-0005-0004-bc88714345d2_Enabled">
    <vt:lpwstr>true</vt:lpwstr>
  </property>
  <property fmtid="{D5CDD505-2E9C-101B-9397-08002B2CF9AE}" pid="5" name="MSIP_Label_defa4170-0d19-0005-0004-bc88714345d2_SetDate">
    <vt:lpwstr>2023-08-08T21:48:10Z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b0cc928d-c4c9-46a7-a4ec-1070bd5b4331</vt:lpwstr>
  </property>
  <property fmtid="{D5CDD505-2E9C-101B-9397-08002B2CF9AE}" pid="10" name="MSIP_Label_defa4170-0d19-0005-0004-bc88714345d2_ContentBits">
    <vt:lpwstr>0</vt:lpwstr>
  </property>
  <property fmtid="{D5CDD505-2E9C-101B-9397-08002B2CF9AE}" pid="11" name="MediaServiceImageTags">
    <vt:lpwstr/>
  </property>
</Properties>
</file>