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0EB3" w14:textId="1DC269B0" w:rsidR="00DD6625" w:rsidRPr="0032647A" w:rsidRDefault="00A52129" w:rsidP="00DD662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A46617">
        <w:rPr>
          <w:rFonts w:ascii="Times New Roman" w:hAnsi="Times New Roman" w:cs="Times New Roman"/>
          <w:i/>
          <w:sz w:val="24"/>
          <w:szCs w:val="24"/>
        </w:rPr>
        <w:t>Public Service Alliance of Canada v Ryland</w:t>
      </w:r>
      <w:r w:rsidR="00DD6625">
        <w:rPr>
          <w:rFonts w:ascii="Times New Roman" w:hAnsi="Times New Roman" w:cs="Times New Roman"/>
          <w:i/>
          <w:sz w:val="24"/>
          <w:szCs w:val="24"/>
        </w:rPr>
        <w:t xml:space="preserve">, </w:t>
      </w:r>
      <w:r w:rsidR="00A46617">
        <w:rPr>
          <w:rFonts w:ascii="Times New Roman" w:hAnsi="Times New Roman" w:cs="Times New Roman"/>
          <w:sz w:val="24"/>
          <w:szCs w:val="24"/>
        </w:rPr>
        <w:t>202</w:t>
      </w:r>
      <w:r w:rsidR="00835D07">
        <w:rPr>
          <w:rFonts w:ascii="Times New Roman" w:hAnsi="Times New Roman" w:cs="Times New Roman"/>
          <w:sz w:val="24"/>
          <w:szCs w:val="24"/>
        </w:rPr>
        <w:t>3</w:t>
      </w:r>
      <w:r w:rsidR="00DD6625">
        <w:rPr>
          <w:rFonts w:ascii="Times New Roman" w:hAnsi="Times New Roman" w:cs="Times New Roman"/>
          <w:sz w:val="24"/>
          <w:szCs w:val="24"/>
        </w:rPr>
        <w:t xml:space="preserve"> NWTSC </w:t>
      </w:r>
      <w:r w:rsidR="00356D3E">
        <w:rPr>
          <w:rFonts w:ascii="Times New Roman" w:hAnsi="Times New Roman" w:cs="Times New Roman"/>
          <w:sz w:val="24"/>
          <w:szCs w:val="24"/>
        </w:rPr>
        <w:t>1</w:t>
      </w:r>
    </w:p>
    <w:p w14:paraId="6C87A9B0" w14:textId="1A73CE6D" w:rsidR="00DD6625" w:rsidRPr="0032647A" w:rsidRDefault="00DD6625" w:rsidP="00DD6625">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Date:  20</w:t>
      </w:r>
      <w:r w:rsidR="00A46617">
        <w:rPr>
          <w:rFonts w:ascii="Times New Roman" w:hAnsi="Times New Roman" w:cs="Times New Roman"/>
          <w:sz w:val="28"/>
          <w:szCs w:val="28"/>
        </w:rPr>
        <w:t>2</w:t>
      </w:r>
      <w:r w:rsidR="00835D07">
        <w:rPr>
          <w:rFonts w:ascii="Times New Roman" w:hAnsi="Times New Roman" w:cs="Times New Roman"/>
          <w:sz w:val="28"/>
          <w:szCs w:val="28"/>
        </w:rPr>
        <w:t>3</w:t>
      </w:r>
      <w:r w:rsidRPr="0032647A">
        <w:rPr>
          <w:rFonts w:ascii="Times New Roman" w:hAnsi="Times New Roman" w:cs="Times New Roman"/>
          <w:sz w:val="28"/>
          <w:szCs w:val="28"/>
        </w:rPr>
        <w:t xml:space="preserve"> </w:t>
      </w:r>
      <w:r w:rsidR="00A46617">
        <w:rPr>
          <w:rFonts w:ascii="Times New Roman" w:hAnsi="Times New Roman" w:cs="Times New Roman"/>
          <w:sz w:val="28"/>
          <w:szCs w:val="28"/>
        </w:rPr>
        <w:t>0</w:t>
      </w:r>
      <w:r w:rsidR="00835D07">
        <w:rPr>
          <w:rFonts w:ascii="Times New Roman" w:hAnsi="Times New Roman" w:cs="Times New Roman"/>
          <w:sz w:val="28"/>
          <w:szCs w:val="28"/>
        </w:rPr>
        <w:t>1</w:t>
      </w:r>
      <w:r w:rsidR="005C02CB">
        <w:rPr>
          <w:rFonts w:ascii="Times New Roman" w:hAnsi="Times New Roman" w:cs="Times New Roman"/>
          <w:sz w:val="28"/>
          <w:szCs w:val="28"/>
        </w:rPr>
        <w:t xml:space="preserve"> 09</w:t>
      </w:r>
    </w:p>
    <w:p w14:paraId="2B85BBC6" w14:textId="77777777" w:rsidR="00DD6625" w:rsidRDefault="00DD6625" w:rsidP="00DD6625">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Docket:  S-</w:t>
      </w:r>
      <w:r w:rsidR="00A46617">
        <w:rPr>
          <w:rFonts w:ascii="Times New Roman" w:hAnsi="Times New Roman" w:cs="Times New Roman"/>
          <w:sz w:val="28"/>
          <w:szCs w:val="28"/>
        </w:rPr>
        <w:t>1-CV</w:t>
      </w:r>
      <w:r>
        <w:rPr>
          <w:rFonts w:ascii="Times New Roman" w:hAnsi="Times New Roman" w:cs="Times New Roman"/>
          <w:sz w:val="28"/>
          <w:szCs w:val="28"/>
        </w:rPr>
        <w:t>-20</w:t>
      </w:r>
      <w:r w:rsidR="00A46617">
        <w:rPr>
          <w:rFonts w:ascii="Times New Roman" w:hAnsi="Times New Roman" w:cs="Times New Roman"/>
          <w:sz w:val="28"/>
          <w:szCs w:val="28"/>
        </w:rPr>
        <w:t>22</w:t>
      </w:r>
      <w:r>
        <w:rPr>
          <w:rFonts w:ascii="Times New Roman" w:hAnsi="Times New Roman" w:cs="Times New Roman"/>
          <w:sz w:val="28"/>
          <w:szCs w:val="28"/>
        </w:rPr>
        <w:t xml:space="preserve"> 000</w:t>
      </w:r>
      <w:r w:rsidR="00A46617">
        <w:rPr>
          <w:rFonts w:ascii="Times New Roman" w:hAnsi="Times New Roman" w:cs="Times New Roman"/>
          <w:sz w:val="28"/>
          <w:szCs w:val="28"/>
        </w:rPr>
        <w:t>082</w:t>
      </w:r>
    </w:p>
    <w:p w14:paraId="44817811" w14:textId="77777777" w:rsidR="00DD6625" w:rsidRPr="0032647A" w:rsidRDefault="00DD6625" w:rsidP="00DD6625">
      <w:pPr>
        <w:spacing w:after="0" w:line="240" w:lineRule="auto"/>
        <w:jc w:val="right"/>
        <w:rPr>
          <w:rFonts w:ascii="Times New Roman" w:hAnsi="Times New Roman" w:cs="Times New Roman"/>
          <w:sz w:val="28"/>
          <w:szCs w:val="28"/>
        </w:rPr>
      </w:pPr>
    </w:p>
    <w:p w14:paraId="35E7F58D" w14:textId="77777777" w:rsidR="00DD6625" w:rsidRDefault="00DD6625" w:rsidP="00DD6625">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1EC3DFBE" w14:textId="77777777" w:rsidR="00DD6625" w:rsidRDefault="00DD6625" w:rsidP="00DD6625">
      <w:pPr>
        <w:rPr>
          <w:rFonts w:ascii="Times New Roman" w:hAnsi="Times New Roman" w:cs="Times New Roman"/>
          <w:b/>
          <w:sz w:val="28"/>
          <w:szCs w:val="28"/>
        </w:rPr>
      </w:pPr>
      <w:r>
        <w:rPr>
          <w:rFonts w:ascii="Times New Roman" w:hAnsi="Times New Roman" w:cs="Times New Roman"/>
          <w:b/>
          <w:sz w:val="28"/>
          <w:szCs w:val="28"/>
        </w:rPr>
        <w:t>BETWEEN:</w:t>
      </w:r>
    </w:p>
    <w:p w14:paraId="5B6B345E" w14:textId="77777777" w:rsidR="00DD6625" w:rsidRDefault="00A46617" w:rsidP="00A46617">
      <w:pPr>
        <w:spacing w:after="0"/>
        <w:jc w:val="center"/>
        <w:rPr>
          <w:rFonts w:ascii="Times New Roman" w:hAnsi="Times New Roman" w:cs="Times New Roman"/>
          <w:b/>
          <w:sz w:val="28"/>
          <w:szCs w:val="28"/>
        </w:rPr>
      </w:pPr>
      <w:r>
        <w:rPr>
          <w:rFonts w:ascii="Times New Roman" w:hAnsi="Times New Roman" w:cs="Times New Roman"/>
          <w:b/>
          <w:sz w:val="28"/>
          <w:szCs w:val="28"/>
        </w:rPr>
        <w:t>PUBLIC SERVICE ALLIANCE OF CANADA –</w:t>
      </w:r>
    </w:p>
    <w:p w14:paraId="3AC4EAC4" w14:textId="77777777" w:rsidR="00A46617" w:rsidRDefault="00A46617" w:rsidP="00A46617">
      <w:pPr>
        <w:spacing w:after="0"/>
        <w:jc w:val="center"/>
        <w:rPr>
          <w:rFonts w:ascii="Times New Roman" w:hAnsi="Times New Roman" w:cs="Times New Roman"/>
          <w:b/>
          <w:sz w:val="28"/>
          <w:szCs w:val="28"/>
        </w:rPr>
      </w:pPr>
      <w:r>
        <w:rPr>
          <w:rFonts w:ascii="Times New Roman" w:hAnsi="Times New Roman" w:cs="Times New Roman"/>
          <w:b/>
          <w:sz w:val="28"/>
          <w:szCs w:val="28"/>
        </w:rPr>
        <w:t>YELLOWKNIFE REGIONAL OFFICE</w:t>
      </w:r>
    </w:p>
    <w:p w14:paraId="2F6F3B45" w14:textId="77777777" w:rsidR="00DD6625" w:rsidRDefault="00A46617" w:rsidP="00DD6625">
      <w:pPr>
        <w:jc w:val="right"/>
        <w:rPr>
          <w:rFonts w:ascii="Times New Roman" w:hAnsi="Times New Roman" w:cs="Times New Roman"/>
          <w:b/>
          <w:sz w:val="28"/>
          <w:szCs w:val="28"/>
        </w:rPr>
      </w:pPr>
      <w:r>
        <w:rPr>
          <w:rFonts w:ascii="Times New Roman" w:hAnsi="Times New Roman" w:cs="Times New Roman"/>
          <w:b/>
          <w:sz w:val="28"/>
          <w:szCs w:val="28"/>
        </w:rPr>
        <w:t>Appellant</w:t>
      </w:r>
    </w:p>
    <w:p w14:paraId="59418647" w14:textId="77777777" w:rsidR="00DD6625" w:rsidRDefault="00DD6625" w:rsidP="00DD6625">
      <w:pPr>
        <w:jc w:val="center"/>
        <w:rPr>
          <w:rFonts w:ascii="Times New Roman" w:hAnsi="Times New Roman" w:cs="Times New Roman"/>
          <w:b/>
          <w:sz w:val="28"/>
          <w:szCs w:val="28"/>
        </w:rPr>
      </w:pPr>
      <w:r>
        <w:rPr>
          <w:rFonts w:ascii="Times New Roman" w:hAnsi="Times New Roman" w:cs="Times New Roman"/>
          <w:b/>
          <w:sz w:val="28"/>
          <w:szCs w:val="28"/>
        </w:rPr>
        <w:t>-and-</w:t>
      </w:r>
    </w:p>
    <w:p w14:paraId="41C9452F" w14:textId="77777777" w:rsidR="00DD6625" w:rsidRDefault="00DD6625" w:rsidP="00DD6625">
      <w:pPr>
        <w:jc w:val="center"/>
        <w:rPr>
          <w:rFonts w:ascii="Times New Roman" w:hAnsi="Times New Roman" w:cs="Times New Roman"/>
          <w:b/>
          <w:sz w:val="28"/>
          <w:szCs w:val="28"/>
        </w:rPr>
      </w:pPr>
    </w:p>
    <w:p w14:paraId="616FEB6C" w14:textId="77777777" w:rsidR="00DD6625" w:rsidRDefault="00A46617" w:rsidP="00DD6625">
      <w:pPr>
        <w:jc w:val="center"/>
        <w:rPr>
          <w:rFonts w:ascii="Times New Roman" w:hAnsi="Times New Roman" w:cs="Times New Roman"/>
          <w:b/>
          <w:sz w:val="28"/>
          <w:szCs w:val="28"/>
        </w:rPr>
      </w:pPr>
      <w:r>
        <w:rPr>
          <w:rFonts w:ascii="Times New Roman" w:hAnsi="Times New Roman" w:cs="Times New Roman"/>
          <w:b/>
          <w:sz w:val="28"/>
          <w:szCs w:val="28"/>
        </w:rPr>
        <w:t>EVERT RYLAND</w:t>
      </w:r>
    </w:p>
    <w:p w14:paraId="1DA775CA" w14:textId="77777777" w:rsidR="00DD6625" w:rsidRPr="00FF5FC8" w:rsidRDefault="00A46617" w:rsidP="00DD6625">
      <w:pPr>
        <w:jc w:val="right"/>
        <w:rPr>
          <w:rFonts w:ascii="Times New Roman" w:hAnsi="Times New Roman" w:cs="Times New Roman"/>
          <w:b/>
          <w:sz w:val="28"/>
          <w:szCs w:val="28"/>
        </w:rPr>
      </w:pPr>
      <w:r>
        <w:rPr>
          <w:rFonts w:ascii="Times New Roman" w:hAnsi="Times New Roman" w:cs="Times New Roman"/>
          <w:b/>
          <w:sz w:val="28"/>
          <w:szCs w:val="28"/>
        </w:rPr>
        <w:t>Respondent</w:t>
      </w:r>
    </w:p>
    <w:p w14:paraId="3C5E7AE8" w14:textId="77777777" w:rsidR="00DD6625" w:rsidRPr="00A448A1" w:rsidRDefault="00DD6625" w:rsidP="00DD6625">
      <w:pPr>
        <w:tabs>
          <w:tab w:val="center" w:pos="4680"/>
        </w:tabs>
        <w:spacing w:after="0" w:line="240" w:lineRule="auto"/>
        <w:rPr>
          <w:rFonts w:ascii="Times New Roman" w:eastAsia="Calibri" w:hAnsi="Times New Roman" w:cs="Times New Roman"/>
          <w:sz w:val="28"/>
          <w:szCs w:val="28"/>
          <w:lang w:val="en-GB" w:eastAsia="en-US"/>
        </w:rPr>
      </w:pPr>
    </w:p>
    <w:p w14:paraId="0F9DFCC9" w14:textId="77777777" w:rsidR="00DD6625" w:rsidRPr="00A448A1" w:rsidRDefault="00DD6625" w:rsidP="00DD6625">
      <w:pPr>
        <w:tabs>
          <w:tab w:val="right" w:pos="9360"/>
        </w:tabs>
        <w:spacing w:after="0" w:line="240" w:lineRule="auto"/>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ab/>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DD6625" w:rsidRPr="00A448A1" w14:paraId="72D798F3" w14:textId="77777777" w:rsidTr="005E3100">
        <w:tc>
          <w:tcPr>
            <w:tcW w:w="9360" w:type="dxa"/>
            <w:shd w:val="clear" w:color="auto" w:fill="auto"/>
          </w:tcPr>
          <w:p w14:paraId="3DB45EBB" w14:textId="77777777" w:rsidR="00597A40" w:rsidRDefault="00597A40" w:rsidP="005E3100">
            <w:pPr>
              <w:spacing w:after="0" w:line="240" w:lineRule="auto"/>
              <w:jc w:val="both"/>
              <w:rPr>
                <w:rFonts w:ascii="Times New Roman" w:eastAsia="Calibri" w:hAnsi="Times New Roman" w:cs="Times New Roman"/>
                <w:sz w:val="28"/>
                <w:szCs w:val="28"/>
                <w:lang w:val="en-GB" w:eastAsia="en-US"/>
              </w:rPr>
            </w:pPr>
          </w:p>
          <w:p w14:paraId="3AF77114" w14:textId="16F12F68" w:rsidR="00DD6625" w:rsidRDefault="00597A40" w:rsidP="005E3100">
            <w:pPr>
              <w:spacing w:after="0" w:line="240" w:lineRule="auto"/>
              <w:jc w:val="both"/>
              <w:rPr>
                <w:rFonts w:ascii="Times New Roman" w:eastAsia="Calibri" w:hAnsi="Times New Roman" w:cs="Times New Roman"/>
                <w:sz w:val="28"/>
                <w:szCs w:val="28"/>
                <w:lang w:val="en-GB" w:eastAsia="en-US"/>
              </w:rPr>
            </w:pPr>
            <w:r>
              <w:rPr>
                <w:rFonts w:ascii="Times New Roman" w:eastAsia="Calibri" w:hAnsi="Times New Roman" w:cs="Times New Roman"/>
                <w:sz w:val="28"/>
                <w:szCs w:val="28"/>
                <w:lang w:val="en-GB" w:eastAsia="en-US"/>
              </w:rPr>
              <w:t>Appeal from a Decision of the Territorial Court</w:t>
            </w:r>
          </w:p>
          <w:p w14:paraId="41B9DFBC" w14:textId="77777777" w:rsidR="00DD6625" w:rsidRPr="00A448A1" w:rsidRDefault="00DD6625" w:rsidP="005E3100">
            <w:pPr>
              <w:spacing w:after="0" w:line="240" w:lineRule="auto"/>
              <w:jc w:val="both"/>
              <w:rPr>
                <w:rFonts w:ascii="Times New Roman" w:eastAsia="Calibri" w:hAnsi="Times New Roman" w:cs="Times New Roman"/>
                <w:sz w:val="28"/>
                <w:szCs w:val="28"/>
                <w:lang w:val="en-GB" w:eastAsia="en-US"/>
              </w:rPr>
            </w:pPr>
          </w:p>
          <w:p w14:paraId="12C9167A" w14:textId="77777777" w:rsidR="00DD6625" w:rsidRDefault="00DD6625" w:rsidP="005E3100">
            <w:pPr>
              <w:spacing w:after="0" w:line="240" w:lineRule="auto"/>
              <w:jc w:val="both"/>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Heard at Yellowknife: </w:t>
            </w:r>
            <w:r>
              <w:rPr>
                <w:rFonts w:ascii="Times New Roman" w:eastAsia="Calibri" w:hAnsi="Times New Roman" w:cs="Times New Roman"/>
                <w:sz w:val="28"/>
                <w:szCs w:val="28"/>
                <w:lang w:val="en-GB" w:eastAsia="en-US"/>
              </w:rPr>
              <w:t xml:space="preserve">    </w:t>
            </w:r>
            <w:r w:rsidR="00BA1F54">
              <w:rPr>
                <w:rFonts w:ascii="Times New Roman" w:eastAsia="Calibri" w:hAnsi="Times New Roman" w:cs="Times New Roman"/>
                <w:sz w:val="28"/>
                <w:szCs w:val="28"/>
                <w:lang w:val="en-GB" w:eastAsia="en-US"/>
              </w:rPr>
              <w:t>June 14, 2022</w:t>
            </w:r>
          </w:p>
          <w:p w14:paraId="476FFE5E" w14:textId="77777777" w:rsidR="00604F40" w:rsidRPr="00A448A1" w:rsidRDefault="00604F40" w:rsidP="005E3100">
            <w:pPr>
              <w:spacing w:after="0" w:line="240" w:lineRule="auto"/>
              <w:jc w:val="both"/>
              <w:rPr>
                <w:rFonts w:ascii="Times New Roman" w:eastAsia="Calibri" w:hAnsi="Times New Roman" w:cs="Times New Roman"/>
                <w:sz w:val="28"/>
                <w:szCs w:val="28"/>
                <w:lang w:val="en-GB" w:eastAsia="en-US"/>
              </w:rPr>
            </w:pPr>
          </w:p>
          <w:p w14:paraId="2E7E30E5" w14:textId="7A37455C" w:rsidR="00DD6625" w:rsidRPr="00A448A1" w:rsidRDefault="00DD6625" w:rsidP="005E3100">
            <w:pPr>
              <w:spacing w:after="0" w:line="240" w:lineRule="auto"/>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Written Reasons filed:     </w:t>
            </w:r>
            <w:r w:rsidR="005C02CB">
              <w:rPr>
                <w:rFonts w:ascii="Times New Roman" w:eastAsia="Calibri" w:hAnsi="Times New Roman" w:cs="Times New Roman"/>
                <w:sz w:val="28"/>
                <w:szCs w:val="28"/>
                <w:lang w:val="en-GB" w:eastAsia="en-US"/>
              </w:rPr>
              <w:t>January 9, 2023</w:t>
            </w:r>
          </w:p>
          <w:p w14:paraId="3A268560" w14:textId="77777777" w:rsidR="00DD6625" w:rsidRPr="00A448A1" w:rsidRDefault="00DD6625" w:rsidP="005E3100">
            <w:pPr>
              <w:spacing w:after="0" w:line="240" w:lineRule="auto"/>
              <w:rPr>
                <w:rFonts w:ascii="Times New Roman" w:eastAsia="Calibri" w:hAnsi="Times New Roman" w:cs="Times New Roman"/>
                <w:sz w:val="28"/>
                <w:szCs w:val="28"/>
                <w:lang w:val="en-GB" w:eastAsia="en-US"/>
              </w:rPr>
            </w:pPr>
          </w:p>
        </w:tc>
      </w:tr>
    </w:tbl>
    <w:p w14:paraId="5413A3C1" w14:textId="77777777" w:rsidR="00DD6625" w:rsidRPr="00A448A1" w:rsidRDefault="00DD6625" w:rsidP="00DD6625">
      <w:pPr>
        <w:spacing w:after="0" w:line="240" w:lineRule="auto"/>
        <w:jc w:val="center"/>
        <w:rPr>
          <w:rFonts w:ascii="Times New Roman" w:eastAsia="Calibri" w:hAnsi="Times New Roman" w:cs="Times New Roman"/>
          <w:sz w:val="28"/>
          <w:szCs w:val="28"/>
          <w:lang w:val="en-GB" w:eastAsia="en-US"/>
        </w:rPr>
      </w:pPr>
    </w:p>
    <w:p w14:paraId="107DF829" w14:textId="77777777" w:rsidR="00DD6625" w:rsidRPr="00A448A1" w:rsidRDefault="00DD6625" w:rsidP="00DD6625">
      <w:pPr>
        <w:spacing w:after="0" w:line="240" w:lineRule="auto"/>
        <w:jc w:val="center"/>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 xml:space="preserve">REASONS FOR JUDGMENT OF THE </w:t>
      </w:r>
    </w:p>
    <w:p w14:paraId="4BA5F697" w14:textId="77777777" w:rsidR="00DD6625" w:rsidRPr="00A448A1" w:rsidRDefault="00DD6625" w:rsidP="00DD6625">
      <w:pPr>
        <w:spacing w:after="0" w:line="240" w:lineRule="auto"/>
        <w:jc w:val="center"/>
        <w:rPr>
          <w:rFonts w:ascii="Times New Roman" w:eastAsia="Calibri" w:hAnsi="Times New Roman" w:cs="Times New Roman"/>
          <w:sz w:val="28"/>
          <w:szCs w:val="28"/>
          <w:lang w:val="en-GB" w:eastAsia="en-US"/>
        </w:rPr>
      </w:pPr>
      <w:r w:rsidRPr="00A448A1">
        <w:rPr>
          <w:rFonts w:ascii="Times New Roman" w:eastAsia="Calibri" w:hAnsi="Times New Roman" w:cs="Times New Roman"/>
          <w:sz w:val="28"/>
          <w:szCs w:val="28"/>
          <w:lang w:val="en-GB" w:eastAsia="en-US"/>
        </w:rPr>
        <w:t>HONOURABLE JUSTICE K.M. SHANER</w:t>
      </w:r>
    </w:p>
    <w:p w14:paraId="38F1D373" w14:textId="77777777" w:rsidR="00DD6625" w:rsidRPr="00A448A1" w:rsidRDefault="00DD6625" w:rsidP="00DD6625">
      <w:pPr>
        <w:spacing w:after="0" w:line="240" w:lineRule="auto"/>
        <w:jc w:val="center"/>
        <w:rPr>
          <w:rFonts w:ascii="Times New Roman" w:eastAsia="Calibri" w:hAnsi="Times New Roman" w:cs="Times New Roman"/>
          <w:sz w:val="28"/>
          <w:szCs w:val="28"/>
          <w:lang w:val="en-GB" w:eastAsia="en-US"/>
        </w:rPr>
      </w:pPr>
    </w:p>
    <w:p w14:paraId="3049BF64" w14:textId="77777777" w:rsidR="00DD6625" w:rsidRPr="00A448A1" w:rsidRDefault="00DD6625" w:rsidP="00DD6625">
      <w:pPr>
        <w:spacing w:after="0" w:line="240" w:lineRule="auto"/>
        <w:jc w:val="center"/>
        <w:rPr>
          <w:rFonts w:ascii="Times New Roman" w:eastAsia="Calibri" w:hAnsi="Times New Roman" w:cs="Times New Roman"/>
          <w:sz w:val="28"/>
          <w:szCs w:val="28"/>
          <w:lang w:val="en-GB" w:eastAsia="en-US"/>
        </w:rPr>
      </w:pPr>
    </w:p>
    <w:p w14:paraId="1840264A" w14:textId="77777777" w:rsidR="00DD6625" w:rsidRDefault="00DD6625" w:rsidP="00DD6625">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 xml:space="preserve">Counsel for the </w:t>
      </w:r>
      <w:r w:rsidR="00A46617">
        <w:rPr>
          <w:rFonts w:ascii="Times New Roman" w:hAnsi="Times New Roman" w:cs="Times New Roman"/>
          <w:sz w:val="28"/>
          <w:szCs w:val="28"/>
        </w:rPr>
        <w:t>Appellant</w:t>
      </w:r>
      <w:r w:rsidRPr="00455003">
        <w:rPr>
          <w:rFonts w:ascii="Times New Roman" w:hAnsi="Times New Roman" w:cs="Times New Roman"/>
          <w:sz w:val="28"/>
          <w:szCs w:val="28"/>
        </w:rPr>
        <w:t xml:space="preserve">: </w:t>
      </w:r>
      <w:r w:rsidRPr="0045500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6617">
        <w:rPr>
          <w:rFonts w:ascii="Times New Roman" w:hAnsi="Times New Roman" w:cs="Times New Roman"/>
          <w:sz w:val="28"/>
          <w:szCs w:val="28"/>
        </w:rPr>
        <w:t>Teri Lynn Bougie</w:t>
      </w:r>
    </w:p>
    <w:p w14:paraId="700998E1" w14:textId="77777777" w:rsidR="00A46617" w:rsidRPr="00455003" w:rsidRDefault="00A46617" w:rsidP="00DD6625">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3B3AF230" w14:textId="77777777" w:rsidR="00DD6625" w:rsidRDefault="00DD6625" w:rsidP="00DD6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Respondent </w:t>
      </w:r>
      <w:r w:rsidR="00E663E4">
        <w:rPr>
          <w:rFonts w:ascii="Times New Roman" w:hAnsi="Times New Roman" w:cs="Times New Roman"/>
          <w:sz w:val="28"/>
          <w:szCs w:val="28"/>
        </w:rPr>
        <w:t xml:space="preserve">was </w:t>
      </w:r>
      <w:r>
        <w:rPr>
          <w:rFonts w:ascii="Times New Roman" w:hAnsi="Times New Roman" w:cs="Times New Roman"/>
          <w:sz w:val="28"/>
          <w:szCs w:val="28"/>
        </w:rPr>
        <w:t>self-represented</w:t>
      </w:r>
      <w:r>
        <w:rPr>
          <w:rFonts w:ascii="Times New Roman" w:hAnsi="Times New Roman" w:cs="Times New Roman"/>
          <w:sz w:val="28"/>
          <w:szCs w:val="28"/>
        </w:rPr>
        <w:tab/>
      </w:r>
    </w:p>
    <w:p w14:paraId="5F69FE6B" w14:textId="77777777" w:rsidR="00DD6625" w:rsidRPr="00455003" w:rsidRDefault="00DD6625" w:rsidP="00DD6625">
      <w:pPr>
        <w:spacing w:after="0" w:line="240" w:lineRule="auto"/>
        <w:rPr>
          <w:rFonts w:ascii="Times New Roman" w:hAnsi="Times New Roman" w:cs="Times New Roman"/>
          <w:sz w:val="28"/>
          <w:szCs w:val="28"/>
        </w:rPr>
      </w:pPr>
    </w:p>
    <w:p w14:paraId="1D3B3495" w14:textId="77777777" w:rsidR="00126F0C" w:rsidRDefault="00126F0C">
      <w:pPr>
        <w:rPr>
          <w:rFonts w:ascii="Times New Roman" w:hAnsi="Times New Roman" w:cs="Times New Roman"/>
          <w:i/>
          <w:sz w:val="24"/>
          <w:szCs w:val="24"/>
        </w:rPr>
        <w:sectPr w:rsidR="00126F0C" w:rsidSect="003F3AC9">
          <w:headerReference w:type="default" r:id="rId11"/>
          <w:pgSz w:w="12240" w:h="15840"/>
          <w:pgMar w:top="1440" w:right="1440" w:bottom="1440" w:left="1440" w:header="720" w:footer="720" w:gutter="0"/>
          <w:pgNumType w:start="1"/>
          <w:cols w:space="720"/>
          <w:titlePg/>
          <w:docGrid w:linePitch="360"/>
        </w:sectPr>
      </w:pPr>
    </w:p>
    <w:p w14:paraId="448BD011" w14:textId="499D8773" w:rsidR="00A46617" w:rsidRPr="0032647A" w:rsidRDefault="00A46617" w:rsidP="00A4661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Public Service Alliance of Canada v Ryland, </w:t>
      </w:r>
      <w:r>
        <w:rPr>
          <w:rFonts w:ascii="Times New Roman" w:hAnsi="Times New Roman" w:cs="Times New Roman"/>
          <w:sz w:val="24"/>
          <w:szCs w:val="24"/>
        </w:rPr>
        <w:t>202</w:t>
      </w:r>
      <w:r w:rsidR="00D161B7">
        <w:rPr>
          <w:rFonts w:ascii="Times New Roman" w:hAnsi="Times New Roman" w:cs="Times New Roman"/>
          <w:sz w:val="24"/>
          <w:szCs w:val="24"/>
        </w:rPr>
        <w:t>3</w:t>
      </w:r>
      <w:r>
        <w:rPr>
          <w:rFonts w:ascii="Times New Roman" w:hAnsi="Times New Roman" w:cs="Times New Roman"/>
          <w:sz w:val="24"/>
          <w:szCs w:val="24"/>
        </w:rPr>
        <w:t xml:space="preserve"> NWTSC </w:t>
      </w:r>
      <w:r w:rsidR="00EE23A5">
        <w:rPr>
          <w:rFonts w:ascii="Times New Roman" w:hAnsi="Times New Roman" w:cs="Times New Roman"/>
          <w:sz w:val="24"/>
          <w:szCs w:val="24"/>
        </w:rPr>
        <w:t>1</w:t>
      </w:r>
    </w:p>
    <w:p w14:paraId="42B9F57E" w14:textId="0106B742" w:rsidR="00A46617" w:rsidRPr="0032647A" w:rsidRDefault="00A46617" w:rsidP="00A46617">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Date:  20</w:t>
      </w:r>
      <w:r>
        <w:rPr>
          <w:rFonts w:ascii="Times New Roman" w:hAnsi="Times New Roman" w:cs="Times New Roman"/>
          <w:sz w:val="28"/>
          <w:szCs w:val="28"/>
        </w:rPr>
        <w:t>2</w:t>
      </w:r>
      <w:r w:rsidR="00D161B7">
        <w:rPr>
          <w:rFonts w:ascii="Times New Roman" w:hAnsi="Times New Roman" w:cs="Times New Roman"/>
          <w:sz w:val="28"/>
          <w:szCs w:val="28"/>
        </w:rPr>
        <w:t>3</w:t>
      </w:r>
      <w:r w:rsidRPr="0032647A">
        <w:rPr>
          <w:rFonts w:ascii="Times New Roman" w:hAnsi="Times New Roman" w:cs="Times New Roman"/>
          <w:sz w:val="28"/>
          <w:szCs w:val="28"/>
        </w:rPr>
        <w:t xml:space="preserve"> </w:t>
      </w:r>
      <w:r>
        <w:rPr>
          <w:rFonts w:ascii="Times New Roman" w:hAnsi="Times New Roman" w:cs="Times New Roman"/>
          <w:sz w:val="28"/>
          <w:szCs w:val="28"/>
        </w:rPr>
        <w:t>0</w:t>
      </w:r>
      <w:r w:rsidR="00D161B7">
        <w:rPr>
          <w:rFonts w:ascii="Times New Roman" w:hAnsi="Times New Roman" w:cs="Times New Roman"/>
          <w:sz w:val="28"/>
          <w:szCs w:val="28"/>
        </w:rPr>
        <w:t>1</w:t>
      </w:r>
      <w:r>
        <w:rPr>
          <w:rFonts w:ascii="Times New Roman" w:hAnsi="Times New Roman" w:cs="Times New Roman"/>
          <w:sz w:val="28"/>
          <w:szCs w:val="28"/>
        </w:rPr>
        <w:t xml:space="preserve"> </w:t>
      </w:r>
      <w:r w:rsidR="005C02CB">
        <w:rPr>
          <w:rFonts w:ascii="Times New Roman" w:hAnsi="Times New Roman" w:cs="Times New Roman"/>
          <w:sz w:val="28"/>
          <w:szCs w:val="28"/>
        </w:rPr>
        <w:t>09</w:t>
      </w:r>
    </w:p>
    <w:p w14:paraId="730BAA07" w14:textId="77777777" w:rsidR="00A46617" w:rsidRDefault="00A46617" w:rsidP="00A46617">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Docket:  S-</w:t>
      </w:r>
      <w:r>
        <w:rPr>
          <w:rFonts w:ascii="Times New Roman" w:hAnsi="Times New Roman" w:cs="Times New Roman"/>
          <w:sz w:val="28"/>
          <w:szCs w:val="28"/>
        </w:rPr>
        <w:t>1-CV-2022 000082</w:t>
      </w:r>
    </w:p>
    <w:p w14:paraId="2186C4C8" w14:textId="77777777" w:rsidR="00A46617" w:rsidRPr="0032647A" w:rsidRDefault="00A46617" w:rsidP="00A46617">
      <w:pPr>
        <w:spacing w:after="0" w:line="240" w:lineRule="auto"/>
        <w:jc w:val="right"/>
        <w:rPr>
          <w:rFonts w:ascii="Times New Roman" w:hAnsi="Times New Roman" w:cs="Times New Roman"/>
          <w:sz w:val="28"/>
          <w:szCs w:val="28"/>
        </w:rPr>
      </w:pPr>
    </w:p>
    <w:p w14:paraId="4A37F869" w14:textId="77777777" w:rsidR="00A46617" w:rsidRDefault="00A46617" w:rsidP="00A46617">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6041A01F" w14:textId="77777777" w:rsidR="00A46617" w:rsidRDefault="00A46617" w:rsidP="00A46617">
      <w:pPr>
        <w:rPr>
          <w:rFonts w:ascii="Times New Roman" w:hAnsi="Times New Roman" w:cs="Times New Roman"/>
          <w:b/>
          <w:sz w:val="28"/>
          <w:szCs w:val="28"/>
        </w:rPr>
      </w:pPr>
      <w:r>
        <w:rPr>
          <w:rFonts w:ascii="Times New Roman" w:hAnsi="Times New Roman" w:cs="Times New Roman"/>
          <w:b/>
          <w:sz w:val="28"/>
          <w:szCs w:val="28"/>
        </w:rPr>
        <w:t>BETWEEN:</w:t>
      </w:r>
    </w:p>
    <w:p w14:paraId="50A8A625" w14:textId="77777777" w:rsidR="00A46617" w:rsidRDefault="00A46617" w:rsidP="00A46617">
      <w:pPr>
        <w:spacing w:after="0"/>
        <w:jc w:val="center"/>
        <w:rPr>
          <w:rFonts w:ascii="Times New Roman" w:hAnsi="Times New Roman" w:cs="Times New Roman"/>
          <w:b/>
          <w:sz w:val="28"/>
          <w:szCs w:val="28"/>
        </w:rPr>
      </w:pPr>
      <w:r>
        <w:rPr>
          <w:rFonts w:ascii="Times New Roman" w:hAnsi="Times New Roman" w:cs="Times New Roman"/>
          <w:b/>
          <w:sz w:val="28"/>
          <w:szCs w:val="28"/>
        </w:rPr>
        <w:t>PUBLIC SERVICE ALLIANCE OF CANADA –</w:t>
      </w:r>
    </w:p>
    <w:p w14:paraId="70FAADF5" w14:textId="77777777" w:rsidR="00A46617" w:rsidRDefault="00A46617" w:rsidP="00A46617">
      <w:pPr>
        <w:spacing w:after="0"/>
        <w:jc w:val="center"/>
        <w:rPr>
          <w:rFonts w:ascii="Times New Roman" w:hAnsi="Times New Roman" w:cs="Times New Roman"/>
          <w:b/>
          <w:sz w:val="28"/>
          <w:szCs w:val="28"/>
        </w:rPr>
      </w:pPr>
      <w:r>
        <w:rPr>
          <w:rFonts w:ascii="Times New Roman" w:hAnsi="Times New Roman" w:cs="Times New Roman"/>
          <w:b/>
          <w:sz w:val="28"/>
          <w:szCs w:val="28"/>
        </w:rPr>
        <w:t>YELLOWKNIFE REGIONAL OFFICE</w:t>
      </w:r>
    </w:p>
    <w:p w14:paraId="5BF08C02" w14:textId="77777777" w:rsidR="00A46617" w:rsidRDefault="00A46617" w:rsidP="00A46617">
      <w:pPr>
        <w:jc w:val="right"/>
        <w:rPr>
          <w:rFonts w:ascii="Times New Roman" w:hAnsi="Times New Roman" w:cs="Times New Roman"/>
          <w:b/>
          <w:sz w:val="28"/>
          <w:szCs w:val="28"/>
        </w:rPr>
      </w:pPr>
      <w:r>
        <w:rPr>
          <w:rFonts w:ascii="Times New Roman" w:hAnsi="Times New Roman" w:cs="Times New Roman"/>
          <w:b/>
          <w:sz w:val="28"/>
          <w:szCs w:val="28"/>
        </w:rPr>
        <w:t>Appellant</w:t>
      </w:r>
    </w:p>
    <w:p w14:paraId="36381A3E" w14:textId="77777777" w:rsidR="00A46617" w:rsidRDefault="00A46617" w:rsidP="00A46617">
      <w:pPr>
        <w:jc w:val="center"/>
        <w:rPr>
          <w:rFonts w:ascii="Times New Roman" w:hAnsi="Times New Roman" w:cs="Times New Roman"/>
          <w:b/>
          <w:sz w:val="28"/>
          <w:szCs w:val="28"/>
        </w:rPr>
      </w:pPr>
      <w:r>
        <w:rPr>
          <w:rFonts w:ascii="Times New Roman" w:hAnsi="Times New Roman" w:cs="Times New Roman"/>
          <w:b/>
          <w:sz w:val="28"/>
          <w:szCs w:val="28"/>
        </w:rPr>
        <w:t>-and-</w:t>
      </w:r>
    </w:p>
    <w:p w14:paraId="21539D7C" w14:textId="77777777" w:rsidR="00A46617" w:rsidRDefault="00A46617" w:rsidP="00A46617">
      <w:pPr>
        <w:jc w:val="center"/>
        <w:rPr>
          <w:rFonts w:ascii="Times New Roman" w:hAnsi="Times New Roman" w:cs="Times New Roman"/>
          <w:b/>
          <w:sz w:val="28"/>
          <w:szCs w:val="28"/>
        </w:rPr>
      </w:pPr>
    </w:p>
    <w:p w14:paraId="1FCD532C" w14:textId="77777777" w:rsidR="00A46617" w:rsidRDefault="00A46617" w:rsidP="00A46617">
      <w:pPr>
        <w:jc w:val="center"/>
        <w:rPr>
          <w:rFonts w:ascii="Times New Roman" w:hAnsi="Times New Roman" w:cs="Times New Roman"/>
          <w:b/>
          <w:sz w:val="28"/>
          <w:szCs w:val="28"/>
        </w:rPr>
      </w:pPr>
      <w:r>
        <w:rPr>
          <w:rFonts w:ascii="Times New Roman" w:hAnsi="Times New Roman" w:cs="Times New Roman"/>
          <w:b/>
          <w:sz w:val="28"/>
          <w:szCs w:val="28"/>
        </w:rPr>
        <w:t>EVERT RYLAND</w:t>
      </w:r>
    </w:p>
    <w:p w14:paraId="22FC9082" w14:textId="77777777" w:rsidR="00A46617" w:rsidRPr="00FF5FC8" w:rsidRDefault="00A46617" w:rsidP="00A46617">
      <w:pPr>
        <w:jc w:val="right"/>
        <w:rPr>
          <w:rFonts w:ascii="Times New Roman" w:hAnsi="Times New Roman" w:cs="Times New Roman"/>
          <w:b/>
          <w:sz w:val="28"/>
          <w:szCs w:val="28"/>
        </w:rPr>
      </w:pPr>
      <w:r>
        <w:rPr>
          <w:rFonts w:ascii="Times New Roman" w:hAnsi="Times New Roman" w:cs="Times New Roman"/>
          <w:b/>
          <w:sz w:val="28"/>
          <w:szCs w:val="28"/>
        </w:rPr>
        <w:t>Respondent</w:t>
      </w:r>
    </w:p>
    <w:p w14:paraId="4E4096AE" w14:textId="77777777" w:rsidR="003D3E8C" w:rsidRPr="00F45E3D" w:rsidRDefault="00224CA7" w:rsidP="00F45E3D">
      <w:pPr>
        <w:jc w:val="center"/>
        <w:rPr>
          <w:rFonts w:ascii="Times New Roman" w:hAnsi="Times New Roman" w:cs="Times New Roman"/>
          <w:b/>
          <w:sz w:val="28"/>
          <w:szCs w:val="28"/>
        </w:rPr>
      </w:pPr>
      <w:r>
        <w:rPr>
          <w:rFonts w:ascii="Times New Roman" w:hAnsi="Times New Roman" w:cs="Times New Roman"/>
          <w:b/>
          <w:sz w:val="28"/>
          <w:szCs w:val="28"/>
        </w:rPr>
        <w:t>REASONS FOR</w:t>
      </w:r>
      <w:r w:rsidR="00C52F4C">
        <w:rPr>
          <w:rFonts w:ascii="Times New Roman" w:hAnsi="Times New Roman" w:cs="Times New Roman"/>
          <w:b/>
          <w:sz w:val="28"/>
          <w:szCs w:val="28"/>
        </w:rPr>
        <w:t xml:space="preserve"> JUDGMENT</w:t>
      </w:r>
    </w:p>
    <w:p w14:paraId="1EE167AE" w14:textId="77777777" w:rsidR="002E6F4B" w:rsidRPr="002E6F4B" w:rsidRDefault="00A46617" w:rsidP="002E6F4B">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INTRODUCTION</w:t>
      </w:r>
    </w:p>
    <w:p w14:paraId="48534937" w14:textId="77777777" w:rsidR="00FE6C06" w:rsidRPr="00EC5A06" w:rsidRDefault="00772E07" w:rsidP="003F45FB">
      <w:pPr>
        <w:pStyle w:val="ListParagraph"/>
        <w:numPr>
          <w:ilvl w:val="0"/>
          <w:numId w:val="10"/>
        </w:numPr>
        <w:spacing w:after="240" w:line="240" w:lineRule="auto"/>
        <w:contextualSpacing w:val="0"/>
        <w:jc w:val="both"/>
        <w:rPr>
          <w:rFonts w:ascii="Times New Roman" w:hAnsi="Times New Roman" w:cs="Times New Roman"/>
          <w:b/>
          <w:sz w:val="28"/>
          <w:szCs w:val="28"/>
        </w:rPr>
      </w:pPr>
      <w:r w:rsidRPr="00FE6C06">
        <w:rPr>
          <w:rFonts w:ascii="Times New Roman" w:hAnsi="Times New Roman" w:cs="Times New Roman"/>
          <w:sz w:val="28"/>
          <w:szCs w:val="28"/>
        </w:rPr>
        <w:t>Th</w:t>
      </w:r>
      <w:r w:rsidR="00A6789F" w:rsidRPr="00FE6C06">
        <w:rPr>
          <w:rFonts w:ascii="Times New Roman" w:hAnsi="Times New Roman" w:cs="Times New Roman"/>
          <w:sz w:val="28"/>
          <w:szCs w:val="28"/>
        </w:rPr>
        <w:t xml:space="preserve">is is an appeal from a decision of the Territorial Court </w:t>
      </w:r>
      <w:r w:rsidR="00E663E4" w:rsidRPr="00FE6C06">
        <w:rPr>
          <w:rFonts w:ascii="Times New Roman" w:hAnsi="Times New Roman" w:cs="Times New Roman"/>
          <w:sz w:val="28"/>
          <w:szCs w:val="28"/>
        </w:rPr>
        <w:t>dismissing the Appellant’s application</w:t>
      </w:r>
      <w:r w:rsidR="00174C02" w:rsidRPr="00FE6C06">
        <w:rPr>
          <w:rFonts w:ascii="Times New Roman" w:hAnsi="Times New Roman" w:cs="Times New Roman"/>
          <w:sz w:val="28"/>
          <w:szCs w:val="28"/>
        </w:rPr>
        <w:t xml:space="preserve">s to strike out </w:t>
      </w:r>
      <w:r w:rsidR="00FE6C06" w:rsidRPr="00FE6C06">
        <w:rPr>
          <w:rFonts w:ascii="Times New Roman" w:hAnsi="Times New Roman" w:cs="Times New Roman"/>
          <w:sz w:val="28"/>
          <w:szCs w:val="28"/>
        </w:rPr>
        <w:t>a</w:t>
      </w:r>
      <w:r w:rsidR="00F9532A">
        <w:rPr>
          <w:rFonts w:ascii="Times New Roman" w:hAnsi="Times New Roman" w:cs="Times New Roman"/>
          <w:sz w:val="28"/>
          <w:szCs w:val="28"/>
        </w:rPr>
        <w:t>n action</w:t>
      </w:r>
      <w:r w:rsidR="00FE6C06" w:rsidRPr="00FE6C06">
        <w:rPr>
          <w:rFonts w:ascii="Times New Roman" w:hAnsi="Times New Roman" w:cs="Times New Roman"/>
          <w:sz w:val="28"/>
          <w:szCs w:val="28"/>
        </w:rPr>
        <w:t xml:space="preserve"> or</w:t>
      </w:r>
      <w:r w:rsidR="00FE6C06">
        <w:rPr>
          <w:rFonts w:ascii="Times New Roman" w:hAnsi="Times New Roman" w:cs="Times New Roman"/>
          <w:sz w:val="28"/>
          <w:szCs w:val="28"/>
        </w:rPr>
        <w:t xml:space="preserve"> alternatively,</w:t>
      </w:r>
      <w:r w:rsidR="00FE6C06" w:rsidRPr="00FE6C06">
        <w:rPr>
          <w:rFonts w:ascii="Times New Roman" w:hAnsi="Times New Roman" w:cs="Times New Roman"/>
          <w:sz w:val="28"/>
          <w:szCs w:val="28"/>
        </w:rPr>
        <w:t xml:space="preserve"> </w:t>
      </w:r>
      <w:r w:rsidR="003F45FB">
        <w:rPr>
          <w:rFonts w:ascii="Times New Roman" w:hAnsi="Times New Roman" w:cs="Times New Roman"/>
          <w:sz w:val="28"/>
          <w:szCs w:val="28"/>
        </w:rPr>
        <w:t xml:space="preserve">to </w:t>
      </w:r>
      <w:r w:rsidR="00FE6C06" w:rsidRPr="00FE6C06">
        <w:rPr>
          <w:rFonts w:ascii="Times New Roman" w:hAnsi="Times New Roman" w:cs="Times New Roman"/>
          <w:sz w:val="28"/>
          <w:szCs w:val="28"/>
        </w:rPr>
        <w:t>summarily dismiss</w:t>
      </w:r>
      <w:r w:rsidR="00F9532A">
        <w:rPr>
          <w:rFonts w:ascii="Times New Roman" w:hAnsi="Times New Roman" w:cs="Times New Roman"/>
          <w:sz w:val="28"/>
          <w:szCs w:val="28"/>
        </w:rPr>
        <w:t xml:space="preserve"> it</w:t>
      </w:r>
      <w:r w:rsidR="003F45FB">
        <w:rPr>
          <w:rFonts w:ascii="Times New Roman" w:hAnsi="Times New Roman" w:cs="Times New Roman"/>
          <w:sz w:val="28"/>
          <w:szCs w:val="28"/>
        </w:rPr>
        <w:t>.</w:t>
      </w:r>
      <w:r w:rsidR="00FE6C06">
        <w:rPr>
          <w:rFonts w:ascii="Times New Roman" w:hAnsi="Times New Roman" w:cs="Times New Roman"/>
          <w:sz w:val="28"/>
          <w:szCs w:val="28"/>
        </w:rPr>
        <w:t xml:space="preserve"> </w:t>
      </w:r>
      <w:r w:rsidR="00D3681F">
        <w:rPr>
          <w:rFonts w:ascii="Times New Roman" w:hAnsi="Times New Roman" w:cs="Times New Roman"/>
          <w:sz w:val="28"/>
          <w:szCs w:val="28"/>
        </w:rPr>
        <w:t xml:space="preserve"> </w:t>
      </w:r>
      <w:r w:rsidR="00FE6C06" w:rsidRPr="003F45FB">
        <w:rPr>
          <w:rFonts w:ascii="Times New Roman" w:hAnsi="Times New Roman" w:cs="Times New Roman"/>
          <w:sz w:val="28"/>
          <w:szCs w:val="28"/>
        </w:rPr>
        <w:t xml:space="preserve">The rules </w:t>
      </w:r>
      <w:r w:rsidR="003F45FB" w:rsidRPr="003F45FB">
        <w:rPr>
          <w:rFonts w:ascii="Times New Roman" w:hAnsi="Times New Roman" w:cs="Times New Roman"/>
          <w:sz w:val="28"/>
          <w:szCs w:val="28"/>
        </w:rPr>
        <w:t xml:space="preserve">under which the appellant, the Public Service Alliance of Canada (the “PSAC”) proceeded in Territorial Court </w:t>
      </w:r>
      <w:r w:rsidR="00FE6C06" w:rsidRPr="003F45FB">
        <w:rPr>
          <w:rFonts w:ascii="Times New Roman" w:hAnsi="Times New Roman" w:cs="Times New Roman"/>
          <w:sz w:val="28"/>
          <w:szCs w:val="28"/>
        </w:rPr>
        <w:t xml:space="preserve">are </w:t>
      </w:r>
      <w:r w:rsidR="003F45FB" w:rsidRPr="003F45FB">
        <w:rPr>
          <w:rFonts w:ascii="Times New Roman" w:hAnsi="Times New Roman" w:cs="Times New Roman"/>
          <w:sz w:val="28"/>
          <w:szCs w:val="28"/>
        </w:rPr>
        <w:t>r</w:t>
      </w:r>
      <w:r w:rsidR="00F9532A">
        <w:rPr>
          <w:rFonts w:ascii="Times New Roman" w:hAnsi="Times New Roman" w:cs="Times New Roman"/>
          <w:sz w:val="28"/>
          <w:szCs w:val="28"/>
        </w:rPr>
        <w:t xml:space="preserve"> </w:t>
      </w:r>
      <w:r w:rsidR="003F45FB" w:rsidRPr="003F45FB">
        <w:rPr>
          <w:rFonts w:ascii="Times New Roman" w:hAnsi="Times New Roman" w:cs="Times New Roman"/>
          <w:sz w:val="28"/>
          <w:szCs w:val="28"/>
        </w:rPr>
        <w:t>129(1)(a)(i</w:t>
      </w:r>
      <w:r w:rsidR="00F9532A">
        <w:rPr>
          <w:rFonts w:ascii="Times New Roman" w:hAnsi="Times New Roman" w:cs="Times New Roman"/>
          <w:sz w:val="28"/>
          <w:szCs w:val="28"/>
        </w:rPr>
        <w:t>v</w:t>
      </w:r>
      <w:r w:rsidR="003F45FB" w:rsidRPr="003F45FB">
        <w:rPr>
          <w:rFonts w:ascii="Times New Roman" w:hAnsi="Times New Roman" w:cs="Times New Roman"/>
          <w:sz w:val="28"/>
          <w:szCs w:val="28"/>
        </w:rPr>
        <w:t>)</w:t>
      </w:r>
      <w:r w:rsidR="00F9532A">
        <w:rPr>
          <w:rFonts w:ascii="Times New Roman" w:hAnsi="Times New Roman" w:cs="Times New Roman"/>
          <w:sz w:val="28"/>
          <w:szCs w:val="28"/>
        </w:rPr>
        <w:t xml:space="preserve"> </w:t>
      </w:r>
      <w:r w:rsidR="003F45FB" w:rsidRPr="003F45FB">
        <w:rPr>
          <w:rFonts w:ascii="Times New Roman" w:hAnsi="Times New Roman" w:cs="Times New Roman"/>
          <w:sz w:val="28"/>
          <w:szCs w:val="28"/>
        </w:rPr>
        <w:t>and</w:t>
      </w:r>
      <w:r w:rsidR="003F45FB">
        <w:rPr>
          <w:rFonts w:ascii="Times New Roman" w:hAnsi="Times New Roman" w:cs="Times New Roman"/>
          <w:sz w:val="28"/>
          <w:szCs w:val="28"/>
        </w:rPr>
        <w:t xml:space="preserve"> 175 of the </w:t>
      </w:r>
      <w:r w:rsidR="003F45FB">
        <w:rPr>
          <w:rFonts w:ascii="Times New Roman" w:hAnsi="Times New Roman" w:cs="Times New Roman"/>
          <w:i/>
          <w:iCs/>
          <w:sz w:val="28"/>
          <w:szCs w:val="28"/>
        </w:rPr>
        <w:t xml:space="preserve">Rules of the Supreme Court of the Northwest Territories, </w:t>
      </w:r>
      <w:r w:rsidR="003F45FB">
        <w:rPr>
          <w:rFonts w:ascii="Times New Roman" w:hAnsi="Times New Roman" w:cs="Times New Roman"/>
          <w:sz w:val="28"/>
          <w:szCs w:val="28"/>
        </w:rPr>
        <w:t xml:space="preserve">R-010-96, </w:t>
      </w:r>
      <w:r w:rsidR="00EC5A06">
        <w:rPr>
          <w:rFonts w:ascii="Times New Roman" w:hAnsi="Times New Roman" w:cs="Times New Roman"/>
          <w:sz w:val="28"/>
          <w:szCs w:val="28"/>
        </w:rPr>
        <w:t>respectively.  These</w:t>
      </w:r>
      <w:r w:rsidR="003F45FB">
        <w:rPr>
          <w:rFonts w:ascii="Times New Roman" w:hAnsi="Times New Roman" w:cs="Times New Roman"/>
          <w:sz w:val="28"/>
          <w:szCs w:val="28"/>
        </w:rPr>
        <w:t xml:space="preserve"> are </w:t>
      </w:r>
      <w:r w:rsidR="00FE6C06" w:rsidRPr="003F45FB">
        <w:rPr>
          <w:rFonts w:ascii="Times New Roman" w:hAnsi="Times New Roman" w:cs="Times New Roman"/>
          <w:sz w:val="28"/>
          <w:szCs w:val="28"/>
        </w:rPr>
        <w:t xml:space="preserve">incorporated by reference into the Territorial Court’s </w:t>
      </w:r>
      <w:r w:rsidR="00FE6C06" w:rsidRPr="003F45FB">
        <w:rPr>
          <w:rFonts w:ascii="Times New Roman" w:hAnsi="Times New Roman" w:cs="Times New Roman"/>
          <w:i/>
          <w:iCs/>
          <w:sz w:val="28"/>
          <w:szCs w:val="28"/>
        </w:rPr>
        <w:t xml:space="preserve">Civil Claims Rules, </w:t>
      </w:r>
      <w:r w:rsidR="00FE6C06" w:rsidRPr="003F45FB">
        <w:rPr>
          <w:rFonts w:ascii="Times New Roman" w:hAnsi="Times New Roman" w:cs="Times New Roman"/>
          <w:sz w:val="28"/>
          <w:szCs w:val="28"/>
        </w:rPr>
        <w:t>R 122-2016, by r 22(18).</w:t>
      </w:r>
      <w:r w:rsidR="00EC5A06">
        <w:rPr>
          <w:rFonts w:ascii="Times New Roman" w:hAnsi="Times New Roman" w:cs="Times New Roman"/>
          <w:sz w:val="28"/>
          <w:szCs w:val="28"/>
        </w:rPr>
        <w:t xml:space="preserve"> </w:t>
      </w:r>
      <w:r w:rsidR="00F9532A">
        <w:rPr>
          <w:rFonts w:ascii="Times New Roman" w:hAnsi="Times New Roman" w:cs="Times New Roman"/>
          <w:sz w:val="28"/>
          <w:szCs w:val="28"/>
        </w:rPr>
        <w:t xml:space="preserve"> Rule 129(1)(a)(iv) permits the Court to strike out an action for abuse of process and r 175 permits the Court to dismiss an action summarily where it finds there is no genuine issue for trial.</w:t>
      </w:r>
    </w:p>
    <w:p w14:paraId="0D8974DD" w14:textId="6E11DAC5" w:rsidR="003F3AC9" w:rsidRDefault="00E762C5" w:rsidP="008A4286">
      <w:pPr>
        <w:pStyle w:val="ListParagraph"/>
        <w:numPr>
          <w:ilvl w:val="0"/>
          <w:numId w:val="10"/>
        </w:numPr>
        <w:spacing w:after="240" w:line="240" w:lineRule="auto"/>
        <w:contextualSpacing w:val="0"/>
        <w:jc w:val="both"/>
        <w:rPr>
          <w:rFonts w:ascii="Times New Roman" w:hAnsi="Times New Roman" w:cs="Times New Roman"/>
          <w:sz w:val="28"/>
          <w:szCs w:val="28"/>
        </w:rPr>
        <w:sectPr w:rsidR="003F3AC9" w:rsidSect="00593E5D">
          <w:pgSz w:w="12240" w:h="15840"/>
          <w:pgMar w:top="1440" w:right="1440" w:bottom="1440" w:left="1440" w:header="720" w:footer="720" w:gutter="0"/>
          <w:pgNumType w:start="2"/>
          <w:cols w:space="720"/>
          <w:titlePg/>
          <w:docGrid w:linePitch="360"/>
        </w:sectPr>
      </w:pPr>
      <w:r w:rsidRPr="00E762C5">
        <w:rPr>
          <w:rFonts w:ascii="Times New Roman" w:hAnsi="Times New Roman" w:cs="Times New Roman"/>
          <w:sz w:val="28"/>
          <w:szCs w:val="28"/>
        </w:rPr>
        <w:t>T</w:t>
      </w:r>
      <w:r w:rsidR="00EC5A06" w:rsidRPr="00E762C5">
        <w:rPr>
          <w:rFonts w:ascii="Times New Roman" w:hAnsi="Times New Roman" w:cs="Times New Roman"/>
          <w:sz w:val="28"/>
          <w:szCs w:val="28"/>
        </w:rPr>
        <w:t>he Respondent</w:t>
      </w:r>
      <w:r w:rsidRPr="00E762C5">
        <w:rPr>
          <w:rFonts w:ascii="Times New Roman" w:hAnsi="Times New Roman" w:cs="Times New Roman"/>
          <w:sz w:val="28"/>
          <w:szCs w:val="28"/>
        </w:rPr>
        <w:t xml:space="preserve">, Evert </w:t>
      </w:r>
      <w:proofErr w:type="spellStart"/>
      <w:r w:rsidRPr="00E762C5">
        <w:rPr>
          <w:rFonts w:ascii="Times New Roman" w:hAnsi="Times New Roman" w:cs="Times New Roman"/>
          <w:sz w:val="28"/>
          <w:szCs w:val="28"/>
        </w:rPr>
        <w:t>Rylund</w:t>
      </w:r>
      <w:proofErr w:type="spellEnd"/>
      <w:r w:rsidR="00EC5A06" w:rsidRPr="00E762C5">
        <w:rPr>
          <w:rFonts w:ascii="Times New Roman" w:hAnsi="Times New Roman" w:cs="Times New Roman"/>
          <w:sz w:val="28"/>
          <w:szCs w:val="28"/>
        </w:rPr>
        <w:t xml:space="preserve"> (“Ryland”)</w:t>
      </w:r>
      <w:r w:rsidRPr="00E762C5">
        <w:rPr>
          <w:rFonts w:ascii="Times New Roman" w:hAnsi="Times New Roman" w:cs="Times New Roman"/>
          <w:sz w:val="28"/>
          <w:szCs w:val="28"/>
        </w:rPr>
        <w:t>,</w:t>
      </w:r>
      <w:r w:rsidR="00EC5A06" w:rsidRPr="00E762C5">
        <w:rPr>
          <w:rFonts w:ascii="Times New Roman" w:hAnsi="Times New Roman" w:cs="Times New Roman"/>
          <w:sz w:val="28"/>
          <w:szCs w:val="28"/>
        </w:rPr>
        <w:t xml:space="preserve"> brought a claim in Territorial Court seeking damages for breach of contract from the PSAC.  Specifically, he claims he entered a contract with the PSAC under which he would provide his personal vehicle to haul equipment and materials to a temporary worksite the PSAC had set up </w:t>
      </w:r>
      <w:r w:rsidR="00C801D4" w:rsidRPr="00E762C5">
        <w:rPr>
          <w:rFonts w:ascii="Times New Roman" w:hAnsi="Times New Roman" w:cs="Times New Roman"/>
          <w:sz w:val="28"/>
          <w:szCs w:val="28"/>
        </w:rPr>
        <w:t xml:space="preserve">for a snow carving project. </w:t>
      </w:r>
      <w:r w:rsidR="00D3681F" w:rsidRPr="00E762C5">
        <w:rPr>
          <w:rFonts w:ascii="Times New Roman" w:hAnsi="Times New Roman" w:cs="Times New Roman"/>
          <w:sz w:val="28"/>
          <w:szCs w:val="28"/>
        </w:rPr>
        <w:t xml:space="preserve"> </w:t>
      </w:r>
      <w:r w:rsidR="00EC5A06" w:rsidRPr="00E762C5">
        <w:rPr>
          <w:rFonts w:ascii="Times New Roman" w:hAnsi="Times New Roman" w:cs="Times New Roman"/>
          <w:sz w:val="28"/>
          <w:szCs w:val="28"/>
        </w:rPr>
        <w:t>At all material times the PSAC was Ryland’s employer</w:t>
      </w:r>
      <w:r w:rsidR="00C801D4" w:rsidRPr="00E762C5">
        <w:rPr>
          <w:rFonts w:ascii="Times New Roman" w:hAnsi="Times New Roman" w:cs="Times New Roman"/>
          <w:sz w:val="28"/>
          <w:szCs w:val="28"/>
        </w:rPr>
        <w:t xml:space="preserve"> and Ryland attended at the temporary worksite and was paid for his work on the project as an employee</w:t>
      </w:r>
      <w:r w:rsidR="00EC5A06" w:rsidRPr="00E762C5">
        <w:rPr>
          <w:rFonts w:ascii="Times New Roman" w:hAnsi="Times New Roman" w:cs="Times New Roman"/>
          <w:sz w:val="28"/>
          <w:szCs w:val="28"/>
        </w:rPr>
        <w:t xml:space="preserve">. </w:t>
      </w:r>
      <w:r w:rsidR="00D3681F" w:rsidRPr="00E762C5">
        <w:rPr>
          <w:rFonts w:ascii="Times New Roman" w:hAnsi="Times New Roman" w:cs="Times New Roman"/>
          <w:sz w:val="28"/>
          <w:szCs w:val="28"/>
        </w:rPr>
        <w:t xml:space="preserve"> </w:t>
      </w:r>
      <w:r w:rsidR="00EC5A06" w:rsidRPr="00E762C5">
        <w:rPr>
          <w:rFonts w:ascii="Times New Roman" w:hAnsi="Times New Roman" w:cs="Times New Roman"/>
          <w:sz w:val="28"/>
          <w:szCs w:val="28"/>
        </w:rPr>
        <w:t>Ryland’s position was within a bargaining unit represented by the Canadian Union of Labour Employees (</w:t>
      </w:r>
      <w:r w:rsidR="002B1299" w:rsidRPr="00E762C5">
        <w:rPr>
          <w:rFonts w:ascii="Times New Roman" w:hAnsi="Times New Roman" w:cs="Times New Roman"/>
          <w:sz w:val="28"/>
          <w:szCs w:val="28"/>
        </w:rPr>
        <w:t xml:space="preserve">the </w:t>
      </w:r>
      <w:r w:rsidR="00EC5A06" w:rsidRPr="00E762C5">
        <w:rPr>
          <w:rFonts w:ascii="Times New Roman" w:hAnsi="Times New Roman" w:cs="Times New Roman"/>
          <w:sz w:val="28"/>
          <w:szCs w:val="28"/>
        </w:rPr>
        <w:t>“CULE”)</w:t>
      </w:r>
      <w:r w:rsidR="003F3AC9">
        <w:rPr>
          <w:rFonts w:ascii="Times New Roman" w:hAnsi="Times New Roman" w:cs="Times New Roman"/>
          <w:sz w:val="28"/>
          <w:szCs w:val="28"/>
        </w:rPr>
        <w:t xml:space="preserve"> and the</w:t>
      </w:r>
    </w:p>
    <w:p w14:paraId="3E2C9600" w14:textId="5E26FA96" w:rsidR="00C801D4" w:rsidRPr="00E762C5" w:rsidRDefault="002B1299" w:rsidP="00126F0C">
      <w:pPr>
        <w:pStyle w:val="ListParagraph"/>
        <w:spacing w:after="240" w:line="240" w:lineRule="auto"/>
        <w:ind w:left="0"/>
        <w:contextualSpacing w:val="0"/>
        <w:jc w:val="both"/>
        <w:rPr>
          <w:rFonts w:ascii="Times New Roman" w:hAnsi="Times New Roman" w:cs="Times New Roman"/>
          <w:b/>
          <w:sz w:val="28"/>
          <w:szCs w:val="28"/>
        </w:rPr>
      </w:pPr>
      <w:r w:rsidRPr="00E762C5">
        <w:rPr>
          <w:rFonts w:ascii="Times New Roman" w:hAnsi="Times New Roman" w:cs="Times New Roman"/>
          <w:sz w:val="28"/>
          <w:szCs w:val="28"/>
        </w:rPr>
        <w:lastRenderedPageBreak/>
        <w:t>terms and conditions of his employment were governed by collective agreement between the PSAC and the CULE</w:t>
      </w:r>
      <w:r w:rsidR="00EC5A06" w:rsidRPr="00E762C5">
        <w:rPr>
          <w:rFonts w:ascii="Times New Roman" w:hAnsi="Times New Roman" w:cs="Times New Roman"/>
          <w:sz w:val="28"/>
          <w:szCs w:val="28"/>
        </w:rPr>
        <w:t>.</w:t>
      </w:r>
      <w:r w:rsidRPr="00E762C5">
        <w:rPr>
          <w:rFonts w:ascii="Times New Roman" w:hAnsi="Times New Roman" w:cs="Times New Roman"/>
          <w:sz w:val="28"/>
          <w:szCs w:val="28"/>
        </w:rPr>
        <w:t xml:space="preserve"> </w:t>
      </w:r>
    </w:p>
    <w:p w14:paraId="4F8361BB" w14:textId="77777777" w:rsidR="002B1299" w:rsidRPr="002B1299" w:rsidRDefault="00E04C9D" w:rsidP="003F45FB">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In its application</w:t>
      </w:r>
      <w:r w:rsidR="00DC7F2B">
        <w:rPr>
          <w:rFonts w:ascii="Times New Roman" w:hAnsi="Times New Roman" w:cs="Times New Roman"/>
          <w:sz w:val="28"/>
          <w:szCs w:val="28"/>
        </w:rPr>
        <w:t xml:space="preserve"> before the Territorial Court</w:t>
      </w:r>
      <w:r>
        <w:rPr>
          <w:rFonts w:ascii="Times New Roman" w:hAnsi="Times New Roman" w:cs="Times New Roman"/>
          <w:sz w:val="28"/>
          <w:szCs w:val="28"/>
        </w:rPr>
        <w:t>, t</w:t>
      </w:r>
      <w:r w:rsidR="00C801D4">
        <w:rPr>
          <w:rFonts w:ascii="Times New Roman" w:hAnsi="Times New Roman" w:cs="Times New Roman"/>
          <w:sz w:val="28"/>
          <w:szCs w:val="28"/>
        </w:rPr>
        <w:t>he PSAC argued the</w:t>
      </w:r>
      <w:r w:rsidR="00A62CD7">
        <w:rPr>
          <w:rFonts w:ascii="Times New Roman" w:hAnsi="Times New Roman" w:cs="Times New Roman"/>
          <w:sz w:val="28"/>
          <w:szCs w:val="28"/>
        </w:rPr>
        <w:t xml:space="preserve"> action was an abuse of process</w:t>
      </w:r>
      <w:r w:rsidR="00C801D4">
        <w:rPr>
          <w:rFonts w:ascii="Times New Roman" w:hAnsi="Times New Roman" w:cs="Times New Roman"/>
          <w:sz w:val="28"/>
          <w:szCs w:val="28"/>
        </w:rPr>
        <w:t xml:space="preserve"> </w:t>
      </w:r>
      <w:r w:rsidR="004D45E4">
        <w:rPr>
          <w:rFonts w:ascii="Times New Roman" w:hAnsi="Times New Roman" w:cs="Times New Roman"/>
          <w:sz w:val="28"/>
          <w:szCs w:val="28"/>
        </w:rPr>
        <w:t xml:space="preserve">or alternatively, </w:t>
      </w:r>
      <w:r w:rsidR="00A62CD7">
        <w:rPr>
          <w:rFonts w:ascii="Times New Roman" w:hAnsi="Times New Roman" w:cs="Times New Roman"/>
          <w:sz w:val="28"/>
          <w:szCs w:val="28"/>
        </w:rPr>
        <w:t xml:space="preserve">there was </w:t>
      </w:r>
      <w:r w:rsidR="004D45E4">
        <w:rPr>
          <w:rFonts w:ascii="Times New Roman" w:hAnsi="Times New Roman" w:cs="Times New Roman"/>
          <w:sz w:val="28"/>
          <w:szCs w:val="28"/>
        </w:rPr>
        <w:t>no genuine issue for trial</w:t>
      </w:r>
      <w:r>
        <w:rPr>
          <w:rFonts w:ascii="Times New Roman" w:hAnsi="Times New Roman" w:cs="Times New Roman"/>
          <w:sz w:val="28"/>
          <w:szCs w:val="28"/>
        </w:rPr>
        <w:t xml:space="preserve"> on the basis of </w:t>
      </w:r>
      <w:r w:rsidR="00616043" w:rsidRPr="00616043">
        <w:rPr>
          <w:rFonts w:ascii="Times New Roman" w:hAnsi="Times New Roman" w:cs="Times New Roman"/>
          <w:i/>
          <w:iCs/>
          <w:sz w:val="28"/>
          <w:szCs w:val="28"/>
        </w:rPr>
        <w:t>Weber v Ontario Hydro</w:t>
      </w:r>
      <w:r w:rsidR="00616043" w:rsidRPr="00616043">
        <w:rPr>
          <w:rFonts w:ascii="Times New Roman" w:hAnsi="Times New Roman" w:cs="Times New Roman"/>
          <w:sz w:val="28"/>
          <w:szCs w:val="28"/>
        </w:rPr>
        <w:t> </w:t>
      </w:r>
      <w:hyperlink r:id="rId12" w:history="1">
        <w:r w:rsidR="00616043" w:rsidRPr="00616043">
          <w:rPr>
            <w:rStyle w:val="Hyperlink"/>
            <w:rFonts w:ascii="Times New Roman" w:hAnsi="Times New Roman" w:cs="Times New Roman"/>
            <w:color w:val="auto"/>
            <w:sz w:val="28"/>
            <w:szCs w:val="28"/>
            <w:u w:val="none"/>
          </w:rPr>
          <w:t>1995 CanLII 108 (SCC)</w:t>
        </w:r>
      </w:hyperlink>
      <w:r w:rsidR="00616043" w:rsidRPr="00616043">
        <w:rPr>
          <w:rFonts w:ascii="Times New Roman" w:hAnsi="Times New Roman" w:cs="Times New Roman"/>
          <w:sz w:val="28"/>
          <w:szCs w:val="28"/>
        </w:rPr>
        <w:t xml:space="preserve">, [1995] 2 SCR 929 </w:t>
      </w:r>
      <w:r w:rsidR="00CF0681" w:rsidRPr="00CF0681">
        <w:rPr>
          <w:rFonts w:ascii="Times New Roman" w:hAnsi="Times New Roman" w:cs="Times New Roman"/>
          <w:i/>
          <w:iCs/>
          <w:sz w:val="28"/>
          <w:szCs w:val="28"/>
        </w:rPr>
        <w:t>(Weber)</w:t>
      </w:r>
      <w:r w:rsidR="00CF0681">
        <w:rPr>
          <w:rFonts w:ascii="Times New Roman" w:hAnsi="Times New Roman" w:cs="Times New Roman"/>
          <w:sz w:val="28"/>
          <w:szCs w:val="28"/>
        </w:rPr>
        <w:t xml:space="preserve"> </w:t>
      </w:r>
      <w:r w:rsidR="00616043" w:rsidRPr="00CF0681">
        <w:rPr>
          <w:rFonts w:ascii="Times New Roman" w:hAnsi="Times New Roman" w:cs="Times New Roman"/>
          <w:sz w:val="28"/>
          <w:szCs w:val="28"/>
        </w:rPr>
        <w:t>and</w:t>
      </w:r>
      <w:r w:rsidR="00616043" w:rsidRPr="00616043">
        <w:rPr>
          <w:rFonts w:ascii="Times New Roman" w:hAnsi="Times New Roman" w:cs="Times New Roman"/>
          <w:sz w:val="28"/>
          <w:szCs w:val="28"/>
        </w:rPr>
        <w:t xml:space="preserve"> </w:t>
      </w:r>
      <w:r w:rsidR="00616043" w:rsidRPr="00616043">
        <w:rPr>
          <w:rFonts w:ascii="Times New Roman" w:hAnsi="Times New Roman" w:cs="Times New Roman"/>
          <w:i/>
          <w:iCs/>
          <w:sz w:val="28"/>
          <w:szCs w:val="28"/>
        </w:rPr>
        <w:t>New Brunswick v O’Leary</w:t>
      </w:r>
      <w:r w:rsidR="00616043" w:rsidRPr="00616043">
        <w:rPr>
          <w:rFonts w:ascii="Times New Roman" w:hAnsi="Times New Roman" w:cs="Times New Roman"/>
          <w:sz w:val="28"/>
          <w:szCs w:val="28"/>
        </w:rPr>
        <w:t> </w:t>
      </w:r>
      <w:hyperlink r:id="rId13" w:history="1">
        <w:r w:rsidR="00616043" w:rsidRPr="00616043">
          <w:rPr>
            <w:rStyle w:val="Hyperlink"/>
            <w:rFonts w:ascii="Times New Roman" w:hAnsi="Times New Roman" w:cs="Times New Roman"/>
            <w:color w:val="auto"/>
            <w:sz w:val="28"/>
            <w:szCs w:val="28"/>
            <w:u w:val="none"/>
          </w:rPr>
          <w:t>1995 CanLII 109 (SCC)</w:t>
        </w:r>
      </w:hyperlink>
      <w:r w:rsidR="00616043" w:rsidRPr="00616043">
        <w:rPr>
          <w:rFonts w:ascii="Times New Roman" w:hAnsi="Times New Roman" w:cs="Times New Roman"/>
          <w:sz w:val="28"/>
          <w:szCs w:val="28"/>
        </w:rPr>
        <w:t>, [1995] 2 SCR 967</w:t>
      </w:r>
      <w:r w:rsidR="004E356C">
        <w:rPr>
          <w:rFonts w:ascii="Times New Roman" w:hAnsi="Times New Roman" w:cs="Times New Roman"/>
          <w:sz w:val="28"/>
          <w:szCs w:val="28"/>
        </w:rPr>
        <w:t xml:space="preserve"> </w:t>
      </w:r>
      <w:r w:rsidR="00455DBB">
        <w:rPr>
          <w:rFonts w:ascii="Times New Roman" w:hAnsi="Times New Roman" w:cs="Times New Roman"/>
          <w:sz w:val="28"/>
          <w:szCs w:val="28"/>
        </w:rPr>
        <w:t>(</w:t>
      </w:r>
      <w:r w:rsidR="00CF0681" w:rsidRPr="00CF0681">
        <w:rPr>
          <w:rFonts w:ascii="Times New Roman" w:hAnsi="Times New Roman" w:cs="Times New Roman"/>
          <w:i/>
          <w:iCs/>
          <w:sz w:val="28"/>
          <w:szCs w:val="28"/>
        </w:rPr>
        <w:t>O’Leary</w:t>
      </w:r>
      <w:r w:rsidR="00103D66">
        <w:rPr>
          <w:rFonts w:ascii="Times New Roman" w:hAnsi="Times New Roman" w:cs="Times New Roman"/>
          <w:i/>
          <w:iCs/>
          <w:sz w:val="28"/>
          <w:szCs w:val="28"/>
        </w:rPr>
        <w:t>).</w:t>
      </w:r>
      <w:r w:rsidR="00D3681F">
        <w:rPr>
          <w:rFonts w:ascii="Times New Roman" w:hAnsi="Times New Roman" w:cs="Times New Roman"/>
          <w:i/>
          <w:iCs/>
          <w:sz w:val="28"/>
          <w:szCs w:val="28"/>
        </w:rPr>
        <w:t xml:space="preserve"> </w:t>
      </w:r>
      <w:r w:rsidR="00CF0681">
        <w:rPr>
          <w:rFonts w:ascii="Times New Roman" w:hAnsi="Times New Roman" w:cs="Times New Roman"/>
          <w:i/>
          <w:iCs/>
          <w:sz w:val="28"/>
          <w:szCs w:val="28"/>
        </w:rPr>
        <w:t xml:space="preserve"> </w:t>
      </w:r>
      <w:r w:rsidR="00CF0681">
        <w:rPr>
          <w:rFonts w:ascii="Times New Roman" w:hAnsi="Times New Roman" w:cs="Times New Roman"/>
          <w:sz w:val="28"/>
          <w:szCs w:val="28"/>
        </w:rPr>
        <w:t xml:space="preserve">Under the legal framework set out in </w:t>
      </w:r>
      <w:r w:rsidR="00103D66" w:rsidRPr="00DC0CB0">
        <w:rPr>
          <w:rFonts w:ascii="Times New Roman" w:hAnsi="Times New Roman" w:cs="Times New Roman"/>
          <w:i/>
          <w:iCs/>
          <w:sz w:val="28"/>
          <w:szCs w:val="28"/>
        </w:rPr>
        <w:t>Weber</w:t>
      </w:r>
      <w:r w:rsidR="00CF0681">
        <w:rPr>
          <w:rFonts w:ascii="Times New Roman" w:hAnsi="Times New Roman" w:cs="Times New Roman"/>
          <w:sz w:val="28"/>
          <w:szCs w:val="28"/>
        </w:rPr>
        <w:t xml:space="preserve"> and </w:t>
      </w:r>
      <w:r w:rsidR="00CF0681" w:rsidRPr="00CF0681">
        <w:rPr>
          <w:rFonts w:ascii="Times New Roman" w:hAnsi="Times New Roman" w:cs="Times New Roman"/>
          <w:i/>
          <w:iCs/>
          <w:sz w:val="28"/>
          <w:szCs w:val="28"/>
        </w:rPr>
        <w:t>O’Leary</w:t>
      </w:r>
      <w:r w:rsidR="00CD1696">
        <w:rPr>
          <w:rFonts w:ascii="Times New Roman" w:hAnsi="Times New Roman" w:cs="Times New Roman"/>
          <w:i/>
          <w:iCs/>
          <w:sz w:val="28"/>
          <w:szCs w:val="28"/>
        </w:rPr>
        <w:t xml:space="preserve"> </w:t>
      </w:r>
      <w:r w:rsidR="00CD1696">
        <w:rPr>
          <w:rFonts w:ascii="Times New Roman" w:hAnsi="Times New Roman" w:cs="Times New Roman"/>
          <w:sz w:val="28"/>
          <w:szCs w:val="28"/>
        </w:rPr>
        <w:t xml:space="preserve">(collectively, </w:t>
      </w:r>
      <w:r w:rsidR="00CD1696">
        <w:rPr>
          <w:rFonts w:ascii="Times New Roman" w:hAnsi="Times New Roman" w:cs="Times New Roman"/>
          <w:i/>
          <w:iCs/>
          <w:sz w:val="28"/>
          <w:szCs w:val="28"/>
        </w:rPr>
        <w:t>“Weber”</w:t>
      </w:r>
      <w:r w:rsidR="00CD1696">
        <w:rPr>
          <w:rFonts w:ascii="Times New Roman" w:hAnsi="Times New Roman" w:cs="Times New Roman"/>
          <w:sz w:val="28"/>
          <w:szCs w:val="28"/>
        </w:rPr>
        <w:t>),</w:t>
      </w:r>
      <w:r w:rsidR="00CF0681">
        <w:rPr>
          <w:rFonts w:ascii="Times New Roman" w:hAnsi="Times New Roman" w:cs="Times New Roman"/>
          <w:i/>
          <w:iCs/>
          <w:sz w:val="28"/>
          <w:szCs w:val="28"/>
        </w:rPr>
        <w:t xml:space="preserve"> </w:t>
      </w:r>
      <w:r w:rsidR="00AC491A" w:rsidRPr="00CD1696">
        <w:rPr>
          <w:rFonts w:ascii="Times New Roman" w:hAnsi="Times New Roman" w:cs="Times New Roman"/>
          <w:sz w:val="28"/>
          <w:szCs w:val="28"/>
        </w:rPr>
        <w:t>in</w:t>
      </w:r>
      <w:r w:rsidR="00AC491A">
        <w:rPr>
          <w:rFonts w:ascii="Times New Roman" w:hAnsi="Times New Roman" w:cs="Times New Roman"/>
          <w:sz w:val="28"/>
          <w:szCs w:val="28"/>
        </w:rPr>
        <w:t xml:space="preserve"> a unionized workplace</w:t>
      </w:r>
      <w:r w:rsidR="001D7C74" w:rsidRPr="00DC0CB0">
        <w:rPr>
          <w:rFonts w:ascii="Times New Roman" w:hAnsi="Times New Roman" w:cs="Times New Roman"/>
          <w:sz w:val="28"/>
          <w:szCs w:val="28"/>
        </w:rPr>
        <w:t xml:space="preserve">, </w:t>
      </w:r>
      <w:r w:rsidR="001D7C74" w:rsidRPr="00DC0CB0">
        <w:rPr>
          <w:rFonts w:ascii="Times New Roman" w:hAnsi="Times New Roman" w:cs="Times New Roman"/>
          <w:color w:val="000000"/>
          <w:sz w:val="28"/>
          <w:szCs w:val="28"/>
        </w:rPr>
        <w:t>disputes between employees and employers arising expressly or inferentially under a collective agreement fall within the exclusive jurisdiction of labour arbitrators</w:t>
      </w:r>
      <w:r w:rsidR="004D1517">
        <w:rPr>
          <w:rFonts w:ascii="Times New Roman" w:hAnsi="Times New Roman" w:cs="Times New Roman"/>
          <w:color w:val="000000"/>
          <w:sz w:val="28"/>
          <w:szCs w:val="28"/>
        </w:rPr>
        <w:t>.</w:t>
      </w:r>
      <w:r w:rsidR="0070257F">
        <w:rPr>
          <w:rFonts w:ascii="Times New Roman" w:hAnsi="Times New Roman" w:cs="Times New Roman"/>
          <w:color w:val="000000"/>
          <w:sz w:val="28"/>
          <w:szCs w:val="28"/>
        </w:rPr>
        <w:t xml:space="preserve"> </w:t>
      </w:r>
      <w:r w:rsidR="00D3681F">
        <w:rPr>
          <w:rFonts w:ascii="Times New Roman" w:hAnsi="Times New Roman" w:cs="Times New Roman"/>
          <w:color w:val="000000"/>
          <w:sz w:val="28"/>
          <w:szCs w:val="28"/>
        </w:rPr>
        <w:t xml:space="preserve"> </w:t>
      </w:r>
      <w:r w:rsidR="00397879">
        <w:rPr>
          <w:rFonts w:ascii="Times New Roman" w:hAnsi="Times New Roman" w:cs="Times New Roman"/>
          <w:color w:val="000000"/>
          <w:sz w:val="28"/>
          <w:szCs w:val="28"/>
        </w:rPr>
        <w:t>Courts applying</w:t>
      </w:r>
      <w:r w:rsidR="00CF0681">
        <w:rPr>
          <w:rFonts w:ascii="Times New Roman" w:hAnsi="Times New Roman" w:cs="Times New Roman"/>
          <w:color w:val="000000"/>
          <w:sz w:val="28"/>
          <w:szCs w:val="28"/>
        </w:rPr>
        <w:t xml:space="preserve"> a</w:t>
      </w:r>
      <w:r w:rsidR="00397879">
        <w:rPr>
          <w:rFonts w:ascii="Times New Roman" w:hAnsi="Times New Roman" w:cs="Times New Roman"/>
          <w:color w:val="000000"/>
          <w:sz w:val="28"/>
          <w:szCs w:val="28"/>
        </w:rPr>
        <w:t xml:space="preserve"> </w:t>
      </w:r>
      <w:r w:rsidR="00397879">
        <w:rPr>
          <w:rFonts w:ascii="Times New Roman" w:hAnsi="Times New Roman" w:cs="Times New Roman"/>
          <w:i/>
          <w:iCs/>
          <w:color w:val="000000"/>
          <w:sz w:val="28"/>
          <w:szCs w:val="28"/>
        </w:rPr>
        <w:t xml:space="preserve">Weber </w:t>
      </w:r>
      <w:r w:rsidR="00CF0681">
        <w:rPr>
          <w:rFonts w:ascii="Times New Roman" w:hAnsi="Times New Roman" w:cs="Times New Roman"/>
          <w:color w:val="000000"/>
          <w:sz w:val="28"/>
          <w:szCs w:val="28"/>
        </w:rPr>
        <w:t xml:space="preserve">analysis </w:t>
      </w:r>
      <w:r w:rsidR="00397879">
        <w:rPr>
          <w:rFonts w:ascii="Times New Roman" w:hAnsi="Times New Roman" w:cs="Times New Roman"/>
          <w:color w:val="000000"/>
          <w:sz w:val="28"/>
          <w:szCs w:val="28"/>
        </w:rPr>
        <w:t xml:space="preserve">are tasked with determining the essential character of the dispute between the employer and employee and are not limited by </w:t>
      </w:r>
      <w:r w:rsidR="004061D8">
        <w:rPr>
          <w:rFonts w:ascii="Times New Roman" w:hAnsi="Times New Roman" w:cs="Times New Roman"/>
          <w:color w:val="000000"/>
          <w:sz w:val="28"/>
          <w:szCs w:val="28"/>
        </w:rPr>
        <w:t>how</w:t>
      </w:r>
      <w:r w:rsidR="00397879">
        <w:rPr>
          <w:rFonts w:ascii="Times New Roman" w:hAnsi="Times New Roman" w:cs="Times New Roman"/>
          <w:color w:val="000000"/>
          <w:sz w:val="28"/>
          <w:szCs w:val="28"/>
        </w:rPr>
        <w:t xml:space="preserve"> the action is framed.</w:t>
      </w:r>
    </w:p>
    <w:p w14:paraId="7E4913B4" w14:textId="77777777" w:rsidR="002B1299" w:rsidRPr="002B1299" w:rsidRDefault="0070257F" w:rsidP="003F45FB">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color w:val="000000"/>
          <w:sz w:val="28"/>
          <w:szCs w:val="28"/>
        </w:rPr>
        <w:t xml:space="preserve">The PSAC’s position </w:t>
      </w:r>
      <w:r w:rsidR="00FE4EF9">
        <w:rPr>
          <w:rFonts w:ascii="Times New Roman" w:hAnsi="Times New Roman" w:cs="Times New Roman"/>
          <w:color w:val="000000"/>
          <w:sz w:val="28"/>
          <w:szCs w:val="28"/>
        </w:rPr>
        <w:t xml:space="preserve">in the Territorial Court and in this appeal is the dispute </w:t>
      </w:r>
      <w:r w:rsidR="00403527">
        <w:rPr>
          <w:rFonts w:ascii="Times New Roman" w:hAnsi="Times New Roman" w:cs="Times New Roman"/>
          <w:color w:val="000000"/>
          <w:sz w:val="28"/>
          <w:szCs w:val="28"/>
        </w:rPr>
        <w:t>in this case f</w:t>
      </w:r>
      <w:r w:rsidR="00FE4EF9">
        <w:rPr>
          <w:rFonts w:ascii="Times New Roman" w:hAnsi="Times New Roman" w:cs="Times New Roman"/>
          <w:color w:val="000000"/>
          <w:sz w:val="28"/>
          <w:szCs w:val="28"/>
        </w:rPr>
        <w:t>alls squarely within the collective agreement</w:t>
      </w:r>
      <w:r w:rsidR="00403527">
        <w:rPr>
          <w:rFonts w:ascii="Times New Roman" w:hAnsi="Times New Roman" w:cs="Times New Roman"/>
          <w:color w:val="000000"/>
          <w:sz w:val="28"/>
          <w:szCs w:val="28"/>
        </w:rPr>
        <w:t>, despite being framed in contract</w:t>
      </w:r>
      <w:r w:rsidR="00556FA1">
        <w:rPr>
          <w:rFonts w:ascii="Times New Roman" w:hAnsi="Times New Roman" w:cs="Times New Roman"/>
          <w:color w:val="000000"/>
          <w:sz w:val="28"/>
          <w:szCs w:val="28"/>
        </w:rPr>
        <w:t xml:space="preserve">.  As such, </w:t>
      </w:r>
      <w:r w:rsidR="00403527">
        <w:rPr>
          <w:rFonts w:ascii="Times New Roman" w:hAnsi="Times New Roman" w:cs="Times New Roman"/>
          <w:color w:val="000000"/>
          <w:sz w:val="28"/>
          <w:szCs w:val="28"/>
        </w:rPr>
        <w:t xml:space="preserve">the Territorial Court does not have jurisdiction to determine Ryland’s suit. </w:t>
      </w:r>
    </w:p>
    <w:p w14:paraId="5485D940" w14:textId="77777777" w:rsidR="00EC5A06" w:rsidRPr="00DC0CB0" w:rsidRDefault="00556FA1" w:rsidP="003F45FB">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color w:val="000000"/>
          <w:sz w:val="28"/>
          <w:szCs w:val="28"/>
        </w:rPr>
        <w:t xml:space="preserve">Ryland’s view is the parties entered into a contractual arrangement, distinct from </w:t>
      </w:r>
      <w:r w:rsidR="00C324F5">
        <w:rPr>
          <w:rFonts w:ascii="Times New Roman" w:hAnsi="Times New Roman" w:cs="Times New Roman"/>
          <w:color w:val="000000"/>
          <w:sz w:val="28"/>
          <w:szCs w:val="28"/>
        </w:rPr>
        <w:t xml:space="preserve">Ryland’s terms of employment. </w:t>
      </w:r>
    </w:p>
    <w:p w14:paraId="2DEC45A4" w14:textId="77777777" w:rsidR="0015279B" w:rsidRPr="00FE6C06" w:rsidRDefault="0015279B" w:rsidP="00FE6C06">
      <w:pPr>
        <w:pStyle w:val="ListParagraph"/>
        <w:spacing w:after="240" w:line="240" w:lineRule="auto"/>
        <w:ind w:left="0"/>
        <w:contextualSpacing w:val="0"/>
        <w:jc w:val="both"/>
        <w:rPr>
          <w:rFonts w:ascii="Times New Roman" w:hAnsi="Times New Roman" w:cs="Times New Roman"/>
          <w:b/>
          <w:sz w:val="28"/>
          <w:szCs w:val="28"/>
        </w:rPr>
      </w:pPr>
      <w:r w:rsidRPr="00FE6C06">
        <w:rPr>
          <w:rFonts w:ascii="Times New Roman" w:hAnsi="Times New Roman" w:cs="Times New Roman"/>
          <w:b/>
          <w:sz w:val="28"/>
          <w:szCs w:val="28"/>
        </w:rPr>
        <w:t>FACTS</w:t>
      </w:r>
      <w:r w:rsidR="00397879">
        <w:rPr>
          <w:rFonts w:ascii="Times New Roman" w:hAnsi="Times New Roman" w:cs="Times New Roman"/>
          <w:b/>
          <w:sz w:val="28"/>
          <w:szCs w:val="28"/>
        </w:rPr>
        <w:t xml:space="preserve"> AND BACKGROUND</w:t>
      </w:r>
    </w:p>
    <w:p w14:paraId="5C3872CD" w14:textId="77777777" w:rsidR="0015279B" w:rsidRDefault="002B1299" w:rsidP="0015279B">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15279B">
        <w:rPr>
          <w:rFonts w:ascii="Times New Roman" w:hAnsi="Times New Roman" w:cs="Times New Roman"/>
          <w:sz w:val="28"/>
          <w:szCs w:val="28"/>
        </w:rPr>
        <w:t xml:space="preserve">collective agreement between </w:t>
      </w:r>
      <w:r>
        <w:rPr>
          <w:rFonts w:ascii="Times New Roman" w:hAnsi="Times New Roman" w:cs="Times New Roman"/>
          <w:sz w:val="28"/>
          <w:szCs w:val="28"/>
        </w:rPr>
        <w:t xml:space="preserve">the </w:t>
      </w:r>
      <w:r w:rsidR="0015279B">
        <w:rPr>
          <w:rFonts w:ascii="Times New Roman" w:hAnsi="Times New Roman" w:cs="Times New Roman"/>
          <w:sz w:val="28"/>
          <w:szCs w:val="28"/>
        </w:rPr>
        <w:t>PSAC and CULE</w:t>
      </w:r>
      <w:r>
        <w:rPr>
          <w:rFonts w:ascii="Times New Roman" w:hAnsi="Times New Roman" w:cs="Times New Roman"/>
          <w:sz w:val="28"/>
          <w:szCs w:val="28"/>
        </w:rPr>
        <w:t xml:space="preserve">, which sets out Ryland’s terms and conditions of employment, </w:t>
      </w:r>
      <w:r w:rsidR="0015279B" w:rsidRPr="008A69A9">
        <w:rPr>
          <w:rFonts w:ascii="Times New Roman" w:hAnsi="Times New Roman" w:cs="Times New Roman"/>
          <w:sz w:val="28"/>
          <w:szCs w:val="28"/>
        </w:rPr>
        <w:t xml:space="preserve">falls under the </w:t>
      </w:r>
      <w:r w:rsidR="0015279B" w:rsidRPr="008A69A9">
        <w:rPr>
          <w:rFonts w:ascii="Times New Roman" w:hAnsi="Times New Roman" w:cs="Times New Roman"/>
          <w:i/>
          <w:sz w:val="28"/>
          <w:szCs w:val="28"/>
        </w:rPr>
        <w:t>Canada Labour Code</w:t>
      </w:r>
      <w:r w:rsidR="0015279B">
        <w:rPr>
          <w:rFonts w:ascii="Times New Roman" w:hAnsi="Times New Roman" w:cs="Times New Roman"/>
          <w:i/>
          <w:sz w:val="28"/>
          <w:szCs w:val="28"/>
        </w:rPr>
        <w:t>,</w:t>
      </w:r>
      <w:r w:rsidR="0015279B" w:rsidRPr="0015279B">
        <w:rPr>
          <w:rFonts w:ascii="Times New Roman" w:hAnsi="Times New Roman" w:cs="Times New Roman"/>
          <w:sz w:val="28"/>
          <w:szCs w:val="28"/>
        </w:rPr>
        <w:t xml:space="preserve"> </w:t>
      </w:r>
      <w:r w:rsidR="0015279B" w:rsidRPr="00070CD5">
        <w:rPr>
          <w:rFonts w:ascii="Times New Roman" w:hAnsi="Times New Roman" w:cs="Times New Roman"/>
          <w:sz w:val="28"/>
          <w:szCs w:val="28"/>
        </w:rPr>
        <w:t>RSC 1985 c L-2</w:t>
      </w:r>
      <w:r w:rsidR="0015279B" w:rsidRPr="008A69A9">
        <w:rPr>
          <w:rFonts w:ascii="Times New Roman" w:hAnsi="Times New Roman" w:cs="Times New Roman"/>
          <w:sz w:val="28"/>
          <w:szCs w:val="28"/>
        </w:rPr>
        <w:t xml:space="preserve"> which provides</w:t>
      </w:r>
      <w:r w:rsidR="0015279B">
        <w:rPr>
          <w:rFonts w:ascii="Times New Roman" w:hAnsi="Times New Roman" w:cs="Times New Roman"/>
          <w:sz w:val="28"/>
          <w:szCs w:val="28"/>
        </w:rPr>
        <w:t>,</w:t>
      </w:r>
      <w:r w:rsidR="0015279B" w:rsidRPr="008A69A9">
        <w:rPr>
          <w:rFonts w:ascii="Times New Roman" w:hAnsi="Times New Roman" w:cs="Times New Roman"/>
          <w:sz w:val="28"/>
          <w:szCs w:val="28"/>
        </w:rPr>
        <w:t xml:space="preserve"> </w:t>
      </w:r>
      <w:r w:rsidR="0015279B">
        <w:rPr>
          <w:rFonts w:ascii="Times New Roman" w:hAnsi="Times New Roman" w:cs="Times New Roman"/>
          <w:sz w:val="28"/>
          <w:szCs w:val="28"/>
        </w:rPr>
        <w:t>in part:</w:t>
      </w:r>
    </w:p>
    <w:p w14:paraId="7C991496" w14:textId="77777777" w:rsidR="0015279B" w:rsidRDefault="0015279B" w:rsidP="0015279B">
      <w:pPr>
        <w:pStyle w:val="ListParagraph"/>
        <w:spacing w:after="0" w:line="240" w:lineRule="auto"/>
        <w:ind w:left="0"/>
        <w:jc w:val="both"/>
        <w:rPr>
          <w:rFonts w:ascii="Times New Roman" w:hAnsi="Times New Roman" w:cs="Times New Roman"/>
          <w:sz w:val="28"/>
          <w:szCs w:val="28"/>
        </w:rPr>
      </w:pPr>
    </w:p>
    <w:p w14:paraId="17B7B0D6" w14:textId="77777777" w:rsidR="0015279B" w:rsidRPr="00992F92" w:rsidRDefault="0015279B" w:rsidP="0015279B">
      <w:pPr>
        <w:spacing w:before="168" w:after="120" w:line="240" w:lineRule="auto"/>
        <w:ind w:left="720" w:right="737"/>
        <w:jc w:val="both"/>
        <w:rPr>
          <w:rFonts w:ascii="Times New Roman" w:eastAsia="Times New Roman" w:hAnsi="Times New Roman" w:cs="Times New Roman"/>
          <w:color w:val="000000"/>
          <w:sz w:val="24"/>
          <w:szCs w:val="24"/>
        </w:rPr>
      </w:pPr>
      <w:r w:rsidRPr="004F2D15">
        <w:rPr>
          <w:rFonts w:ascii="Times New Roman" w:eastAsia="Times New Roman" w:hAnsi="Times New Roman" w:cs="Times New Roman"/>
          <w:b/>
          <w:bCs/>
          <w:color w:val="000000"/>
          <w:sz w:val="24"/>
          <w:szCs w:val="24"/>
        </w:rPr>
        <w:t xml:space="preserve">56 </w:t>
      </w:r>
      <w:r w:rsidRPr="004F2D15">
        <w:rPr>
          <w:rFonts w:ascii="Times New Roman" w:eastAsia="Times New Roman" w:hAnsi="Times New Roman" w:cs="Times New Roman"/>
          <w:b/>
          <w:bCs/>
          <w:color w:val="000000"/>
          <w:sz w:val="24"/>
          <w:szCs w:val="24"/>
        </w:rPr>
        <w:tab/>
      </w:r>
      <w:r w:rsidRPr="00992F92">
        <w:rPr>
          <w:rFonts w:ascii="Times New Roman" w:eastAsia="Times New Roman" w:hAnsi="Times New Roman" w:cs="Times New Roman"/>
          <w:color w:val="000000"/>
          <w:sz w:val="24"/>
          <w:szCs w:val="24"/>
        </w:rPr>
        <w:t>A collective agreement entered into between a bargaining agent and an employer in respect of a bargaining unit is, subject to and for the purposes of this Part, binding on the bargaining agent, every employee in the bargaining unit and the employer.</w:t>
      </w:r>
      <w:bookmarkStart w:id="0" w:name="sec57subsec1"/>
      <w:bookmarkStart w:id="1" w:name="sec57"/>
      <w:bookmarkEnd w:id="0"/>
      <w:bookmarkEnd w:id="1"/>
    </w:p>
    <w:p w14:paraId="7D07BC68" w14:textId="77777777" w:rsidR="0015279B" w:rsidRPr="00992F92" w:rsidRDefault="0015279B" w:rsidP="0015279B">
      <w:pPr>
        <w:spacing w:before="168" w:after="120" w:line="240" w:lineRule="auto"/>
        <w:ind w:left="720" w:right="737"/>
        <w:jc w:val="both"/>
        <w:rPr>
          <w:rFonts w:ascii="Times New Roman" w:eastAsia="Times New Roman" w:hAnsi="Times New Roman" w:cs="Times New Roman"/>
          <w:color w:val="000000"/>
          <w:sz w:val="24"/>
          <w:szCs w:val="24"/>
        </w:rPr>
      </w:pPr>
      <w:r w:rsidRPr="004F2D15">
        <w:rPr>
          <w:rFonts w:ascii="Times New Roman" w:eastAsia="Times New Roman" w:hAnsi="Times New Roman" w:cs="Times New Roman"/>
          <w:b/>
          <w:bCs/>
          <w:color w:val="000000"/>
          <w:sz w:val="24"/>
          <w:szCs w:val="24"/>
        </w:rPr>
        <w:t>57</w:t>
      </w:r>
      <w:r w:rsidRPr="00992F92">
        <w:rPr>
          <w:rFonts w:ascii="Times New Roman" w:eastAsia="Times New Roman" w:hAnsi="Times New Roman" w:cs="Times New Roman"/>
          <w:color w:val="000000"/>
          <w:sz w:val="24"/>
          <w:szCs w:val="24"/>
        </w:rPr>
        <w:t> </w:t>
      </w:r>
      <w:r w:rsidRPr="004F2D15">
        <w:rPr>
          <w:rFonts w:ascii="Times New Roman" w:eastAsia="Times New Roman" w:hAnsi="Times New Roman" w:cs="Times New Roman"/>
          <w:b/>
          <w:bCs/>
          <w:color w:val="000000"/>
          <w:sz w:val="24"/>
          <w:szCs w:val="24"/>
        </w:rPr>
        <w:t>(1)</w:t>
      </w:r>
      <w:r w:rsidRPr="00992F92">
        <w:rPr>
          <w:rFonts w:ascii="Times New Roman" w:eastAsia="Times New Roman" w:hAnsi="Times New Roman" w:cs="Times New Roman"/>
          <w:color w:val="000000"/>
          <w:sz w:val="24"/>
          <w:szCs w:val="24"/>
        </w:rPr>
        <w:t> Every collective agreement shall contain a provision for final settlement without stoppage of work, by arbitration or otherwise, of all differences between the parties to or employees bound by the collective agreement, concerning its interpretation, application, administration or alleged contravention.</w:t>
      </w:r>
    </w:p>
    <w:p w14:paraId="2CD3EA9A" w14:textId="77777777" w:rsidR="0015279B" w:rsidRDefault="0015279B" w:rsidP="0015279B">
      <w:pPr>
        <w:pStyle w:val="ListParagraph"/>
        <w:spacing w:after="0" w:line="240" w:lineRule="auto"/>
        <w:ind w:left="0"/>
        <w:jc w:val="both"/>
        <w:rPr>
          <w:rFonts w:ascii="Times New Roman" w:hAnsi="Times New Roman" w:cs="Times New Roman"/>
          <w:sz w:val="28"/>
          <w:szCs w:val="28"/>
        </w:rPr>
      </w:pPr>
    </w:p>
    <w:p w14:paraId="6F24F903" w14:textId="77777777" w:rsidR="003F3AC9" w:rsidRDefault="00DF607D" w:rsidP="00DF607D">
      <w:pPr>
        <w:pStyle w:val="ListParagraph"/>
        <w:numPr>
          <w:ilvl w:val="0"/>
          <w:numId w:val="10"/>
        </w:numPr>
        <w:spacing w:after="0" w:line="240" w:lineRule="auto"/>
        <w:jc w:val="both"/>
        <w:rPr>
          <w:rFonts w:ascii="Times New Roman" w:hAnsi="Times New Roman" w:cs="Times New Roman"/>
          <w:sz w:val="28"/>
          <w:szCs w:val="28"/>
        </w:rPr>
        <w:sectPr w:rsidR="003F3AC9" w:rsidSect="003F3AC9">
          <w:headerReference w:type="first" r:id="rId14"/>
          <w:pgSz w:w="12240" w:h="15840"/>
          <w:pgMar w:top="1440" w:right="1440" w:bottom="1440" w:left="1440" w:header="720" w:footer="720" w:gutter="0"/>
          <w:pgNumType w:start="2"/>
          <w:cols w:space="720"/>
          <w:titlePg/>
          <w:docGrid w:linePitch="360"/>
        </w:sectPr>
      </w:pPr>
      <w:r>
        <w:rPr>
          <w:rFonts w:ascii="Times New Roman" w:hAnsi="Times New Roman" w:cs="Times New Roman"/>
          <w:sz w:val="28"/>
          <w:szCs w:val="28"/>
        </w:rPr>
        <w:t xml:space="preserve">Subsection 60(1)(b) of the </w:t>
      </w:r>
      <w:r>
        <w:rPr>
          <w:rFonts w:ascii="Times New Roman" w:hAnsi="Times New Roman" w:cs="Times New Roman"/>
          <w:i/>
          <w:iCs/>
          <w:sz w:val="28"/>
          <w:szCs w:val="28"/>
        </w:rPr>
        <w:t xml:space="preserve">Canada Labour Code </w:t>
      </w:r>
      <w:r>
        <w:rPr>
          <w:rFonts w:ascii="Times New Roman" w:hAnsi="Times New Roman" w:cs="Times New Roman"/>
          <w:sz w:val="28"/>
          <w:szCs w:val="28"/>
        </w:rPr>
        <w:t>provides further that a</w:t>
      </w:r>
      <w:r w:rsidR="00EE23A5">
        <w:rPr>
          <w:rFonts w:ascii="Times New Roman" w:hAnsi="Times New Roman" w:cs="Times New Roman"/>
          <w:sz w:val="28"/>
          <w:szCs w:val="28"/>
        </w:rPr>
        <w:t>n</w:t>
      </w:r>
      <w:r>
        <w:rPr>
          <w:rFonts w:ascii="Times New Roman" w:hAnsi="Times New Roman" w:cs="Times New Roman"/>
          <w:sz w:val="28"/>
          <w:szCs w:val="28"/>
        </w:rPr>
        <w:t xml:space="preserve"> arbitrator or an arbitration board is empowered to determine whether any matter before it is arbitrable.</w:t>
      </w:r>
    </w:p>
    <w:p w14:paraId="06B358E8" w14:textId="77777777" w:rsidR="00DF607D" w:rsidRPr="00DF607D" w:rsidRDefault="00DF607D" w:rsidP="00DF607D">
      <w:pPr>
        <w:pStyle w:val="ListParagraph"/>
        <w:spacing w:after="0" w:line="240" w:lineRule="auto"/>
        <w:ind w:left="0"/>
        <w:jc w:val="both"/>
        <w:rPr>
          <w:rFonts w:ascii="Times New Roman" w:hAnsi="Times New Roman" w:cs="Times New Roman"/>
          <w:sz w:val="28"/>
          <w:szCs w:val="28"/>
        </w:rPr>
      </w:pPr>
    </w:p>
    <w:p w14:paraId="296660A0" w14:textId="77777777" w:rsidR="00FF59FE" w:rsidRDefault="00F840CD" w:rsidP="0015279B">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Article 14 of the collective agreement</w:t>
      </w:r>
      <w:r w:rsidR="00CD2758">
        <w:rPr>
          <w:rFonts w:ascii="Times New Roman" w:hAnsi="Times New Roman" w:cs="Times New Roman"/>
          <w:sz w:val="28"/>
          <w:szCs w:val="28"/>
        </w:rPr>
        <w:t xml:space="preserve"> contains </w:t>
      </w:r>
      <w:r w:rsidR="00FF59FE">
        <w:rPr>
          <w:rFonts w:ascii="Times New Roman" w:hAnsi="Times New Roman" w:cs="Times New Roman"/>
          <w:sz w:val="28"/>
          <w:szCs w:val="28"/>
        </w:rPr>
        <w:t xml:space="preserve">the </w:t>
      </w:r>
      <w:r w:rsidR="00CD2758">
        <w:rPr>
          <w:rFonts w:ascii="Times New Roman" w:hAnsi="Times New Roman" w:cs="Times New Roman"/>
          <w:sz w:val="28"/>
          <w:szCs w:val="28"/>
        </w:rPr>
        <w:t xml:space="preserve">grievance </w:t>
      </w:r>
      <w:r w:rsidR="002B1299">
        <w:rPr>
          <w:rFonts w:ascii="Times New Roman" w:hAnsi="Times New Roman" w:cs="Times New Roman"/>
          <w:sz w:val="28"/>
          <w:szCs w:val="28"/>
        </w:rPr>
        <w:t xml:space="preserve">framework required under the </w:t>
      </w:r>
      <w:r w:rsidR="002B1299">
        <w:rPr>
          <w:rFonts w:ascii="Times New Roman" w:hAnsi="Times New Roman" w:cs="Times New Roman"/>
          <w:i/>
          <w:iCs/>
          <w:sz w:val="28"/>
          <w:szCs w:val="28"/>
        </w:rPr>
        <w:t>Canada Labour Code</w:t>
      </w:r>
      <w:r w:rsidR="00CD2758">
        <w:rPr>
          <w:rFonts w:ascii="Times New Roman" w:hAnsi="Times New Roman" w:cs="Times New Roman"/>
          <w:sz w:val="28"/>
          <w:szCs w:val="28"/>
        </w:rPr>
        <w:t xml:space="preserve">. </w:t>
      </w:r>
      <w:r w:rsidR="00D3681F">
        <w:rPr>
          <w:rFonts w:ascii="Times New Roman" w:hAnsi="Times New Roman" w:cs="Times New Roman"/>
          <w:sz w:val="28"/>
          <w:szCs w:val="28"/>
        </w:rPr>
        <w:t xml:space="preserve"> </w:t>
      </w:r>
      <w:r w:rsidR="00DF607D">
        <w:rPr>
          <w:rFonts w:ascii="Times New Roman" w:hAnsi="Times New Roman" w:cs="Times New Roman"/>
          <w:sz w:val="28"/>
          <w:szCs w:val="28"/>
        </w:rPr>
        <w:t>Sub-article 14.01 states:</w:t>
      </w:r>
    </w:p>
    <w:p w14:paraId="57959145" w14:textId="77777777" w:rsidR="00DF607D" w:rsidRPr="00DF607D" w:rsidRDefault="00DF607D" w:rsidP="00DF607D">
      <w:pPr>
        <w:pStyle w:val="ListParagraph"/>
        <w:rPr>
          <w:rFonts w:ascii="Times New Roman" w:hAnsi="Times New Roman" w:cs="Times New Roman"/>
          <w:sz w:val="28"/>
          <w:szCs w:val="28"/>
        </w:rPr>
      </w:pPr>
    </w:p>
    <w:p w14:paraId="1FF2F848" w14:textId="77777777" w:rsidR="00DF607D" w:rsidRPr="004C241A" w:rsidRDefault="00DF607D" w:rsidP="004C241A">
      <w:pPr>
        <w:pStyle w:val="ListParagraph"/>
        <w:spacing w:after="0" w:line="240" w:lineRule="auto"/>
        <w:ind w:right="737"/>
        <w:jc w:val="both"/>
        <w:rPr>
          <w:rFonts w:ascii="Times New Roman" w:hAnsi="Times New Roman" w:cs="Times New Roman"/>
          <w:sz w:val="24"/>
          <w:szCs w:val="24"/>
        </w:rPr>
      </w:pPr>
      <w:r w:rsidRPr="004C241A">
        <w:rPr>
          <w:rFonts w:ascii="Times New Roman" w:hAnsi="Times New Roman" w:cs="Times New Roman"/>
          <w:sz w:val="24"/>
          <w:szCs w:val="24"/>
        </w:rPr>
        <w:t>14.01</w:t>
      </w:r>
      <w:r w:rsidRPr="004C241A">
        <w:rPr>
          <w:rFonts w:ascii="Times New Roman" w:hAnsi="Times New Roman" w:cs="Times New Roman"/>
          <w:sz w:val="24"/>
          <w:szCs w:val="24"/>
        </w:rPr>
        <w:tab/>
        <w:t>A grievance is any written complaint made by the Union, an employee or group of employees regarding pay, working conditions, terms of employment or the interpretation, application, administration or alleged violation of this Collective Agreement including any question as to whether a matter is arbitrable</w:t>
      </w:r>
      <w:r w:rsidR="004C241A" w:rsidRPr="004C241A">
        <w:rPr>
          <w:rFonts w:ascii="Times New Roman" w:hAnsi="Times New Roman" w:cs="Times New Roman"/>
          <w:sz w:val="24"/>
          <w:szCs w:val="24"/>
        </w:rPr>
        <w:t xml:space="preserve"> . .</w:t>
      </w:r>
      <w:r w:rsidR="002B1299">
        <w:rPr>
          <w:rFonts w:ascii="Times New Roman" w:hAnsi="Times New Roman" w:cs="Times New Roman"/>
          <w:sz w:val="24"/>
          <w:szCs w:val="24"/>
        </w:rPr>
        <w:t xml:space="preserve"> .</w:t>
      </w:r>
      <w:r w:rsidR="004C241A" w:rsidRPr="004C241A">
        <w:rPr>
          <w:rFonts w:ascii="Times New Roman" w:hAnsi="Times New Roman" w:cs="Times New Roman"/>
          <w:sz w:val="24"/>
          <w:szCs w:val="24"/>
        </w:rPr>
        <w:t xml:space="preserve"> </w:t>
      </w:r>
    </w:p>
    <w:p w14:paraId="472BB16E" w14:textId="77777777" w:rsidR="004C241A" w:rsidRDefault="004C241A" w:rsidP="00DF607D">
      <w:pPr>
        <w:pStyle w:val="ListParagraph"/>
        <w:spacing w:after="0" w:line="240" w:lineRule="auto"/>
        <w:ind w:left="0"/>
        <w:jc w:val="both"/>
        <w:rPr>
          <w:rFonts w:ascii="Times New Roman" w:hAnsi="Times New Roman" w:cs="Times New Roman"/>
          <w:sz w:val="28"/>
          <w:szCs w:val="28"/>
        </w:rPr>
      </w:pPr>
    </w:p>
    <w:p w14:paraId="7242A98A" w14:textId="77777777" w:rsidR="0034463B" w:rsidRDefault="0034463B" w:rsidP="005E3100">
      <w:pPr>
        <w:pStyle w:val="ListParagraph"/>
        <w:numPr>
          <w:ilvl w:val="0"/>
          <w:numId w:val="10"/>
        </w:numPr>
        <w:spacing w:after="0" w:line="240" w:lineRule="auto"/>
        <w:jc w:val="both"/>
        <w:rPr>
          <w:rFonts w:ascii="Times New Roman" w:hAnsi="Times New Roman" w:cs="Times New Roman"/>
          <w:sz w:val="28"/>
          <w:szCs w:val="28"/>
        </w:rPr>
      </w:pPr>
      <w:r w:rsidRPr="002B1299">
        <w:rPr>
          <w:rFonts w:ascii="Times New Roman" w:hAnsi="Times New Roman" w:cs="Times New Roman"/>
          <w:sz w:val="28"/>
          <w:szCs w:val="28"/>
        </w:rPr>
        <w:t>Article 25 of the collective agreement deals with specified allowances, benefits, and other reimbursable expenses, including car allowances.</w:t>
      </w:r>
      <w:r w:rsidR="00D3681F">
        <w:rPr>
          <w:rFonts w:ascii="Times New Roman" w:hAnsi="Times New Roman" w:cs="Times New Roman"/>
          <w:sz w:val="28"/>
          <w:szCs w:val="28"/>
        </w:rPr>
        <w:t xml:space="preserve"> </w:t>
      </w:r>
      <w:r w:rsidRPr="002B1299">
        <w:rPr>
          <w:rFonts w:ascii="Times New Roman" w:hAnsi="Times New Roman" w:cs="Times New Roman"/>
          <w:sz w:val="28"/>
          <w:szCs w:val="28"/>
        </w:rPr>
        <w:t xml:space="preserve"> Sub-article 25.15 provides that in addition to the specified allowances, </w:t>
      </w:r>
    </w:p>
    <w:p w14:paraId="026F1882" w14:textId="77777777" w:rsidR="002B1299" w:rsidRPr="002B1299" w:rsidRDefault="002B1299" w:rsidP="002B1299">
      <w:pPr>
        <w:pStyle w:val="ListParagraph"/>
        <w:spacing w:after="0" w:line="240" w:lineRule="auto"/>
        <w:ind w:left="0"/>
        <w:jc w:val="both"/>
        <w:rPr>
          <w:rFonts w:ascii="Times New Roman" w:hAnsi="Times New Roman" w:cs="Times New Roman"/>
          <w:sz w:val="28"/>
          <w:szCs w:val="28"/>
        </w:rPr>
      </w:pPr>
    </w:p>
    <w:p w14:paraId="7B0BF2FD" w14:textId="77777777" w:rsidR="0034463B" w:rsidRPr="002939DA" w:rsidRDefault="0034463B" w:rsidP="0034463B">
      <w:pPr>
        <w:pStyle w:val="ListParagraph"/>
        <w:spacing w:after="0" w:line="240" w:lineRule="auto"/>
        <w:ind w:right="680"/>
        <w:jc w:val="both"/>
        <w:rPr>
          <w:rFonts w:ascii="Times New Roman" w:hAnsi="Times New Roman" w:cs="Times New Roman"/>
          <w:sz w:val="24"/>
          <w:szCs w:val="24"/>
        </w:rPr>
      </w:pPr>
      <w:r w:rsidRPr="002939DA">
        <w:rPr>
          <w:rFonts w:ascii="Times New Roman" w:hAnsi="Times New Roman" w:cs="Times New Roman"/>
          <w:sz w:val="24"/>
          <w:szCs w:val="24"/>
        </w:rPr>
        <w:t>. . . the employer shall reimburse employees for other reasonable expenses incurred while performing their duties for the Employer, provided that the employee has received prior authorization for such expenses and that such expenses are supported by receipts.</w:t>
      </w:r>
    </w:p>
    <w:p w14:paraId="1475C3DC" w14:textId="77777777" w:rsidR="0034463B" w:rsidRDefault="0034463B" w:rsidP="0034463B">
      <w:pPr>
        <w:pStyle w:val="ListParagraph"/>
        <w:spacing w:after="0" w:line="240" w:lineRule="auto"/>
        <w:ind w:left="0"/>
        <w:jc w:val="both"/>
        <w:rPr>
          <w:rFonts w:ascii="Times New Roman" w:hAnsi="Times New Roman" w:cs="Times New Roman"/>
          <w:sz w:val="28"/>
          <w:szCs w:val="28"/>
        </w:rPr>
      </w:pPr>
    </w:p>
    <w:p w14:paraId="04E7815A" w14:textId="77777777" w:rsidR="0034463B" w:rsidRDefault="0034463B"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PSAC also has a travel policy</w:t>
      </w:r>
      <w:r w:rsidR="002B1299">
        <w:rPr>
          <w:rFonts w:ascii="Times New Roman" w:hAnsi="Times New Roman" w:cs="Times New Roman"/>
          <w:sz w:val="28"/>
          <w:szCs w:val="28"/>
        </w:rPr>
        <w:t xml:space="preserve">. </w:t>
      </w:r>
      <w:r w:rsidR="00D3681F">
        <w:rPr>
          <w:rFonts w:ascii="Times New Roman" w:hAnsi="Times New Roman" w:cs="Times New Roman"/>
          <w:sz w:val="28"/>
          <w:szCs w:val="28"/>
        </w:rPr>
        <w:t xml:space="preserve"> </w:t>
      </w:r>
      <w:r w:rsidR="002B1299">
        <w:rPr>
          <w:rFonts w:ascii="Times New Roman" w:hAnsi="Times New Roman" w:cs="Times New Roman"/>
          <w:sz w:val="28"/>
          <w:szCs w:val="28"/>
        </w:rPr>
        <w:t>A</w:t>
      </w:r>
      <w:r>
        <w:rPr>
          <w:rFonts w:ascii="Times New Roman" w:hAnsi="Times New Roman" w:cs="Times New Roman"/>
          <w:sz w:val="28"/>
          <w:szCs w:val="28"/>
        </w:rPr>
        <w:t xml:space="preserve">mong other things, </w:t>
      </w:r>
      <w:r w:rsidR="002B1299">
        <w:rPr>
          <w:rFonts w:ascii="Times New Roman" w:hAnsi="Times New Roman" w:cs="Times New Roman"/>
          <w:sz w:val="28"/>
          <w:szCs w:val="28"/>
        </w:rPr>
        <w:t xml:space="preserve">it </w:t>
      </w:r>
      <w:r>
        <w:rPr>
          <w:rFonts w:ascii="Times New Roman" w:hAnsi="Times New Roman" w:cs="Times New Roman"/>
          <w:sz w:val="28"/>
          <w:szCs w:val="28"/>
        </w:rPr>
        <w:t xml:space="preserve">permits employees to </w:t>
      </w:r>
      <w:r w:rsidR="006C5020">
        <w:rPr>
          <w:rFonts w:ascii="Times New Roman" w:hAnsi="Times New Roman" w:cs="Times New Roman"/>
          <w:sz w:val="28"/>
          <w:szCs w:val="28"/>
        </w:rPr>
        <w:t xml:space="preserve">be reimbursed </w:t>
      </w:r>
      <w:r w:rsidR="0053220A">
        <w:rPr>
          <w:rFonts w:ascii="Times New Roman" w:hAnsi="Times New Roman" w:cs="Times New Roman"/>
          <w:sz w:val="28"/>
          <w:szCs w:val="28"/>
        </w:rPr>
        <w:t xml:space="preserve">on a “per kilometer” basis </w:t>
      </w:r>
      <w:r>
        <w:rPr>
          <w:rFonts w:ascii="Times New Roman" w:hAnsi="Times New Roman" w:cs="Times New Roman"/>
          <w:sz w:val="28"/>
          <w:szCs w:val="28"/>
        </w:rPr>
        <w:t>when using a personal vehicle for travel on PSAC business.</w:t>
      </w:r>
    </w:p>
    <w:p w14:paraId="405A168A" w14:textId="77777777" w:rsidR="00D46D65" w:rsidRDefault="00D46D65" w:rsidP="00D46D65">
      <w:pPr>
        <w:pStyle w:val="ListParagraph"/>
        <w:spacing w:after="0" w:line="240" w:lineRule="auto"/>
        <w:ind w:left="0"/>
        <w:jc w:val="both"/>
        <w:rPr>
          <w:rFonts w:ascii="Times New Roman" w:hAnsi="Times New Roman" w:cs="Times New Roman"/>
          <w:sz w:val="28"/>
          <w:szCs w:val="28"/>
        </w:rPr>
      </w:pPr>
    </w:p>
    <w:p w14:paraId="5B1F727D" w14:textId="188A456B" w:rsidR="00E143AC" w:rsidRDefault="0015279B" w:rsidP="00E14B83">
      <w:pPr>
        <w:pStyle w:val="ListParagraph"/>
        <w:numPr>
          <w:ilvl w:val="0"/>
          <w:numId w:val="10"/>
        </w:numPr>
        <w:spacing w:after="0" w:line="240" w:lineRule="auto"/>
        <w:jc w:val="both"/>
        <w:rPr>
          <w:rFonts w:ascii="Times New Roman" w:hAnsi="Times New Roman" w:cs="Times New Roman"/>
          <w:sz w:val="28"/>
          <w:szCs w:val="28"/>
        </w:rPr>
      </w:pPr>
      <w:r w:rsidRPr="004F2D15">
        <w:rPr>
          <w:rFonts w:ascii="Times New Roman" w:hAnsi="Times New Roman" w:cs="Times New Roman"/>
          <w:sz w:val="28"/>
          <w:szCs w:val="28"/>
        </w:rPr>
        <w:t xml:space="preserve">In February of 2020, </w:t>
      </w:r>
      <w:r w:rsidR="00E762C5">
        <w:rPr>
          <w:rFonts w:ascii="Times New Roman" w:hAnsi="Times New Roman" w:cs="Times New Roman"/>
          <w:sz w:val="28"/>
          <w:szCs w:val="28"/>
        </w:rPr>
        <w:t xml:space="preserve">the </w:t>
      </w:r>
      <w:r w:rsidRPr="004F2D15">
        <w:rPr>
          <w:rFonts w:ascii="Times New Roman" w:hAnsi="Times New Roman" w:cs="Times New Roman"/>
          <w:sz w:val="28"/>
          <w:szCs w:val="28"/>
        </w:rPr>
        <w:t>PSAC organized a sn</w:t>
      </w:r>
      <w:r>
        <w:rPr>
          <w:rFonts w:ascii="Times New Roman" w:hAnsi="Times New Roman" w:cs="Times New Roman"/>
          <w:sz w:val="28"/>
          <w:szCs w:val="28"/>
        </w:rPr>
        <w:t>ow carving event in Yellowknife</w:t>
      </w:r>
      <w:r w:rsidR="00FF59FE">
        <w:rPr>
          <w:rFonts w:ascii="Times New Roman" w:hAnsi="Times New Roman" w:cs="Times New Roman"/>
          <w:sz w:val="28"/>
          <w:szCs w:val="28"/>
        </w:rPr>
        <w:t xml:space="preserve"> as a means of drawing attention to problems with the federal government’s Phoenix pay system. </w:t>
      </w:r>
      <w:r w:rsidR="00D3681F">
        <w:rPr>
          <w:rFonts w:ascii="Times New Roman" w:hAnsi="Times New Roman" w:cs="Times New Roman"/>
          <w:sz w:val="28"/>
          <w:szCs w:val="28"/>
        </w:rPr>
        <w:t xml:space="preserve"> </w:t>
      </w:r>
      <w:r w:rsidR="00E143AC">
        <w:rPr>
          <w:rFonts w:ascii="Times New Roman" w:hAnsi="Times New Roman" w:cs="Times New Roman"/>
          <w:sz w:val="28"/>
          <w:szCs w:val="28"/>
        </w:rPr>
        <w:t>Ryland was overseeing the event.</w:t>
      </w:r>
      <w:r w:rsidR="002B1299">
        <w:rPr>
          <w:rFonts w:ascii="Times New Roman" w:hAnsi="Times New Roman" w:cs="Times New Roman"/>
          <w:sz w:val="28"/>
          <w:szCs w:val="28"/>
        </w:rPr>
        <w:t xml:space="preserve"> </w:t>
      </w:r>
      <w:r w:rsidR="00D3681F">
        <w:rPr>
          <w:rFonts w:ascii="Times New Roman" w:hAnsi="Times New Roman" w:cs="Times New Roman"/>
          <w:sz w:val="28"/>
          <w:szCs w:val="28"/>
        </w:rPr>
        <w:t xml:space="preserve"> </w:t>
      </w:r>
      <w:r w:rsidR="002B1299">
        <w:rPr>
          <w:rFonts w:ascii="Times New Roman" w:hAnsi="Times New Roman" w:cs="Times New Roman"/>
          <w:sz w:val="28"/>
          <w:szCs w:val="28"/>
        </w:rPr>
        <w:t>It took place off site.</w:t>
      </w:r>
    </w:p>
    <w:p w14:paraId="607814C0" w14:textId="77777777" w:rsidR="00E143AC" w:rsidRDefault="00E143AC" w:rsidP="00E143AC">
      <w:pPr>
        <w:pStyle w:val="ListParagraph"/>
        <w:spacing w:after="0" w:line="240" w:lineRule="auto"/>
        <w:ind w:left="0"/>
        <w:jc w:val="both"/>
        <w:rPr>
          <w:rFonts w:ascii="Times New Roman" w:hAnsi="Times New Roman" w:cs="Times New Roman"/>
          <w:sz w:val="28"/>
          <w:szCs w:val="28"/>
        </w:rPr>
      </w:pPr>
    </w:p>
    <w:p w14:paraId="79C106CD" w14:textId="77777777" w:rsidR="009870D0" w:rsidRDefault="0015279B" w:rsidP="00E14B83">
      <w:pPr>
        <w:pStyle w:val="ListParagraph"/>
        <w:numPr>
          <w:ilvl w:val="0"/>
          <w:numId w:val="10"/>
        </w:numPr>
        <w:spacing w:after="0" w:line="240" w:lineRule="auto"/>
        <w:jc w:val="both"/>
        <w:rPr>
          <w:rFonts w:ascii="Times New Roman" w:hAnsi="Times New Roman" w:cs="Times New Roman"/>
          <w:sz w:val="28"/>
          <w:szCs w:val="28"/>
        </w:rPr>
      </w:pPr>
      <w:r w:rsidRPr="0015279B">
        <w:rPr>
          <w:rFonts w:ascii="Times New Roman" w:hAnsi="Times New Roman" w:cs="Times New Roman"/>
          <w:sz w:val="28"/>
          <w:szCs w:val="28"/>
        </w:rPr>
        <w:t>Ryland</w:t>
      </w:r>
      <w:r w:rsidR="00397879">
        <w:rPr>
          <w:rFonts w:ascii="Times New Roman" w:hAnsi="Times New Roman" w:cs="Times New Roman"/>
          <w:sz w:val="28"/>
          <w:szCs w:val="28"/>
        </w:rPr>
        <w:t xml:space="preserve">’s evidence is set out in an affidavit dated February 2, 2022.  He says the </w:t>
      </w:r>
      <w:r w:rsidR="00FF59FE">
        <w:rPr>
          <w:rFonts w:ascii="Times New Roman" w:hAnsi="Times New Roman" w:cs="Times New Roman"/>
          <w:sz w:val="28"/>
          <w:szCs w:val="28"/>
        </w:rPr>
        <w:t>PSAC had initially</w:t>
      </w:r>
      <w:r w:rsidRPr="0015279B">
        <w:rPr>
          <w:rFonts w:ascii="Times New Roman" w:hAnsi="Times New Roman" w:cs="Times New Roman"/>
          <w:sz w:val="28"/>
          <w:szCs w:val="28"/>
        </w:rPr>
        <w:t xml:space="preserve"> </w:t>
      </w:r>
      <w:r w:rsidR="00FF59FE">
        <w:rPr>
          <w:rFonts w:ascii="Times New Roman" w:hAnsi="Times New Roman" w:cs="Times New Roman"/>
          <w:sz w:val="28"/>
          <w:szCs w:val="28"/>
        </w:rPr>
        <w:t>hired a contractor to provide construction skills and to haul materials in a truck</w:t>
      </w:r>
      <w:r w:rsidR="00E14B83">
        <w:rPr>
          <w:rFonts w:ascii="Times New Roman" w:hAnsi="Times New Roman" w:cs="Times New Roman"/>
          <w:sz w:val="28"/>
          <w:szCs w:val="28"/>
        </w:rPr>
        <w:t xml:space="preserve"> for a fee of $50.00 an hour</w:t>
      </w:r>
      <w:r w:rsidR="00FF59FE">
        <w:rPr>
          <w:rFonts w:ascii="Times New Roman" w:hAnsi="Times New Roman" w:cs="Times New Roman"/>
          <w:sz w:val="28"/>
          <w:szCs w:val="28"/>
        </w:rPr>
        <w:t>.  That contractor backed out</w:t>
      </w:r>
      <w:r w:rsidR="00E14B83">
        <w:rPr>
          <w:rFonts w:ascii="Times New Roman" w:hAnsi="Times New Roman" w:cs="Times New Roman"/>
          <w:sz w:val="28"/>
          <w:szCs w:val="28"/>
        </w:rPr>
        <w:t>,</w:t>
      </w:r>
      <w:r w:rsidR="00FF59FE">
        <w:rPr>
          <w:rFonts w:ascii="Times New Roman" w:hAnsi="Times New Roman" w:cs="Times New Roman"/>
          <w:sz w:val="28"/>
          <w:szCs w:val="28"/>
        </w:rPr>
        <w:t xml:space="preserve"> so another was hired.  The second contractor </w:t>
      </w:r>
      <w:r w:rsidR="00E143AC">
        <w:rPr>
          <w:rFonts w:ascii="Times New Roman" w:hAnsi="Times New Roman" w:cs="Times New Roman"/>
          <w:sz w:val="28"/>
          <w:szCs w:val="28"/>
        </w:rPr>
        <w:t xml:space="preserve">could provide construction skills, but </w:t>
      </w:r>
      <w:r w:rsidR="002B1299">
        <w:rPr>
          <w:rFonts w:ascii="Times New Roman" w:hAnsi="Times New Roman" w:cs="Times New Roman"/>
          <w:sz w:val="28"/>
          <w:szCs w:val="28"/>
        </w:rPr>
        <w:t>could not</w:t>
      </w:r>
      <w:r w:rsidR="00FF59FE">
        <w:rPr>
          <w:rFonts w:ascii="Times New Roman" w:hAnsi="Times New Roman" w:cs="Times New Roman"/>
          <w:sz w:val="28"/>
          <w:szCs w:val="28"/>
        </w:rPr>
        <w:t xml:space="preserve"> supply a truck</w:t>
      </w:r>
      <w:r w:rsidR="00E143AC">
        <w:rPr>
          <w:rFonts w:ascii="Times New Roman" w:hAnsi="Times New Roman" w:cs="Times New Roman"/>
          <w:sz w:val="28"/>
          <w:szCs w:val="28"/>
        </w:rPr>
        <w:t>.</w:t>
      </w:r>
      <w:r w:rsidR="00D3681F">
        <w:rPr>
          <w:rFonts w:ascii="Times New Roman" w:hAnsi="Times New Roman" w:cs="Times New Roman"/>
          <w:sz w:val="28"/>
          <w:szCs w:val="28"/>
        </w:rPr>
        <w:t xml:space="preserve"> </w:t>
      </w:r>
      <w:r w:rsidR="00E143AC">
        <w:rPr>
          <w:rFonts w:ascii="Times New Roman" w:hAnsi="Times New Roman" w:cs="Times New Roman"/>
          <w:sz w:val="28"/>
          <w:szCs w:val="28"/>
        </w:rPr>
        <w:t xml:space="preserve"> </w:t>
      </w:r>
      <w:r w:rsidR="003F0766">
        <w:rPr>
          <w:rFonts w:ascii="Times New Roman" w:hAnsi="Times New Roman" w:cs="Times New Roman"/>
          <w:sz w:val="28"/>
          <w:szCs w:val="28"/>
        </w:rPr>
        <w:t xml:space="preserve">Ryland </w:t>
      </w:r>
      <w:r w:rsidR="00397879">
        <w:rPr>
          <w:rFonts w:ascii="Times New Roman" w:hAnsi="Times New Roman" w:cs="Times New Roman"/>
          <w:sz w:val="28"/>
          <w:szCs w:val="28"/>
        </w:rPr>
        <w:t>looked into renting a truck and says this would have cost $500.00 to $700.00.  He also considered hiring a taxi</w:t>
      </w:r>
      <w:r w:rsidR="009870D0">
        <w:rPr>
          <w:rFonts w:ascii="Times New Roman" w:hAnsi="Times New Roman" w:cs="Times New Roman"/>
          <w:sz w:val="28"/>
          <w:szCs w:val="28"/>
        </w:rPr>
        <w:t xml:space="preserve"> </w:t>
      </w:r>
      <w:r w:rsidR="00DC7F2B">
        <w:rPr>
          <w:rFonts w:ascii="Times New Roman" w:hAnsi="Times New Roman" w:cs="Times New Roman"/>
          <w:sz w:val="28"/>
          <w:szCs w:val="28"/>
        </w:rPr>
        <w:t xml:space="preserve">to transport the materials, </w:t>
      </w:r>
      <w:r w:rsidR="00397879">
        <w:rPr>
          <w:rFonts w:ascii="Times New Roman" w:hAnsi="Times New Roman" w:cs="Times New Roman"/>
          <w:sz w:val="28"/>
          <w:szCs w:val="28"/>
        </w:rPr>
        <w:t xml:space="preserve">but he determined this would be too costly as well. </w:t>
      </w:r>
    </w:p>
    <w:p w14:paraId="7D2EECBE" w14:textId="77777777" w:rsidR="003F0766" w:rsidRDefault="003F0766" w:rsidP="003F0766">
      <w:pPr>
        <w:pStyle w:val="ListParagraph"/>
        <w:spacing w:after="0" w:line="240" w:lineRule="auto"/>
        <w:ind w:left="0"/>
        <w:jc w:val="both"/>
        <w:rPr>
          <w:rFonts w:ascii="Times New Roman" w:hAnsi="Times New Roman" w:cs="Times New Roman"/>
          <w:sz w:val="28"/>
          <w:szCs w:val="28"/>
        </w:rPr>
      </w:pPr>
    </w:p>
    <w:p w14:paraId="0C3D220C" w14:textId="77777777" w:rsidR="003F0766" w:rsidRDefault="003F0766"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Ryland </w:t>
      </w:r>
      <w:r w:rsidR="002B1299">
        <w:rPr>
          <w:rFonts w:ascii="Times New Roman" w:hAnsi="Times New Roman" w:cs="Times New Roman"/>
          <w:sz w:val="28"/>
          <w:szCs w:val="28"/>
        </w:rPr>
        <w:t>says</w:t>
      </w:r>
      <w:r>
        <w:rPr>
          <w:rFonts w:ascii="Times New Roman" w:hAnsi="Times New Roman" w:cs="Times New Roman"/>
          <w:sz w:val="28"/>
          <w:szCs w:val="28"/>
        </w:rPr>
        <w:t xml:space="preserve"> he had a conversation with his supervisor, Daniel Kinsella (“Kinsella”), on February 20, 2020</w:t>
      </w:r>
      <w:r w:rsidR="00074470">
        <w:rPr>
          <w:rFonts w:ascii="Times New Roman" w:hAnsi="Times New Roman" w:cs="Times New Roman"/>
          <w:sz w:val="28"/>
          <w:szCs w:val="28"/>
        </w:rPr>
        <w:t xml:space="preserve"> about the need for a vehicle to transport materials. </w:t>
      </w:r>
      <w:r w:rsidR="00D3681F">
        <w:rPr>
          <w:rFonts w:ascii="Times New Roman" w:hAnsi="Times New Roman" w:cs="Times New Roman"/>
          <w:sz w:val="28"/>
          <w:szCs w:val="28"/>
        </w:rPr>
        <w:t xml:space="preserve"> </w:t>
      </w:r>
      <w:r w:rsidR="00074470">
        <w:rPr>
          <w:rFonts w:ascii="Times New Roman" w:hAnsi="Times New Roman" w:cs="Times New Roman"/>
          <w:sz w:val="28"/>
          <w:szCs w:val="28"/>
        </w:rPr>
        <w:t xml:space="preserve">Ryland </w:t>
      </w:r>
      <w:r>
        <w:rPr>
          <w:rFonts w:ascii="Times New Roman" w:hAnsi="Times New Roman" w:cs="Times New Roman"/>
          <w:sz w:val="28"/>
          <w:szCs w:val="28"/>
        </w:rPr>
        <w:t xml:space="preserve">told Kinsella he would not provide his vehicle for the project unless he could charge </w:t>
      </w:r>
      <w:r w:rsidR="009870D0">
        <w:rPr>
          <w:rFonts w:ascii="Times New Roman" w:hAnsi="Times New Roman" w:cs="Times New Roman"/>
          <w:sz w:val="28"/>
          <w:szCs w:val="28"/>
        </w:rPr>
        <w:t xml:space="preserve">the </w:t>
      </w:r>
      <w:r>
        <w:rPr>
          <w:rFonts w:ascii="Times New Roman" w:hAnsi="Times New Roman" w:cs="Times New Roman"/>
          <w:sz w:val="28"/>
          <w:szCs w:val="28"/>
        </w:rPr>
        <w:t xml:space="preserve">PSAC for it, and Kinsella agreed Ryland could charge </w:t>
      </w:r>
      <w:r w:rsidR="009870D0">
        <w:rPr>
          <w:rFonts w:ascii="Times New Roman" w:hAnsi="Times New Roman" w:cs="Times New Roman"/>
          <w:sz w:val="28"/>
          <w:szCs w:val="28"/>
        </w:rPr>
        <w:t xml:space="preserve">the </w:t>
      </w:r>
      <w:r>
        <w:rPr>
          <w:rFonts w:ascii="Times New Roman" w:hAnsi="Times New Roman" w:cs="Times New Roman"/>
          <w:sz w:val="28"/>
          <w:szCs w:val="28"/>
        </w:rPr>
        <w:t xml:space="preserve">PSAC </w:t>
      </w:r>
      <w:proofErr w:type="gramStart"/>
      <w:r w:rsidR="00074470">
        <w:rPr>
          <w:rFonts w:ascii="Times New Roman" w:hAnsi="Times New Roman" w:cs="Times New Roman"/>
          <w:sz w:val="28"/>
          <w:szCs w:val="28"/>
        </w:rPr>
        <w:t>“ . . .</w:t>
      </w:r>
      <w:proofErr w:type="gramEnd"/>
      <w:r w:rsidR="00074470">
        <w:rPr>
          <w:rFonts w:ascii="Times New Roman" w:hAnsi="Times New Roman" w:cs="Times New Roman"/>
          <w:sz w:val="28"/>
          <w:szCs w:val="28"/>
        </w:rPr>
        <w:t xml:space="preserve"> for the services of using my vehicle in this endeavour”.  </w:t>
      </w:r>
      <w:r w:rsidR="002E1BA0">
        <w:rPr>
          <w:rFonts w:ascii="Times New Roman" w:hAnsi="Times New Roman" w:cs="Times New Roman"/>
          <w:sz w:val="28"/>
          <w:szCs w:val="28"/>
        </w:rPr>
        <w:t xml:space="preserve">Ryland did not provide evidence that there was an agreement as to the cost. </w:t>
      </w:r>
    </w:p>
    <w:p w14:paraId="340E2546" w14:textId="77777777" w:rsidR="004C241A" w:rsidRPr="009870D0" w:rsidRDefault="009870D0" w:rsidP="005E3100">
      <w:pPr>
        <w:pStyle w:val="ListParagraph"/>
        <w:numPr>
          <w:ilvl w:val="0"/>
          <w:numId w:val="10"/>
        </w:numPr>
        <w:spacing w:after="0" w:line="240" w:lineRule="auto"/>
        <w:jc w:val="both"/>
        <w:rPr>
          <w:rFonts w:ascii="Times New Roman" w:hAnsi="Times New Roman" w:cs="Times New Roman"/>
          <w:sz w:val="28"/>
          <w:szCs w:val="28"/>
        </w:rPr>
      </w:pPr>
      <w:r w:rsidRPr="009870D0">
        <w:rPr>
          <w:rFonts w:ascii="Times New Roman" w:hAnsi="Times New Roman" w:cs="Times New Roman"/>
          <w:sz w:val="28"/>
          <w:szCs w:val="28"/>
        </w:rPr>
        <w:lastRenderedPageBreak/>
        <w:t xml:space="preserve">Following the project’s completion, </w:t>
      </w:r>
      <w:r w:rsidR="00E14B83" w:rsidRPr="009870D0">
        <w:rPr>
          <w:rFonts w:ascii="Times New Roman" w:hAnsi="Times New Roman" w:cs="Times New Roman"/>
          <w:sz w:val="28"/>
          <w:szCs w:val="28"/>
        </w:rPr>
        <w:t xml:space="preserve">Ryland </w:t>
      </w:r>
      <w:r w:rsidR="002939DA" w:rsidRPr="009870D0">
        <w:rPr>
          <w:rFonts w:ascii="Times New Roman" w:hAnsi="Times New Roman" w:cs="Times New Roman"/>
          <w:sz w:val="28"/>
          <w:szCs w:val="28"/>
        </w:rPr>
        <w:t xml:space="preserve">submitted a claim for expenses incurred in relation to </w:t>
      </w:r>
      <w:r w:rsidRPr="009870D0">
        <w:rPr>
          <w:rFonts w:ascii="Times New Roman" w:hAnsi="Times New Roman" w:cs="Times New Roman"/>
          <w:sz w:val="28"/>
          <w:szCs w:val="28"/>
        </w:rPr>
        <w:t>it</w:t>
      </w:r>
      <w:r w:rsidR="002939DA" w:rsidRPr="009870D0">
        <w:rPr>
          <w:rFonts w:ascii="Times New Roman" w:hAnsi="Times New Roman" w:cs="Times New Roman"/>
          <w:sz w:val="28"/>
          <w:szCs w:val="28"/>
        </w:rPr>
        <w:t xml:space="preserve">.  </w:t>
      </w:r>
      <w:r w:rsidR="00FB5359" w:rsidRPr="009870D0">
        <w:rPr>
          <w:rFonts w:ascii="Times New Roman" w:hAnsi="Times New Roman" w:cs="Times New Roman"/>
          <w:sz w:val="28"/>
          <w:szCs w:val="28"/>
        </w:rPr>
        <w:t xml:space="preserve">He included an invoice </w:t>
      </w:r>
      <w:r w:rsidR="007A069E" w:rsidRPr="009870D0">
        <w:rPr>
          <w:rFonts w:ascii="Times New Roman" w:hAnsi="Times New Roman" w:cs="Times New Roman"/>
          <w:sz w:val="28"/>
          <w:szCs w:val="28"/>
        </w:rPr>
        <w:t xml:space="preserve">he had created </w:t>
      </w:r>
      <w:r w:rsidR="00FB5359" w:rsidRPr="009870D0">
        <w:rPr>
          <w:rFonts w:ascii="Times New Roman" w:hAnsi="Times New Roman" w:cs="Times New Roman"/>
          <w:sz w:val="28"/>
          <w:szCs w:val="28"/>
        </w:rPr>
        <w:t>for</w:t>
      </w:r>
      <w:r w:rsidR="007A069E" w:rsidRPr="009870D0">
        <w:rPr>
          <w:rFonts w:ascii="Times New Roman" w:hAnsi="Times New Roman" w:cs="Times New Roman"/>
          <w:sz w:val="28"/>
          <w:szCs w:val="28"/>
        </w:rPr>
        <w:t xml:space="preserve"> “Hauling Supplies, </w:t>
      </w:r>
      <w:proofErr w:type="spellStart"/>
      <w:r w:rsidR="007A069E" w:rsidRPr="009870D0">
        <w:rPr>
          <w:rFonts w:ascii="Times New Roman" w:hAnsi="Times New Roman" w:cs="Times New Roman"/>
          <w:sz w:val="28"/>
          <w:szCs w:val="28"/>
        </w:rPr>
        <w:t>Equipt</w:t>
      </w:r>
      <w:proofErr w:type="spellEnd"/>
      <w:r w:rsidR="007A069E" w:rsidRPr="009870D0">
        <w:rPr>
          <w:rFonts w:ascii="Times New Roman" w:hAnsi="Times New Roman" w:cs="Times New Roman"/>
          <w:sz w:val="28"/>
          <w:szCs w:val="28"/>
        </w:rPr>
        <w:t xml:space="preserve">, etc. Re:  Snow Carving”. </w:t>
      </w:r>
      <w:r w:rsidR="00FB5359" w:rsidRPr="009870D0">
        <w:rPr>
          <w:rFonts w:ascii="Times New Roman" w:hAnsi="Times New Roman" w:cs="Times New Roman"/>
          <w:sz w:val="28"/>
          <w:szCs w:val="28"/>
        </w:rPr>
        <w:t xml:space="preserve"> </w:t>
      </w:r>
      <w:r w:rsidR="007A069E" w:rsidRPr="009870D0">
        <w:rPr>
          <w:rFonts w:ascii="Times New Roman" w:hAnsi="Times New Roman" w:cs="Times New Roman"/>
          <w:sz w:val="28"/>
          <w:szCs w:val="28"/>
        </w:rPr>
        <w:t xml:space="preserve">The charge was $240.00 and constituted rent </w:t>
      </w:r>
      <w:r w:rsidR="00FB5359" w:rsidRPr="009870D0">
        <w:rPr>
          <w:rFonts w:ascii="Times New Roman" w:hAnsi="Times New Roman" w:cs="Times New Roman"/>
          <w:sz w:val="28"/>
          <w:szCs w:val="28"/>
        </w:rPr>
        <w:t>for his truck</w:t>
      </w:r>
      <w:r w:rsidR="007A069E" w:rsidRPr="009870D0">
        <w:rPr>
          <w:rFonts w:ascii="Times New Roman" w:hAnsi="Times New Roman" w:cs="Times New Roman"/>
          <w:sz w:val="28"/>
          <w:szCs w:val="28"/>
        </w:rPr>
        <w:t xml:space="preserve">.  </w:t>
      </w:r>
      <w:r w:rsidRPr="009870D0">
        <w:rPr>
          <w:rFonts w:ascii="Times New Roman" w:hAnsi="Times New Roman" w:cs="Times New Roman"/>
          <w:sz w:val="28"/>
          <w:szCs w:val="28"/>
        </w:rPr>
        <w:t xml:space="preserve">The fee he charged was based on the </w:t>
      </w:r>
      <w:r w:rsidR="00E14B83" w:rsidRPr="009870D0">
        <w:rPr>
          <w:rFonts w:ascii="Times New Roman" w:hAnsi="Times New Roman" w:cs="Times New Roman"/>
          <w:sz w:val="28"/>
          <w:szCs w:val="28"/>
        </w:rPr>
        <w:t xml:space="preserve">PSAC </w:t>
      </w:r>
      <w:r w:rsidRPr="009870D0">
        <w:rPr>
          <w:rFonts w:ascii="Times New Roman" w:hAnsi="Times New Roman" w:cs="Times New Roman"/>
          <w:sz w:val="28"/>
          <w:szCs w:val="28"/>
        </w:rPr>
        <w:t>being</w:t>
      </w:r>
      <w:r w:rsidR="00E14B83" w:rsidRPr="009870D0">
        <w:rPr>
          <w:rFonts w:ascii="Times New Roman" w:hAnsi="Times New Roman" w:cs="Times New Roman"/>
          <w:sz w:val="28"/>
          <w:szCs w:val="28"/>
        </w:rPr>
        <w:t xml:space="preserve"> prepared to pay the first contractor $50.00 an hour for his services, which included </w:t>
      </w:r>
      <w:r w:rsidR="00FB5359" w:rsidRPr="009870D0">
        <w:rPr>
          <w:rFonts w:ascii="Times New Roman" w:hAnsi="Times New Roman" w:cs="Times New Roman"/>
          <w:sz w:val="28"/>
          <w:szCs w:val="28"/>
        </w:rPr>
        <w:t>a</w:t>
      </w:r>
      <w:r w:rsidR="00E14B83" w:rsidRPr="009870D0">
        <w:rPr>
          <w:rFonts w:ascii="Times New Roman" w:hAnsi="Times New Roman" w:cs="Times New Roman"/>
          <w:sz w:val="28"/>
          <w:szCs w:val="28"/>
        </w:rPr>
        <w:t xml:space="preserve"> truck, and the second contractor </w:t>
      </w:r>
      <w:r w:rsidRPr="009870D0">
        <w:rPr>
          <w:rFonts w:ascii="Times New Roman" w:hAnsi="Times New Roman" w:cs="Times New Roman"/>
          <w:sz w:val="28"/>
          <w:szCs w:val="28"/>
        </w:rPr>
        <w:t>being</w:t>
      </w:r>
      <w:r w:rsidR="00E14B83" w:rsidRPr="009870D0">
        <w:rPr>
          <w:rFonts w:ascii="Times New Roman" w:hAnsi="Times New Roman" w:cs="Times New Roman"/>
          <w:sz w:val="28"/>
          <w:szCs w:val="28"/>
        </w:rPr>
        <w:t xml:space="preserve"> paid $30.00 without the truck</w:t>
      </w:r>
      <w:r w:rsidRPr="009870D0">
        <w:rPr>
          <w:rFonts w:ascii="Times New Roman" w:hAnsi="Times New Roman" w:cs="Times New Roman"/>
          <w:sz w:val="28"/>
          <w:szCs w:val="28"/>
        </w:rPr>
        <w:t xml:space="preserve">.  This would leave $20.00 an hour in the budget for </w:t>
      </w:r>
      <w:r w:rsidR="00E14B83" w:rsidRPr="009870D0">
        <w:rPr>
          <w:rFonts w:ascii="Times New Roman" w:hAnsi="Times New Roman" w:cs="Times New Roman"/>
          <w:sz w:val="28"/>
          <w:szCs w:val="28"/>
        </w:rPr>
        <w:t>Ryland</w:t>
      </w:r>
      <w:r w:rsidRPr="009870D0">
        <w:rPr>
          <w:rFonts w:ascii="Times New Roman" w:hAnsi="Times New Roman" w:cs="Times New Roman"/>
          <w:sz w:val="28"/>
          <w:szCs w:val="28"/>
        </w:rPr>
        <w:t xml:space="preserve">’s truck. </w:t>
      </w:r>
      <w:r w:rsidR="00E14B83" w:rsidRPr="009870D0">
        <w:rPr>
          <w:rFonts w:ascii="Times New Roman" w:hAnsi="Times New Roman" w:cs="Times New Roman"/>
          <w:sz w:val="28"/>
          <w:szCs w:val="28"/>
        </w:rPr>
        <w:t xml:space="preserve"> </w:t>
      </w:r>
    </w:p>
    <w:p w14:paraId="1DB8CBB8" w14:textId="77777777" w:rsidR="00FB5359" w:rsidRDefault="00FB5359" w:rsidP="00FB5359">
      <w:pPr>
        <w:pStyle w:val="ListParagraph"/>
        <w:spacing w:after="0" w:line="240" w:lineRule="auto"/>
        <w:ind w:left="0"/>
        <w:jc w:val="both"/>
        <w:rPr>
          <w:rFonts w:ascii="Times New Roman" w:hAnsi="Times New Roman" w:cs="Times New Roman"/>
          <w:sz w:val="28"/>
          <w:szCs w:val="28"/>
        </w:rPr>
      </w:pPr>
    </w:p>
    <w:p w14:paraId="556C0ACA" w14:textId="77777777" w:rsidR="00305F3A" w:rsidRDefault="00DC7F2B" w:rsidP="004C241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support of its summary judgment and abuse of process applications, t</w:t>
      </w:r>
      <w:r w:rsidR="009870D0">
        <w:rPr>
          <w:rFonts w:ascii="Times New Roman" w:hAnsi="Times New Roman" w:cs="Times New Roman"/>
          <w:sz w:val="28"/>
          <w:szCs w:val="28"/>
        </w:rPr>
        <w:t>he PSAC provided an affidavit from Kinsella</w:t>
      </w:r>
      <w:r w:rsidR="00CD4C8B">
        <w:rPr>
          <w:rFonts w:ascii="Times New Roman" w:hAnsi="Times New Roman" w:cs="Times New Roman"/>
          <w:sz w:val="28"/>
          <w:szCs w:val="28"/>
        </w:rPr>
        <w:t>, filed February 3, 2022</w:t>
      </w:r>
      <w:r w:rsidR="009870D0">
        <w:rPr>
          <w:rFonts w:ascii="Times New Roman" w:hAnsi="Times New Roman" w:cs="Times New Roman"/>
          <w:sz w:val="28"/>
          <w:szCs w:val="28"/>
        </w:rPr>
        <w:t xml:space="preserve">.  Kinsella denies </w:t>
      </w:r>
      <w:r w:rsidR="00305F3A">
        <w:rPr>
          <w:rFonts w:ascii="Times New Roman" w:hAnsi="Times New Roman" w:cs="Times New Roman"/>
          <w:sz w:val="28"/>
          <w:szCs w:val="28"/>
        </w:rPr>
        <w:t xml:space="preserve">he ever agreed on behalf of the PSAC </w:t>
      </w:r>
      <w:r w:rsidR="0099024F">
        <w:rPr>
          <w:rFonts w:ascii="Times New Roman" w:hAnsi="Times New Roman" w:cs="Times New Roman"/>
          <w:sz w:val="28"/>
          <w:szCs w:val="28"/>
        </w:rPr>
        <w:t>to rent the truck</w:t>
      </w:r>
      <w:r w:rsidR="00305F3A">
        <w:rPr>
          <w:rFonts w:ascii="Times New Roman" w:hAnsi="Times New Roman" w:cs="Times New Roman"/>
          <w:sz w:val="28"/>
          <w:szCs w:val="28"/>
        </w:rPr>
        <w:t xml:space="preserve"> </w:t>
      </w:r>
      <w:r w:rsidR="0099024F">
        <w:rPr>
          <w:rFonts w:ascii="Times New Roman" w:hAnsi="Times New Roman" w:cs="Times New Roman"/>
          <w:sz w:val="28"/>
          <w:szCs w:val="28"/>
        </w:rPr>
        <w:t>or to compensate Ryland outside the usual processe</w:t>
      </w:r>
      <w:r w:rsidR="00CD4C8B">
        <w:rPr>
          <w:rFonts w:ascii="Times New Roman" w:hAnsi="Times New Roman" w:cs="Times New Roman"/>
          <w:sz w:val="28"/>
          <w:szCs w:val="28"/>
        </w:rPr>
        <w:t>s.  He points out those usual processes compensate employees who use their own vehicle by paying a set rate per kilomet</w:t>
      </w:r>
      <w:r>
        <w:rPr>
          <w:rFonts w:ascii="Times New Roman" w:hAnsi="Times New Roman" w:cs="Times New Roman"/>
          <w:sz w:val="28"/>
          <w:szCs w:val="28"/>
        </w:rPr>
        <w:t>er</w:t>
      </w:r>
      <w:r w:rsidR="00CD4C8B">
        <w:rPr>
          <w:rFonts w:ascii="Times New Roman" w:hAnsi="Times New Roman" w:cs="Times New Roman"/>
          <w:sz w:val="28"/>
          <w:szCs w:val="28"/>
        </w:rPr>
        <w:t xml:space="preserve">. </w:t>
      </w:r>
    </w:p>
    <w:p w14:paraId="2CE6C306" w14:textId="77777777" w:rsidR="00305F3A" w:rsidRPr="00305F3A" w:rsidRDefault="00305F3A" w:rsidP="00305F3A">
      <w:pPr>
        <w:pStyle w:val="ListParagraph"/>
        <w:rPr>
          <w:rFonts w:ascii="Times New Roman" w:hAnsi="Times New Roman" w:cs="Times New Roman"/>
          <w:sz w:val="28"/>
          <w:szCs w:val="28"/>
        </w:rPr>
      </w:pPr>
    </w:p>
    <w:p w14:paraId="2BD47647" w14:textId="6603A003" w:rsidR="00305F3A" w:rsidRPr="00305F3A" w:rsidRDefault="00305F3A" w:rsidP="00305F3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Kinsella told Ryland he could not submit the expense claim with the </w:t>
      </w:r>
      <w:r w:rsidR="00E762C5">
        <w:rPr>
          <w:rFonts w:ascii="Times New Roman" w:hAnsi="Times New Roman" w:cs="Times New Roman"/>
          <w:sz w:val="28"/>
          <w:szCs w:val="28"/>
        </w:rPr>
        <w:t>truck</w:t>
      </w:r>
      <w:r>
        <w:rPr>
          <w:rFonts w:ascii="Times New Roman" w:hAnsi="Times New Roman" w:cs="Times New Roman"/>
          <w:sz w:val="28"/>
          <w:szCs w:val="28"/>
        </w:rPr>
        <w:t xml:space="preserve"> rental</w:t>
      </w:r>
      <w:r w:rsidR="00E762C5">
        <w:rPr>
          <w:rFonts w:ascii="Times New Roman" w:hAnsi="Times New Roman" w:cs="Times New Roman"/>
          <w:sz w:val="28"/>
          <w:szCs w:val="28"/>
        </w:rPr>
        <w:t xml:space="preserve"> fee</w:t>
      </w:r>
      <w:r>
        <w:rPr>
          <w:rFonts w:ascii="Times New Roman" w:hAnsi="Times New Roman" w:cs="Times New Roman"/>
          <w:sz w:val="28"/>
          <w:szCs w:val="28"/>
        </w:rPr>
        <w:t xml:space="preserve"> included, stating Ryland’s employment position did not include a </w:t>
      </w:r>
      <w:r w:rsidR="00E762C5">
        <w:rPr>
          <w:rFonts w:ascii="Times New Roman" w:hAnsi="Times New Roman" w:cs="Times New Roman"/>
          <w:sz w:val="28"/>
          <w:szCs w:val="28"/>
        </w:rPr>
        <w:t xml:space="preserve">vehicle </w:t>
      </w:r>
      <w:r>
        <w:rPr>
          <w:rFonts w:ascii="Times New Roman" w:hAnsi="Times New Roman" w:cs="Times New Roman"/>
          <w:sz w:val="28"/>
          <w:szCs w:val="28"/>
        </w:rPr>
        <w:t xml:space="preserve">allowance. </w:t>
      </w:r>
      <w:r w:rsidR="00334549">
        <w:rPr>
          <w:rFonts w:ascii="Times New Roman" w:hAnsi="Times New Roman" w:cs="Times New Roman"/>
          <w:sz w:val="28"/>
          <w:szCs w:val="28"/>
        </w:rPr>
        <w:t xml:space="preserve"> </w:t>
      </w:r>
      <w:r>
        <w:rPr>
          <w:rFonts w:ascii="Times New Roman" w:hAnsi="Times New Roman" w:cs="Times New Roman"/>
          <w:sz w:val="28"/>
          <w:szCs w:val="28"/>
        </w:rPr>
        <w:t>He submitted the balance of Ryland’s expense claims for reimbursement and advised Ryland to submit a claim for kilomet</w:t>
      </w:r>
      <w:r w:rsidR="00DC7F2B">
        <w:rPr>
          <w:rFonts w:ascii="Times New Roman" w:hAnsi="Times New Roman" w:cs="Times New Roman"/>
          <w:sz w:val="28"/>
          <w:szCs w:val="28"/>
        </w:rPr>
        <w:t>er</w:t>
      </w:r>
      <w:r>
        <w:rPr>
          <w:rFonts w:ascii="Times New Roman" w:hAnsi="Times New Roman" w:cs="Times New Roman"/>
          <w:sz w:val="28"/>
          <w:szCs w:val="28"/>
        </w:rPr>
        <w:t>s travelled in accordance with the travel policy</w:t>
      </w:r>
      <w:r w:rsidR="00126513">
        <w:rPr>
          <w:rFonts w:ascii="Times New Roman" w:hAnsi="Times New Roman" w:cs="Times New Roman"/>
          <w:sz w:val="28"/>
          <w:szCs w:val="28"/>
        </w:rPr>
        <w:t xml:space="preserve"> to compensate him for costs connected to the use of his truck</w:t>
      </w:r>
      <w:r>
        <w:rPr>
          <w:rFonts w:ascii="Times New Roman" w:hAnsi="Times New Roman" w:cs="Times New Roman"/>
          <w:sz w:val="28"/>
          <w:szCs w:val="28"/>
        </w:rPr>
        <w:t>.  Ryland did not do so.</w:t>
      </w:r>
      <w:r w:rsidR="00334549">
        <w:rPr>
          <w:rFonts w:ascii="Times New Roman" w:hAnsi="Times New Roman" w:cs="Times New Roman"/>
          <w:sz w:val="28"/>
          <w:szCs w:val="28"/>
        </w:rPr>
        <w:t xml:space="preserve">  </w:t>
      </w:r>
    </w:p>
    <w:p w14:paraId="10CA4502" w14:textId="77777777" w:rsidR="00305F3A" w:rsidRPr="00305F3A" w:rsidRDefault="00305F3A" w:rsidP="00305F3A">
      <w:pPr>
        <w:pStyle w:val="ListParagraph"/>
        <w:rPr>
          <w:rFonts w:ascii="Times New Roman" w:hAnsi="Times New Roman" w:cs="Times New Roman"/>
          <w:sz w:val="28"/>
          <w:szCs w:val="28"/>
        </w:rPr>
      </w:pPr>
    </w:p>
    <w:p w14:paraId="3AC60E95" w14:textId="77777777" w:rsidR="004C241A" w:rsidRDefault="004C241A" w:rsidP="004C241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From correspondence between Ryland and his supervisor contained in the affidavit materials filed in Territorial Court, it appears Ryland </w:t>
      </w:r>
      <w:r w:rsidR="00203808">
        <w:rPr>
          <w:rFonts w:ascii="Times New Roman" w:hAnsi="Times New Roman" w:cs="Times New Roman"/>
          <w:sz w:val="28"/>
          <w:szCs w:val="28"/>
        </w:rPr>
        <w:t xml:space="preserve">had a relatively long-held </w:t>
      </w:r>
      <w:r>
        <w:rPr>
          <w:rFonts w:ascii="Times New Roman" w:hAnsi="Times New Roman" w:cs="Times New Roman"/>
          <w:sz w:val="28"/>
          <w:szCs w:val="28"/>
        </w:rPr>
        <w:t>belie</w:t>
      </w:r>
      <w:r w:rsidR="00203808">
        <w:rPr>
          <w:rFonts w:ascii="Times New Roman" w:hAnsi="Times New Roman" w:cs="Times New Roman"/>
          <w:sz w:val="28"/>
          <w:szCs w:val="28"/>
        </w:rPr>
        <w:t>f</w:t>
      </w:r>
      <w:r>
        <w:rPr>
          <w:rFonts w:ascii="Times New Roman" w:hAnsi="Times New Roman" w:cs="Times New Roman"/>
          <w:sz w:val="28"/>
          <w:szCs w:val="28"/>
        </w:rPr>
        <w:t xml:space="preserve"> he was entitled to a </w:t>
      </w:r>
      <w:r w:rsidR="00DC7F2B">
        <w:rPr>
          <w:rFonts w:ascii="Times New Roman" w:hAnsi="Times New Roman" w:cs="Times New Roman"/>
          <w:sz w:val="28"/>
          <w:szCs w:val="28"/>
        </w:rPr>
        <w:t>vehicle</w:t>
      </w:r>
      <w:r>
        <w:rPr>
          <w:rFonts w:ascii="Times New Roman" w:hAnsi="Times New Roman" w:cs="Times New Roman"/>
          <w:sz w:val="28"/>
          <w:szCs w:val="28"/>
        </w:rPr>
        <w:t xml:space="preserve"> allowance</w:t>
      </w:r>
      <w:r w:rsidR="007A0AA9">
        <w:rPr>
          <w:rFonts w:ascii="Times New Roman" w:hAnsi="Times New Roman" w:cs="Times New Roman"/>
          <w:sz w:val="28"/>
          <w:szCs w:val="28"/>
        </w:rPr>
        <w:t xml:space="preserve"> and this has been a source of contention between him and </w:t>
      </w:r>
      <w:r w:rsidR="00DC7F2B">
        <w:rPr>
          <w:rFonts w:ascii="Times New Roman" w:hAnsi="Times New Roman" w:cs="Times New Roman"/>
          <w:sz w:val="28"/>
          <w:szCs w:val="28"/>
        </w:rPr>
        <w:t xml:space="preserve">the PSAC for </w:t>
      </w:r>
      <w:r w:rsidR="007A0AA9">
        <w:rPr>
          <w:rFonts w:ascii="Times New Roman" w:hAnsi="Times New Roman" w:cs="Times New Roman"/>
          <w:sz w:val="28"/>
          <w:szCs w:val="28"/>
        </w:rPr>
        <w:t>some time</w:t>
      </w:r>
      <w:r>
        <w:rPr>
          <w:rFonts w:ascii="Times New Roman" w:hAnsi="Times New Roman" w:cs="Times New Roman"/>
          <w:sz w:val="28"/>
          <w:szCs w:val="28"/>
        </w:rPr>
        <w:t>.</w:t>
      </w:r>
      <w:r w:rsidR="00203808">
        <w:rPr>
          <w:rFonts w:ascii="Times New Roman" w:hAnsi="Times New Roman" w:cs="Times New Roman"/>
          <w:sz w:val="28"/>
          <w:szCs w:val="28"/>
        </w:rPr>
        <w:t xml:space="preserve"> </w:t>
      </w:r>
      <w:r>
        <w:rPr>
          <w:rFonts w:ascii="Times New Roman" w:hAnsi="Times New Roman" w:cs="Times New Roman"/>
          <w:sz w:val="28"/>
          <w:szCs w:val="28"/>
        </w:rPr>
        <w:t xml:space="preserve"> </w:t>
      </w:r>
      <w:r w:rsidR="005771E0">
        <w:rPr>
          <w:rFonts w:ascii="Times New Roman" w:hAnsi="Times New Roman" w:cs="Times New Roman"/>
          <w:sz w:val="28"/>
          <w:szCs w:val="28"/>
        </w:rPr>
        <w:t>Ryland’s position is not one which includes a vehicle allowance.</w:t>
      </w:r>
    </w:p>
    <w:p w14:paraId="5B2A2E16" w14:textId="77777777" w:rsidR="00717D2A" w:rsidRPr="00717D2A" w:rsidRDefault="00717D2A" w:rsidP="00717D2A">
      <w:pPr>
        <w:pStyle w:val="ListParagraph"/>
        <w:rPr>
          <w:rFonts w:ascii="Times New Roman" w:hAnsi="Times New Roman" w:cs="Times New Roman"/>
          <w:sz w:val="28"/>
          <w:szCs w:val="28"/>
        </w:rPr>
      </w:pPr>
    </w:p>
    <w:p w14:paraId="7C36F887" w14:textId="77777777" w:rsidR="00717D2A" w:rsidRPr="00717D2A" w:rsidRDefault="00717D2A" w:rsidP="00717D2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Ryland was paid wages </w:t>
      </w:r>
      <w:r w:rsidR="007A069E">
        <w:rPr>
          <w:rFonts w:ascii="Times New Roman" w:hAnsi="Times New Roman" w:cs="Times New Roman"/>
          <w:sz w:val="28"/>
          <w:szCs w:val="28"/>
        </w:rPr>
        <w:t xml:space="preserve">for </w:t>
      </w:r>
      <w:r>
        <w:rPr>
          <w:rFonts w:ascii="Times New Roman" w:hAnsi="Times New Roman" w:cs="Times New Roman"/>
          <w:sz w:val="28"/>
          <w:szCs w:val="28"/>
        </w:rPr>
        <w:t xml:space="preserve">his work on the project, including overtime.  That these were wages owed and paid to him in his capacity as </w:t>
      </w:r>
      <w:r w:rsidR="00305F3A">
        <w:rPr>
          <w:rFonts w:ascii="Times New Roman" w:hAnsi="Times New Roman" w:cs="Times New Roman"/>
          <w:sz w:val="28"/>
          <w:szCs w:val="28"/>
        </w:rPr>
        <w:t xml:space="preserve">an </w:t>
      </w:r>
      <w:r>
        <w:rPr>
          <w:rFonts w:ascii="Times New Roman" w:hAnsi="Times New Roman" w:cs="Times New Roman"/>
          <w:sz w:val="28"/>
          <w:szCs w:val="28"/>
        </w:rPr>
        <w:t>employee</w:t>
      </w:r>
      <w:r w:rsidR="00305F3A">
        <w:rPr>
          <w:rFonts w:ascii="Times New Roman" w:hAnsi="Times New Roman" w:cs="Times New Roman"/>
          <w:sz w:val="28"/>
          <w:szCs w:val="28"/>
        </w:rPr>
        <w:t xml:space="preserve"> of the PSAC</w:t>
      </w:r>
      <w:r>
        <w:rPr>
          <w:rFonts w:ascii="Times New Roman" w:hAnsi="Times New Roman" w:cs="Times New Roman"/>
          <w:sz w:val="28"/>
          <w:szCs w:val="28"/>
        </w:rPr>
        <w:t xml:space="preserve">, and not payments to him as an independent contractor, does not appear to be in issue. </w:t>
      </w:r>
    </w:p>
    <w:p w14:paraId="63E93A84" w14:textId="77777777" w:rsidR="00FB5359" w:rsidRPr="00FB5359" w:rsidRDefault="00FB5359" w:rsidP="00FB5359">
      <w:pPr>
        <w:pStyle w:val="ListParagraph"/>
        <w:spacing w:after="0" w:line="240" w:lineRule="auto"/>
        <w:ind w:left="0"/>
        <w:jc w:val="both"/>
        <w:rPr>
          <w:rFonts w:ascii="Times New Roman" w:hAnsi="Times New Roman" w:cs="Times New Roman"/>
          <w:sz w:val="28"/>
          <w:szCs w:val="28"/>
        </w:rPr>
      </w:pPr>
    </w:p>
    <w:p w14:paraId="0576D451" w14:textId="341E77CB" w:rsidR="00616FFA" w:rsidRDefault="004D0232"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Ryland</w:t>
      </w:r>
      <w:r w:rsidR="00717D2A">
        <w:rPr>
          <w:rFonts w:ascii="Times New Roman" w:hAnsi="Times New Roman" w:cs="Times New Roman"/>
          <w:sz w:val="28"/>
          <w:szCs w:val="28"/>
        </w:rPr>
        <w:t xml:space="preserve"> filed </w:t>
      </w:r>
      <w:r w:rsidR="00305F3A">
        <w:rPr>
          <w:rFonts w:ascii="Times New Roman" w:hAnsi="Times New Roman" w:cs="Times New Roman"/>
          <w:sz w:val="28"/>
          <w:szCs w:val="28"/>
        </w:rPr>
        <w:t>his suit</w:t>
      </w:r>
      <w:r w:rsidR="00616FFA">
        <w:rPr>
          <w:rFonts w:ascii="Times New Roman" w:hAnsi="Times New Roman" w:cs="Times New Roman"/>
          <w:sz w:val="28"/>
          <w:szCs w:val="28"/>
        </w:rPr>
        <w:t xml:space="preserve"> in contract</w:t>
      </w:r>
      <w:r w:rsidR="00717D2A">
        <w:rPr>
          <w:rFonts w:ascii="Times New Roman" w:hAnsi="Times New Roman" w:cs="Times New Roman"/>
          <w:sz w:val="28"/>
          <w:szCs w:val="28"/>
        </w:rPr>
        <w:t xml:space="preserve"> against</w:t>
      </w:r>
      <w:r w:rsidR="00E762C5">
        <w:rPr>
          <w:rFonts w:ascii="Times New Roman" w:hAnsi="Times New Roman" w:cs="Times New Roman"/>
          <w:sz w:val="28"/>
          <w:szCs w:val="28"/>
        </w:rPr>
        <w:t xml:space="preserve"> the</w:t>
      </w:r>
      <w:r w:rsidR="00717D2A">
        <w:rPr>
          <w:rFonts w:ascii="Times New Roman" w:hAnsi="Times New Roman" w:cs="Times New Roman"/>
          <w:sz w:val="28"/>
          <w:szCs w:val="28"/>
        </w:rPr>
        <w:t xml:space="preserve"> PSAC in Territorial Court on March 4, 2021 alleging</w:t>
      </w:r>
      <w:r w:rsidR="00616FFA">
        <w:rPr>
          <w:rFonts w:ascii="Times New Roman" w:hAnsi="Times New Roman" w:cs="Times New Roman"/>
          <w:sz w:val="28"/>
          <w:szCs w:val="28"/>
        </w:rPr>
        <w:t xml:space="preserve">, </w:t>
      </w:r>
      <w:r w:rsidR="00CD4C8B">
        <w:rPr>
          <w:rFonts w:ascii="Times New Roman" w:hAnsi="Times New Roman" w:cs="Times New Roman"/>
          <w:sz w:val="28"/>
          <w:szCs w:val="28"/>
        </w:rPr>
        <w:t>in part</w:t>
      </w:r>
      <w:r w:rsidR="00616FFA">
        <w:rPr>
          <w:rFonts w:ascii="Times New Roman" w:hAnsi="Times New Roman" w:cs="Times New Roman"/>
          <w:sz w:val="28"/>
          <w:szCs w:val="28"/>
        </w:rPr>
        <w:t>:</w:t>
      </w:r>
    </w:p>
    <w:p w14:paraId="3ABBCC4B" w14:textId="77777777" w:rsidR="00616FFA" w:rsidRPr="00616FFA" w:rsidRDefault="00616FFA" w:rsidP="00616FFA">
      <w:pPr>
        <w:pStyle w:val="ListParagraph"/>
        <w:rPr>
          <w:rFonts w:ascii="Times New Roman" w:hAnsi="Times New Roman" w:cs="Times New Roman"/>
          <w:sz w:val="28"/>
          <w:szCs w:val="28"/>
        </w:rPr>
      </w:pPr>
    </w:p>
    <w:p w14:paraId="51991ACF" w14:textId="77777777" w:rsidR="00616FFA" w:rsidRPr="00616FFA" w:rsidRDefault="00616FFA" w:rsidP="00616FFA">
      <w:pPr>
        <w:pStyle w:val="ListParagraph"/>
        <w:spacing w:after="0" w:line="240" w:lineRule="auto"/>
        <w:ind w:right="737"/>
        <w:jc w:val="both"/>
        <w:rPr>
          <w:rFonts w:ascii="Times New Roman" w:hAnsi="Times New Roman" w:cs="Times New Roman"/>
          <w:sz w:val="24"/>
          <w:szCs w:val="24"/>
        </w:rPr>
      </w:pPr>
      <w:r w:rsidRPr="00616FFA">
        <w:rPr>
          <w:rFonts w:ascii="Times New Roman" w:hAnsi="Times New Roman" w:cs="Times New Roman"/>
          <w:sz w:val="24"/>
          <w:szCs w:val="24"/>
        </w:rPr>
        <w:t>In February 2020, I rented my pick-up truck to the [PSAC] for a period of 12 hours at a price of $20/hr.  This was for work on a particular PSAC construction project, and the amount was due upon billing.</w:t>
      </w:r>
    </w:p>
    <w:p w14:paraId="79A64E90" w14:textId="77777777" w:rsidR="00616FFA" w:rsidRPr="00616FFA" w:rsidRDefault="00616FFA" w:rsidP="00616FFA">
      <w:pPr>
        <w:pStyle w:val="ListParagraph"/>
        <w:ind w:left="1440" w:right="737"/>
        <w:rPr>
          <w:rFonts w:ascii="Times New Roman" w:hAnsi="Times New Roman" w:cs="Times New Roman"/>
          <w:sz w:val="24"/>
          <w:szCs w:val="24"/>
        </w:rPr>
      </w:pPr>
    </w:p>
    <w:p w14:paraId="7C20E292" w14:textId="77777777" w:rsidR="00616FFA" w:rsidRPr="00616FFA" w:rsidRDefault="00616FFA" w:rsidP="00616FFA">
      <w:pPr>
        <w:pStyle w:val="ListParagraph"/>
        <w:spacing w:after="0" w:line="240" w:lineRule="auto"/>
        <w:ind w:right="737"/>
        <w:jc w:val="both"/>
        <w:rPr>
          <w:rFonts w:ascii="Times New Roman" w:hAnsi="Times New Roman" w:cs="Times New Roman"/>
          <w:sz w:val="24"/>
          <w:szCs w:val="24"/>
        </w:rPr>
      </w:pPr>
      <w:r w:rsidRPr="00616FFA">
        <w:rPr>
          <w:rFonts w:ascii="Times New Roman" w:hAnsi="Times New Roman" w:cs="Times New Roman"/>
          <w:sz w:val="24"/>
          <w:szCs w:val="24"/>
        </w:rPr>
        <w:t xml:space="preserve"> . . . [</w:t>
      </w:r>
      <w:r w:rsidR="00305F3A">
        <w:rPr>
          <w:rFonts w:ascii="Times New Roman" w:hAnsi="Times New Roman" w:cs="Times New Roman"/>
          <w:sz w:val="24"/>
          <w:szCs w:val="24"/>
        </w:rPr>
        <w:t xml:space="preserve">the </w:t>
      </w:r>
      <w:r w:rsidR="004D0232" w:rsidRPr="00616FFA">
        <w:rPr>
          <w:rFonts w:ascii="Times New Roman" w:hAnsi="Times New Roman" w:cs="Times New Roman"/>
          <w:sz w:val="24"/>
          <w:szCs w:val="24"/>
        </w:rPr>
        <w:t>PSAC</w:t>
      </w:r>
      <w:r w:rsidRPr="00616FFA">
        <w:rPr>
          <w:rFonts w:ascii="Times New Roman" w:hAnsi="Times New Roman" w:cs="Times New Roman"/>
          <w:sz w:val="24"/>
          <w:szCs w:val="24"/>
        </w:rPr>
        <w:t>]</w:t>
      </w:r>
      <w:r w:rsidR="004D0232" w:rsidRPr="00616FFA">
        <w:rPr>
          <w:rFonts w:ascii="Times New Roman" w:hAnsi="Times New Roman" w:cs="Times New Roman"/>
          <w:sz w:val="24"/>
          <w:szCs w:val="24"/>
        </w:rPr>
        <w:t xml:space="preserve"> </w:t>
      </w:r>
      <w:r w:rsidRPr="00616FFA">
        <w:rPr>
          <w:rFonts w:ascii="Times New Roman" w:hAnsi="Times New Roman" w:cs="Times New Roman"/>
          <w:sz w:val="24"/>
          <w:szCs w:val="24"/>
        </w:rPr>
        <w:t>refused to pay me the amount owing of $240.00.  All other venders involved in this project were paid, but not me.</w:t>
      </w:r>
    </w:p>
    <w:p w14:paraId="7C272A0C" w14:textId="77777777" w:rsidR="00AA7DD3" w:rsidRPr="00AA7DD3" w:rsidRDefault="00AA7DD3" w:rsidP="00AA7DD3">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THE TERRITORIAL COURT RULING</w:t>
      </w:r>
    </w:p>
    <w:p w14:paraId="05850473" w14:textId="77777777" w:rsidR="00E265B5" w:rsidRPr="00E265B5" w:rsidRDefault="00305F3A" w:rsidP="00E265B5">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As noted, the </w:t>
      </w:r>
      <w:r w:rsidR="00616FFA">
        <w:rPr>
          <w:rFonts w:ascii="Times New Roman" w:hAnsi="Times New Roman" w:cs="Times New Roman"/>
          <w:sz w:val="28"/>
          <w:szCs w:val="28"/>
        </w:rPr>
        <w:t>PSAC brought</w:t>
      </w:r>
      <w:r w:rsidR="00211DEB">
        <w:rPr>
          <w:rFonts w:ascii="Times New Roman" w:hAnsi="Times New Roman" w:cs="Times New Roman"/>
          <w:sz w:val="28"/>
          <w:szCs w:val="28"/>
        </w:rPr>
        <w:t xml:space="preserve"> applications to strike out Ryland’s claim as </w:t>
      </w:r>
      <w:r w:rsidR="00DC7F2B">
        <w:rPr>
          <w:rFonts w:ascii="Times New Roman" w:hAnsi="Times New Roman" w:cs="Times New Roman"/>
          <w:sz w:val="28"/>
          <w:szCs w:val="28"/>
        </w:rPr>
        <w:t xml:space="preserve">an abuse of process </w:t>
      </w:r>
      <w:r w:rsidR="00211DEB">
        <w:rPr>
          <w:rFonts w:ascii="Times New Roman" w:hAnsi="Times New Roman" w:cs="Times New Roman"/>
          <w:sz w:val="28"/>
          <w:szCs w:val="28"/>
        </w:rPr>
        <w:t>or alternatively, for summary judgment dismissing claim</w:t>
      </w:r>
      <w:r>
        <w:rPr>
          <w:rFonts w:ascii="Times New Roman" w:hAnsi="Times New Roman" w:cs="Times New Roman"/>
          <w:sz w:val="28"/>
          <w:szCs w:val="28"/>
        </w:rPr>
        <w:t xml:space="preserve"> based on </w:t>
      </w:r>
      <w:r>
        <w:rPr>
          <w:rFonts w:ascii="Times New Roman" w:hAnsi="Times New Roman" w:cs="Times New Roman"/>
          <w:i/>
          <w:iCs/>
          <w:sz w:val="28"/>
          <w:szCs w:val="28"/>
        </w:rPr>
        <w:t>Weber</w:t>
      </w:r>
      <w:r w:rsidR="00211DEB">
        <w:rPr>
          <w:rFonts w:ascii="Times New Roman" w:hAnsi="Times New Roman" w:cs="Times New Roman"/>
          <w:sz w:val="28"/>
          <w:szCs w:val="28"/>
        </w:rPr>
        <w:t xml:space="preserve">.  </w:t>
      </w:r>
      <w:r w:rsidR="00616FFA" w:rsidRPr="00E265B5">
        <w:rPr>
          <w:rFonts w:ascii="Times New Roman" w:hAnsi="Times New Roman" w:cs="Times New Roman"/>
          <w:sz w:val="28"/>
          <w:szCs w:val="28"/>
        </w:rPr>
        <w:t>Th</w:t>
      </w:r>
      <w:r w:rsidR="007A069E">
        <w:rPr>
          <w:rFonts w:ascii="Times New Roman" w:hAnsi="Times New Roman" w:cs="Times New Roman"/>
          <w:sz w:val="28"/>
          <w:szCs w:val="28"/>
        </w:rPr>
        <w:t>ose</w:t>
      </w:r>
      <w:r w:rsidR="00616FFA" w:rsidRPr="00E265B5">
        <w:rPr>
          <w:rFonts w:ascii="Times New Roman" w:hAnsi="Times New Roman" w:cs="Times New Roman"/>
          <w:sz w:val="28"/>
          <w:szCs w:val="28"/>
        </w:rPr>
        <w:t xml:space="preserve"> </w:t>
      </w:r>
      <w:r w:rsidR="00E265B5" w:rsidRPr="00E265B5">
        <w:rPr>
          <w:rFonts w:ascii="Times New Roman" w:hAnsi="Times New Roman" w:cs="Times New Roman"/>
          <w:sz w:val="28"/>
          <w:szCs w:val="28"/>
        </w:rPr>
        <w:t>application</w:t>
      </w:r>
      <w:r w:rsidR="00211DEB">
        <w:rPr>
          <w:rFonts w:ascii="Times New Roman" w:hAnsi="Times New Roman" w:cs="Times New Roman"/>
          <w:sz w:val="28"/>
          <w:szCs w:val="28"/>
        </w:rPr>
        <w:t>s</w:t>
      </w:r>
      <w:r w:rsidR="00E265B5" w:rsidRPr="00E265B5">
        <w:rPr>
          <w:rFonts w:ascii="Times New Roman" w:hAnsi="Times New Roman" w:cs="Times New Roman"/>
          <w:sz w:val="28"/>
          <w:szCs w:val="28"/>
        </w:rPr>
        <w:t xml:space="preserve"> w</w:t>
      </w:r>
      <w:r w:rsidR="00211DEB">
        <w:rPr>
          <w:rFonts w:ascii="Times New Roman" w:hAnsi="Times New Roman" w:cs="Times New Roman"/>
          <w:sz w:val="28"/>
          <w:szCs w:val="28"/>
        </w:rPr>
        <w:t>ere</w:t>
      </w:r>
      <w:r w:rsidR="00E265B5" w:rsidRPr="00E265B5">
        <w:rPr>
          <w:rFonts w:ascii="Times New Roman" w:hAnsi="Times New Roman" w:cs="Times New Roman"/>
          <w:sz w:val="28"/>
          <w:szCs w:val="28"/>
        </w:rPr>
        <w:t xml:space="preserve"> </w:t>
      </w:r>
      <w:r w:rsidR="00616FFA" w:rsidRPr="00E265B5">
        <w:rPr>
          <w:rFonts w:ascii="Times New Roman" w:hAnsi="Times New Roman" w:cs="Times New Roman"/>
          <w:sz w:val="28"/>
          <w:szCs w:val="28"/>
        </w:rPr>
        <w:t>dismissed</w:t>
      </w:r>
      <w:r>
        <w:rPr>
          <w:rFonts w:ascii="Times New Roman" w:hAnsi="Times New Roman" w:cs="Times New Roman"/>
          <w:sz w:val="28"/>
          <w:szCs w:val="28"/>
        </w:rPr>
        <w:t xml:space="preserve"> for reasons set out in</w:t>
      </w:r>
      <w:r w:rsidR="00E265B5" w:rsidRPr="00E265B5">
        <w:rPr>
          <w:rFonts w:ascii="Times New Roman" w:hAnsi="Times New Roman" w:cs="Times New Roman"/>
          <w:sz w:val="28"/>
          <w:szCs w:val="28"/>
        </w:rPr>
        <w:t xml:space="preserve"> </w:t>
      </w:r>
      <w:r w:rsidR="007A069E">
        <w:rPr>
          <w:rFonts w:ascii="Times New Roman" w:hAnsi="Times New Roman" w:cs="Times New Roman"/>
          <w:i/>
          <w:iCs/>
          <w:sz w:val="28"/>
          <w:szCs w:val="28"/>
        </w:rPr>
        <w:t xml:space="preserve">Ryland v Public Service Alliance of Canada, </w:t>
      </w:r>
      <w:r w:rsidR="007A069E">
        <w:rPr>
          <w:rFonts w:ascii="Times New Roman" w:hAnsi="Times New Roman" w:cs="Times New Roman"/>
          <w:sz w:val="28"/>
          <w:szCs w:val="28"/>
        </w:rPr>
        <w:t>2022 NWTTC 03.</w:t>
      </w:r>
    </w:p>
    <w:p w14:paraId="5B086D71" w14:textId="77777777" w:rsidR="00E50FB2" w:rsidRPr="00E50FB2" w:rsidRDefault="00E265B5"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w:t>
      </w:r>
      <w:r w:rsidR="00C976EB">
        <w:rPr>
          <w:rFonts w:ascii="Times New Roman" w:hAnsi="Times New Roman" w:cs="Times New Roman"/>
          <w:sz w:val="28"/>
          <w:szCs w:val="28"/>
        </w:rPr>
        <w:t xml:space="preserve">Territorial Court </w:t>
      </w:r>
      <w:r w:rsidR="00DB24F0">
        <w:rPr>
          <w:rFonts w:ascii="Times New Roman" w:hAnsi="Times New Roman" w:cs="Times New Roman"/>
          <w:sz w:val="28"/>
          <w:szCs w:val="28"/>
        </w:rPr>
        <w:t>J</w:t>
      </w:r>
      <w:r>
        <w:rPr>
          <w:rFonts w:ascii="Times New Roman" w:hAnsi="Times New Roman" w:cs="Times New Roman"/>
          <w:sz w:val="28"/>
          <w:szCs w:val="28"/>
        </w:rPr>
        <w:t xml:space="preserve">udge </w:t>
      </w:r>
      <w:r w:rsidR="00DB24F0">
        <w:rPr>
          <w:rFonts w:ascii="Times New Roman" w:hAnsi="Times New Roman" w:cs="Times New Roman"/>
          <w:sz w:val="28"/>
          <w:szCs w:val="28"/>
        </w:rPr>
        <w:t xml:space="preserve">(the “Judge”) </w:t>
      </w:r>
      <w:r w:rsidR="00F84708">
        <w:rPr>
          <w:rFonts w:ascii="Times New Roman" w:hAnsi="Times New Roman" w:cs="Times New Roman"/>
          <w:sz w:val="28"/>
          <w:szCs w:val="28"/>
        </w:rPr>
        <w:t>began his reasons by considering this Court’s interpretation and application of its summary judgment rules following</w:t>
      </w:r>
      <w:r w:rsidR="00997BD0">
        <w:rPr>
          <w:rFonts w:ascii="Times New Roman" w:hAnsi="Times New Roman" w:cs="Times New Roman"/>
          <w:sz w:val="28"/>
          <w:szCs w:val="28"/>
        </w:rPr>
        <w:t xml:space="preserve"> the Supreme Court of Canada’s decision,</w:t>
      </w:r>
      <w:r w:rsidR="00F84708">
        <w:rPr>
          <w:rFonts w:ascii="Times New Roman" w:hAnsi="Times New Roman" w:cs="Times New Roman"/>
          <w:sz w:val="28"/>
          <w:szCs w:val="28"/>
        </w:rPr>
        <w:t xml:space="preserve"> </w:t>
      </w:r>
      <w:r w:rsidR="00F84708">
        <w:rPr>
          <w:rFonts w:ascii="Times New Roman" w:hAnsi="Times New Roman" w:cs="Times New Roman"/>
          <w:i/>
          <w:iCs/>
          <w:sz w:val="28"/>
          <w:szCs w:val="28"/>
        </w:rPr>
        <w:t xml:space="preserve">Hyrniak v Mauldin, </w:t>
      </w:r>
      <w:r w:rsidR="00F84708">
        <w:rPr>
          <w:rFonts w:ascii="Times New Roman" w:hAnsi="Times New Roman" w:cs="Times New Roman"/>
          <w:sz w:val="28"/>
          <w:szCs w:val="28"/>
        </w:rPr>
        <w:t>[2014] 1 SCR 87</w:t>
      </w:r>
      <w:r w:rsidR="00997BD0">
        <w:rPr>
          <w:rFonts w:ascii="Times New Roman" w:hAnsi="Times New Roman" w:cs="Times New Roman"/>
          <w:sz w:val="28"/>
          <w:szCs w:val="28"/>
        </w:rPr>
        <w:t>,</w:t>
      </w:r>
      <w:r w:rsidR="00F84708">
        <w:rPr>
          <w:rFonts w:ascii="Times New Roman" w:hAnsi="Times New Roman" w:cs="Times New Roman"/>
          <w:sz w:val="28"/>
          <w:szCs w:val="28"/>
        </w:rPr>
        <w:t xml:space="preserve"> in </w:t>
      </w:r>
      <w:r w:rsidR="00F84708">
        <w:rPr>
          <w:rFonts w:ascii="Times New Roman" w:hAnsi="Times New Roman" w:cs="Times New Roman"/>
          <w:i/>
          <w:iCs/>
          <w:sz w:val="28"/>
          <w:szCs w:val="28"/>
        </w:rPr>
        <w:t xml:space="preserve">Leishman v </w:t>
      </w:r>
      <w:proofErr w:type="spellStart"/>
      <w:r w:rsidR="00F84708">
        <w:rPr>
          <w:rFonts w:ascii="Times New Roman" w:hAnsi="Times New Roman" w:cs="Times New Roman"/>
          <w:i/>
          <w:iCs/>
          <w:sz w:val="28"/>
          <w:szCs w:val="28"/>
        </w:rPr>
        <w:t>Hoechsmann</w:t>
      </w:r>
      <w:proofErr w:type="spellEnd"/>
      <w:r w:rsidR="00F84708">
        <w:rPr>
          <w:rFonts w:ascii="Times New Roman" w:hAnsi="Times New Roman" w:cs="Times New Roman"/>
          <w:i/>
          <w:iCs/>
          <w:sz w:val="28"/>
          <w:szCs w:val="28"/>
        </w:rPr>
        <w:t xml:space="preserve">, </w:t>
      </w:r>
      <w:r w:rsidR="00F84708">
        <w:rPr>
          <w:rFonts w:ascii="Times New Roman" w:hAnsi="Times New Roman" w:cs="Times New Roman"/>
          <w:sz w:val="28"/>
          <w:szCs w:val="28"/>
        </w:rPr>
        <w:t xml:space="preserve">2016 NWTSC 27. </w:t>
      </w:r>
      <w:r w:rsidR="00997BD0">
        <w:rPr>
          <w:rFonts w:ascii="Times New Roman" w:hAnsi="Times New Roman" w:cs="Times New Roman"/>
          <w:sz w:val="28"/>
          <w:szCs w:val="28"/>
        </w:rPr>
        <w:t xml:space="preserve"> </w:t>
      </w:r>
    </w:p>
    <w:p w14:paraId="6D5B74B2" w14:textId="77777777" w:rsidR="001152B2" w:rsidRPr="001152B2" w:rsidRDefault="00997BD0"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In </w:t>
      </w:r>
      <w:r>
        <w:rPr>
          <w:rFonts w:ascii="Times New Roman" w:hAnsi="Times New Roman" w:cs="Times New Roman"/>
          <w:i/>
          <w:iCs/>
          <w:sz w:val="28"/>
          <w:szCs w:val="28"/>
        </w:rPr>
        <w:t xml:space="preserve">Hyrniak, </w:t>
      </w:r>
      <w:r>
        <w:rPr>
          <w:rFonts w:ascii="Times New Roman" w:hAnsi="Times New Roman" w:cs="Times New Roman"/>
          <w:sz w:val="28"/>
          <w:szCs w:val="28"/>
        </w:rPr>
        <w:t xml:space="preserve">Karakatsanis, J considered the summary judgment provisions of the Ontario </w:t>
      </w:r>
      <w:r>
        <w:rPr>
          <w:rFonts w:ascii="Times New Roman" w:hAnsi="Times New Roman" w:cs="Times New Roman"/>
          <w:i/>
          <w:iCs/>
          <w:sz w:val="28"/>
          <w:szCs w:val="28"/>
        </w:rPr>
        <w:t xml:space="preserve">Rules of Civil Procedure, </w:t>
      </w:r>
      <w:r>
        <w:rPr>
          <w:rFonts w:ascii="Times New Roman" w:hAnsi="Times New Roman" w:cs="Times New Roman"/>
          <w:sz w:val="28"/>
          <w:szCs w:val="28"/>
        </w:rPr>
        <w:t xml:space="preserve">RRO 1990, Reg 194 and adopted a significantly more expansive view of </w:t>
      </w:r>
      <w:r w:rsidR="00A62CD7" w:rsidRPr="00997BD0">
        <w:rPr>
          <w:rFonts w:ascii="Times New Roman" w:hAnsi="Times New Roman" w:cs="Times New Roman"/>
          <w:sz w:val="28"/>
          <w:szCs w:val="28"/>
        </w:rPr>
        <w:t>how summary judgment rules are to be applied</w:t>
      </w:r>
      <w:r w:rsidR="001152B2">
        <w:rPr>
          <w:rFonts w:ascii="Times New Roman" w:hAnsi="Times New Roman" w:cs="Times New Roman"/>
          <w:sz w:val="28"/>
          <w:szCs w:val="28"/>
        </w:rPr>
        <w:t xml:space="preserve"> generally</w:t>
      </w:r>
      <w:r>
        <w:rPr>
          <w:rFonts w:ascii="Times New Roman" w:hAnsi="Times New Roman" w:cs="Times New Roman"/>
          <w:sz w:val="28"/>
          <w:szCs w:val="28"/>
        </w:rPr>
        <w:t xml:space="preserve">. </w:t>
      </w:r>
      <w:r w:rsidR="00334549">
        <w:rPr>
          <w:rFonts w:ascii="Times New Roman" w:hAnsi="Times New Roman" w:cs="Times New Roman"/>
          <w:sz w:val="28"/>
          <w:szCs w:val="28"/>
        </w:rPr>
        <w:t xml:space="preserve"> </w:t>
      </w:r>
      <w:r w:rsidR="001152B2">
        <w:rPr>
          <w:rFonts w:ascii="Times New Roman" w:hAnsi="Times New Roman" w:cs="Times New Roman"/>
          <w:sz w:val="28"/>
          <w:szCs w:val="28"/>
        </w:rPr>
        <w:t>The case</w:t>
      </w:r>
      <w:r w:rsidR="00E50FB2">
        <w:rPr>
          <w:rFonts w:ascii="Times New Roman" w:hAnsi="Times New Roman" w:cs="Times New Roman"/>
          <w:i/>
          <w:iCs/>
          <w:sz w:val="28"/>
          <w:szCs w:val="28"/>
        </w:rPr>
        <w:t xml:space="preserve"> </w:t>
      </w:r>
      <w:r w:rsidR="00F42621">
        <w:rPr>
          <w:rFonts w:ascii="Times New Roman" w:hAnsi="Times New Roman" w:cs="Times New Roman"/>
          <w:sz w:val="28"/>
          <w:szCs w:val="28"/>
        </w:rPr>
        <w:t>marked a movement</w:t>
      </w:r>
      <w:r w:rsidR="00A01F6D">
        <w:rPr>
          <w:rFonts w:ascii="Times New Roman" w:hAnsi="Times New Roman" w:cs="Times New Roman"/>
          <w:sz w:val="28"/>
          <w:szCs w:val="28"/>
        </w:rPr>
        <w:t xml:space="preserve"> </w:t>
      </w:r>
      <w:r w:rsidR="00E50FB2">
        <w:rPr>
          <w:rFonts w:ascii="Times New Roman" w:hAnsi="Times New Roman" w:cs="Times New Roman"/>
          <w:sz w:val="28"/>
          <w:szCs w:val="28"/>
        </w:rPr>
        <w:t xml:space="preserve">away from the strict application of summary judgment rules, directing they “must be interpreted broadly, favouring proportionality and fair access to the affordable, timely and just adjudication of claims”.  </w:t>
      </w:r>
      <w:r w:rsidR="00E50FB2">
        <w:rPr>
          <w:rFonts w:ascii="Times New Roman" w:hAnsi="Times New Roman" w:cs="Times New Roman"/>
          <w:i/>
          <w:iCs/>
          <w:sz w:val="28"/>
          <w:szCs w:val="28"/>
        </w:rPr>
        <w:t xml:space="preserve">Hyrniak, </w:t>
      </w:r>
      <w:r w:rsidR="00E50FB2">
        <w:rPr>
          <w:rFonts w:ascii="Times New Roman" w:hAnsi="Times New Roman" w:cs="Times New Roman"/>
          <w:sz w:val="28"/>
          <w:szCs w:val="28"/>
        </w:rPr>
        <w:t xml:space="preserve">at para 5.  </w:t>
      </w:r>
      <w:r w:rsidR="001152B2">
        <w:rPr>
          <w:rFonts w:ascii="Times New Roman" w:hAnsi="Times New Roman" w:cs="Times New Roman"/>
          <w:sz w:val="28"/>
          <w:szCs w:val="28"/>
        </w:rPr>
        <w:t>Summary judgment will be an appropriate vehicle for resolution where there is no genuine issue requiring a trial.  This will be the case where the record permits the judge to make the required factual findings, to apply the law to those facts and where the process is a proportionate, expeditious and less costly means of achieving a just result.</w:t>
      </w:r>
      <w:r w:rsidR="00334549">
        <w:rPr>
          <w:rFonts w:ascii="Times New Roman" w:hAnsi="Times New Roman" w:cs="Times New Roman"/>
          <w:sz w:val="28"/>
          <w:szCs w:val="28"/>
        </w:rPr>
        <w:t xml:space="preserve"> </w:t>
      </w:r>
      <w:r w:rsidR="001152B2">
        <w:rPr>
          <w:rFonts w:ascii="Times New Roman" w:hAnsi="Times New Roman" w:cs="Times New Roman"/>
          <w:sz w:val="28"/>
          <w:szCs w:val="28"/>
        </w:rPr>
        <w:t xml:space="preserve"> </w:t>
      </w:r>
      <w:r w:rsidR="001152B2">
        <w:rPr>
          <w:rFonts w:ascii="Times New Roman" w:hAnsi="Times New Roman" w:cs="Times New Roman"/>
          <w:i/>
          <w:iCs/>
          <w:sz w:val="28"/>
          <w:szCs w:val="28"/>
        </w:rPr>
        <w:t xml:space="preserve">Hyrniak, </w:t>
      </w:r>
      <w:r w:rsidR="001152B2">
        <w:rPr>
          <w:rFonts w:ascii="Times New Roman" w:hAnsi="Times New Roman" w:cs="Times New Roman"/>
          <w:sz w:val="28"/>
          <w:szCs w:val="28"/>
        </w:rPr>
        <w:t xml:space="preserve">at para 49. </w:t>
      </w:r>
    </w:p>
    <w:p w14:paraId="6898B909" w14:textId="77777777" w:rsidR="00372157" w:rsidRPr="00372157" w:rsidRDefault="001152B2"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w:t>
      </w:r>
      <w:r w:rsidR="00DB24F0">
        <w:rPr>
          <w:rFonts w:ascii="Times New Roman" w:hAnsi="Times New Roman" w:cs="Times New Roman"/>
          <w:sz w:val="28"/>
          <w:szCs w:val="28"/>
        </w:rPr>
        <w:t>J</w:t>
      </w:r>
      <w:r>
        <w:rPr>
          <w:rFonts w:ascii="Times New Roman" w:hAnsi="Times New Roman" w:cs="Times New Roman"/>
          <w:sz w:val="28"/>
          <w:szCs w:val="28"/>
        </w:rPr>
        <w:t xml:space="preserve">udge noted this Court adopted the direction and approach </w:t>
      </w:r>
      <w:r w:rsidR="00CD1696">
        <w:rPr>
          <w:rFonts w:ascii="Times New Roman" w:hAnsi="Times New Roman" w:cs="Times New Roman"/>
          <w:sz w:val="28"/>
          <w:szCs w:val="28"/>
        </w:rPr>
        <w:t>set out in</w:t>
      </w:r>
      <w:r>
        <w:rPr>
          <w:rFonts w:ascii="Times New Roman" w:hAnsi="Times New Roman" w:cs="Times New Roman"/>
          <w:sz w:val="28"/>
          <w:szCs w:val="28"/>
        </w:rPr>
        <w:t xml:space="preserve"> </w:t>
      </w:r>
      <w:r>
        <w:rPr>
          <w:rFonts w:ascii="Times New Roman" w:hAnsi="Times New Roman" w:cs="Times New Roman"/>
          <w:i/>
          <w:iCs/>
          <w:sz w:val="28"/>
          <w:szCs w:val="28"/>
        </w:rPr>
        <w:t>Hyrniak</w:t>
      </w:r>
      <w:r>
        <w:rPr>
          <w:rFonts w:ascii="Times New Roman" w:hAnsi="Times New Roman" w:cs="Times New Roman"/>
          <w:sz w:val="28"/>
          <w:szCs w:val="28"/>
        </w:rPr>
        <w:t xml:space="preserve"> in the </w:t>
      </w:r>
      <w:r>
        <w:rPr>
          <w:rFonts w:ascii="Times New Roman" w:hAnsi="Times New Roman" w:cs="Times New Roman"/>
          <w:i/>
          <w:iCs/>
          <w:sz w:val="28"/>
          <w:szCs w:val="28"/>
        </w:rPr>
        <w:t xml:space="preserve">Leishman </w:t>
      </w:r>
      <w:r>
        <w:rPr>
          <w:rFonts w:ascii="Times New Roman" w:hAnsi="Times New Roman" w:cs="Times New Roman"/>
          <w:sz w:val="28"/>
          <w:szCs w:val="28"/>
        </w:rPr>
        <w:t>decision and stated he agreed with the reasoning therein</w:t>
      </w:r>
      <w:r w:rsidR="005846FF">
        <w:rPr>
          <w:rFonts w:ascii="Times New Roman" w:hAnsi="Times New Roman" w:cs="Times New Roman"/>
          <w:sz w:val="28"/>
          <w:szCs w:val="28"/>
        </w:rPr>
        <w:t xml:space="preserve">; however, </w:t>
      </w:r>
      <w:r>
        <w:rPr>
          <w:rFonts w:ascii="Times New Roman" w:hAnsi="Times New Roman" w:cs="Times New Roman"/>
          <w:sz w:val="28"/>
          <w:szCs w:val="28"/>
        </w:rPr>
        <w:t xml:space="preserve">he determined neither the Supreme Court of Canada’s reasons in </w:t>
      </w:r>
      <w:r>
        <w:rPr>
          <w:rFonts w:ascii="Times New Roman" w:hAnsi="Times New Roman" w:cs="Times New Roman"/>
          <w:i/>
          <w:iCs/>
          <w:sz w:val="28"/>
          <w:szCs w:val="28"/>
        </w:rPr>
        <w:t xml:space="preserve">Hyrniak, </w:t>
      </w:r>
      <w:r>
        <w:rPr>
          <w:rFonts w:ascii="Times New Roman" w:hAnsi="Times New Roman" w:cs="Times New Roman"/>
          <w:iCs/>
          <w:sz w:val="28"/>
          <w:szCs w:val="28"/>
        </w:rPr>
        <w:t xml:space="preserve">nor this Court’s ruling in </w:t>
      </w:r>
      <w:r>
        <w:rPr>
          <w:rFonts w:ascii="Times New Roman" w:hAnsi="Times New Roman" w:cs="Times New Roman"/>
          <w:i/>
          <w:sz w:val="28"/>
          <w:szCs w:val="28"/>
        </w:rPr>
        <w:t>Leishman</w:t>
      </w:r>
      <w:r w:rsidR="00F666B2">
        <w:rPr>
          <w:rFonts w:ascii="Times New Roman" w:hAnsi="Times New Roman" w:cs="Times New Roman"/>
          <w:iCs/>
          <w:sz w:val="28"/>
          <w:szCs w:val="28"/>
        </w:rPr>
        <w:t xml:space="preserve"> permitted him to weigh evidence in considering a summary judgment application.  He based this on express provision</w:t>
      </w:r>
      <w:r w:rsidR="005846FF">
        <w:rPr>
          <w:rFonts w:ascii="Times New Roman" w:hAnsi="Times New Roman" w:cs="Times New Roman"/>
          <w:iCs/>
          <w:sz w:val="28"/>
          <w:szCs w:val="28"/>
        </w:rPr>
        <w:t>s</w:t>
      </w:r>
      <w:r w:rsidR="00F666B2">
        <w:rPr>
          <w:rFonts w:ascii="Times New Roman" w:hAnsi="Times New Roman" w:cs="Times New Roman"/>
          <w:iCs/>
          <w:sz w:val="28"/>
          <w:szCs w:val="28"/>
        </w:rPr>
        <w:t xml:space="preserve"> of the Ontario rule </w:t>
      </w:r>
      <w:r w:rsidR="00FE07E2">
        <w:rPr>
          <w:rFonts w:ascii="Times New Roman" w:hAnsi="Times New Roman" w:cs="Times New Roman"/>
          <w:iCs/>
          <w:sz w:val="28"/>
          <w:szCs w:val="28"/>
        </w:rPr>
        <w:t xml:space="preserve">considered in </w:t>
      </w:r>
      <w:r w:rsidR="00FE07E2">
        <w:rPr>
          <w:rFonts w:ascii="Times New Roman" w:hAnsi="Times New Roman" w:cs="Times New Roman"/>
          <w:i/>
          <w:sz w:val="28"/>
          <w:szCs w:val="28"/>
        </w:rPr>
        <w:t xml:space="preserve">Hyrniak </w:t>
      </w:r>
      <w:r w:rsidR="00F666B2">
        <w:rPr>
          <w:rFonts w:ascii="Times New Roman" w:hAnsi="Times New Roman" w:cs="Times New Roman"/>
          <w:iCs/>
          <w:sz w:val="28"/>
          <w:szCs w:val="28"/>
        </w:rPr>
        <w:t>which permit a judge to weigh evidence, evaluate a deponent’s credibility, and draw any reasonable inference from the evidence.</w:t>
      </w:r>
      <w:r w:rsidR="00334549">
        <w:rPr>
          <w:rFonts w:ascii="Times New Roman" w:hAnsi="Times New Roman" w:cs="Times New Roman"/>
          <w:iCs/>
          <w:sz w:val="28"/>
          <w:szCs w:val="28"/>
        </w:rPr>
        <w:t xml:space="preserve"> </w:t>
      </w:r>
      <w:r w:rsidR="00F666B2">
        <w:rPr>
          <w:rFonts w:ascii="Times New Roman" w:hAnsi="Times New Roman" w:cs="Times New Roman"/>
          <w:iCs/>
          <w:sz w:val="28"/>
          <w:szCs w:val="28"/>
        </w:rPr>
        <w:t xml:space="preserve"> He noted the summary judgment rules under the </w:t>
      </w:r>
      <w:r w:rsidR="00F666B2">
        <w:rPr>
          <w:rFonts w:ascii="Times New Roman" w:hAnsi="Times New Roman" w:cs="Times New Roman"/>
          <w:i/>
          <w:sz w:val="28"/>
          <w:szCs w:val="28"/>
        </w:rPr>
        <w:t>Rules of the Supreme Court of the Northwest Territories</w:t>
      </w:r>
      <w:r w:rsidR="00F666B2">
        <w:rPr>
          <w:rFonts w:ascii="Times New Roman" w:hAnsi="Times New Roman" w:cs="Times New Roman"/>
          <w:iCs/>
          <w:sz w:val="28"/>
          <w:szCs w:val="28"/>
        </w:rPr>
        <w:t xml:space="preserve"> do not contain equivalent provisions. </w:t>
      </w:r>
    </w:p>
    <w:p w14:paraId="45FF8F85" w14:textId="77777777" w:rsidR="00E265B5" w:rsidRPr="00372157" w:rsidRDefault="00FE07E2"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iCs/>
          <w:sz w:val="28"/>
          <w:szCs w:val="28"/>
        </w:rPr>
        <w:t>Based on this, t</w:t>
      </w:r>
      <w:r w:rsidR="00372157">
        <w:rPr>
          <w:rFonts w:ascii="Times New Roman" w:hAnsi="Times New Roman" w:cs="Times New Roman"/>
          <w:iCs/>
          <w:sz w:val="28"/>
          <w:szCs w:val="28"/>
        </w:rPr>
        <w:t xml:space="preserve">he </w:t>
      </w:r>
      <w:r>
        <w:rPr>
          <w:rFonts w:ascii="Times New Roman" w:hAnsi="Times New Roman" w:cs="Times New Roman"/>
          <w:iCs/>
          <w:sz w:val="28"/>
          <w:szCs w:val="28"/>
        </w:rPr>
        <w:t>J</w:t>
      </w:r>
      <w:r w:rsidR="00372157">
        <w:rPr>
          <w:rFonts w:ascii="Times New Roman" w:hAnsi="Times New Roman" w:cs="Times New Roman"/>
          <w:iCs/>
          <w:sz w:val="28"/>
          <w:szCs w:val="28"/>
        </w:rPr>
        <w:t xml:space="preserve">udge </w:t>
      </w:r>
      <w:r>
        <w:rPr>
          <w:rFonts w:ascii="Times New Roman" w:hAnsi="Times New Roman" w:cs="Times New Roman"/>
          <w:iCs/>
          <w:sz w:val="28"/>
          <w:szCs w:val="28"/>
        </w:rPr>
        <w:t xml:space="preserve">determined he could not reject Ryland’s evidence regarding the alleged agreement between </w:t>
      </w:r>
      <w:r w:rsidR="00372157">
        <w:rPr>
          <w:rFonts w:ascii="Times New Roman" w:hAnsi="Times New Roman" w:cs="Times New Roman"/>
          <w:iCs/>
          <w:sz w:val="28"/>
          <w:szCs w:val="28"/>
        </w:rPr>
        <w:t>Ryland and the PSAC, stating:</w:t>
      </w:r>
    </w:p>
    <w:p w14:paraId="7831C7D1" w14:textId="77777777" w:rsidR="00372157" w:rsidRPr="00372157" w:rsidRDefault="00372157" w:rsidP="00372157">
      <w:pPr>
        <w:pStyle w:val="ListParagraph"/>
        <w:spacing w:before="240" w:after="0" w:line="240" w:lineRule="auto"/>
        <w:ind w:right="737"/>
        <w:jc w:val="both"/>
        <w:rPr>
          <w:rFonts w:ascii="Times New Roman" w:hAnsi="Times New Roman" w:cs="Times New Roman"/>
          <w:color w:val="000000"/>
          <w:sz w:val="24"/>
          <w:szCs w:val="24"/>
        </w:rPr>
      </w:pPr>
      <w:r w:rsidRPr="00372157">
        <w:rPr>
          <w:rFonts w:ascii="Times New Roman" w:hAnsi="Times New Roman" w:cs="Times New Roman"/>
          <w:color w:val="000000"/>
          <w:sz w:val="24"/>
          <w:szCs w:val="24"/>
        </w:rPr>
        <w:t>[</w:t>
      </w:r>
      <w:bookmarkStart w:id="2" w:name="par21"/>
      <w:r w:rsidRPr="00372157">
        <w:rPr>
          <w:rFonts w:ascii="Times New Roman" w:hAnsi="Times New Roman" w:cs="Times New Roman"/>
          <w:color w:val="000000"/>
          <w:sz w:val="24"/>
          <w:szCs w:val="24"/>
        </w:rPr>
        <w:t>21</w:t>
      </w:r>
      <w:bookmarkEnd w:id="2"/>
      <w:r w:rsidRPr="00372157">
        <w:rPr>
          <w:rFonts w:ascii="Times New Roman" w:hAnsi="Times New Roman" w:cs="Times New Roman"/>
          <w:color w:val="000000"/>
          <w:sz w:val="24"/>
          <w:szCs w:val="24"/>
        </w:rPr>
        <w:t xml:space="preserve">]         I find that my ability to question Mr. Ryland’s assertions that he entered into a rental agreement with PSAC at this stage of the proceedings is restricted to the extent that I am unable to reject them.  I appreciate that the details of the contract he says he entered into between himself and PSAC appear cloudy.  He </w:t>
      </w:r>
      <w:r w:rsidRPr="00372157">
        <w:rPr>
          <w:rFonts w:ascii="Times New Roman" w:hAnsi="Times New Roman" w:cs="Times New Roman"/>
          <w:color w:val="000000"/>
          <w:sz w:val="24"/>
          <w:szCs w:val="24"/>
        </w:rPr>
        <w:lastRenderedPageBreak/>
        <w:t>does not specifically say that Mr. Kinsella told him that he was agreeing to pay him $ 20 dollars/ hour for the use of his vehicle.  However, he does say,</w:t>
      </w:r>
    </w:p>
    <w:p w14:paraId="28CB8959" w14:textId="77777777" w:rsidR="00372157" w:rsidRPr="00372157" w:rsidRDefault="00372157" w:rsidP="00372157">
      <w:pPr>
        <w:pStyle w:val="ListParagraph"/>
        <w:spacing w:before="240" w:after="0" w:line="240" w:lineRule="auto"/>
        <w:ind w:right="737"/>
        <w:jc w:val="both"/>
        <w:rPr>
          <w:rFonts w:ascii="Times New Roman" w:hAnsi="Times New Roman" w:cs="Times New Roman"/>
          <w:color w:val="000000"/>
          <w:sz w:val="24"/>
          <w:szCs w:val="24"/>
        </w:rPr>
      </w:pPr>
      <w:r w:rsidRPr="00372157">
        <w:rPr>
          <w:rFonts w:ascii="Times New Roman" w:hAnsi="Times New Roman" w:cs="Times New Roman"/>
          <w:color w:val="000000"/>
          <w:sz w:val="24"/>
          <w:szCs w:val="24"/>
        </w:rPr>
        <w:t> </w:t>
      </w:r>
    </w:p>
    <w:p w14:paraId="2360EEE1" w14:textId="77777777" w:rsidR="00372157" w:rsidRPr="00494A00" w:rsidRDefault="00372157" w:rsidP="00494A00">
      <w:pPr>
        <w:pStyle w:val="ListParagraph"/>
        <w:spacing w:before="240" w:after="0" w:line="240" w:lineRule="auto"/>
        <w:ind w:left="1440" w:right="1417"/>
        <w:jc w:val="both"/>
        <w:rPr>
          <w:rFonts w:ascii="Times New Roman" w:hAnsi="Times New Roman" w:cs="Times New Roman"/>
          <w:color w:val="000000"/>
          <w:sz w:val="20"/>
          <w:szCs w:val="20"/>
        </w:rPr>
      </w:pPr>
      <w:r w:rsidRPr="00494A00">
        <w:rPr>
          <w:rFonts w:ascii="Times New Roman" w:hAnsi="Times New Roman" w:cs="Times New Roman"/>
          <w:color w:val="000000"/>
          <w:sz w:val="20"/>
          <w:szCs w:val="20"/>
        </w:rPr>
        <w:t>“I informed Mr. Kinsella that if my pick-up truck was to be used in this task, then it would be me charging PSAC for a vehicle; rather than the person doing the construction work.</w:t>
      </w:r>
    </w:p>
    <w:p w14:paraId="58B8F585" w14:textId="77777777" w:rsidR="00372157" w:rsidRPr="00494A00" w:rsidRDefault="00372157" w:rsidP="00494A00">
      <w:pPr>
        <w:pStyle w:val="ListParagraph"/>
        <w:spacing w:before="240" w:after="0" w:line="240" w:lineRule="auto"/>
        <w:ind w:left="1440" w:right="1417"/>
        <w:jc w:val="both"/>
        <w:rPr>
          <w:rFonts w:ascii="Times New Roman" w:hAnsi="Times New Roman" w:cs="Times New Roman"/>
          <w:color w:val="000000"/>
          <w:sz w:val="20"/>
          <w:szCs w:val="20"/>
        </w:rPr>
      </w:pPr>
      <w:r w:rsidRPr="00494A00">
        <w:rPr>
          <w:rFonts w:ascii="Times New Roman" w:hAnsi="Times New Roman" w:cs="Times New Roman"/>
          <w:color w:val="000000"/>
          <w:sz w:val="20"/>
          <w:szCs w:val="20"/>
        </w:rPr>
        <w:t>[ .  .  . ]</w:t>
      </w:r>
    </w:p>
    <w:p w14:paraId="4AAFC99B" w14:textId="77777777" w:rsidR="00372157" w:rsidRPr="00494A00" w:rsidRDefault="00372157" w:rsidP="00494A00">
      <w:pPr>
        <w:pStyle w:val="ListParagraph"/>
        <w:spacing w:before="240" w:after="0" w:line="240" w:lineRule="auto"/>
        <w:ind w:left="1440" w:right="1417"/>
        <w:jc w:val="both"/>
        <w:rPr>
          <w:rFonts w:ascii="Times New Roman" w:hAnsi="Times New Roman" w:cs="Times New Roman"/>
          <w:color w:val="000000"/>
          <w:sz w:val="20"/>
          <w:szCs w:val="20"/>
        </w:rPr>
      </w:pPr>
      <w:r w:rsidRPr="00494A00">
        <w:rPr>
          <w:rFonts w:ascii="Times New Roman" w:hAnsi="Times New Roman" w:cs="Times New Roman"/>
          <w:color w:val="000000"/>
          <w:sz w:val="20"/>
          <w:szCs w:val="20"/>
        </w:rPr>
        <w:t> </w:t>
      </w:r>
    </w:p>
    <w:p w14:paraId="54D6146D" w14:textId="77777777" w:rsidR="00372157" w:rsidRPr="00494A00" w:rsidRDefault="00372157" w:rsidP="00494A00">
      <w:pPr>
        <w:pStyle w:val="ListParagraph"/>
        <w:spacing w:before="240" w:after="0" w:line="240" w:lineRule="auto"/>
        <w:ind w:left="1440" w:right="1417"/>
        <w:jc w:val="both"/>
        <w:rPr>
          <w:rFonts w:ascii="Times New Roman" w:hAnsi="Times New Roman" w:cs="Times New Roman"/>
          <w:color w:val="000000"/>
          <w:sz w:val="20"/>
          <w:szCs w:val="20"/>
        </w:rPr>
      </w:pPr>
      <w:r w:rsidRPr="00494A00">
        <w:rPr>
          <w:rFonts w:ascii="Times New Roman" w:hAnsi="Times New Roman" w:cs="Times New Roman"/>
          <w:color w:val="000000"/>
          <w:sz w:val="20"/>
          <w:szCs w:val="20"/>
        </w:rPr>
        <w:t>Mr. Kinsella refused to authorize payment to me for the rental costs for my pick-up truck; although he and I had agreed one week earlier that I would be paid for that.”</w:t>
      </w:r>
    </w:p>
    <w:p w14:paraId="33DA80A0" w14:textId="77777777" w:rsidR="00372157" w:rsidRPr="00372157" w:rsidRDefault="00372157" w:rsidP="00372157">
      <w:pPr>
        <w:pStyle w:val="ListParagraph"/>
        <w:spacing w:before="240" w:after="0" w:line="240" w:lineRule="auto"/>
        <w:ind w:right="737"/>
        <w:jc w:val="both"/>
        <w:rPr>
          <w:rFonts w:ascii="Times New Roman" w:hAnsi="Times New Roman" w:cs="Times New Roman"/>
          <w:color w:val="000000"/>
          <w:sz w:val="24"/>
          <w:szCs w:val="24"/>
        </w:rPr>
      </w:pPr>
      <w:r w:rsidRPr="00372157">
        <w:rPr>
          <w:rFonts w:ascii="Times New Roman" w:hAnsi="Times New Roman" w:cs="Times New Roman"/>
          <w:color w:val="000000"/>
          <w:sz w:val="24"/>
          <w:szCs w:val="24"/>
        </w:rPr>
        <w:t> </w:t>
      </w:r>
    </w:p>
    <w:p w14:paraId="60854A99" w14:textId="77777777" w:rsidR="00372157" w:rsidRPr="00372157" w:rsidRDefault="00372157" w:rsidP="00372157">
      <w:pPr>
        <w:pStyle w:val="ListParagraph"/>
        <w:spacing w:before="240" w:after="0" w:line="240" w:lineRule="auto"/>
        <w:ind w:right="737"/>
        <w:jc w:val="both"/>
        <w:rPr>
          <w:rFonts w:ascii="Times New Roman" w:hAnsi="Times New Roman" w:cs="Times New Roman"/>
          <w:color w:val="000000"/>
          <w:sz w:val="24"/>
          <w:szCs w:val="24"/>
        </w:rPr>
      </w:pPr>
      <w:r w:rsidRPr="00372157">
        <w:rPr>
          <w:rFonts w:ascii="Times New Roman" w:hAnsi="Times New Roman" w:cs="Times New Roman"/>
          <w:color w:val="000000"/>
          <w:sz w:val="24"/>
          <w:szCs w:val="24"/>
        </w:rPr>
        <w:t>[</w:t>
      </w:r>
      <w:bookmarkStart w:id="3" w:name="par22"/>
      <w:r w:rsidRPr="00372157">
        <w:rPr>
          <w:rFonts w:ascii="Times New Roman" w:hAnsi="Times New Roman" w:cs="Times New Roman"/>
          <w:color w:val="000000"/>
          <w:sz w:val="24"/>
          <w:szCs w:val="24"/>
        </w:rPr>
        <w:t>22</w:t>
      </w:r>
      <w:bookmarkEnd w:id="3"/>
      <w:r w:rsidRPr="00372157">
        <w:rPr>
          <w:rFonts w:ascii="Times New Roman" w:hAnsi="Times New Roman" w:cs="Times New Roman"/>
          <w:color w:val="000000"/>
          <w:sz w:val="24"/>
          <w:szCs w:val="24"/>
        </w:rPr>
        <w:t>]         I think it would be unfair if I were to hold Mr. Ryland to the same standard as I would a lawyer in both the form and content of his affidavit.  From what is set out in his affidavit it seems reasonably clear that he is saying that there was a meeting of the minds on the rental of his truck to PSAC at the rate he has indicated.</w:t>
      </w:r>
    </w:p>
    <w:p w14:paraId="748BAC91" w14:textId="77777777" w:rsidR="00372157" w:rsidRPr="00E265B5" w:rsidRDefault="00372157" w:rsidP="00E67832">
      <w:pPr>
        <w:pStyle w:val="ListParagraph"/>
        <w:spacing w:after="0" w:line="240" w:lineRule="auto"/>
        <w:ind w:left="0"/>
        <w:contextualSpacing w:val="0"/>
        <w:jc w:val="both"/>
        <w:rPr>
          <w:rFonts w:ascii="Times New Roman" w:hAnsi="Times New Roman" w:cs="Times New Roman"/>
          <w:b/>
          <w:sz w:val="28"/>
          <w:szCs w:val="28"/>
        </w:rPr>
      </w:pPr>
    </w:p>
    <w:p w14:paraId="2D68207A" w14:textId="6E42B9A6" w:rsidR="002E57AB" w:rsidRPr="002E57AB" w:rsidRDefault="00890D8C"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w:t>
      </w:r>
      <w:r w:rsidR="005846FF">
        <w:rPr>
          <w:rFonts w:ascii="Times New Roman" w:hAnsi="Times New Roman" w:cs="Times New Roman"/>
          <w:sz w:val="28"/>
          <w:szCs w:val="28"/>
        </w:rPr>
        <w:t xml:space="preserve">he </w:t>
      </w:r>
      <w:r w:rsidR="00745DAF">
        <w:rPr>
          <w:rFonts w:ascii="Times New Roman" w:hAnsi="Times New Roman" w:cs="Times New Roman"/>
          <w:sz w:val="28"/>
          <w:szCs w:val="28"/>
        </w:rPr>
        <w:t>J</w:t>
      </w:r>
      <w:r w:rsidR="005846FF">
        <w:rPr>
          <w:rFonts w:ascii="Times New Roman" w:hAnsi="Times New Roman" w:cs="Times New Roman"/>
          <w:sz w:val="28"/>
          <w:szCs w:val="28"/>
        </w:rPr>
        <w:t xml:space="preserve">udge </w:t>
      </w:r>
      <w:r>
        <w:rPr>
          <w:rFonts w:ascii="Times New Roman" w:hAnsi="Times New Roman" w:cs="Times New Roman"/>
          <w:sz w:val="28"/>
          <w:szCs w:val="28"/>
        </w:rPr>
        <w:t xml:space="preserve">next identified and addressed two </w:t>
      </w:r>
      <w:r w:rsidR="00372157">
        <w:rPr>
          <w:rFonts w:ascii="Times New Roman" w:hAnsi="Times New Roman" w:cs="Times New Roman"/>
          <w:sz w:val="28"/>
          <w:szCs w:val="28"/>
        </w:rPr>
        <w:t xml:space="preserve">questions stemming from his finding there was </w:t>
      </w:r>
      <w:r w:rsidR="00745DAF">
        <w:rPr>
          <w:rFonts w:ascii="Times New Roman" w:hAnsi="Times New Roman" w:cs="Times New Roman"/>
          <w:sz w:val="28"/>
          <w:szCs w:val="28"/>
        </w:rPr>
        <w:t xml:space="preserve">“a meeting of the minds” </w:t>
      </w:r>
      <w:r w:rsidR="00372157">
        <w:rPr>
          <w:rFonts w:ascii="Times New Roman" w:hAnsi="Times New Roman" w:cs="Times New Roman"/>
          <w:sz w:val="28"/>
          <w:szCs w:val="28"/>
        </w:rPr>
        <w:t xml:space="preserve">between the PSAC and Ryland to rent the truck. </w:t>
      </w:r>
      <w:r w:rsidR="00786A85">
        <w:rPr>
          <w:rFonts w:ascii="Times New Roman" w:hAnsi="Times New Roman" w:cs="Times New Roman"/>
          <w:sz w:val="28"/>
          <w:szCs w:val="28"/>
        </w:rPr>
        <w:t xml:space="preserve"> </w:t>
      </w:r>
      <w:r w:rsidR="00372157">
        <w:rPr>
          <w:rFonts w:ascii="Times New Roman" w:hAnsi="Times New Roman" w:cs="Times New Roman"/>
          <w:sz w:val="28"/>
          <w:szCs w:val="28"/>
        </w:rPr>
        <w:t xml:space="preserve">The first </w:t>
      </w:r>
      <w:r w:rsidR="00DC7F2B">
        <w:rPr>
          <w:rFonts w:ascii="Times New Roman" w:hAnsi="Times New Roman" w:cs="Times New Roman"/>
          <w:sz w:val="28"/>
          <w:szCs w:val="28"/>
        </w:rPr>
        <w:t xml:space="preserve">was </w:t>
      </w:r>
      <w:r>
        <w:rPr>
          <w:rFonts w:ascii="Times New Roman" w:hAnsi="Times New Roman" w:cs="Times New Roman"/>
          <w:sz w:val="28"/>
          <w:szCs w:val="28"/>
        </w:rPr>
        <w:t>whether it is possible for unionized employees to enter separate, non-employment contracts with the employer</w:t>
      </w:r>
      <w:r w:rsidR="00372157">
        <w:rPr>
          <w:rFonts w:ascii="Times New Roman" w:hAnsi="Times New Roman" w:cs="Times New Roman"/>
          <w:sz w:val="28"/>
          <w:szCs w:val="28"/>
        </w:rPr>
        <w:t xml:space="preserve">.  Assuming the first question </w:t>
      </w:r>
      <w:r w:rsidR="00E762C5">
        <w:rPr>
          <w:rFonts w:ascii="Times New Roman" w:hAnsi="Times New Roman" w:cs="Times New Roman"/>
          <w:sz w:val="28"/>
          <w:szCs w:val="28"/>
        </w:rPr>
        <w:t>would be</w:t>
      </w:r>
      <w:r w:rsidR="00372157">
        <w:rPr>
          <w:rFonts w:ascii="Times New Roman" w:hAnsi="Times New Roman" w:cs="Times New Roman"/>
          <w:sz w:val="28"/>
          <w:szCs w:val="28"/>
        </w:rPr>
        <w:t xml:space="preserve"> answered in the affirmative, the second question he identified </w:t>
      </w:r>
      <w:r w:rsidR="00DC7F2B">
        <w:rPr>
          <w:rFonts w:ascii="Times New Roman" w:hAnsi="Times New Roman" w:cs="Times New Roman"/>
          <w:sz w:val="28"/>
          <w:szCs w:val="28"/>
        </w:rPr>
        <w:t xml:space="preserve">was </w:t>
      </w:r>
      <w:r w:rsidR="00372157">
        <w:rPr>
          <w:rFonts w:ascii="Times New Roman" w:hAnsi="Times New Roman" w:cs="Times New Roman"/>
          <w:sz w:val="28"/>
          <w:szCs w:val="28"/>
        </w:rPr>
        <w:t>whether</w:t>
      </w:r>
      <w:r>
        <w:rPr>
          <w:rFonts w:ascii="Times New Roman" w:hAnsi="Times New Roman" w:cs="Times New Roman"/>
          <w:sz w:val="28"/>
          <w:szCs w:val="28"/>
        </w:rPr>
        <w:t xml:space="preserve"> an alleged breach of that contract must be </w:t>
      </w:r>
      <w:r w:rsidR="003157D5">
        <w:rPr>
          <w:rFonts w:ascii="Times New Roman" w:hAnsi="Times New Roman" w:cs="Times New Roman"/>
          <w:sz w:val="28"/>
          <w:szCs w:val="28"/>
        </w:rPr>
        <w:t xml:space="preserve">resolved through </w:t>
      </w:r>
      <w:r>
        <w:rPr>
          <w:rFonts w:ascii="Times New Roman" w:hAnsi="Times New Roman" w:cs="Times New Roman"/>
          <w:sz w:val="28"/>
          <w:szCs w:val="28"/>
        </w:rPr>
        <w:t xml:space="preserve">arbitration, rather than </w:t>
      </w:r>
      <w:r w:rsidR="00DC7F2B">
        <w:rPr>
          <w:rFonts w:ascii="Times New Roman" w:hAnsi="Times New Roman" w:cs="Times New Roman"/>
          <w:sz w:val="28"/>
          <w:szCs w:val="28"/>
        </w:rPr>
        <w:t xml:space="preserve">in the </w:t>
      </w:r>
      <w:r>
        <w:rPr>
          <w:rFonts w:ascii="Times New Roman" w:hAnsi="Times New Roman" w:cs="Times New Roman"/>
          <w:sz w:val="28"/>
          <w:szCs w:val="28"/>
        </w:rPr>
        <w:t>court</w:t>
      </w:r>
      <w:r w:rsidR="00DC7F2B">
        <w:rPr>
          <w:rFonts w:ascii="Times New Roman" w:hAnsi="Times New Roman" w:cs="Times New Roman"/>
          <w:sz w:val="28"/>
          <w:szCs w:val="28"/>
        </w:rPr>
        <w:t>s</w:t>
      </w:r>
      <w:r>
        <w:rPr>
          <w:rFonts w:ascii="Times New Roman" w:hAnsi="Times New Roman" w:cs="Times New Roman"/>
          <w:sz w:val="28"/>
          <w:szCs w:val="28"/>
        </w:rPr>
        <w:t xml:space="preserve">. </w:t>
      </w:r>
    </w:p>
    <w:p w14:paraId="0EB2AE15" w14:textId="77777777" w:rsidR="002E57AB" w:rsidRPr="002E57AB" w:rsidRDefault="002E57AB"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With respect to whether an employee can form a separate, non-employment contract with the employer, the </w:t>
      </w:r>
      <w:r w:rsidR="00745DAF">
        <w:rPr>
          <w:rFonts w:ascii="Times New Roman" w:hAnsi="Times New Roman" w:cs="Times New Roman"/>
          <w:sz w:val="28"/>
          <w:szCs w:val="28"/>
        </w:rPr>
        <w:t>J</w:t>
      </w:r>
      <w:r>
        <w:rPr>
          <w:rFonts w:ascii="Times New Roman" w:hAnsi="Times New Roman" w:cs="Times New Roman"/>
          <w:sz w:val="28"/>
          <w:szCs w:val="28"/>
        </w:rPr>
        <w:t xml:space="preserve">udge found there was no impediment to </w:t>
      </w:r>
      <w:r w:rsidR="00745DAF">
        <w:rPr>
          <w:rFonts w:ascii="Times New Roman" w:hAnsi="Times New Roman" w:cs="Times New Roman"/>
          <w:sz w:val="28"/>
          <w:szCs w:val="28"/>
        </w:rPr>
        <w:t xml:space="preserve">this in </w:t>
      </w:r>
      <w:r>
        <w:rPr>
          <w:rFonts w:ascii="Times New Roman" w:hAnsi="Times New Roman" w:cs="Times New Roman"/>
          <w:sz w:val="28"/>
          <w:szCs w:val="28"/>
        </w:rPr>
        <w:t xml:space="preserve">either the collective agreement or in the </w:t>
      </w:r>
      <w:r>
        <w:rPr>
          <w:rFonts w:ascii="Times New Roman" w:hAnsi="Times New Roman" w:cs="Times New Roman"/>
          <w:i/>
          <w:iCs/>
          <w:sz w:val="28"/>
          <w:szCs w:val="28"/>
        </w:rPr>
        <w:t xml:space="preserve">Canada Labour Code. </w:t>
      </w:r>
    </w:p>
    <w:p w14:paraId="77CD1339" w14:textId="71B3E1E2" w:rsidR="00AF4E87" w:rsidRDefault="00A33BF9" w:rsidP="00E67832">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In answering the second question, the </w:t>
      </w:r>
      <w:r w:rsidR="00745DAF">
        <w:rPr>
          <w:rFonts w:ascii="Times New Roman" w:hAnsi="Times New Roman" w:cs="Times New Roman"/>
          <w:sz w:val="28"/>
          <w:szCs w:val="28"/>
        </w:rPr>
        <w:t>J</w:t>
      </w:r>
      <w:r>
        <w:rPr>
          <w:rFonts w:ascii="Times New Roman" w:hAnsi="Times New Roman" w:cs="Times New Roman"/>
          <w:sz w:val="28"/>
          <w:szCs w:val="28"/>
        </w:rPr>
        <w:t xml:space="preserve">udge </w:t>
      </w:r>
      <w:r w:rsidR="00745DAF">
        <w:rPr>
          <w:rFonts w:ascii="Times New Roman" w:hAnsi="Times New Roman" w:cs="Times New Roman"/>
          <w:sz w:val="28"/>
          <w:szCs w:val="28"/>
        </w:rPr>
        <w:t>identified</w:t>
      </w:r>
      <w:r w:rsidR="00684125">
        <w:rPr>
          <w:rFonts w:ascii="Times New Roman" w:hAnsi="Times New Roman" w:cs="Times New Roman"/>
          <w:sz w:val="28"/>
          <w:szCs w:val="28"/>
        </w:rPr>
        <w:t xml:space="preserve"> the exclusive jurisdiction </w:t>
      </w:r>
      <w:r w:rsidR="002E37B9">
        <w:rPr>
          <w:rFonts w:ascii="Times New Roman" w:hAnsi="Times New Roman" w:cs="Times New Roman"/>
          <w:sz w:val="28"/>
          <w:szCs w:val="28"/>
        </w:rPr>
        <w:t xml:space="preserve">model set out in </w:t>
      </w:r>
      <w:r w:rsidR="002E37B9">
        <w:rPr>
          <w:rFonts w:ascii="Times New Roman" w:hAnsi="Times New Roman" w:cs="Times New Roman"/>
          <w:i/>
          <w:iCs/>
          <w:sz w:val="28"/>
          <w:szCs w:val="28"/>
        </w:rPr>
        <w:t>Weber</w:t>
      </w:r>
      <w:r w:rsidR="002E37B9">
        <w:rPr>
          <w:rFonts w:ascii="Times New Roman" w:hAnsi="Times New Roman" w:cs="Times New Roman"/>
          <w:sz w:val="28"/>
          <w:szCs w:val="28"/>
        </w:rPr>
        <w:t xml:space="preserve"> and subsequent cases</w:t>
      </w:r>
      <w:r w:rsidR="002343B9">
        <w:rPr>
          <w:rFonts w:ascii="Times New Roman" w:hAnsi="Times New Roman" w:cs="Times New Roman"/>
          <w:sz w:val="28"/>
          <w:szCs w:val="28"/>
        </w:rPr>
        <w:t xml:space="preserve">, focusing on </w:t>
      </w:r>
      <w:r w:rsidR="002E37B9">
        <w:rPr>
          <w:rFonts w:ascii="Times New Roman" w:hAnsi="Times New Roman" w:cs="Times New Roman"/>
          <w:sz w:val="28"/>
          <w:szCs w:val="28"/>
        </w:rPr>
        <w:t xml:space="preserve">whether the </w:t>
      </w:r>
      <w:r w:rsidR="002343B9">
        <w:rPr>
          <w:rFonts w:ascii="Times New Roman" w:hAnsi="Times New Roman" w:cs="Times New Roman"/>
          <w:sz w:val="28"/>
          <w:szCs w:val="28"/>
        </w:rPr>
        <w:t xml:space="preserve">question of compensation for the use of Ryland’s truck </w:t>
      </w:r>
      <w:r w:rsidR="002E37B9">
        <w:rPr>
          <w:rFonts w:ascii="Times New Roman" w:hAnsi="Times New Roman" w:cs="Times New Roman"/>
          <w:sz w:val="28"/>
          <w:szCs w:val="28"/>
        </w:rPr>
        <w:t>was arbitrable.</w:t>
      </w:r>
      <w:r w:rsidR="00786A85">
        <w:rPr>
          <w:rFonts w:ascii="Times New Roman" w:hAnsi="Times New Roman" w:cs="Times New Roman"/>
          <w:sz w:val="28"/>
          <w:szCs w:val="28"/>
        </w:rPr>
        <w:t xml:space="preserve"> </w:t>
      </w:r>
      <w:r w:rsidR="002E37B9">
        <w:rPr>
          <w:rFonts w:ascii="Times New Roman" w:hAnsi="Times New Roman" w:cs="Times New Roman"/>
          <w:sz w:val="28"/>
          <w:szCs w:val="28"/>
        </w:rPr>
        <w:t xml:space="preserve"> </w:t>
      </w:r>
      <w:r w:rsidR="002343B9">
        <w:rPr>
          <w:rFonts w:ascii="Times New Roman" w:hAnsi="Times New Roman" w:cs="Times New Roman"/>
          <w:sz w:val="28"/>
          <w:szCs w:val="28"/>
        </w:rPr>
        <w:t xml:space="preserve">He </w:t>
      </w:r>
      <w:r w:rsidR="00745DAF">
        <w:rPr>
          <w:rFonts w:ascii="Times New Roman" w:hAnsi="Times New Roman" w:cs="Times New Roman"/>
          <w:sz w:val="28"/>
          <w:szCs w:val="28"/>
        </w:rPr>
        <w:t xml:space="preserve">considered </w:t>
      </w:r>
      <w:r w:rsidR="002343B9">
        <w:rPr>
          <w:rFonts w:ascii="Times New Roman" w:hAnsi="Times New Roman" w:cs="Times New Roman"/>
          <w:sz w:val="28"/>
          <w:szCs w:val="28"/>
        </w:rPr>
        <w:t>evidence that Ryland was carrying out his job duties with the PSAC</w:t>
      </w:r>
      <w:r w:rsidR="00540430">
        <w:rPr>
          <w:rFonts w:ascii="Times New Roman" w:hAnsi="Times New Roman" w:cs="Times New Roman"/>
          <w:sz w:val="28"/>
          <w:szCs w:val="28"/>
        </w:rPr>
        <w:t xml:space="preserve"> and was remunerated, as an employee, for that work. </w:t>
      </w:r>
      <w:r w:rsidR="00786A85">
        <w:rPr>
          <w:rFonts w:ascii="Times New Roman" w:hAnsi="Times New Roman" w:cs="Times New Roman"/>
          <w:sz w:val="28"/>
          <w:szCs w:val="28"/>
        </w:rPr>
        <w:t xml:space="preserve"> </w:t>
      </w:r>
      <w:r w:rsidR="00540430">
        <w:rPr>
          <w:rFonts w:ascii="Times New Roman" w:hAnsi="Times New Roman" w:cs="Times New Roman"/>
          <w:sz w:val="28"/>
          <w:szCs w:val="28"/>
        </w:rPr>
        <w:t>He determined, however,</w:t>
      </w:r>
      <w:r w:rsidR="00B4251F">
        <w:rPr>
          <w:rFonts w:ascii="Times New Roman" w:hAnsi="Times New Roman" w:cs="Times New Roman"/>
          <w:sz w:val="28"/>
          <w:szCs w:val="28"/>
        </w:rPr>
        <w:t xml:space="preserve"> </w:t>
      </w:r>
      <w:r w:rsidR="00540430">
        <w:rPr>
          <w:rFonts w:ascii="Times New Roman" w:hAnsi="Times New Roman" w:cs="Times New Roman"/>
          <w:sz w:val="28"/>
          <w:szCs w:val="28"/>
        </w:rPr>
        <w:t>the collective agreement does not address situations where an employee agrees to rent the employer a vehicle for use in relation to employment duties</w:t>
      </w:r>
      <w:r w:rsidR="00745DAF">
        <w:rPr>
          <w:rFonts w:ascii="Times New Roman" w:hAnsi="Times New Roman" w:cs="Times New Roman"/>
          <w:sz w:val="28"/>
          <w:szCs w:val="28"/>
        </w:rPr>
        <w:t xml:space="preserve"> and </w:t>
      </w:r>
      <w:r w:rsidR="00E762C5">
        <w:rPr>
          <w:rFonts w:ascii="Times New Roman" w:hAnsi="Times New Roman" w:cs="Times New Roman"/>
          <w:sz w:val="28"/>
          <w:szCs w:val="28"/>
        </w:rPr>
        <w:t>moreover</w:t>
      </w:r>
      <w:r w:rsidR="00745DAF">
        <w:rPr>
          <w:rFonts w:ascii="Times New Roman" w:hAnsi="Times New Roman" w:cs="Times New Roman"/>
          <w:sz w:val="28"/>
          <w:szCs w:val="28"/>
        </w:rPr>
        <w:t>, the claim could not be processed as an “expense” thereunder</w:t>
      </w:r>
      <w:r w:rsidR="00540430">
        <w:rPr>
          <w:rFonts w:ascii="Times New Roman" w:hAnsi="Times New Roman" w:cs="Times New Roman"/>
          <w:sz w:val="28"/>
          <w:szCs w:val="28"/>
        </w:rPr>
        <w:t>:</w:t>
      </w:r>
    </w:p>
    <w:p w14:paraId="1167695F" w14:textId="77777777" w:rsidR="00AF4E87" w:rsidRPr="00AF4E87" w:rsidRDefault="00AF4E87" w:rsidP="00AF4E87">
      <w:pPr>
        <w:pStyle w:val="ListParagraph"/>
        <w:spacing w:after="240" w:line="240" w:lineRule="auto"/>
        <w:ind w:right="737"/>
        <w:contextualSpacing w:val="0"/>
        <w:jc w:val="both"/>
        <w:rPr>
          <w:rFonts w:ascii="Times New Roman" w:hAnsi="Times New Roman" w:cs="Times New Roman"/>
          <w:b/>
          <w:sz w:val="24"/>
          <w:szCs w:val="24"/>
        </w:rPr>
      </w:pPr>
      <w:r w:rsidRPr="00AF4E87">
        <w:rPr>
          <w:rFonts w:ascii="Times New Roman" w:eastAsia="Times New Roman" w:hAnsi="Times New Roman" w:cs="Times New Roman"/>
          <w:color w:val="000000"/>
          <w:sz w:val="24"/>
          <w:szCs w:val="24"/>
        </w:rPr>
        <w:br/>
        <w:t>[</w:t>
      </w:r>
      <w:bookmarkStart w:id="4" w:name="par35"/>
      <w:r w:rsidRPr="00AF4E87">
        <w:rPr>
          <w:rFonts w:ascii="Times New Roman" w:eastAsia="Times New Roman" w:hAnsi="Times New Roman" w:cs="Times New Roman"/>
          <w:color w:val="000000"/>
          <w:sz w:val="24"/>
          <w:szCs w:val="24"/>
        </w:rPr>
        <w:t>35</w:t>
      </w:r>
      <w:bookmarkEnd w:id="4"/>
      <w:r w:rsidRPr="00AF4E87">
        <w:rPr>
          <w:rFonts w:ascii="Times New Roman" w:eastAsia="Times New Roman" w:hAnsi="Times New Roman" w:cs="Times New Roman"/>
          <w:color w:val="000000"/>
          <w:sz w:val="24"/>
          <w:szCs w:val="24"/>
        </w:rPr>
        <w:t>]         That said, the collective agreement does not expressly cover a situation where an employee agrees with their employer to rent it their vehicle during the time they are working.  PSAC, however submits that the collective agreement impliedly covers the issue where it states at article 25:15:</w:t>
      </w:r>
    </w:p>
    <w:p w14:paraId="47421822" w14:textId="77777777" w:rsidR="00AF4E87" w:rsidRPr="00AF4E87" w:rsidRDefault="00AF4E87" w:rsidP="00AF4E87">
      <w:pPr>
        <w:pStyle w:val="ListParagraph"/>
        <w:spacing w:after="0" w:line="240" w:lineRule="auto"/>
        <w:ind w:right="737"/>
        <w:rPr>
          <w:rFonts w:ascii="Calibri" w:eastAsia="Times New Roman" w:hAnsi="Calibri" w:cs="Calibri"/>
          <w:color w:val="000000"/>
          <w:sz w:val="24"/>
          <w:szCs w:val="24"/>
        </w:rPr>
      </w:pPr>
      <w:r w:rsidRPr="00AF4E87">
        <w:rPr>
          <w:rFonts w:ascii="Times New Roman" w:eastAsia="Times New Roman" w:hAnsi="Times New Roman" w:cs="Times New Roman"/>
          <w:color w:val="000000"/>
          <w:sz w:val="24"/>
          <w:szCs w:val="24"/>
        </w:rPr>
        <w:t> </w:t>
      </w:r>
    </w:p>
    <w:p w14:paraId="4DA4BA26" w14:textId="77777777" w:rsidR="00AF4E87" w:rsidRPr="00B01154" w:rsidRDefault="00AF4E87" w:rsidP="00B01154">
      <w:pPr>
        <w:pStyle w:val="ListParagraph"/>
        <w:spacing w:before="240" w:after="0" w:line="240" w:lineRule="auto"/>
        <w:ind w:left="1440" w:right="1417"/>
        <w:rPr>
          <w:rFonts w:ascii="Calibri" w:eastAsia="Times New Roman" w:hAnsi="Calibri" w:cs="Calibri"/>
          <w:color w:val="000000"/>
          <w:sz w:val="20"/>
          <w:szCs w:val="20"/>
        </w:rPr>
      </w:pPr>
      <w:r w:rsidRPr="00B01154">
        <w:rPr>
          <w:rFonts w:ascii="Times New Roman" w:eastAsia="Times New Roman" w:hAnsi="Times New Roman" w:cs="Times New Roman"/>
          <w:color w:val="000000"/>
          <w:sz w:val="20"/>
          <w:szCs w:val="20"/>
        </w:rPr>
        <w:lastRenderedPageBreak/>
        <w:t>The PSAC shall reimburse the employee for all reasonable expenses incurred while performing their duties for the PSAC, provided that such expenses are supported by receipts and have received prior authorization.</w:t>
      </w:r>
    </w:p>
    <w:p w14:paraId="43862FED" w14:textId="77777777" w:rsidR="00AF4E87" w:rsidRPr="00AF4E87" w:rsidRDefault="00AF4E87" w:rsidP="00AF4E87">
      <w:pPr>
        <w:pStyle w:val="ListParagraph"/>
        <w:spacing w:before="240" w:after="0" w:line="240" w:lineRule="auto"/>
        <w:ind w:right="737"/>
        <w:rPr>
          <w:rFonts w:ascii="Calibri" w:eastAsia="Times New Roman" w:hAnsi="Calibri" w:cs="Calibri"/>
          <w:color w:val="000000"/>
          <w:sz w:val="24"/>
          <w:szCs w:val="24"/>
        </w:rPr>
      </w:pPr>
    </w:p>
    <w:p w14:paraId="0DE97510" w14:textId="77777777" w:rsidR="00AF4E87" w:rsidRDefault="00AF4E87" w:rsidP="00745DAF">
      <w:pPr>
        <w:pStyle w:val="ListParagraph"/>
        <w:spacing w:before="240" w:after="0" w:line="240" w:lineRule="auto"/>
        <w:ind w:right="737"/>
        <w:jc w:val="both"/>
        <w:rPr>
          <w:rFonts w:ascii="Times New Roman" w:eastAsia="Times New Roman" w:hAnsi="Times New Roman" w:cs="Times New Roman"/>
          <w:color w:val="000000"/>
          <w:sz w:val="24"/>
          <w:szCs w:val="24"/>
        </w:rPr>
      </w:pPr>
      <w:r w:rsidRPr="00AF4E87">
        <w:rPr>
          <w:rFonts w:ascii="Times New Roman" w:eastAsia="Times New Roman" w:hAnsi="Times New Roman" w:cs="Times New Roman"/>
          <w:color w:val="000000"/>
          <w:sz w:val="24"/>
          <w:szCs w:val="24"/>
        </w:rPr>
        <w:t>[</w:t>
      </w:r>
      <w:bookmarkStart w:id="5" w:name="par36"/>
      <w:r w:rsidRPr="00AF4E87">
        <w:rPr>
          <w:rFonts w:ascii="Times New Roman" w:eastAsia="Times New Roman" w:hAnsi="Times New Roman" w:cs="Times New Roman"/>
          <w:color w:val="000000"/>
          <w:sz w:val="24"/>
          <w:szCs w:val="24"/>
        </w:rPr>
        <w:t>36</w:t>
      </w:r>
      <w:bookmarkEnd w:id="5"/>
      <w:r w:rsidRPr="00AF4E87">
        <w:rPr>
          <w:rFonts w:ascii="Times New Roman" w:eastAsia="Times New Roman" w:hAnsi="Times New Roman" w:cs="Times New Roman"/>
          <w:color w:val="000000"/>
          <w:sz w:val="24"/>
          <w:szCs w:val="24"/>
        </w:rPr>
        <w:t xml:space="preserve">]         PSAC submits that if it is accepted that the plaintiff was told that he would be reimbursed for the use of his vehicle according to a formula other than mileage, his compensation amounts to an expense claim and not a separate commercial transaction.  However, a claim for expenses is a claim for money that has been spent.  While the rental agreement alleged by Mr. Ryland was for compensation for the use of his truck, it was not for reimbursement for </w:t>
      </w:r>
      <w:r w:rsidR="00CC5210">
        <w:rPr>
          <w:rFonts w:ascii="Times New Roman" w:eastAsia="Times New Roman" w:hAnsi="Times New Roman" w:cs="Times New Roman"/>
          <w:color w:val="000000"/>
          <w:sz w:val="24"/>
          <w:szCs w:val="24"/>
        </w:rPr>
        <w:t>e</w:t>
      </w:r>
      <w:r w:rsidRPr="00AF4E87">
        <w:rPr>
          <w:rFonts w:ascii="Times New Roman" w:eastAsia="Times New Roman" w:hAnsi="Times New Roman" w:cs="Times New Roman"/>
          <w:color w:val="000000"/>
          <w:sz w:val="24"/>
          <w:szCs w:val="24"/>
        </w:rPr>
        <w:t>xpenditures.</w:t>
      </w:r>
    </w:p>
    <w:p w14:paraId="503C91BF" w14:textId="77777777" w:rsidR="00B01154" w:rsidRPr="00AF4E87" w:rsidRDefault="00B01154" w:rsidP="00AF4E87">
      <w:pPr>
        <w:pStyle w:val="ListParagraph"/>
        <w:spacing w:before="240" w:after="0" w:line="240" w:lineRule="auto"/>
        <w:ind w:right="737"/>
        <w:rPr>
          <w:rFonts w:ascii="Calibri" w:eastAsia="Times New Roman" w:hAnsi="Calibri" w:cs="Calibri"/>
          <w:color w:val="000000"/>
          <w:sz w:val="24"/>
          <w:szCs w:val="24"/>
        </w:rPr>
      </w:pPr>
    </w:p>
    <w:p w14:paraId="3EB0294C" w14:textId="77777777" w:rsidR="00540430" w:rsidRPr="00CC5210" w:rsidRDefault="00746B0D" w:rsidP="00616FFA">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The </w:t>
      </w:r>
      <w:r w:rsidR="00FE07E2">
        <w:rPr>
          <w:rFonts w:ascii="Times New Roman" w:hAnsi="Times New Roman" w:cs="Times New Roman"/>
          <w:bCs/>
          <w:sz w:val="28"/>
          <w:szCs w:val="28"/>
        </w:rPr>
        <w:t>Ju</w:t>
      </w:r>
      <w:r>
        <w:rPr>
          <w:rFonts w:ascii="Times New Roman" w:hAnsi="Times New Roman" w:cs="Times New Roman"/>
          <w:bCs/>
          <w:sz w:val="28"/>
          <w:szCs w:val="28"/>
        </w:rPr>
        <w:t xml:space="preserve">dge considered </w:t>
      </w:r>
      <w:r w:rsidRPr="00746B0D">
        <w:rPr>
          <w:rFonts w:ascii="Times New Roman" w:hAnsi="Times New Roman" w:cs="Times New Roman"/>
          <w:bCs/>
          <w:i/>
          <w:iCs/>
          <w:sz w:val="28"/>
          <w:szCs w:val="28"/>
        </w:rPr>
        <w:t>NSUPE, Local 2</w:t>
      </w:r>
      <w:r>
        <w:rPr>
          <w:rFonts w:ascii="Times New Roman" w:hAnsi="Times New Roman" w:cs="Times New Roman"/>
          <w:bCs/>
          <w:i/>
          <w:iCs/>
          <w:sz w:val="28"/>
          <w:szCs w:val="28"/>
        </w:rPr>
        <w:t xml:space="preserve"> v Halifax Regional School Board, </w:t>
      </w:r>
      <w:r>
        <w:rPr>
          <w:rFonts w:ascii="Times New Roman" w:hAnsi="Times New Roman" w:cs="Times New Roman"/>
          <w:bCs/>
          <w:sz w:val="28"/>
          <w:szCs w:val="28"/>
        </w:rPr>
        <w:t xml:space="preserve">1998 NSCA 199, in which Cromwell, JA (as he was then) opined (at para 36) “. . . absent reasons to the contrary, courts should apply the general principle that arbitration, and not the court, is the forum for the initial determination of whether a matter is arbitrable”.  </w:t>
      </w:r>
      <w:r w:rsidR="00CC5210">
        <w:rPr>
          <w:rFonts w:ascii="Times New Roman" w:hAnsi="Times New Roman" w:cs="Times New Roman"/>
          <w:bCs/>
          <w:sz w:val="28"/>
          <w:szCs w:val="28"/>
        </w:rPr>
        <w:t xml:space="preserve">Ultimately, however, the </w:t>
      </w:r>
      <w:r w:rsidR="00FE07E2">
        <w:rPr>
          <w:rFonts w:ascii="Times New Roman" w:hAnsi="Times New Roman" w:cs="Times New Roman"/>
          <w:bCs/>
          <w:sz w:val="28"/>
          <w:szCs w:val="28"/>
        </w:rPr>
        <w:t>J</w:t>
      </w:r>
      <w:r w:rsidR="00CC5210">
        <w:rPr>
          <w:rFonts w:ascii="Times New Roman" w:hAnsi="Times New Roman" w:cs="Times New Roman"/>
          <w:bCs/>
          <w:sz w:val="28"/>
          <w:szCs w:val="28"/>
        </w:rPr>
        <w:t>udge</w:t>
      </w:r>
      <w:r w:rsidR="0021180B">
        <w:rPr>
          <w:rFonts w:ascii="Times New Roman" w:hAnsi="Times New Roman" w:cs="Times New Roman"/>
          <w:bCs/>
          <w:sz w:val="28"/>
          <w:szCs w:val="28"/>
        </w:rPr>
        <w:t xml:space="preserve"> found</w:t>
      </w:r>
      <w:r w:rsidR="00B4251F">
        <w:rPr>
          <w:rFonts w:ascii="Times New Roman" w:hAnsi="Times New Roman" w:cs="Times New Roman"/>
          <w:bCs/>
          <w:sz w:val="28"/>
          <w:szCs w:val="28"/>
        </w:rPr>
        <w:t xml:space="preserve"> </w:t>
      </w:r>
      <w:r w:rsidR="00CC5210" w:rsidRPr="0021180B">
        <w:rPr>
          <w:rFonts w:ascii="Times New Roman" w:hAnsi="Times New Roman" w:cs="Times New Roman"/>
          <w:bCs/>
          <w:sz w:val="28"/>
          <w:szCs w:val="28"/>
        </w:rPr>
        <w:t>there</w:t>
      </w:r>
      <w:r w:rsidR="00CC5210">
        <w:rPr>
          <w:rFonts w:ascii="Times New Roman" w:hAnsi="Times New Roman" w:cs="Times New Roman"/>
          <w:bCs/>
          <w:sz w:val="28"/>
          <w:szCs w:val="28"/>
        </w:rPr>
        <w:t xml:space="preserve"> was no genuine question of arbitrability:</w:t>
      </w:r>
    </w:p>
    <w:p w14:paraId="072D2B72" w14:textId="77777777" w:rsidR="00CC5210" w:rsidRDefault="00CC5210" w:rsidP="00CC5210">
      <w:pPr>
        <w:pStyle w:val="ListParagraph"/>
        <w:spacing w:after="240" w:line="240" w:lineRule="auto"/>
        <w:ind w:right="737"/>
        <w:contextualSpacing w:val="0"/>
        <w:jc w:val="both"/>
        <w:rPr>
          <w:rFonts w:ascii="Times New Roman" w:hAnsi="Times New Roman" w:cs="Times New Roman"/>
          <w:color w:val="000000"/>
          <w:sz w:val="24"/>
          <w:szCs w:val="24"/>
        </w:rPr>
      </w:pPr>
      <w:r w:rsidRPr="00CC5210">
        <w:rPr>
          <w:rFonts w:ascii="Times New Roman" w:hAnsi="Times New Roman" w:cs="Times New Roman"/>
          <w:color w:val="000000"/>
          <w:sz w:val="24"/>
          <w:szCs w:val="24"/>
        </w:rPr>
        <w:t>. . . I have considered at length whether, based on the foregoing jurisprudence, the question of jurisdiction should be referred to arbitration under the collective agreement.  Mr. Ryland alleges a contract that was outside of the collective agreement.  His allegation is supported by his affidavit material.  In my view based on what he is saying, there is not a genuine question about the arbitrability of the dispute. </w:t>
      </w:r>
    </w:p>
    <w:p w14:paraId="6AE857EE" w14:textId="77777777" w:rsidR="00CC5210" w:rsidRDefault="00CC5210" w:rsidP="00E67832">
      <w:pPr>
        <w:pStyle w:val="ListParagraph"/>
        <w:spacing w:after="0" w:line="240" w:lineRule="auto"/>
        <w:ind w:right="737"/>
        <w:contextualSpacing w:val="0"/>
        <w:jc w:val="right"/>
        <w:rPr>
          <w:rFonts w:ascii="Times New Roman" w:hAnsi="Times New Roman" w:cs="Times New Roman"/>
          <w:color w:val="000000"/>
          <w:sz w:val="24"/>
          <w:szCs w:val="24"/>
        </w:rPr>
      </w:pPr>
      <w:r w:rsidRPr="00CC5210">
        <w:rPr>
          <w:rFonts w:ascii="Times New Roman" w:hAnsi="Times New Roman" w:cs="Times New Roman"/>
          <w:i/>
          <w:iCs/>
          <w:color w:val="000000"/>
          <w:sz w:val="24"/>
          <w:szCs w:val="24"/>
        </w:rPr>
        <w:t>Ryland,</w:t>
      </w:r>
      <w:r>
        <w:rPr>
          <w:rFonts w:ascii="Times New Roman" w:hAnsi="Times New Roman" w:cs="Times New Roman"/>
          <w:color w:val="000000"/>
          <w:sz w:val="24"/>
          <w:szCs w:val="24"/>
        </w:rPr>
        <w:t xml:space="preserve"> at para 41</w:t>
      </w:r>
    </w:p>
    <w:p w14:paraId="6E82230B" w14:textId="77777777" w:rsidR="00CC5210" w:rsidRPr="00AF428E" w:rsidRDefault="00B4251F" w:rsidP="00B4251F">
      <w:pPr>
        <w:pStyle w:val="ListParagraph"/>
        <w:spacing w:after="24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GROUNDS OF APPEAL</w:t>
      </w:r>
    </w:p>
    <w:p w14:paraId="11875842" w14:textId="77777777" w:rsidR="00503759" w:rsidRDefault="00B4251F" w:rsidP="005E3100">
      <w:pPr>
        <w:pStyle w:val="ListParagraph"/>
        <w:numPr>
          <w:ilvl w:val="0"/>
          <w:numId w:val="10"/>
        </w:numPr>
        <w:spacing w:after="0" w:line="240" w:lineRule="auto"/>
        <w:jc w:val="both"/>
        <w:rPr>
          <w:rFonts w:ascii="Times New Roman" w:hAnsi="Times New Roman" w:cs="Times New Roman"/>
          <w:sz w:val="28"/>
          <w:szCs w:val="28"/>
        </w:rPr>
      </w:pPr>
      <w:r w:rsidRPr="00ED1E5E">
        <w:rPr>
          <w:rFonts w:ascii="Times New Roman" w:hAnsi="Times New Roman" w:cs="Times New Roman"/>
          <w:sz w:val="28"/>
          <w:szCs w:val="28"/>
        </w:rPr>
        <w:t xml:space="preserve">The </w:t>
      </w:r>
      <w:r w:rsidR="00CD1696">
        <w:rPr>
          <w:rFonts w:ascii="Times New Roman" w:hAnsi="Times New Roman" w:cs="Times New Roman"/>
          <w:sz w:val="28"/>
          <w:szCs w:val="28"/>
        </w:rPr>
        <w:t xml:space="preserve">issues in this </w:t>
      </w:r>
      <w:r w:rsidR="00EE5DB6" w:rsidRPr="00ED1E5E">
        <w:rPr>
          <w:rFonts w:ascii="Times New Roman" w:hAnsi="Times New Roman" w:cs="Times New Roman"/>
          <w:sz w:val="28"/>
          <w:szCs w:val="28"/>
        </w:rPr>
        <w:t>appeal can be summarized as follows:</w:t>
      </w:r>
    </w:p>
    <w:p w14:paraId="105187D0" w14:textId="77777777" w:rsidR="00ED1E5E" w:rsidRPr="00ED1E5E" w:rsidRDefault="00ED1E5E" w:rsidP="00ED1E5E">
      <w:pPr>
        <w:pStyle w:val="ListParagraph"/>
        <w:spacing w:after="0" w:line="240" w:lineRule="auto"/>
        <w:ind w:left="0"/>
        <w:jc w:val="both"/>
        <w:rPr>
          <w:rFonts w:ascii="Times New Roman" w:hAnsi="Times New Roman" w:cs="Times New Roman"/>
          <w:sz w:val="28"/>
          <w:szCs w:val="28"/>
        </w:rPr>
      </w:pPr>
    </w:p>
    <w:p w14:paraId="22D3F401" w14:textId="1CED80EE" w:rsidR="00992BF7" w:rsidRDefault="0021180B" w:rsidP="00992BF7">
      <w:pPr>
        <w:pStyle w:val="ListParagraph"/>
        <w:numPr>
          <w:ilvl w:val="1"/>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Whether t</w:t>
      </w:r>
      <w:r w:rsidR="00992BF7">
        <w:rPr>
          <w:rFonts w:ascii="Times New Roman" w:hAnsi="Times New Roman" w:cs="Times New Roman"/>
          <w:sz w:val="28"/>
          <w:szCs w:val="28"/>
        </w:rPr>
        <w:t>he Judge erred i</w:t>
      </w:r>
      <w:r w:rsidR="00DD736E">
        <w:rPr>
          <w:rFonts w:ascii="Times New Roman" w:hAnsi="Times New Roman" w:cs="Times New Roman"/>
          <w:sz w:val="28"/>
          <w:szCs w:val="28"/>
        </w:rPr>
        <w:t xml:space="preserve">n applying the legal principles of summary judgment, specifically, </w:t>
      </w:r>
      <w:r w:rsidR="00992BF7">
        <w:rPr>
          <w:rFonts w:ascii="Times New Roman" w:hAnsi="Times New Roman" w:cs="Times New Roman"/>
          <w:sz w:val="28"/>
          <w:szCs w:val="28"/>
        </w:rPr>
        <w:t>by finding he was constrained in his ability to weigh evidence and draw inferences to properly characterize the dispute</w:t>
      </w:r>
      <w:r w:rsidR="00B724DF">
        <w:rPr>
          <w:rFonts w:ascii="Times New Roman" w:hAnsi="Times New Roman" w:cs="Times New Roman"/>
          <w:sz w:val="28"/>
          <w:szCs w:val="28"/>
        </w:rPr>
        <w:t xml:space="preserve"> in the application for summary judgment</w:t>
      </w:r>
      <w:r w:rsidR="00992BF7">
        <w:rPr>
          <w:rFonts w:ascii="Times New Roman" w:hAnsi="Times New Roman" w:cs="Times New Roman"/>
          <w:sz w:val="28"/>
          <w:szCs w:val="28"/>
        </w:rPr>
        <w:t>;</w:t>
      </w:r>
      <w:r w:rsidR="00D052DD">
        <w:rPr>
          <w:rFonts w:ascii="Times New Roman" w:hAnsi="Times New Roman" w:cs="Times New Roman"/>
          <w:sz w:val="28"/>
          <w:szCs w:val="28"/>
        </w:rPr>
        <w:t xml:space="preserve"> and</w:t>
      </w:r>
    </w:p>
    <w:p w14:paraId="3844A21B" w14:textId="77777777" w:rsidR="00ED1E5E" w:rsidRDefault="00ED1E5E" w:rsidP="00ED1E5E">
      <w:pPr>
        <w:pStyle w:val="ListParagraph"/>
        <w:spacing w:after="0" w:line="240" w:lineRule="auto"/>
        <w:ind w:left="1080"/>
        <w:jc w:val="both"/>
        <w:rPr>
          <w:rFonts w:ascii="Times New Roman" w:hAnsi="Times New Roman" w:cs="Times New Roman"/>
          <w:sz w:val="28"/>
          <w:szCs w:val="28"/>
        </w:rPr>
      </w:pPr>
    </w:p>
    <w:p w14:paraId="3C0BB42F" w14:textId="5E77FE9B" w:rsidR="00ED1E5E" w:rsidRDefault="0021180B" w:rsidP="0056219F">
      <w:pPr>
        <w:pStyle w:val="ListParagraph"/>
        <w:numPr>
          <w:ilvl w:val="1"/>
          <w:numId w:val="10"/>
        </w:numPr>
        <w:spacing w:after="0" w:line="240" w:lineRule="auto"/>
        <w:jc w:val="both"/>
        <w:rPr>
          <w:rFonts w:ascii="Times New Roman" w:hAnsi="Times New Roman" w:cs="Times New Roman"/>
          <w:sz w:val="28"/>
          <w:szCs w:val="28"/>
        </w:rPr>
      </w:pPr>
      <w:r w:rsidRPr="0021180B">
        <w:rPr>
          <w:rFonts w:ascii="Times New Roman" w:hAnsi="Times New Roman" w:cs="Times New Roman"/>
          <w:sz w:val="28"/>
          <w:szCs w:val="28"/>
        </w:rPr>
        <w:t>Whether t</w:t>
      </w:r>
      <w:r w:rsidR="00503759" w:rsidRPr="0021180B">
        <w:rPr>
          <w:rFonts w:ascii="Times New Roman" w:hAnsi="Times New Roman" w:cs="Times New Roman"/>
          <w:sz w:val="28"/>
          <w:szCs w:val="28"/>
        </w:rPr>
        <w:t xml:space="preserve">he Judge erred in </w:t>
      </w:r>
      <w:r w:rsidR="00EE5DB6" w:rsidRPr="0021180B">
        <w:rPr>
          <w:rFonts w:ascii="Times New Roman" w:hAnsi="Times New Roman" w:cs="Times New Roman"/>
          <w:sz w:val="28"/>
          <w:szCs w:val="28"/>
        </w:rPr>
        <w:t xml:space="preserve">how </w:t>
      </w:r>
      <w:r w:rsidRPr="0021180B">
        <w:rPr>
          <w:rFonts w:ascii="Times New Roman" w:hAnsi="Times New Roman" w:cs="Times New Roman"/>
          <w:sz w:val="28"/>
          <w:szCs w:val="28"/>
        </w:rPr>
        <w:t xml:space="preserve">applied the </w:t>
      </w:r>
      <w:r w:rsidRPr="0021180B">
        <w:rPr>
          <w:rFonts w:ascii="Times New Roman" w:hAnsi="Times New Roman" w:cs="Times New Roman"/>
          <w:i/>
          <w:iCs/>
          <w:sz w:val="28"/>
          <w:szCs w:val="28"/>
        </w:rPr>
        <w:t xml:space="preserve">Weber </w:t>
      </w:r>
      <w:r w:rsidRPr="0021180B">
        <w:rPr>
          <w:rFonts w:ascii="Times New Roman" w:hAnsi="Times New Roman" w:cs="Times New Roman"/>
          <w:sz w:val="28"/>
          <w:szCs w:val="28"/>
        </w:rPr>
        <w:t>framework.</w:t>
      </w:r>
    </w:p>
    <w:p w14:paraId="280C48C4" w14:textId="77777777" w:rsidR="0021180B" w:rsidRPr="0021180B" w:rsidRDefault="0021180B" w:rsidP="0021180B">
      <w:pPr>
        <w:spacing w:after="0" w:line="240" w:lineRule="auto"/>
        <w:jc w:val="both"/>
        <w:rPr>
          <w:rFonts w:ascii="Times New Roman" w:hAnsi="Times New Roman" w:cs="Times New Roman"/>
          <w:sz w:val="28"/>
          <w:szCs w:val="28"/>
        </w:rPr>
      </w:pPr>
    </w:p>
    <w:p w14:paraId="7A504AEF" w14:textId="77777777" w:rsidR="00992BF7" w:rsidRPr="00ED1E5E" w:rsidRDefault="00D052DD" w:rsidP="00D052DD">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further ground of appeal </w:t>
      </w:r>
      <w:r w:rsidR="00CD1696">
        <w:rPr>
          <w:rFonts w:ascii="Times New Roman" w:hAnsi="Times New Roman" w:cs="Times New Roman"/>
          <w:sz w:val="28"/>
          <w:szCs w:val="28"/>
        </w:rPr>
        <w:t xml:space="preserve">raised by the PSAC </w:t>
      </w:r>
      <w:r>
        <w:rPr>
          <w:rFonts w:ascii="Times New Roman" w:hAnsi="Times New Roman" w:cs="Times New Roman"/>
          <w:sz w:val="28"/>
          <w:szCs w:val="28"/>
        </w:rPr>
        <w:t xml:space="preserve">is </w:t>
      </w:r>
      <w:r w:rsidR="00BA2E17">
        <w:rPr>
          <w:rFonts w:ascii="Times New Roman" w:hAnsi="Times New Roman" w:cs="Times New Roman"/>
          <w:sz w:val="28"/>
          <w:szCs w:val="28"/>
        </w:rPr>
        <w:t xml:space="preserve">that </w:t>
      </w:r>
      <w:r>
        <w:rPr>
          <w:rFonts w:ascii="Times New Roman" w:hAnsi="Times New Roman" w:cs="Times New Roman"/>
          <w:sz w:val="28"/>
          <w:szCs w:val="28"/>
        </w:rPr>
        <w:t xml:space="preserve">the </w:t>
      </w:r>
      <w:r w:rsidR="00503759">
        <w:rPr>
          <w:rFonts w:ascii="Times New Roman" w:hAnsi="Times New Roman" w:cs="Times New Roman"/>
          <w:sz w:val="28"/>
          <w:szCs w:val="28"/>
        </w:rPr>
        <w:t xml:space="preserve">Judge did not address whether the action should be stayed as an abuse of process under r 129(1)(a)(iv) of the </w:t>
      </w:r>
      <w:r w:rsidR="00503759">
        <w:rPr>
          <w:rFonts w:ascii="Times New Roman" w:hAnsi="Times New Roman" w:cs="Times New Roman"/>
          <w:i/>
          <w:iCs/>
          <w:sz w:val="28"/>
          <w:szCs w:val="28"/>
        </w:rPr>
        <w:t>Rules of the Supreme Court of the Northwest Territories.</w:t>
      </w:r>
      <w:r w:rsidR="00503759">
        <w:rPr>
          <w:rFonts w:ascii="Times New Roman" w:hAnsi="Times New Roman" w:cs="Times New Roman"/>
          <w:sz w:val="28"/>
          <w:szCs w:val="28"/>
        </w:rPr>
        <w:t xml:space="preserve"> </w:t>
      </w:r>
      <w:r w:rsidR="00786A85">
        <w:rPr>
          <w:rFonts w:ascii="Times New Roman" w:hAnsi="Times New Roman" w:cs="Times New Roman"/>
          <w:sz w:val="28"/>
          <w:szCs w:val="28"/>
        </w:rPr>
        <w:t xml:space="preserve"> </w:t>
      </w:r>
      <w:r w:rsidR="00647BD0">
        <w:rPr>
          <w:rFonts w:ascii="Times New Roman" w:hAnsi="Times New Roman" w:cs="Times New Roman"/>
          <w:sz w:val="28"/>
          <w:szCs w:val="28"/>
        </w:rPr>
        <w:t>In my view, w</w:t>
      </w:r>
      <w:r w:rsidR="00BA2E17">
        <w:rPr>
          <w:rFonts w:ascii="Times New Roman" w:hAnsi="Times New Roman" w:cs="Times New Roman"/>
          <w:sz w:val="28"/>
          <w:szCs w:val="28"/>
        </w:rPr>
        <w:t xml:space="preserve">hat the Judge would have had to consider in assessing this aspect of the PSAC’s application was </w:t>
      </w:r>
      <w:r w:rsidR="0021180B">
        <w:rPr>
          <w:rFonts w:ascii="Times New Roman" w:hAnsi="Times New Roman" w:cs="Times New Roman"/>
          <w:sz w:val="28"/>
          <w:szCs w:val="28"/>
        </w:rPr>
        <w:t xml:space="preserve">substantially </w:t>
      </w:r>
      <w:r w:rsidR="00BA2E17">
        <w:rPr>
          <w:rFonts w:ascii="Times New Roman" w:hAnsi="Times New Roman" w:cs="Times New Roman"/>
          <w:sz w:val="28"/>
          <w:szCs w:val="28"/>
        </w:rPr>
        <w:t xml:space="preserve">the same as it was for the summary judgment </w:t>
      </w:r>
      <w:r w:rsidR="00BA2E17">
        <w:rPr>
          <w:rFonts w:ascii="Times New Roman" w:hAnsi="Times New Roman" w:cs="Times New Roman"/>
          <w:sz w:val="28"/>
          <w:szCs w:val="28"/>
        </w:rPr>
        <w:lastRenderedPageBreak/>
        <w:t>aspect, namely whether Ryland’s suit should be dismissed for lack of jurisdiction</w:t>
      </w:r>
      <w:r w:rsidR="0021180B">
        <w:rPr>
          <w:rFonts w:ascii="Times New Roman" w:hAnsi="Times New Roman" w:cs="Times New Roman"/>
          <w:sz w:val="28"/>
          <w:szCs w:val="28"/>
        </w:rPr>
        <w:t xml:space="preserve">, pursuant to </w:t>
      </w:r>
      <w:r w:rsidR="0021180B">
        <w:rPr>
          <w:rFonts w:ascii="Times New Roman" w:hAnsi="Times New Roman" w:cs="Times New Roman"/>
          <w:i/>
          <w:iCs/>
          <w:sz w:val="28"/>
          <w:szCs w:val="28"/>
        </w:rPr>
        <w:t xml:space="preserve">Weber. </w:t>
      </w:r>
      <w:r w:rsidR="00BA2E17">
        <w:rPr>
          <w:rFonts w:ascii="Times New Roman" w:hAnsi="Times New Roman" w:cs="Times New Roman"/>
          <w:sz w:val="28"/>
          <w:szCs w:val="28"/>
        </w:rPr>
        <w:t xml:space="preserve">Accordingly, it is unnecessary to address this ground of appeal. </w:t>
      </w:r>
      <w:r>
        <w:rPr>
          <w:rFonts w:ascii="Times New Roman" w:hAnsi="Times New Roman" w:cs="Times New Roman"/>
          <w:sz w:val="28"/>
          <w:szCs w:val="28"/>
        </w:rPr>
        <w:t xml:space="preserve"> </w:t>
      </w:r>
    </w:p>
    <w:p w14:paraId="7557BAD1" w14:textId="77777777" w:rsidR="00197FC8" w:rsidRDefault="00197FC8" w:rsidP="00E67832">
      <w:pPr>
        <w:spacing w:after="0"/>
        <w:rPr>
          <w:rFonts w:ascii="Times New Roman" w:hAnsi="Times New Roman" w:cs="Times New Roman"/>
          <w:sz w:val="28"/>
          <w:szCs w:val="28"/>
        </w:rPr>
      </w:pPr>
    </w:p>
    <w:p w14:paraId="41A6D7D7" w14:textId="77777777" w:rsidR="00992BF7" w:rsidRPr="00992BF7" w:rsidRDefault="00992BF7" w:rsidP="00992BF7">
      <w:pPr>
        <w:rPr>
          <w:rFonts w:ascii="Times New Roman" w:hAnsi="Times New Roman" w:cs="Times New Roman"/>
          <w:b/>
          <w:bCs/>
          <w:sz w:val="28"/>
          <w:szCs w:val="28"/>
        </w:rPr>
      </w:pPr>
      <w:r>
        <w:rPr>
          <w:rFonts w:ascii="Times New Roman" w:hAnsi="Times New Roman" w:cs="Times New Roman"/>
          <w:b/>
          <w:bCs/>
          <w:sz w:val="28"/>
          <w:szCs w:val="28"/>
        </w:rPr>
        <w:t>STANDARD OF REVIEW</w:t>
      </w:r>
    </w:p>
    <w:p w14:paraId="38B32CF2" w14:textId="77777777" w:rsidR="00EE5DB6" w:rsidRDefault="00610667"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Whether the judge erred in his interpretation </w:t>
      </w:r>
      <w:r w:rsidR="00D84B8E">
        <w:rPr>
          <w:rFonts w:ascii="Times New Roman" w:hAnsi="Times New Roman" w:cs="Times New Roman"/>
          <w:sz w:val="28"/>
          <w:szCs w:val="28"/>
        </w:rPr>
        <w:t>of how to apply</w:t>
      </w:r>
      <w:r>
        <w:rPr>
          <w:rFonts w:ascii="Times New Roman" w:hAnsi="Times New Roman" w:cs="Times New Roman"/>
          <w:sz w:val="28"/>
          <w:szCs w:val="28"/>
        </w:rPr>
        <w:t xml:space="preserve"> the legal framework for summary judgment is a question of law</w:t>
      </w:r>
      <w:r w:rsidR="00D84B8E">
        <w:rPr>
          <w:rFonts w:ascii="Times New Roman" w:hAnsi="Times New Roman" w:cs="Times New Roman"/>
          <w:sz w:val="28"/>
          <w:szCs w:val="28"/>
        </w:rPr>
        <w:t xml:space="preserve">, to be determined on a standard of correctness.  </w:t>
      </w:r>
      <w:r w:rsidR="00D84B8E">
        <w:rPr>
          <w:rFonts w:ascii="Times New Roman" w:hAnsi="Times New Roman" w:cs="Times New Roman"/>
          <w:i/>
          <w:iCs/>
          <w:sz w:val="28"/>
          <w:szCs w:val="28"/>
        </w:rPr>
        <w:t>Housen v Nikolaisen,</w:t>
      </w:r>
      <w:r w:rsidR="00D84B8E">
        <w:rPr>
          <w:rFonts w:ascii="Times New Roman" w:hAnsi="Times New Roman" w:cs="Times New Roman"/>
          <w:sz w:val="28"/>
          <w:szCs w:val="28"/>
        </w:rPr>
        <w:t xml:space="preserve"> 2002 SCC 33, [2002] 2 SCR 235</w:t>
      </w:r>
      <w:r w:rsidR="00EE5DB6">
        <w:rPr>
          <w:rFonts w:ascii="Times New Roman" w:hAnsi="Times New Roman" w:cs="Times New Roman"/>
          <w:sz w:val="28"/>
          <w:szCs w:val="28"/>
        </w:rPr>
        <w:t>.</w:t>
      </w:r>
    </w:p>
    <w:p w14:paraId="4CD01196" w14:textId="77777777" w:rsidR="00EE5DB6" w:rsidRPr="00EE5DB6" w:rsidRDefault="00D84B8E" w:rsidP="00EE5DB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i/>
          <w:iCs/>
          <w:sz w:val="28"/>
          <w:szCs w:val="28"/>
        </w:rPr>
        <w:t xml:space="preserve"> </w:t>
      </w:r>
    </w:p>
    <w:p w14:paraId="653F80E1" w14:textId="77777777" w:rsidR="00241C03" w:rsidRPr="00241C03" w:rsidRDefault="00FA566D" w:rsidP="00E14B83">
      <w:pPr>
        <w:pStyle w:val="ListParagraph"/>
        <w:numPr>
          <w:ilvl w:val="0"/>
          <w:numId w:val="10"/>
        </w:numPr>
        <w:spacing w:after="0" w:line="240" w:lineRule="auto"/>
        <w:jc w:val="both"/>
        <w:rPr>
          <w:rFonts w:ascii="Times New Roman" w:hAnsi="Times New Roman" w:cs="Times New Roman"/>
          <w:sz w:val="28"/>
          <w:szCs w:val="28"/>
        </w:rPr>
      </w:pPr>
      <w:r w:rsidRPr="00241C03">
        <w:rPr>
          <w:rFonts w:ascii="Times New Roman" w:hAnsi="Times New Roman" w:cs="Times New Roman"/>
          <w:color w:val="000000"/>
          <w:sz w:val="28"/>
          <w:szCs w:val="28"/>
        </w:rPr>
        <w:t xml:space="preserve">Determining the essential character of the dispute </w:t>
      </w:r>
      <w:r w:rsidR="00F059B3">
        <w:rPr>
          <w:rFonts w:ascii="Times New Roman" w:hAnsi="Times New Roman" w:cs="Times New Roman"/>
          <w:color w:val="000000"/>
          <w:sz w:val="28"/>
          <w:szCs w:val="28"/>
        </w:rPr>
        <w:t xml:space="preserve">within the </w:t>
      </w:r>
      <w:r w:rsidR="00F059B3">
        <w:rPr>
          <w:rFonts w:ascii="Times New Roman" w:hAnsi="Times New Roman" w:cs="Times New Roman"/>
          <w:i/>
          <w:iCs/>
          <w:color w:val="000000"/>
          <w:sz w:val="28"/>
          <w:szCs w:val="28"/>
        </w:rPr>
        <w:t xml:space="preserve">Weber </w:t>
      </w:r>
      <w:r w:rsidR="00F059B3">
        <w:rPr>
          <w:rFonts w:ascii="Times New Roman" w:hAnsi="Times New Roman" w:cs="Times New Roman"/>
          <w:color w:val="000000"/>
          <w:sz w:val="28"/>
          <w:szCs w:val="28"/>
        </w:rPr>
        <w:t xml:space="preserve">framework </w:t>
      </w:r>
      <w:r w:rsidRPr="00F059B3">
        <w:rPr>
          <w:rFonts w:ascii="Times New Roman" w:hAnsi="Times New Roman" w:cs="Times New Roman"/>
          <w:color w:val="000000"/>
          <w:sz w:val="28"/>
          <w:szCs w:val="28"/>
        </w:rPr>
        <w:t>is</w:t>
      </w:r>
      <w:r w:rsidRPr="00241C03">
        <w:rPr>
          <w:rFonts w:ascii="Times New Roman" w:hAnsi="Times New Roman" w:cs="Times New Roman"/>
          <w:color w:val="000000"/>
          <w:sz w:val="28"/>
          <w:szCs w:val="28"/>
        </w:rPr>
        <w:t xml:space="preserve"> a question of law reviewable on a standard of correctness</w:t>
      </w:r>
      <w:r w:rsidR="00241C03">
        <w:rPr>
          <w:rFonts w:ascii="Times New Roman" w:hAnsi="Times New Roman" w:cs="Times New Roman"/>
          <w:color w:val="000000"/>
          <w:sz w:val="28"/>
          <w:szCs w:val="28"/>
        </w:rPr>
        <w:t>.</w:t>
      </w:r>
      <w:r w:rsidR="00786A85">
        <w:rPr>
          <w:rFonts w:ascii="Times New Roman" w:hAnsi="Times New Roman" w:cs="Times New Roman"/>
          <w:color w:val="000000"/>
          <w:sz w:val="28"/>
          <w:szCs w:val="28"/>
        </w:rPr>
        <w:t xml:space="preserve"> </w:t>
      </w:r>
      <w:r w:rsidR="00241C03">
        <w:rPr>
          <w:rFonts w:ascii="Times New Roman" w:hAnsi="Times New Roman" w:cs="Times New Roman"/>
          <w:color w:val="000000"/>
          <w:sz w:val="28"/>
          <w:szCs w:val="28"/>
        </w:rPr>
        <w:t xml:space="preserve"> </w:t>
      </w:r>
      <w:r w:rsidRPr="00241C03">
        <w:rPr>
          <w:rFonts w:ascii="Times New Roman" w:hAnsi="Times New Roman" w:cs="Times New Roman"/>
          <w:i/>
          <w:iCs/>
          <w:color w:val="000000"/>
          <w:sz w:val="28"/>
          <w:szCs w:val="28"/>
        </w:rPr>
        <w:t>Bruce v </w:t>
      </w:r>
      <w:proofErr w:type="spellStart"/>
      <w:r w:rsidRPr="00241C03">
        <w:rPr>
          <w:rFonts w:ascii="Times New Roman" w:hAnsi="Times New Roman" w:cs="Times New Roman"/>
          <w:i/>
          <w:iCs/>
          <w:color w:val="000000"/>
          <w:sz w:val="28"/>
          <w:szCs w:val="28"/>
        </w:rPr>
        <w:t>Cohon</w:t>
      </w:r>
      <w:proofErr w:type="spellEnd"/>
      <w:r w:rsidRPr="00241C03">
        <w:rPr>
          <w:rFonts w:ascii="Times New Roman" w:hAnsi="Times New Roman" w:cs="Times New Roman"/>
          <w:i/>
          <w:iCs/>
          <w:color w:val="000000"/>
          <w:sz w:val="28"/>
          <w:szCs w:val="28"/>
        </w:rPr>
        <w:t>,</w:t>
      </w:r>
      <w:r w:rsidR="00241C03">
        <w:rPr>
          <w:rFonts w:ascii="Times New Roman" w:hAnsi="Times New Roman" w:cs="Times New Roman"/>
          <w:color w:val="000000"/>
          <w:sz w:val="28"/>
          <w:szCs w:val="28"/>
        </w:rPr>
        <w:t xml:space="preserve"> 2017 BCCA 186</w:t>
      </w:r>
      <w:r w:rsidRPr="00241C03">
        <w:rPr>
          <w:rStyle w:val="reflex3-block"/>
          <w:rFonts w:ascii="Times New Roman" w:hAnsi="Times New Roman" w:cs="Times New Roman"/>
          <w:color w:val="000000"/>
          <w:sz w:val="28"/>
          <w:szCs w:val="28"/>
        </w:rPr>
        <w:t> at para</w:t>
      </w:r>
      <w:r w:rsidR="0085079A">
        <w:rPr>
          <w:rStyle w:val="reflex3-block"/>
          <w:rFonts w:ascii="Times New Roman" w:hAnsi="Times New Roman" w:cs="Times New Roman"/>
          <w:color w:val="000000"/>
          <w:sz w:val="28"/>
          <w:szCs w:val="28"/>
        </w:rPr>
        <w:t xml:space="preserve">s 76 to </w:t>
      </w:r>
      <w:r w:rsidR="00241C03">
        <w:rPr>
          <w:rStyle w:val="reflex3-block"/>
          <w:rFonts w:ascii="Times New Roman" w:hAnsi="Times New Roman" w:cs="Times New Roman"/>
          <w:color w:val="000000"/>
          <w:sz w:val="28"/>
          <w:szCs w:val="28"/>
        </w:rPr>
        <w:t>80</w:t>
      </w:r>
      <w:r w:rsidRPr="00241C03">
        <w:rPr>
          <w:rFonts w:ascii="Times New Roman" w:hAnsi="Times New Roman" w:cs="Times New Roman"/>
          <w:color w:val="000000"/>
          <w:sz w:val="28"/>
          <w:szCs w:val="28"/>
        </w:rPr>
        <w:t>, leave to appeal ref’d [2017] SCCA No 307.</w:t>
      </w:r>
    </w:p>
    <w:p w14:paraId="50402C53" w14:textId="77777777" w:rsidR="00241C03" w:rsidRPr="00241C03" w:rsidRDefault="00241C03" w:rsidP="00241C03">
      <w:pPr>
        <w:pStyle w:val="ListParagraph"/>
        <w:rPr>
          <w:rFonts w:ascii="Times New Roman" w:hAnsi="Times New Roman" w:cs="Times New Roman"/>
          <w:sz w:val="28"/>
          <w:szCs w:val="28"/>
        </w:rPr>
      </w:pPr>
    </w:p>
    <w:p w14:paraId="48F15E45" w14:textId="77777777" w:rsidR="00EE5DB6" w:rsidRPr="0085079A" w:rsidRDefault="00241C03" w:rsidP="0085079A">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Finally, determining the ambit of the collective agreement </w:t>
      </w:r>
      <w:r w:rsidR="00F059B3">
        <w:rPr>
          <w:rFonts w:ascii="Times New Roman" w:hAnsi="Times New Roman" w:cs="Times New Roman"/>
          <w:sz w:val="28"/>
          <w:szCs w:val="28"/>
        </w:rPr>
        <w:t>is a question of both fact and law</w:t>
      </w:r>
      <w:r w:rsidR="00244314">
        <w:rPr>
          <w:rFonts w:ascii="Times New Roman" w:hAnsi="Times New Roman" w:cs="Times New Roman"/>
          <w:sz w:val="28"/>
          <w:szCs w:val="28"/>
        </w:rPr>
        <w:t xml:space="preserve">, subject to the “palpable and overriding error” standard of review. </w:t>
      </w:r>
      <w:r w:rsidR="00786A85">
        <w:rPr>
          <w:rFonts w:ascii="Times New Roman" w:hAnsi="Times New Roman" w:cs="Times New Roman"/>
          <w:sz w:val="28"/>
          <w:szCs w:val="28"/>
        </w:rPr>
        <w:t xml:space="preserve"> </w:t>
      </w:r>
      <w:r w:rsidR="00244314">
        <w:rPr>
          <w:rFonts w:ascii="Times New Roman" w:hAnsi="Times New Roman" w:cs="Times New Roman"/>
          <w:i/>
          <w:iCs/>
          <w:sz w:val="28"/>
          <w:szCs w:val="28"/>
        </w:rPr>
        <w:t>Bruce</w:t>
      </w:r>
      <w:r w:rsidR="00647BD0">
        <w:rPr>
          <w:rFonts w:ascii="Times New Roman" w:hAnsi="Times New Roman" w:cs="Times New Roman"/>
          <w:i/>
          <w:iCs/>
          <w:sz w:val="28"/>
          <w:szCs w:val="28"/>
        </w:rPr>
        <w:t xml:space="preserve">, </w:t>
      </w:r>
      <w:r w:rsidR="00244314">
        <w:rPr>
          <w:rFonts w:ascii="Times New Roman" w:hAnsi="Times New Roman" w:cs="Times New Roman"/>
          <w:sz w:val="28"/>
          <w:szCs w:val="28"/>
        </w:rPr>
        <w:t>at para</w:t>
      </w:r>
      <w:r w:rsidR="0085079A">
        <w:rPr>
          <w:rFonts w:ascii="Times New Roman" w:hAnsi="Times New Roman" w:cs="Times New Roman"/>
          <w:sz w:val="28"/>
          <w:szCs w:val="28"/>
        </w:rPr>
        <w:t>s</w:t>
      </w:r>
      <w:r w:rsidR="00244314">
        <w:rPr>
          <w:rFonts w:ascii="Times New Roman" w:hAnsi="Times New Roman" w:cs="Times New Roman"/>
          <w:sz w:val="28"/>
          <w:szCs w:val="28"/>
        </w:rPr>
        <w:t xml:space="preserve"> </w:t>
      </w:r>
      <w:r w:rsidR="0085079A">
        <w:rPr>
          <w:rFonts w:ascii="Times New Roman" w:hAnsi="Times New Roman" w:cs="Times New Roman"/>
          <w:sz w:val="28"/>
          <w:szCs w:val="28"/>
        </w:rPr>
        <w:t>76 to 80.</w:t>
      </w:r>
    </w:p>
    <w:p w14:paraId="6EBA490B" w14:textId="77777777" w:rsidR="00EE5DB6" w:rsidRPr="00DB24F0" w:rsidRDefault="00EE5DB6" w:rsidP="00DB24F0">
      <w:pPr>
        <w:spacing w:after="0" w:line="240" w:lineRule="auto"/>
        <w:jc w:val="both"/>
        <w:rPr>
          <w:rFonts w:ascii="Times New Roman" w:hAnsi="Times New Roman" w:cs="Times New Roman"/>
          <w:sz w:val="28"/>
          <w:szCs w:val="28"/>
        </w:rPr>
      </w:pPr>
    </w:p>
    <w:p w14:paraId="7B910BE0" w14:textId="77777777" w:rsidR="00992BF7" w:rsidRPr="00B724DF" w:rsidRDefault="00B724DF" w:rsidP="00B724DF">
      <w:pPr>
        <w:pStyle w:val="ListParagraph"/>
        <w:spacing w:after="0" w:line="240" w:lineRule="auto"/>
        <w:ind w:left="0"/>
        <w:jc w:val="both"/>
        <w:rPr>
          <w:rFonts w:ascii="Times New Roman" w:hAnsi="Times New Roman" w:cs="Times New Roman"/>
          <w:b/>
          <w:bCs/>
          <w:sz w:val="28"/>
          <w:szCs w:val="28"/>
        </w:rPr>
      </w:pPr>
      <w:r w:rsidRPr="00B724DF">
        <w:rPr>
          <w:rFonts w:ascii="Times New Roman" w:hAnsi="Times New Roman" w:cs="Times New Roman"/>
          <w:b/>
          <w:bCs/>
          <w:sz w:val="28"/>
          <w:szCs w:val="28"/>
        </w:rPr>
        <w:t>ANALYSIS</w:t>
      </w:r>
    </w:p>
    <w:p w14:paraId="06818B56" w14:textId="77777777" w:rsidR="00B724DF" w:rsidRDefault="00B724DF" w:rsidP="00B724DF">
      <w:pPr>
        <w:pStyle w:val="ListParagraph"/>
        <w:spacing w:after="0" w:line="240" w:lineRule="auto"/>
        <w:ind w:left="0"/>
        <w:jc w:val="both"/>
        <w:rPr>
          <w:rFonts w:ascii="Times New Roman" w:hAnsi="Times New Roman" w:cs="Times New Roman"/>
          <w:sz w:val="28"/>
          <w:szCs w:val="28"/>
        </w:rPr>
      </w:pPr>
    </w:p>
    <w:p w14:paraId="32CB1891" w14:textId="77777777" w:rsidR="00B724DF" w:rsidRDefault="00B724DF" w:rsidP="00B724DF">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Did the judge err in determining he could not weigh evidence and draw inferences in the summary judgment application?</w:t>
      </w:r>
    </w:p>
    <w:p w14:paraId="347A409A" w14:textId="77777777" w:rsidR="00B724DF" w:rsidRPr="00B724DF" w:rsidRDefault="00B724DF" w:rsidP="00B724DF">
      <w:pPr>
        <w:pStyle w:val="ListParagraph"/>
        <w:spacing w:after="0" w:line="240" w:lineRule="auto"/>
        <w:ind w:left="0"/>
        <w:jc w:val="both"/>
        <w:rPr>
          <w:rFonts w:ascii="Times New Roman" w:hAnsi="Times New Roman" w:cs="Times New Roman"/>
          <w:i/>
          <w:iCs/>
          <w:sz w:val="28"/>
          <w:szCs w:val="28"/>
        </w:rPr>
      </w:pPr>
    </w:p>
    <w:p w14:paraId="510D2A30" w14:textId="77777777" w:rsidR="002939DA" w:rsidRDefault="00AC4C7B"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PSAC brought its application before the Territorial Court under </w:t>
      </w:r>
      <w:proofErr w:type="spellStart"/>
      <w:r>
        <w:rPr>
          <w:rFonts w:ascii="Times New Roman" w:hAnsi="Times New Roman" w:cs="Times New Roman"/>
          <w:sz w:val="28"/>
          <w:szCs w:val="28"/>
        </w:rPr>
        <w:t>rr</w:t>
      </w:r>
      <w:proofErr w:type="spellEnd"/>
      <w:r w:rsidR="00DB24F0">
        <w:rPr>
          <w:rFonts w:ascii="Times New Roman" w:hAnsi="Times New Roman" w:cs="Times New Roman"/>
          <w:sz w:val="28"/>
          <w:szCs w:val="28"/>
        </w:rPr>
        <w:t xml:space="preserve"> 17</w:t>
      </w:r>
      <w:r>
        <w:rPr>
          <w:rFonts w:ascii="Times New Roman" w:hAnsi="Times New Roman" w:cs="Times New Roman"/>
          <w:sz w:val="28"/>
          <w:szCs w:val="28"/>
        </w:rPr>
        <w:t>5 and 176, which</w:t>
      </w:r>
      <w:r w:rsidR="00DD736E">
        <w:rPr>
          <w:rFonts w:ascii="Times New Roman" w:hAnsi="Times New Roman" w:cs="Times New Roman"/>
          <w:sz w:val="28"/>
          <w:szCs w:val="28"/>
        </w:rPr>
        <w:t xml:space="preserve"> </w:t>
      </w:r>
      <w:r>
        <w:rPr>
          <w:rFonts w:ascii="Times New Roman" w:hAnsi="Times New Roman" w:cs="Times New Roman"/>
          <w:sz w:val="28"/>
          <w:szCs w:val="28"/>
        </w:rPr>
        <w:t>provide:</w:t>
      </w:r>
    </w:p>
    <w:p w14:paraId="01184FE7"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r w:rsidRPr="00AC4C7B">
        <w:rPr>
          <w:rFonts w:ascii="Times New Roman" w:eastAsia="Times New Roman" w:hAnsi="Times New Roman" w:cs="Times New Roman"/>
          <w:color w:val="000000"/>
          <w:sz w:val="24"/>
          <w:szCs w:val="24"/>
        </w:rPr>
        <w:br/>
        <w:t>175. A defendant may, after delivering a statement of defence, apply with supporting affidavit material or other evidence for summary judgment dismissing all or part of the claim in the statement of claim.</w:t>
      </w:r>
    </w:p>
    <w:p w14:paraId="1CBE09F1"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p>
    <w:p w14:paraId="41901ECB" w14:textId="77777777" w:rsidR="00AC4C7B" w:rsidRDefault="00AC4C7B" w:rsidP="00AC4C7B">
      <w:pPr>
        <w:pStyle w:val="ListParagraph"/>
        <w:spacing w:before="240" w:after="0" w:line="240" w:lineRule="auto"/>
        <w:ind w:right="737"/>
        <w:jc w:val="both"/>
        <w:rPr>
          <w:rFonts w:ascii="Times New Roman" w:eastAsia="Times New Roman" w:hAnsi="Times New Roman" w:cs="Times New Roman"/>
          <w:color w:val="000000"/>
          <w:sz w:val="24"/>
          <w:szCs w:val="24"/>
        </w:rPr>
      </w:pPr>
      <w:r w:rsidRPr="00AC4C7B">
        <w:rPr>
          <w:rFonts w:ascii="Times New Roman" w:eastAsia="Times New Roman" w:hAnsi="Times New Roman" w:cs="Times New Roman"/>
          <w:color w:val="000000"/>
          <w:sz w:val="24"/>
          <w:szCs w:val="24"/>
        </w:rPr>
        <w:t>176. (1) In response to the affidavit material or other evidence supporting an application for summary judgment, the respond</w:t>
      </w:r>
      <w:r>
        <w:rPr>
          <w:rFonts w:ascii="Times New Roman" w:eastAsia="Times New Roman" w:hAnsi="Times New Roman" w:cs="Times New Roman"/>
          <w:color w:val="000000"/>
          <w:sz w:val="24"/>
          <w:szCs w:val="24"/>
        </w:rPr>
        <w:t>e</w:t>
      </w:r>
      <w:r w:rsidRPr="00AC4C7B">
        <w:rPr>
          <w:rFonts w:ascii="Times New Roman" w:eastAsia="Times New Roman" w:hAnsi="Times New Roman" w:cs="Times New Roman"/>
          <w:color w:val="000000"/>
          <w:sz w:val="24"/>
          <w:szCs w:val="24"/>
        </w:rPr>
        <w:t>nt may not rest on the mere allegations or denials in his or her pleadings, but must set out, in affidavit material or other evidence, specific facts showing that there is a genuine issue for trial.</w:t>
      </w:r>
    </w:p>
    <w:p w14:paraId="50FA3896"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p>
    <w:p w14:paraId="2A59A4C4" w14:textId="77777777" w:rsidR="00AC4C7B" w:rsidRDefault="00AC4C7B" w:rsidP="00AC4C7B">
      <w:pPr>
        <w:pStyle w:val="ListParagraph"/>
        <w:spacing w:before="240" w:after="0" w:line="240" w:lineRule="auto"/>
        <w:ind w:right="737"/>
        <w:jc w:val="both"/>
        <w:rPr>
          <w:rFonts w:ascii="Times New Roman" w:eastAsia="Times New Roman" w:hAnsi="Times New Roman" w:cs="Times New Roman"/>
          <w:color w:val="000000"/>
          <w:sz w:val="24"/>
          <w:szCs w:val="24"/>
        </w:rPr>
      </w:pPr>
      <w:r w:rsidRPr="00AC4C7B">
        <w:rPr>
          <w:rFonts w:ascii="Times New Roman" w:eastAsia="Times New Roman" w:hAnsi="Times New Roman" w:cs="Times New Roman"/>
          <w:color w:val="000000"/>
          <w:sz w:val="24"/>
          <w:szCs w:val="24"/>
        </w:rPr>
        <w:t>(2) Where the Court is satisfied that there is no genuine issue for trial with respect to a claim or defence, the Court shall grant summary judgment accordingly.</w:t>
      </w:r>
    </w:p>
    <w:p w14:paraId="4C12B79D"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p>
    <w:p w14:paraId="051AD5A9" w14:textId="77777777" w:rsidR="00AC4C7B" w:rsidRDefault="00AC4C7B" w:rsidP="00AC4C7B">
      <w:pPr>
        <w:pStyle w:val="ListParagraph"/>
        <w:spacing w:before="240" w:after="0" w:line="240" w:lineRule="auto"/>
        <w:ind w:right="737"/>
        <w:jc w:val="both"/>
        <w:rPr>
          <w:rFonts w:ascii="Times New Roman" w:eastAsia="Times New Roman" w:hAnsi="Times New Roman" w:cs="Times New Roman"/>
          <w:color w:val="000000"/>
          <w:sz w:val="24"/>
          <w:szCs w:val="24"/>
        </w:rPr>
      </w:pPr>
      <w:r w:rsidRPr="00AC4C7B">
        <w:rPr>
          <w:rFonts w:ascii="Times New Roman" w:eastAsia="Times New Roman" w:hAnsi="Times New Roman" w:cs="Times New Roman"/>
          <w:color w:val="000000"/>
          <w:sz w:val="24"/>
          <w:szCs w:val="24"/>
        </w:rPr>
        <w:t>(3) Where the Court is satisfied that the only genuine issue is the amount to which the applicant is entitled, the Court may order a trial of that issue or grant judgment with a reference or an accounting to determine the amount.</w:t>
      </w:r>
    </w:p>
    <w:p w14:paraId="71835CC7"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p>
    <w:p w14:paraId="578B3AD3" w14:textId="77777777" w:rsidR="00AC4C7B" w:rsidRPr="00AC4C7B" w:rsidRDefault="00AC4C7B" w:rsidP="00AC4C7B">
      <w:pPr>
        <w:pStyle w:val="ListParagraph"/>
        <w:spacing w:before="240" w:after="0" w:line="240" w:lineRule="auto"/>
        <w:ind w:right="737"/>
        <w:jc w:val="both"/>
        <w:rPr>
          <w:rFonts w:ascii="Calibri" w:eastAsia="Times New Roman" w:hAnsi="Calibri" w:cs="Calibri"/>
          <w:color w:val="000000"/>
        </w:rPr>
      </w:pPr>
      <w:r w:rsidRPr="00AC4C7B">
        <w:rPr>
          <w:rFonts w:ascii="Times New Roman" w:eastAsia="Times New Roman" w:hAnsi="Times New Roman" w:cs="Times New Roman"/>
          <w:color w:val="000000"/>
          <w:sz w:val="24"/>
          <w:szCs w:val="24"/>
        </w:rPr>
        <w:lastRenderedPageBreak/>
        <w:t>(4) Where the Court is satisfied that the only genuine issue is a question of law, the Court may determine the question and grant judgment accordingly.</w:t>
      </w:r>
    </w:p>
    <w:p w14:paraId="135C864C" w14:textId="77777777" w:rsidR="00AC4C7B" w:rsidRDefault="00AC4C7B" w:rsidP="00AC4C7B">
      <w:pPr>
        <w:pStyle w:val="ListParagraph"/>
        <w:spacing w:after="0" w:line="240" w:lineRule="auto"/>
        <w:ind w:left="0"/>
        <w:jc w:val="both"/>
        <w:rPr>
          <w:rFonts w:ascii="Times New Roman" w:hAnsi="Times New Roman" w:cs="Times New Roman"/>
          <w:sz w:val="28"/>
          <w:szCs w:val="28"/>
        </w:rPr>
      </w:pPr>
    </w:p>
    <w:p w14:paraId="5F98DCB0" w14:textId="77777777" w:rsidR="0021180B" w:rsidRDefault="00416B95"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 </w:t>
      </w:r>
      <w:r w:rsidR="00246419">
        <w:rPr>
          <w:rFonts w:ascii="Times New Roman" w:hAnsi="Times New Roman" w:cs="Times New Roman"/>
          <w:sz w:val="28"/>
          <w:szCs w:val="28"/>
        </w:rPr>
        <w:t>set out above</w:t>
      </w:r>
      <w:r>
        <w:rPr>
          <w:rFonts w:ascii="Times New Roman" w:hAnsi="Times New Roman" w:cs="Times New Roman"/>
          <w:sz w:val="28"/>
          <w:szCs w:val="28"/>
        </w:rPr>
        <w:t xml:space="preserve">, </w:t>
      </w:r>
      <w:r w:rsidR="00992D1C">
        <w:rPr>
          <w:rFonts w:ascii="Times New Roman" w:hAnsi="Times New Roman" w:cs="Times New Roman"/>
          <w:sz w:val="28"/>
          <w:szCs w:val="28"/>
        </w:rPr>
        <w:t xml:space="preserve">the Judge acknowledged that, </w:t>
      </w:r>
      <w:r>
        <w:rPr>
          <w:rFonts w:ascii="Times New Roman" w:hAnsi="Times New Roman" w:cs="Times New Roman"/>
          <w:sz w:val="28"/>
          <w:szCs w:val="28"/>
        </w:rPr>
        <w:t xml:space="preserve">following the </w:t>
      </w:r>
      <w:r>
        <w:rPr>
          <w:rFonts w:ascii="Times New Roman" w:hAnsi="Times New Roman" w:cs="Times New Roman"/>
          <w:i/>
          <w:iCs/>
          <w:sz w:val="28"/>
          <w:szCs w:val="28"/>
        </w:rPr>
        <w:t>Hyrniak</w:t>
      </w:r>
      <w:r w:rsidR="002D29DA">
        <w:rPr>
          <w:rFonts w:ascii="Times New Roman" w:hAnsi="Times New Roman" w:cs="Times New Roman"/>
          <w:i/>
          <w:iCs/>
          <w:sz w:val="28"/>
          <w:szCs w:val="28"/>
        </w:rPr>
        <w:t xml:space="preserve"> </w:t>
      </w:r>
      <w:r w:rsidR="002D29DA">
        <w:rPr>
          <w:rFonts w:ascii="Times New Roman" w:hAnsi="Times New Roman" w:cs="Times New Roman"/>
          <w:sz w:val="28"/>
          <w:szCs w:val="28"/>
        </w:rPr>
        <w:t>decision</w:t>
      </w:r>
      <w:r w:rsidR="00992D1C">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this Court adopted a broad</w:t>
      </w:r>
      <w:r w:rsidR="002D29DA">
        <w:rPr>
          <w:rFonts w:ascii="Times New Roman" w:hAnsi="Times New Roman" w:cs="Times New Roman"/>
          <w:sz w:val="28"/>
          <w:szCs w:val="28"/>
        </w:rPr>
        <w:t xml:space="preserve"> </w:t>
      </w:r>
      <w:r>
        <w:rPr>
          <w:rFonts w:ascii="Times New Roman" w:hAnsi="Times New Roman" w:cs="Times New Roman"/>
          <w:sz w:val="28"/>
          <w:szCs w:val="28"/>
        </w:rPr>
        <w:t>interpretation of how summary judgment rules should be applied</w:t>
      </w:r>
      <w:r w:rsidR="002D29DA">
        <w:rPr>
          <w:rFonts w:ascii="Times New Roman" w:hAnsi="Times New Roman" w:cs="Times New Roman"/>
          <w:sz w:val="28"/>
          <w:szCs w:val="28"/>
        </w:rPr>
        <w:t xml:space="preserve"> in </w:t>
      </w:r>
      <w:proofErr w:type="spellStart"/>
      <w:r w:rsidR="002D29DA">
        <w:rPr>
          <w:rFonts w:ascii="Times New Roman" w:hAnsi="Times New Roman" w:cs="Times New Roman"/>
          <w:i/>
          <w:iCs/>
          <w:sz w:val="28"/>
          <w:szCs w:val="28"/>
        </w:rPr>
        <w:t>Hoechsmann</w:t>
      </w:r>
      <w:proofErr w:type="spellEnd"/>
      <w:r w:rsidR="00246419">
        <w:rPr>
          <w:rFonts w:ascii="Times New Roman" w:hAnsi="Times New Roman" w:cs="Times New Roman"/>
          <w:i/>
          <w:iCs/>
          <w:sz w:val="28"/>
          <w:szCs w:val="28"/>
        </w:rPr>
        <w:t>.</w:t>
      </w:r>
      <w:r w:rsidR="00786A85">
        <w:rPr>
          <w:rFonts w:ascii="Times New Roman" w:hAnsi="Times New Roman" w:cs="Times New Roman"/>
          <w:i/>
          <w:iCs/>
          <w:sz w:val="28"/>
          <w:szCs w:val="28"/>
        </w:rPr>
        <w:t xml:space="preserve"> </w:t>
      </w:r>
      <w:r w:rsidR="002D29DA">
        <w:rPr>
          <w:rFonts w:ascii="Times New Roman" w:hAnsi="Times New Roman" w:cs="Times New Roman"/>
          <w:i/>
          <w:iCs/>
          <w:sz w:val="28"/>
          <w:szCs w:val="28"/>
        </w:rPr>
        <w:t xml:space="preserve"> </w:t>
      </w:r>
      <w:r w:rsidR="00992D1C">
        <w:rPr>
          <w:rFonts w:ascii="Times New Roman" w:hAnsi="Times New Roman" w:cs="Times New Roman"/>
          <w:sz w:val="28"/>
          <w:szCs w:val="28"/>
        </w:rPr>
        <w:t>H</w:t>
      </w:r>
      <w:r w:rsidR="00246419">
        <w:rPr>
          <w:rFonts w:ascii="Times New Roman" w:hAnsi="Times New Roman" w:cs="Times New Roman"/>
          <w:sz w:val="28"/>
          <w:szCs w:val="28"/>
        </w:rPr>
        <w:t>e noted</w:t>
      </w:r>
      <w:r w:rsidR="00992D1C">
        <w:rPr>
          <w:rFonts w:ascii="Times New Roman" w:hAnsi="Times New Roman" w:cs="Times New Roman"/>
          <w:sz w:val="28"/>
          <w:szCs w:val="28"/>
        </w:rPr>
        <w:t>, however, that</w:t>
      </w:r>
      <w:r w:rsidR="00246419">
        <w:rPr>
          <w:rFonts w:ascii="Times New Roman" w:hAnsi="Times New Roman" w:cs="Times New Roman"/>
          <w:sz w:val="28"/>
          <w:szCs w:val="28"/>
        </w:rPr>
        <w:t xml:space="preserve"> </w:t>
      </w:r>
      <w:r w:rsidR="002D29DA">
        <w:rPr>
          <w:rFonts w:ascii="Times New Roman" w:hAnsi="Times New Roman" w:cs="Times New Roman"/>
          <w:sz w:val="28"/>
          <w:szCs w:val="28"/>
        </w:rPr>
        <w:t xml:space="preserve">the Ontario rules considered in </w:t>
      </w:r>
      <w:r w:rsidR="002D29DA">
        <w:rPr>
          <w:rFonts w:ascii="Times New Roman" w:hAnsi="Times New Roman" w:cs="Times New Roman"/>
          <w:i/>
          <w:iCs/>
          <w:sz w:val="28"/>
          <w:szCs w:val="28"/>
        </w:rPr>
        <w:t xml:space="preserve">Hyrniak </w:t>
      </w:r>
      <w:r w:rsidR="00246419">
        <w:rPr>
          <w:rFonts w:ascii="Times New Roman" w:hAnsi="Times New Roman" w:cs="Times New Roman"/>
          <w:sz w:val="28"/>
          <w:szCs w:val="28"/>
        </w:rPr>
        <w:t>contained express provisions allowing for evidence to be weighed</w:t>
      </w:r>
      <w:r w:rsidR="0021180B">
        <w:rPr>
          <w:rFonts w:ascii="Times New Roman" w:hAnsi="Times New Roman" w:cs="Times New Roman"/>
          <w:sz w:val="28"/>
          <w:szCs w:val="28"/>
        </w:rPr>
        <w:t xml:space="preserve">, credibility </w:t>
      </w:r>
      <w:proofErr w:type="gramStart"/>
      <w:r w:rsidR="0021180B">
        <w:rPr>
          <w:rFonts w:ascii="Times New Roman" w:hAnsi="Times New Roman" w:cs="Times New Roman"/>
          <w:sz w:val="28"/>
          <w:szCs w:val="28"/>
        </w:rPr>
        <w:t>assessed</w:t>
      </w:r>
      <w:proofErr w:type="gramEnd"/>
      <w:r w:rsidR="00246419">
        <w:rPr>
          <w:rFonts w:ascii="Times New Roman" w:hAnsi="Times New Roman" w:cs="Times New Roman"/>
          <w:sz w:val="28"/>
          <w:szCs w:val="28"/>
        </w:rPr>
        <w:t xml:space="preserve"> and inferences drawn, whereas </w:t>
      </w:r>
      <w:proofErr w:type="spellStart"/>
      <w:r w:rsidR="002D29DA">
        <w:rPr>
          <w:rFonts w:ascii="Times New Roman" w:hAnsi="Times New Roman" w:cs="Times New Roman"/>
          <w:sz w:val="28"/>
          <w:szCs w:val="28"/>
        </w:rPr>
        <w:t>rr</w:t>
      </w:r>
      <w:proofErr w:type="spellEnd"/>
      <w:r w:rsidR="002D29DA">
        <w:rPr>
          <w:rFonts w:ascii="Times New Roman" w:hAnsi="Times New Roman" w:cs="Times New Roman"/>
          <w:sz w:val="28"/>
          <w:szCs w:val="28"/>
        </w:rPr>
        <w:t xml:space="preserve"> 175 and 176 </w:t>
      </w:r>
      <w:r w:rsidR="00246419">
        <w:rPr>
          <w:rFonts w:ascii="Times New Roman" w:hAnsi="Times New Roman" w:cs="Times New Roman"/>
          <w:sz w:val="28"/>
          <w:szCs w:val="28"/>
        </w:rPr>
        <w:t>do not.</w:t>
      </w:r>
      <w:r w:rsidR="00786A85">
        <w:rPr>
          <w:rFonts w:ascii="Times New Roman" w:hAnsi="Times New Roman" w:cs="Times New Roman"/>
          <w:sz w:val="28"/>
          <w:szCs w:val="28"/>
        </w:rPr>
        <w:t xml:space="preserve"> </w:t>
      </w:r>
      <w:r w:rsidR="00246419">
        <w:rPr>
          <w:rFonts w:ascii="Times New Roman" w:hAnsi="Times New Roman" w:cs="Times New Roman"/>
          <w:sz w:val="28"/>
          <w:szCs w:val="28"/>
        </w:rPr>
        <w:t xml:space="preserve"> </w:t>
      </w:r>
      <w:r w:rsidR="00992D1C">
        <w:rPr>
          <w:rFonts w:ascii="Times New Roman" w:hAnsi="Times New Roman" w:cs="Times New Roman"/>
          <w:sz w:val="28"/>
          <w:szCs w:val="28"/>
        </w:rPr>
        <w:t>On this basis, he determined he could not weigh the affidavit evidence or draw inferences which would allow him to reject Ryland’s assertions.</w:t>
      </w:r>
      <w:r w:rsidR="00786A85">
        <w:rPr>
          <w:rFonts w:ascii="Times New Roman" w:hAnsi="Times New Roman" w:cs="Times New Roman"/>
          <w:sz w:val="28"/>
          <w:szCs w:val="28"/>
        </w:rPr>
        <w:t xml:space="preserve"> </w:t>
      </w:r>
      <w:r w:rsidR="00992D1C">
        <w:rPr>
          <w:rFonts w:ascii="Times New Roman" w:hAnsi="Times New Roman" w:cs="Times New Roman"/>
          <w:sz w:val="28"/>
          <w:szCs w:val="28"/>
        </w:rPr>
        <w:t xml:space="preserve"> </w:t>
      </w:r>
    </w:p>
    <w:p w14:paraId="065725EE" w14:textId="77777777" w:rsidR="0021180B" w:rsidRDefault="0021180B" w:rsidP="0021180B">
      <w:pPr>
        <w:pStyle w:val="ListParagraph"/>
        <w:spacing w:after="0" w:line="240" w:lineRule="auto"/>
        <w:ind w:left="0"/>
        <w:jc w:val="both"/>
        <w:rPr>
          <w:rFonts w:ascii="Times New Roman" w:hAnsi="Times New Roman" w:cs="Times New Roman"/>
          <w:sz w:val="28"/>
          <w:szCs w:val="28"/>
        </w:rPr>
      </w:pPr>
    </w:p>
    <w:p w14:paraId="5856D4B4" w14:textId="7A6ADC84" w:rsidR="00DD736E" w:rsidRDefault="00992D1C"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Respectfully, this is </w:t>
      </w:r>
      <w:r w:rsidR="00E762C5">
        <w:rPr>
          <w:rFonts w:ascii="Times New Roman" w:hAnsi="Times New Roman" w:cs="Times New Roman"/>
          <w:sz w:val="28"/>
          <w:szCs w:val="28"/>
        </w:rPr>
        <w:t>an error of law.</w:t>
      </w:r>
      <w:r>
        <w:rPr>
          <w:rFonts w:ascii="Times New Roman" w:hAnsi="Times New Roman" w:cs="Times New Roman"/>
          <w:sz w:val="28"/>
          <w:szCs w:val="28"/>
        </w:rPr>
        <w:t xml:space="preserve">  </w:t>
      </w:r>
    </w:p>
    <w:p w14:paraId="162AF4E7" w14:textId="77777777" w:rsidR="00992D1C" w:rsidRDefault="00992D1C" w:rsidP="00992D1C">
      <w:pPr>
        <w:pStyle w:val="ListParagraph"/>
        <w:spacing w:after="0" w:line="240" w:lineRule="auto"/>
        <w:ind w:left="0"/>
        <w:jc w:val="both"/>
        <w:rPr>
          <w:rFonts w:ascii="Times New Roman" w:hAnsi="Times New Roman" w:cs="Times New Roman"/>
          <w:sz w:val="28"/>
          <w:szCs w:val="28"/>
        </w:rPr>
      </w:pPr>
    </w:p>
    <w:p w14:paraId="090210E5" w14:textId="55FAB462" w:rsidR="00A01F6D" w:rsidRDefault="00992D1C"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While there is no </w:t>
      </w:r>
      <w:r w:rsidRPr="001403CF">
        <w:rPr>
          <w:rFonts w:ascii="Times New Roman" w:hAnsi="Times New Roman" w:cs="Times New Roman"/>
          <w:sz w:val="28"/>
          <w:szCs w:val="28"/>
        </w:rPr>
        <w:t xml:space="preserve">express </w:t>
      </w:r>
      <w:r>
        <w:rPr>
          <w:rFonts w:ascii="Times New Roman" w:hAnsi="Times New Roman" w:cs="Times New Roman"/>
          <w:sz w:val="28"/>
          <w:szCs w:val="28"/>
        </w:rPr>
        <w:t>provision</w:t>
      </w:r>
      <w:r w:rsidR="00446E02">
        <w:rPr>
          <w:rFonts w:ascii="Times New Roman" w:hAnsi="Times New Roman" w:cs="Times New Roman"/>
          <w:sz w:val="28"/>
          <w:szCs w:val="28"/>
        </w:rPr>
        <w:t xml:space="preserve"> permitting a judge to weigh evidence</w:t>
      </w:r>
      <w:r w:rsidR="0021180B">
        <w:rPr>
          <w:rFonts w:ascii="Times New Roman" w:hAnsi="Times New Roman" w:cs="Times New Roman"/>
          <w:sz w:val="28"/>
          <w:szCs w:val="28"/>
        </w:rPr>
        <w:t>, assess credibility</w:t>
      </w:r>
      <w:r w:rsidR="00446E02">
        <w:rPr>
          <w:rFonts w:ascii="Times New Roman" w:hAnsi="Times New Roman" w:cs="Times New Roman"/>
          <w:sz w:val="28"/>
          <w:szCs w:val="28"/>
        </w:rPr>
        <w:t xml:space="preserve"> and draw inferences in </w:t>
      </w:r>
      <w:proofErr w:type="spellStart"/>
      <w:r w:rsidR="00446E02">
        <w:rPr>
          <w:rFonts w:ascii="Times New Roman" w:hAnsi="Times New Roman" w:cs="Times New Roman"/>
          <w:sz w:val="28"/>
          <w:szCs w:val="28"/>
        </w:rPr>
        <w:t>rr</w:t>
      </w:r>
      <w:proofErr w:type="spellEnd"/>
      <w:r w:rsidR="00446E02">
        <w:rPr>
          <w:rFonts w:ascii="Times New Roman" w:hAnsi="Times New Roman" w:cs="Times New Roman"/>
          <w:sz w:val="28"/>
          <w:szCs w:val="28"/>
        </w:rPr>
        <w:t xml:space="preserve"> 175 and 176,</w:t>
      </w:r>
      <w:r w:rsidR="001F6525">
        <w:rPr>
          <w:rFonts w:ascii="Times New Roman" w:hAnsi="Times New Roman" w:cs="Times New Roman"/>
          <w:sz w:val="28"/>
          <w:szCs w:val="28"/>
        </w:rPr>
        <w:t xml:space="preserve"> </w:t>
      </w:r>
      <w:r w:rsidR="0021180B">
        <w:rPr>
          <w:rFonts w:ascii="Times New Roman" w:hAnsi="Times New Roman" w:cs="Times New Roman"/>
          <w:sz w:val="28"/>
          <w:szCs w:val="28"/>
        </w:rPr>
        <w:t xml:space="preserve">these powers are </w:t>
      </w:r>
      <w:r w:rsidR="001F6525">
        <w:rPr>
          <w:rFonts w:ascii="Times New Roman" w:hAnsi="Times New Roman" w:cs="Times New Roman"/>
          <w:sz w:val="28"/>
          <w:szCs w:val="28"/>
        </w:rPr>
        <w:t>necessarily implied</w:t>
      </w:r>
      <w:r w:rsidR="00DC6CBC">
        <w:rPr>
          <w:rFonts w:ascii="Times New Roman" w:hAnsi="Times New Roman" w:cs="Times New Roman"/>
          <w:sz w:val="28"/>
          <w:szCs w:val="28"/>
        </w:rPr>
        <w:t xml:space="preserve">.  Summary judgment applications are </w:t>
      </w:r>
      <w:r w:rsidR="001403CF">
        <w:rPr>
          <w:rFonts w:ascii="Times New Roman" w:hAnsi="Times New Roman" w:cs="Times New Roman"/>
          <w:sz w:val="28"/>
          <w:szCs w:val="28"/>
        </w:rPr>
        <w:t>typically based on</w:t>
      </w:r>
      <w:r w:rsidR="00DC6CBC">
        <w:rPr>
          <w:rFonts w:ascii="Times New Roman" w:hAnsi="Times New Roman" w:cs="Times New Roman"/>
          <w:sz w:val="28"/>
          <w:szCs w:val="28"/>
        </w:rPr>
        <w:t xml:space="preserve"> affidavit evidence and </w:t>
      </w:r>
      <w:r w:rsidR="001403CF">
        <w:rPr>
          <w:rFonts w:ascii="Times New Roman" w:hAnsi="Times New Roman" w:cs="Times New Roman"/>
          <w:sz w:val="28"/>
          <w:szCs w:val="28"/>
        </w:rPr>
        <w:t xml:space="preserve">almost </w:t>
      </w:r>
      <w:r w:rsidR="00DC6CBC">
        <w:rPr>
          <w:rFonts w:ascii="Times New Roman" w:hAnsi="Times New Roman" w:cs="Times New Roman"/>
          <w:sz w:val="28"/>
          <w:szCs w:val="28"/>
        </w:rPr>
        <w:t>invariably, that evidence is in conflict</w:t>
      </w:r>
      <w:r w:rsidR="00A01F6D">
        <w:rPr>
          <w:rFonts w:ascii="Times New Roman" w:hAnsi="Times New Roman" w:cs="Times New Roman"/>
          <w:sz w:val="28"/>
          <w:szCs w:val="28"/>
        </w:rPr>
        <w:t>, albeit to differ</w:t>
      </w:r>
      <w:r w:rsidR="00D0384D">
        <w:rPr>
          <w:rFonts w:ascii="Times New Roman" w:hAnsi="Times New Roman" w:cs="Times New Roman"/>
          <w:sz w:val="28"/>
          <w:szCs w:val="28"/>
        </w:rPr>
        <w:t>ing degrees</w:t>
      </w:r>
      <w:r w:rsidR="00A01F6D">
        <w:rPr>
          <w:rFonts w:ascii="Times New Roman" w:hAnsi="Times New Roman" w:cs="Times New Roman"/>
          <w:sz w:val="28"/>
          <w:szCs w:val="28"/>
        </w:rPr>
        <w:t>.</w:t>
      </w:r>
      <w:r w:rsidR="00AE58AC">
        <w:rPr>
          <w:rFonts w:ascii="Times New Roman" w:hAnsi="Times New Roman" w:cs="Times New Roman"/>
          <w:sz w:val="28"/>
          <w:szCs w:val="28"/>
        </w:rPr>
        <w:t xml:space="preserve"> </w:t>
      </w:r>
      <w:r w:rsidR="00A01F6D">
        <w:rPr>
          <w:rFonts w:ascii="Times New Roman" w:hAnsi="Times New Roman" w:cs="Times New Roman"/>
          <w:sz w:val="28"/>
          <w:szCs w:val="28"/>
        </w:rPr>
        <w:t xml:space="preserve"> Indeed, this is not unique to summary judgment applications.</w:t>
      </w:r>
      <w:r w:rsidR="00AE58AC">
        <w:rPr>
          <w:rFonts w:ascii="Times New Roman" w:hAnsi="Times New Roman" w:cs="Times New Roman"/>
          <w:sz w:val="28"/>
          <w:szCs w:val="28"/>
        </w:rPr>
        <w:t xml:space="preserve"> </w:t>
      </w:r>
      <w:r w:rsidR="00A72406">
        <w:rPr>
          <w:rFonts w:ascii="Times New Roman" w:hAnsi="Times New Roman" w:cs="Times New Roman"/>
          <w:sz w:val="28"/>
          <w:szCs w:val="28"/>
        </w:rPr>
        <w:t xml:space="preserve"> </w:t>
      </w:r>
      <w:r w:rsidR="00A01F6D">
        <w:rPr>
          <w:rFonts w:ascii="Times New Roman" w:hAnsi="Times New Roman" w:cs="Times New Roman"/>
          <w:sz w:val="28"/>
          <w:szCs w:val="28"/>
        </w:rPr>
        <w:t xml:space="preserve">Wherever there are conflicting affidavits, </w:t>
      </w:r>
      <w:r w:rsidR="00DC6CBC">
        <w:rPr>
          <w:rFonts w:ascii="Times New Roman" w:hAnsi="Times New Roman" w:cs="Times New Roman"/>
          <w:sz w:val="28"/>
          <w:szCs w:val="28"/>
        </w:rPr>
        <w:t xml:space="preserve">a judge </w:t>
      </w:r>
      <w:r w:rsidR="00DC6CBC" w:rsidRPr="001403CF">
        <w:rPr>
          <w:rFonts w:ascii="Times New Roman" w:hAnsi="Times New Roman" w:cs="Times New Roman"/>
          <w:i/>
          <w:iCs/>
          <w:sz w:val="28"/>
          <w:szCs w:val="28"/>
        </w:rPr>
        <w:t>must</w:t>
      </w:r>
      <w:r w:rsidR="00DC6CBC">
        <w:rPr>
          <w:rFonts w:ascii="Times New Roman" w:hAnsi="Times New Roman" w:cs="Times New Roman"/>
          <w:sz w:val="28"/>
          <w:szCs w:val="28"/>
        </w:rPr>
        <w:t xml:space="preserve"> weigh the evidence</w:t>
      </w:r>
      <w:r w:rsidR="00A01F6D">
        <w:rPr>
          <w:rFonts w:ascii="Times New Roman" w:hAnsi="Times New Roman" w:cs="Times New Roman"/>
          <w:sz w:val="28"/>
          <w:szCs w:val="28"/>
        </w:rPr>
        <w:t xml:space="preserve"> </w:t>
      </w:r>
      <w:r w:rsidR="00DC6CBC">
        <w:rPr>
          <w:rFonts w:ascii="Times New Roman" w:hAnsi="Times New Roman" w:cs="Times New Roman"/>
          <w:sz w:val="28"/>
          <w:szCs w:val="28"/>
        </w:rPr>
        <w:t xml:space="preserve">to determine </w:t>
      </w:r>
      <w:r w:rsidR="007438BB">
        <w:rPr>
          <w:rFonts w:ascii="Times New Roman" w:hAnsi="Times New Roman" w:cs="Times New Roman"/>
          <w:sz w:val="28"/>
          <w:szCs w:val="28"/>
        </w:rPr>
        <w:t>the facts.</w:t>
      </w:r>
      <w:r w:rsidR="00AE58AC">
        <w:rPr>
          <w:rFonts w:ascii="Times New Roman" w:hAnsi="Times New Roman" w:cs="Times New Roman"/>
          <w:sz w:val="28"/>
          <w:szCs w:val="28"/>
        </w:rPr>
        <w:t xml:space="preserve"> </w:t>
      </w:r>
      <w:r w:rsidR="007438BB">
        <w:rPr>
          <w:rFonts w:ascii="Times New Roman" w:hAnsi="Times New Roman" w:cs="Times New Roman"/>
          <w:sz w:val="28"/>
          <w:szCs w:val="28"/>
        </w:rPr>
        <w:t xml:space="preserve"> Weighing is necessary to determine </w:t>
      </w:r>
      <w:r w:rsidR="001403CF">
        <w:rPr>
          <w:rFonts w:ascii="Times New Roman" w:hAnsi="Times New Roman" w:cs="Times New Roman"/>
          <w:sz w:val="28"/>
          <w:szCs w:val="28"/>
        </w:rPr>
        <w:t xml:space="preserve">what </w:t>
      </w:r>
      <w:r w:rsidR="007438BB">
        <w:rPr>
          <w:rFonts w:ascii="Times New Roman" w:hAnsi="Times New Roman" w:cs="Times New Roman"/>
          <w:sz w:val="28"/>
          <w:szCs w:val="28"/>
        </w:rPr>
        <w:t xml:space="preserve">evidence </w:t>
      </w:r>
      <w:r w:rsidR="001403CF">
        <w:rPr>
          <w:rFonts w:ascii="Times New Roman" w:hAnsi="Times New Roman" w:cs="Times New Roman"/>
          <w:sz w:val="28"/>
          <w:szCs w:val="28"/>
        </w:rPr>
        <w:t>will be accepted or rejected</w:t>
      </w:r>
      <w:r w:rsidR="00E762C5">
        <w:rPr>
          <w:rFonts w:ascii="Times New Roman" w:hAnsi="Times New Roman" w:cs="Times New Roman"/>
          <w:sz w:val="28"/>
          <w:szCs w:val="28"/>
        </w:rPr>
        <w:t>,</w:t>
      </w:r>
      <w:r w:rsidR="007438BB">
        <w:rPr>
          <w:rFonts w:ascii="Times New Roman" w:hAnsi="Times New Roman" w:cs="Times New Roman"/>
          <w:sz w:val="28"/>
          <w:szCs w:val="28"/>
        </w:rPr>
        <w:t xml:space="preserve"> whether it is possible to reconcile conflicts and if so, how.  </w:t>
      </w:r>
      <w:r w:rsidR="00CF4C19">
        <w:rPr>
          <w:rFonts w:ascii="Times New Roman" w:hAnsi="Times New Roman" w:cs="Times New Roman"/>
          <w:sz w:val="28"/>
          <w:szCs w:val="28"/>
        </w:rPr>
        <w:t xml:space="preserve">The judge must then go on to </w:t>
      </w:r>
      <w:r w:rsidR="007438BB">
        <w:rPr>
          <w:rFonts w:ascii="Times New Roman" w:hAnsi="Times New Roman" w:cs="Times New Roman"/>
          <w:sz w:val="28"/>
          <w:szCs w:val="28"/>
        </w:rPr>
        <w:t xml:space="preserve">make conclusions </w:t>
      </w:r>
      <w:r w:rsidR="00D0384D">
        <w:rPr>
          <w:rFonts w:ascii="Times New Roman" w:hAnsi="Times New Roman" w:cs="Times New Roman"/>
          <w:sz w:val="28"/>
          <w:szCs w:val="28"/>
        </w:rPr>
        <w:t xml:space="preserve">and </w:t>
      </w:r>
      <w:r w:rsidR="007438BB">
        <w:rPr>
          <w:rFonts w:ascii="Times New Roman" w:hAnsi="Times New Roman" w:cs="Times New Roman"/>
          <w:sz w:val="28"/>
          <w:szCs w:val="28"/>
        </w:rPr>
        <w:t xml:space="preserve">ultimately </w:t>
      </w:r>
      <w:r w:rsidR="00D0384D">
        <w:rPr>
          <w:rFonts w:ascii="Times New Roman" w:hAnsi="Times New Roman" w:cs="Times New Roman"/>
          <w:sz w:val="28"/>
          <w:szCs w:val="28"/>
        </w:rPr>
        <w:t xml:space="preserve">decide if </w:t>
      </w:r>
      <w:r w:rsidR="007438BB">
        <w:rPr>
          <w:rFonts w:ascii="Times New Roman" w:hAnsi="Times New Roman" w:cs="Times New Roman"/>
          <w:sz w:val="28"/>
          <w:szCs w:val="28"/>
        </w:rPr>
        <w:t xml:space="preserve">the application can be granted or if it should be dismissed.  </w:t>
      </w:r>
      <w:r w:rsidR="0021180B">
        <w:rPr>
          <w:rFonts w:ascii="Times New Roman" w:hAnsi="Times New Roman" w:cs="Times New Roman"/>
          <w:sz w:val="28"/>
          <w:szCs w:val="28"/>
        </w:rPr>
        <w:t>There will certainly be cases where the record is such that a judge, in considering affidavit evidence, finds is impossible to make reliable credibility assessments or to reconcile conflicting affidavit evidence.  That</w:t>
      </w:r>
      <w:r w:rsidR="00FA2587">
        <w:rPr>
          <w:rFonts w:ascii="Times New Roman" w:hAnsi="Times New Roman" w:cs="Times New Roman"/>
          <w:sz w:val="28"/>
          <w:szCs w:val="28"/>
        </w:rPr>
        <w:t xml:space="preserve"> may point </w:t>
      </w:r>
      <w:r w:rsidR="0021180B">
        <w:rPr>
          <w:rFonts w:ascii="Times New Roman" w:hAnsi="Times New Roman" w:cs="Times New Roman"/>
          <w:sz w:val="28"/>
          <w:szCs w:val="28"/>
        </w:rPr>
        <w:t>to the conclusion that there is a genuine issue requiring a trial</w:t>
      </w:r>
      <w:r w:rsidR="00FA2587">
        <w:rPr>
          <w:rFonts w:ascii="Times New Roman" w:hAnsi="Times New Roman" w:cs="Times New Roman"/>
          <w:sz w:val="28"/>
          <w:szCs w:val="28"/>
        </w:rPr>
        <w:t xml:space="preserve">; however, the possibility of conflicting evidence does not give rise to a need for express provisions allowing a judge to weigh evidence. </w:t>
      </w:r>
    </w:p>
    <w:p w14:paraId="2F4EE5E7" w14:textId="77777777" w:rsidR="00A01F6D" w:rsidRPr="00237965" w:rsidRDefault="00A01F6D" w:rsidP="00786A85">
      <w:pPr>
        <w:spacing w:after="0"/>
        <w:rPr>
          <w:rFonts w:ascii="Times New Roman" w:hAnsi="Times New Roman" w:cs="Times New Roman"/>
          <w:sz w:val="28"/>
          <w:szCs w:val="28"/>
        </w:rPr>
      </w:pPr>
    </w:p>
    <w:p w14:paraId="2C9ED240" w14:textId="77777777" w:rsidR="005C5D75" w:rsidRPr="005C5D75" w:rsidRDefault="007438BB" w:rsidP="00E14B8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That there is no need for an express provision allowing a judge to weigh evidence and draw inferences under </w:t>
      </w:r>
      <w:proofErr w:type="spellStart"/>
      <w:r>
        <w:rPr>
          <w:rFonts w:ascii="Times New Roman" w:hAnsi="Times New Roman" w:cs="Times New Roman"/>
          <w:sz w:val="28"/>
          <w:szCs w:val="28"/>
        </w:rPr>
        <w:t>rr</w:t>
      </w:r>
      <w:proofErr w:type="spellEnd"/>
      <w:r>
        <w:rPr>
          <w:rFonts w:ascii="Times New Roman" w:hAnsi="Times New Roman" w:cs="Times New Roman"/>
          <w:sz w:val="28"/>
          <w:szCs w:val="28"/>
        </w:rPr>
        <w:t xml:space="preserve"> 175 and 176 is further borne out </w:t>
      </w:r>
      <w:r w:rsidR="001F6525">
        <w:rPr>
          <w:rFonts w:ascii="Times New Roman" w:hAnsi="Times New Roman" w:cs="Times New Roman"/>
          <w:sz w:val="28"/>
          <w:szCs w:val="28"/>
        </w:rPr>
        <w:t>when the</w:t>
      </w:r>
      <w:r>
        <w:rPr>
          <w:rFonts w:ascii="Times New Roman" w:hAnsi="Times New Roman" w:cs="Times New Roman"/>
          <w:sz w:val="28"/>
          <w:szCs w:val="28"/>
        </w:rPr>
        <w:t xml:space="preserve">se </w:t>
      </w:r>
      <w:r w:rsidR="001F6525">
        <w:rPr>
          <w:rFonts w:ascii="Times New Roman" w:hAnsi="Times New Roman" w:cs="Times New Roman"/>
          <w:sz w:val="28"/>
          <w:szCs w:val="28"/>
        </w:rPr>
        <w:t xml:space="preserve">rules are considered </w:t>
      </w:r>
      <w:proofErr w:type="gramStart"/>
      <w:r w:rsidR="001F6525">
        <w:rPr>
          <w:rFonts w:ascii="Times New Roman" w:hAnsi="Times New Roman" w:cs="Times New Roman"/>
          <w:sz w:val="28"/>
          <w:szCs w:val="28"/>
        </w:rPr>
        <w:t>in light of</w:t>
      </w:r>
      <w:proofErr w:type="gramEnd"/>
      <w:r w:rsidR="00446E02">
        <w:rPr>
          <w:rFonts w:ascii="Times New Roman" w:hAnsi="Times New Roman" w:cs="Times New Roman"/>
          <w:sz w:val="28"/>
          <w:szCs w:val="28"/>
        </w:rPr>
        <w:t xml:space="preserve"> </w:t>
      </w:r>
      <w:r w:rsidR="001F6525">
        <w:rPr>
          <w:rFonts w:ascii="Times New Roman" w:hAnsi="Times New Roman" w:cs="Times New Roman"/>
          <w:i/>
          <w:iCs/>
          <w:sz w:val="28"/>
          <w:szCs w:val="28"/>
        </w:rPr>
        <w:t xml:space="preserve">Hyrniak </w:t>
      </w:r>
      <w:r w:rsidR="001F6525">
        <w:rPr>
          <w:rFonts w:ascii="Times New Roman" w:hAnsi="Times New Roman" w:cs="Times New Roman"/>
          <w:sz w:val="28"/>
          <w:szCs w:val="28"/>
        </w:rPr>
        <w:t xml:space="preserve">and </w:t>
      </w:r>
      <w:r w:rsidR="003F7C74">
        <w:rPr>
          <w:rFonts w:ascii="Times New Roman" w:hAnsi="Times New Roman" w:cs="Times New Roman"/>
          <w:sz w:val="28"/>
          <w:szCs w:val="28"/>
        </w:rPr>
        <w:t>cases following it, particularly from the Alberta Court of Appeal</w:t>
      </w:r>
      <w:r w:rsidR="001F6525">
        <w:rPr>
          <w:rFonts w:ascii="Times New Roman" w:hAnsi="Times New Roman" w:cs="Times New Roman"/>
          <w:sz w:val="28"/>
          <w:szCs w:val="28"/>
        </w:rPr>
        <w:t xml:space="preserve">.  </w:t>
      </w:r>
      <w:r w:rsidR="00A72406">
        <w:rPr>
          <w:rFonts w:ascii="Times New Roman" w:hAnsi="Times New Roman" w:cs="Times New Roman"/>
          <w:i/>
          <w:iCs/>
          <w:sz w:val="28"/>
          <w:szCs w:val="28"/>
        </w:rPr>
        <w:t>Hyrniak</w:t>
      </w:r>
      <w:r w:rsidR="00127AA4">
        <w:rPr>
          <w:rFonts w:ascii="Times New Roman" w:hAnsi="Times New Roman" w:cs="Times New Roman"/>
          <w:i/>
          <w:iCs/>
          <w:sz w:val="28"/>
          <w:szCs w:val="28"/>
        </w:rPr>
        <w:t xml:space="preserve"> </w:t>
      </w:r>
      <w:r w:rsidR="00127AA4">
        <w:rPr>
          <w:rFonts w:ascii="Times New Roman" w:hAnsi="Times New Roman" w:cs="Times New Roman"/>
          <w:sz w:val="28"/>
          <w:szCs w:val="28"/>
        </w:rPr>
        <w:t>call</w:t>
      </w:r>
      <w:r w:rsidR="003F7C74">
        <w:rPr>
          <w:rFonts w:ascii="Times New Roman" w:hAnsi="Times New Roman" w:cs="Times New Roman"/>
          <w:sz w:val="28"/>
          <w:szCs w:val="28"/>
        </w:rPr>
        <w:t xml:space="preserve">ed </w:t>
      </w:r>
      <w:r w:rsidR="00127AA4">
        <w:rPr>
          <w:rFonts w:ascii="Times New Roman" w:hAnsi="Times New Roman" w:cs="Times New Roman"/>
          <w:sz w:val="28"/>
          <w:szCs w:val="28"/>
        </w:rPr>
        <w:t>for a “shift in culture”</w:t>
      </w:r>
      <w:r w:rsidR="00F42621">
        <w:rPr>
          <w:rFonts w:ascii="Times New Roman" w:hAnsi="Times New Roman" w:cs="Times New Roman"/>
          <w:sz w:val="28"/>
          <w:szCs w:val="28"/>
        </w:rPr>
        <w:t xml:space="preserve"> to promote access to a proportionate, timely and affordable justice system. </w:t>
      </w:r>
      <w:r w:rsidR="00AE58AC">
        <w:rPr>
          <w:rFonts w:ascii="Times New Roman" w:hAnsi="Times New Roman" w:cs="Times New Roman"/>
          <w:sz w:val="28"/>
          <w:szCs w:val="28"/>
        </w:rPr>
        <w:t xml:space="preserve"> </w:t>
      </w:r>
      <w:r w:rsidR="00F42621" w:rsidRPr="00F42621">
        <w:rPr>
          <w:rFonts w:ascii="Times New Roman" w:hAnsi="Times New Roman" w:cs="Times New Roman"/>
          <w:sz w:val="28"/>
          <w:szCs w:val="28"/>
        </w:rPr>
        <w:t>“</w:t>
      </w:r>
      <w:r w:rsidR="00F42621" w:rsidRPr="00F42621">
        <w:rPr>
          <w:rFonts w:ascii="Times New Roman" w:hAnsi="Times New Roman" w:cs="Times New Roman"/>
          <w:color w:val="000000"/>
          <w:sz w:val="28"/>
          <w:szCs w:val="28"/>
        </w:rPr>
        <w:t>The proportionality principle means that the best forum for resolving a dispute is not always that with the most painstaking procedure.</w:t>
      </w:r>
      <w:r w:rsidR="00F42621">
        <w:rPr>
          <w:rFonts w:ascii="Times New Roman" w:hAnsi="Times New Roman" w:cs="Times New Roman"/>
          <w:color w:val="000000"/>
          <w:sz w:val="28"/>
          <w:szCs w:val="28"/>
        </w:rPr>
        <w:t>”</w:t>
      </w:r>
      <w:r w:rsidR="00AE58AC">
        <w:rPr>
          <w:rFonts w:ascii="Times New Roman" w:hAnsi="Times New Roman" w:cs="Times New Roman"/>
          <w:color w:val="000000"/>
          <w:sz w:val="28"/>
          <w:szCs w:val="28"/>
        </w:rPr>
        <w:t xml:space="preserve"> </w:t>
      </w:r>
      <w:r w:rsidR="00F42621">
        <w:rPr>
          <w:rFonts w:ascii="Times New Roman" w:hAnsi="Times New Roman" w:cs="Times New Roman"/>
          <w:color w:val="000000"/>
          <w:sz w:val="28"/>
          <w:szCs w:val="28"/>
        </w:rPr>
        <w:t xml:space="preserve"> </w:t>
      </w:r>
      <w:r w:rsidR="00F42621">
        <w:rPr>
          <w:rFonts w:ascii="Times New Roman" w:hAnsi="Times New Roman" w:cs="Times New Roman"/>
          <w:i/>
          <w:iCs/>
          <w:color w:val="000000"/>
          <w:sz w:val="28"/>
          <w:szCs w:val="28"/>
        </w:rPr>
        <w:t xml:space="preserve">Hyrniak </w:t>
      </w:r>
      <w:r w:rsidR="00F42621">
        <w:rPr>
          <w:rFonts w:ascii="Times New Roman" w:hAnsi="Times New Roman" w:cs="Times New Roman"/>
          <w:color w:val="000000"/>
          <w:sz w:val="28"/>
          <w:szCs w:val="28"/>
        </w:rPr>
        <w:t>at para 28.</w:t>
      </w:r>
      <w:r w:rsidR="00AE58AC">
        <w:rPr>
          <w:rFonts w:ascii="Times New Roman" w:hAnsi="Times New Roman" w:cs="Times New Roman"/>
          <w:color w:val="000000"/>
          <w:sz w:val="28"/>
          <w:szCs w:val="28"/>
        </w:rPr>
        <w:t xml:space="preserve"> </w:t>
      </w:r>
      <w:r w:rsidR="00F42621">
        <w:rPr>
          <w:rFonts w:ascii="Times New Roman" w:hAnsi="Times New Roman" w:cs="Times New Roman"/>
          <w:color w:val="000000"/>
          <w:sz w:val="28"/>
          <w:szCs w:val="28"/>
        </w:rPr>
        <w:t xml:space="preserve"> </w:t>
      </w:r>
      <w:r w:rsidR="00237965">
        <w:rPr>
          <w:rFonts w:ascii="Times New Roman" w:hAnsi="Times New Roman" w:cs="Times New Roman"/>
          <w:color w:val="000000"/>
          <w:sz w:val="28"/>
          <w:szCs w:val="28"/>
        </w:rPr>
        <w:t xml:space="preserve">Interpreting the Northwest Territories’ summary judgment rules to require judges be expressly authorized to weigh evidence would limit summary judgment to only the clearest of cases, with little or no conflicting evidence.  This would run contrary to the direction in </w:t>
      </w:r>
      <w:r w:rsidR="00237965">
        <w:rPr>
          <w:rFonts w:ascii="Times New Roman" w:hAnsi="Times New Roman" w:cs="Times New Roman"/>
          <w:i/>
          <w:iCs/>
          <w:color w:val="000000"/>
          <w:sz w:val="28"/>
          <w:szCs w:val="28"/>
        </w:rPr>
        <w:t xml:space="preserve">Hyrniak, </w:t>
      </w:r>
      <w:r w:rsidR="00237965">
        <w:rPr>
          <w:rFonts w:ascii="Times New Roman" w:hAnsi="Times New Roman" w:cs="Times New Roman"/>
          <w:color w:val="000000"/>
          <w:sz w:val="28"/>
          <w:szCs w:val="28"/>
        </w:rPr>
        <w:t>which calls for greater access to less “painstaking” procedures</w:t>
      </w:r>
      <w:r w:rsidR="00E762C5">
        <w:rPr>
          <w:rFonts w:ascii="Times New Roman" w:hAnsi="Times New Roman" w:cs="Times New Roman"/>
          <w:color w:val="000000"/>
          <w:sz w:val="28"/>
          <w:szCs w:val="28"/>
        </w:rPr>
        <w:t xml:space="preserve"> where appropriate</w:t>
      </w:r>
      <w:r w:rsidR="00237965">
        <w:rPr>
          <w:rFonts w:ascii="Times New Roman" w:hAnsi="Times New Roman" w:cs="Times New Roman"/>
          <w:color w:val="000000"/>
          <w:sz w:val="28"/>
          <w:szCs w:val="28"/>
        </w:rPr>
        <w:t xml:space="preserve">. </w:t>
      </w:r>
    </w:p>
    <w:p w14:paraId="3F5B2BC9" w14:textId="77777777" w:rsidR="005C5D75" w:rsidRPr="005C5D75" w:rsidRDefault="005C5D75" w:rsidP="005C5D75">
      <w:pPr>
        <w:pStyle w:val="ListParagraph"/>
        <w:rPr>
          <w:rFonts w:ascii="Times New Roman" w:hAnsi="Times New Roman" w:cs="Times New Roman"/>
          <w:color w:val="000000"/>
          <w:sz w:val="28"/>
          <w:szCs w:val="28"/>
        </w:rPr>
      </w:pPr>
    </w:p>
    <w:p w14:paraId="1C5E0994" w14:textId="06C756B1" w:rsidR="00992D1C" w:rsidRPr="001D42F6" w:rsidRDefault="001D42F6" w:rsidP="0097077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It is also clear from </w:t>
      </w:r>
      <w:r>
        <w:rPr>
          <w:rFonts w:ascii="Times New Roman" w:hAnsi="Times New Roman" w:cs="Times New Roman"/>
          <w:i/>
          <w:iCs/>
          <w:color w:val="000000"/>
          <w:sz w:val="28"/>
          <w:szCs w:val="28"/>
        </w:rPr>
        <w:t xml:space="preserve">Hyrniak </w:t>
      </w:r>
      <w:r>
        <w:rPr>
          <w:rFonts w:ascii="Times New Roman" w:hAnsi="Times New Roman" w:cs="Times New Roman"/>
          <w:color w:val="000000"/>
          <w:sz w:val="28"/>
          <w:szCs w:val="28"/>
        </w:rPr>
        <w:t>that the Supreme Court of Canada did not intend its principles be limited only to Ontario.  Justice Karakatsanis stated:</w:t>
      </w:r>
    </w:p>
    <w:p w14:paraId="5EA245A3" w14:textId="77777777" w:rsidR="001D42F6" w:rsidRPr="001D42F6" w:rsidRDefault="001D42F6" w:rsidP="001D42F6">
      <w:pPr>
        <w:pStyle w:val="ListParagraph"/>
        <w:rPr>
          <w:rFonts w:ascii="Times New Roman" w:hAnsi="Times New Roman" w:cs="Times New Roman"/>
          <w:sz w:val="28"/>
          <w:szCs w:val="28"/>
        </w:rPr>
      </w:pPr>
    </w:p>
    <w:p w14:paraId="12565403" w14:textId="77777777" w:rsidR="00A72406" w:rsidRPr="00A72406" w:rsidRDefault="00A72406" w:rsidP="00127AA4">
      <w:pPr>
        <w:pStyle w:val="ListParagraph"/>
        <w:spacing w:after="0" w:line="240" w:lineRule="auto"/>
        <w:ind w:right="737"/>
        <w:jc w:val="both"/>
        <w:rPr>
          <w:rFonts w:ascii="Times New Roman" w:hAnsi="Times New Roman" w:cs="Times New Roman"/>
          <w:sz w:val="24"/>
          <w:szCs w:val="24"/>
        </w:rPr>
      </w:pPr>
      <w:proofErr w:type="gramStart"/>
      <w:r w:rsidRPr="00A72406">
        <w:rPr>
          <w:rFonts w:ascii="Times New Roman" w:hAnsi="Times New Roman" w:cs="Times New Roman"/>
          <w:color w:val="000000"/>
          <w:sz w:val="24"/>
          <w:szCs w:val="24"/>
        </w:rPr>
        <w:t>34  The</w:t>
      </w:r>
      <w:proofErr w:type="gramEnd"/>
      <w:r w:rsidRPr="00A72406">
        <w:rPr>
          <w:rFonts w:ascii="Times New Roman" w:hAnsi="Times New Roman" w:cs="Times New Roman"/>
          <w:color w:val="000000"/>
          <w:sz w:val="24"/>
          <w:szCs w:val="24"/>
        </w:rPr>
        <w:t xml:space="preserve"> summary judgment motion is an important tool for enhancing access to justice because it can provide a cheaper, faster alternative to a full trial.</w:t>
      </w:r>
      <w:r w:rsidR="009D46F2">
        <w:rPr>
          <w:rFonts w:ascii="Times New Roman" w:hAnsi="Times New Roman" w:cs="Times New Roman"/>
          <w:color w:val="000000"/>
          <w:sz w:val="24"/>
          <w:szCs w:val="24"/>
        </w:rPr>
        <w:t xml:space="preserve"> </w:t>
      </w:r>
      <w:r w:rsidRPr="00A72406">
        <w:rPr>
          <w:rFonts w:ascii="Times New Roman" w:hAnsi="Times New Roman" w:cs="Times New Roman"/>
          <w:color w:val="000000"/>
          <w:sz w:val="24"/>
          <w:szCs w:val="24"/>
        </w:rPr>
        <w:t xml:space="preserve"> With the exception of Quebec, </w:t>
      </w:r>
      <w:r w:rsidRPr="00A72406">
        <w:rPr>
          <w:rFonts w:ascii="Times New Roman" w:hAnsi="Times New Roman" w:cs="Times New Roman"/>
          <w:i/>
          <w:iCs/>
          <w:color w:val="000000"/>
          <w:sz w:val="24"/>
          <w:szCs w:val="24"/>
        </w:rPr>
        <w:t xml:space="preserve">all provinces feature a summary judgment mechanism in their respective rules of civil procedure. </w:t>
      </w:r>
      <w:r w:rsidR="009D46F2">
        <w:rPr>
          <w:rFonts w:ascii="Times New Roman" w:hAnsi="Times New Roman" w:cs="Times New Roman"/>
          <w:i/>
          <w:iCs/>
          <w:color w:val="000000"/>
          <w:sz w:val="24"/>
          <w:szCs w:val="24"/>
        </w:rPr>
        <w:t xml:space="preserve"> </w:t>
      </w:r>
      <w:r w:rsidRPr="00A72406">
        <w:rPr>
          <w:rFonts w:ascii="Times New Roman" w:hAnsi="Times New Roman" w:cs="Times New Roman"/>
          <w:i/>
          <w:iCs/>
          <w:color w:val="000000"/>
          <w:sz w:val="24"/>
          <w:szCs w:val="24"/>
        </w:rPr>
        <w:t>Generally, summary judgment is available where there is no genuine issue for trial.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emphasis</w:t>
      </w:r>
      <w:proofErr w:type="gramEnd"/>
      <w:r>
        <w:rPr>
          <w:rFonts w:ascii="Times New Roman" w:hAnsi="Times New Roman" w:cs="Times New Roman"/>
          <w:color w:val="000000"/>
          <w:sz w:val="24"/>
          <w:szCs w:val="24"/>
        </w:rPr>
        <w:t xml:space="preserve"> mine)</w:t>
      </w:r>
    </w:p>
    <w:p w14:paraId="14E1A9BF" w14:textId="77777777" w:rsidR="00A72406" w:rsidRDefault="00A72406" w:rsidP="00A72406">
      <w:pPr>
        <w:pStyle w:val="ListParagraph"/>
        <w:spacing w:after="0" w:line="240" w:lineRule="auto"/>
        <w:ind w:left="0"/>
        <w:jc w:val="both"/>
        <w:rPr>
          <w:rFonts w:ascii="Times New Roman" w:hAnsi="Times New Roman" w:cs="Times New Roman"/>
          <w:sz w:val="28"/>
          <w:szCs w:val="28"/>
        </w:rPr>
      </w:pPr>
    </w:p>
    <w:p w14:paraId="3039AFC6" w14:textId="77777777" w:rsidR="00A72406" w:rsidRPr="00D66F9E" w:rsidRDefault="00CE6342" w:rsidP="00E14B83">
      <w:pPr>
        <w:pStyle w:val="ListParagraph"/>
        <w:numPr>
          <w:ilvl w:val="0"/>
          <w:numId w:val="10"/>
        </w:num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The Alberta Court of Appeal considered</w:t>
      </w:r>
      <w:r w:rsidR="00670A31">
        <w:rPr>
          <w:rFonts w:ascii="Times New Roman" w:hAnsi="Times New Roman" w:cs="Times New Roman"/>
          <w:sz w:val="28"/>
          <w:szCs w:val="28"/>
        </w:rPr>
        <w:t xml:space="preserve"> the effect</w:t>
      </w:r>
      <w:r w:rsidR="008D0D12">
        <w:rPr>
          <w:rFonts w:ascii="Times New Roman" w:hAnsi="Times New Roman" w:cs="Times New Roman"/>
          <w:sz w:val="28"/>
          <w:szCs w:val="28"/>
        </w:rPr>
        <w:t>s</w:t>
      </w:r>
      <w:r w:rsidR="00670A31">
        <w:rPr>
          <w:rFonts w:ascii="Times New Roman" w:hAnsi="Times New Roman" w:cs="Times New Roman"/>
          <w:sz w:val="28"/>
          <w:szCs w:val="28"/>
        </w:rPr>
        <w:t xml:space="preserve"> of </w:t>
      </w:r>
      <w:r w:rsidR="00670A31">
        <w:rPr>
          <w:rFonts w:ascii="Times New Roman" w:hAnsi="Times New Roman" w:cs="Times New Roman"/>
          <w:i/>
          <w:iCs/>
          <w:sz w:val="28"/>
          <w:szCs w:val="28"/>
        </w:rPr>
        <w:t xml:space="preserve">Hryniak </w:t>
      </w:r>
      <w:r w:rsidR="00670A31">
        <w:rPr>
          <w:rFonts w:ascii="Times New Roman" w:hAnsi="Times New Roman" w:cs="Times New Roman"/>
          <w:sz w:val="28"/>
          <w:szCs w:val="28"/>
        </w:rPr>
        <w:t xml:space="preserve">on Alberta’s summary judgment rules and procedures </w:t>
      </w:r>
      <w:r w:rsidR="001D42F6">
        <w:rPr>
          <w:rFonts w:ascii="Times New Roman" w:hAnsi="Times New Roman" w:cs="Times New Roman"/>
          <w:sz w:val="28"/>
          <w:szCs w:val="28"/>
        </w:rPr>
        <w:t>in</w:t>
      </w:r>
      <w:r>
        <w:rPr>
          <w:rFonts w:ascii="Times New Roman" w:hAnsi="Times New Roman" w:cs="Times New Roman"/>
          <w:sz w:val="28"/>
          <w:szCs w:val="28"/>
        </w:rPr>
        <w:t xml:space="preserve"> </w:t>
      </w:r>
      <w:r w:rsidRPr="00CE6342">
        <w:rPr>
          <w:rFonts w:ascii="Times New Roman" w:hAnsi="Times New Roman" w:cs="Times New Roman"/>
          <w:i/>
          <w:iCs/>
          <w:color w:val="000000"/>
          <w:sz w:val="28"/>
          <w:szCs w:val="28"/>
        </w:rPr>
        <w:t>Weir-Jones Technical Services Incorporated v Purolator Courier Ltd</w:t>
      </w:r>
      <w:r w:rsidRPr="00CE6342">
        <w:rPr>
          <w:rFonts w:ascii="Times New Roman" w:hAnsi="Times New Roman" w:cs="Times New Roman"/>
          <w:color w:val="000000"/>
          <w:sz w:val="28"/>
          <w:szCs w:val="28"/>
        </w:rPr>
        <w:t>, 2019 ABCA 49</w:t>
      </w:r>
      <w:r w:rsidR="00670A31">
        <w:rPr>
          <w:rFonts w:ascii="Times New Roman" w:hAnsi="Times New Roman" w:cs="Times New Roman"/>
          <w:color w:val="000000"/>
          <w:sz w:val="28"/>
          <w:szCs w:val="28"/>
        </w:rPr>
        <w:t xml:space="preserve">. </w:t>
      </w:r>
      <w:r w:rsidR="009D46F2">
        <w:rPr>
          <w:rFonts w:ascii="Times New Roman" w:hAnsi="Times New Roman" w:cs="Times New Roman"/>
          <w:color w:val="000000"/>
          <w:sz w:val="28"/>
          <w:szCs w:val="28"/>
        </w:rPr>
        <w:t xml:space="preserve"> </w:t>
      </w:r>
      <w:r w:rsidR="003C658D">
        <w:rPr>
          <w:rFonts w:ascii="Times New Roman" w:hAnsi="Times New Roman" w:cs="Times New Roman"/>
          <w:color w:val="000000"/>
          <w:sz w:val="28"/>
          <w:szCs w:val="28"/>
        </w:rPr>
        <w:t xml:space="preserve">The </w:t>
      </w:r>
      <w:r w:rsidR="008F3B6F">
        <w:rPr>
          <w:rFonts w:ascii="Times New Roman" w:hAnsi="Times New Roman" w:cs="Times New Roman"/>
          <w:color w:val="000000"/>
          <w:sz w:val="28"/>
          <w:szCs w:val="28"/>
        </w:rPr>
        <w:t xml:space="preserve">Alberta </w:t>
      </w:r>
      <w:r w:rsidR="00670A31">
        <w:rPr>
          <w:rFonts w:ascii="Times New Roman" w:hAnsi="Times New Roman" w:cs="Times New Roman"/>
          <w:color w:val="000000"/>
          <w:sz w:val="28"/>
          <w:szCs w:val="28"/>
        </w:rPr>
        <w:t>rules</w:t>
      </w:r>
      <w:r w:rsidR="008F3B6F">
        <w:rPr>
          <w:rFonts w:ascii="Times New Roman" w:hAnsi="Times New Roman" w:cs="Times New Roman"/>
          <w:color w:val="000000"/>
          <w:sz w:val="28"/>
          <w:szCs w:val="28"/>
        </w:rPr>
        <w:t xml:space="preserve"> considered in that case</w:t>
      </w:r>
      <w:r w:rsidR="003C658D">
        <w:rPr>
          <w:rFonts w:ascii="Times New Roman" w:hAnsi="Times New Roman" w:cs="Times New Roman"/>
          <w:color w:val="000000"/>
          <w:sz w:val="28"/>
          <w:szCs w:val="28"/>
        </w:rPr>
        <w:t xml:space="preserve"> are </w:t>
      </w:r>
      <w:r w:rsidR="00670A31">
        <w:rPr>
          <w:rFonts w:ascii="Times New Roman" w:hAnsi="Times New Roman" w:cs="Times New Roman"/>
          <w:color w:val="000000"/>
          <w:sz w:val="28"/>
          <w:szCs w:val="28"/>
        </w:rPr>
        <w:t xml:space="preserve">somewhat different in their wording than </w:t>
      </w:r>
      <w:proofErr w:type="spellStart"/>
      <w:r w:rsidR="003C658D">
        <w:rPr>
          <w:rFonts w:ascii="Times New Roman" w:hAnsi="Times New Roman" w:cs="Times New Roman"/>
          <w:color w:val="000000"/>
          <w:sz w:val="28"/>
          <w:szCs w:val="28"/>
        </w:rPr>
        <w:t>rr</w:t>
      </w:r>
      <w:proofErr w:type="spellEnd"/>
      <w:r w:rsidR="003C658D">
        <w:rPr>
          <w:rFonts w:ascii="Times New Roman" w:hAnsi="Times New Roman" w:cs="Times New Roman"/>
          <w:color w:val="000000"/>
          <w:sz w:val="28"/>
          <w:szCs w:val="28"/>
        </w:rPr>
        <w:t xml:space="preserve"> 175 and 176.  </w:t>
      </w:r>
      <w:r w:rsidR="00D66F9E">
        <w:rPr>
          <w:rFonts w:ascii="Times New Roman" w:hAnsi="Times New Roman" w:cs="Times New Roman"/>
          <w:color w:val="000000"/>
          <w:sz w:val="28"/>
          <w:szCs w:val="28"/>
        </w:rPr>
        <w:t>Like</w:t>
      </w:r>
      <w:r w:rsidR="00FE07E2">
        <w:rPr>
          <w:rFonts w:ascii="Times New Roman" w:hAnsi="Times New Roman" w:cs="Times New Roman"/>
          <w:color w:val="000000"/>
          <w:sz w:val="28"/>
          <w:szCs w:val="28"/>
        </w:rPr>
        <w:t xml:space="preserve"> the Northwest Territories’ rules, </w:t>
      </w:r>
      <w:r w:rsidR="003C658D">
        <w:rPr>
          <w:rFonts w:ascii="Times New Roman" w:hAnsi="Times New Roman" w:cs="Times New Roman"/>
          <w:color w:val="000000"/>
          <w:sz w:val="28"/>
          <w:szCs w:val="28"/>
        </w:rPr>
        <w:t>however, they</w:t>
      </w:r>
      <w:r w:rsidR="008D0D12">
        <w:rPr>
          <w:rFonts w:ascii="Times New Roman" w:hAnsi="Times New Roman" w:cs="Times New Roman"/>
          <w:color w:val="000000"/>
          <w:sz w:val="28"/>
          <w:szCs w:val="28"/>
        </w:rPr>
        <w:t xml:space="preserve"> do not contain express provisions permitting the judge to weigh evidence or</w:t>
      </w:r>
      <w:r w:rsidR="003C658D">
        <w:rPr>
          <w:rFonts w:ascii="Times New Roman" w:hAnsi="Times New Roman" w:cs="Times New Roman"/>
          <w:color w:val="000000"/>
          <w:sz w:val="28"/>
          <w:szCs w:val="28"/>
        </w:rPr>
        <w:t xml:space="preserve"> draw inferences.</w:t>
      </w:r>
      <w:r w:rsidR="00763589">
        <w:rPr>
          <w:rFonts w:ascii="Times New Roman" w:hAnsi="Times New Roman" w:cs="Times New Roman"/>
          <w:color w:val="000000"/>
          <w:sz w:val="28"/>
          <w:szCs w:val="28"/>
        </w:rPr>
        <w:t xml:space="preserve"> </w:t>
      </w:r>
      <w:r w:rsidR="009D46F2">
        <w:rPr>
          <w:rFonts w:ascii="Times New Roman" w:hAnsi="Times New Roman" w:cs="Times New Roman"/>
          <w:color w:val="000000"/>
          <w:sz w:val="28"/>
          <w:szCs w:val="28"/>
        </w:rPr>
        <w:t xml:space="preserve"> </w:t>
      </w:r>
      <w:r w:rsidR="00FE07E2">
        <w:rPr>
          <w:rFonts w:ascii="Times New Roman" w:hAnsi="Times New Roman" w:cs="Times New Roman"/>
          <w:color w:val="000000"/>
          <w:sz w:val="28"/>
          <w:szCs w:val="28"/>
        </w:rPr>
        <w:t xml:space="preserve">Nevertheless, </w:t>
      </w:r>
      <w:proofErr w:type="spellStart"/>
      <w:r w:rsidR="00FE07E2">
        <w:rPr>
          <w:rFonts w:ascii="Times New Roman" w:hAnsi="Times New Roman" w:cs="Times New Roman"/>
          <w:color w:val="000000"/>
          <w:sz w:val="28"/>
          <w:szCs w:val="28"/>
        </w:rPr>
        <w:t>Slatter</w:t>
      </w:r>
      <w:proofErr w:type="spellEnd"/>
      <w:r w:rsidR="00FE07E2">
        <w:rPr>
          <w:rFonts w:ascii="Times New Roman" w:hAnsi="Times New Roman" w:cs="Times New Roman"/>
          <w:color w:val="000000"/>
          <w:sz w:val="28"/>
          <w:szCs w:val="28"/>
        </w:rPr>
        <w:t>, J ruled</w:t>
      </w:r>
      <w:r w:rsidR="00763589">
        <w:rPr>
          <w:rFonts w:ascii="Times New Roman" w:hAnsi="Times New Roman" w:cs="Times New Roman"/>
          <w:color w:val="000000"/>
          <w:sz w:val="28"/>
          <w:szCs w:val="28"/>
        </w:rPr>
        <w:t xml:space="preserve"> relief by way of summary judgment is not limited to cases where the evidence is uncontested</w:t>
      </w:r>
      <w:r w:rsidR="00010059">
        <w:rPr>
          <w:rFonts w:ascii="Times New Roman" w:hAnsi="Times New Roman" w:cs="Times New Roman"/>
          <w:color w:val="000000"/>
          <w:sz w:val="28"/>
          <w:szCs w:val="28"/>
        </w:rPr>
        <w:t xml:space="preserve">. </w:t>
      </w:r>
      <w:r w:rsidR="009D46F2">
        <w:rPr>
          <w:rFonts w:ascii="Times New Roman" w:hAnsi="Times New Roman" w:cs="Times New Roman"/>
          <w:color w:val="000000"/>
          <w:sz w:val="28"/>
          <w:szCs w:val="28"/>
        </w:rPr>
        <w:t xml:space="preserve"> </w:t>
      </w:r>
      <w:r w:rsidR="008F3B6F">
        <w:rPr>
          <w:rFonts w:ascii="Times New Roman" w:hAnsi="Times New Roman" w:cs="Times New Roman"/>
          <w:i/>
          <w:iCs/>
          <w:color w:val="000000"/>
          <w:sz w:val="28"/>
          <w:szCs w:val="28"/>
        </w:rPr>
        <w:t xml:space="preserve">Weir-Jones, </w:t>
      </w:r>
      <w:r w:rsidR="008F3B6F">
        <w:rPr>
          <w:rFonts w:ascii="Times New Roman" w:hAnsi="Times New Roman" w:cs="Times New Roman"/>
          <w:color w:val="000000"/>
          <w:sz w:val="28"/>
          <w:szCs w:val="28"/>
        </w:rPr>
        <w:t>at para 21</w:t>
      </w:r>
      <w:r w:rsidR="00010059">
        <w:rPr>
          <w:rFonts w:ascii="Times New Roman" w:hAnsi="Times New Roman" w:cs="Times New Roman"/>
          <w:color w:val="000000"/>
          <w:sz w:val="28"/>
          <w:szCs w:val="28"/>
        </w:rPr>
        <w:t>.</w:t>
      </w:r>
      <w:r w:rsidR="008F3B6F">
        <w:rPr>
          <w:rFonts w:ascii="Times New Roman" w:hAnsi="Times New Roman" w:cs="Times New Roman"/>
          <w:color w:val="000000"/>
          <w:sz w:val="28"/>
          <w:szCs w:val="28"/>
        </w:rPr>
        <w:t xml:space="preserve">  In other words, judges in summary judgment applications may make factual findings </w:t>
      </w:r>
      <w:r w:rsidR="00F454F3">
        <w:rPr>
          <w:rFonts w:ascii="Times New Roman" w:hAnsi="Times New Roman" w:cs="Times New Roman"/>
          <w:color w:val="000000"/>
          <w:sz w:val="28"/>
          <w:szCs w:val="28"/>
        </w:rPr>
        <w:t xml:space="preserve">based on </w:t>
      </w:r>
      <w:r w:rsidR="008F3B6F">
        <w:rPr>
          <w:rFonts w:ascii="Times New Roman" w:hAnsi="Times New Roman" w:cs="Times New Roman"/>
          <w:color w:val="000000"/>
          <w:sz w:val="28"/>
          <w:szCs w:val="28"/>
        </w:rPr>
        <w:t xml:space="preserve">contested evidence.  Making these findings </w:t>
      </w:r>
      <w:proofErr w:type="gramStart"/>
      <w:r w:rsidR="008F3B6F">
        <w:rPr>
          <w:rFonts w:ascii="Times New Roman" w:hAnsi="Times New Roman" w:cs="Times New Roman"/>
          <w:color w:val="000000"/>
          <w:sz w:val="28"/>
          <w:szCs w:val="28"/>
        </w:rPr>
        <w:t>“ . . .</w:t>
      </w:r>
      <w:proofErr w:type="gramEnd"/>
      <w:r w:rsidR="008F3B6F">
        <w:rPr>
          <w:rFonts w:ascii="Times New Roman" w:hAnsi="Times New Roman" w:cs="Times New Roman"/>
          <w:color w:val="000000"/>
          <w:sz w:val="28"/>
          <w:szCs w:val="28"/>
        </w:rPr>
        <w:t xml:space="preserve"> is an exercise in weighing evidence.</w:t>
      </w:r>
      <w:r w:rsidR="00010059">
        <w:rPr>
          <w:rFonts w:ascii="Times New Roman" w:hAnsi="Times New Roman" w:cs="Times New Roman"/>
          <w:color w:val="000000"/>
          <w:sz w:val="28"/>
          <w:szCs w:val="28"/>
        </w:rPr>
        <w:t xml:space="preserve">” </w:t>
      </w:r>
      <w:r w:rsidR="009D46F2">
        <w:rPr>
          <w:rFonts w:ascii="Times New Roman" w:hAnsi="Times New Roman" w:cs="Times New Roman"/>
          <w:color w:val="000000"/>
          <w:sz w:val="28"/>
          <w:szCs w:val="28"/>
        </w:rPr>
        <w:t xml:space="preserve"> </w:t>
      </w:r>
      <w:r w:rsidR="00010059">
        <w:rPr>
          <w:rFonts w:ascii="Times New Roman" w:hAnsi="Times New Roman" w:cs="Times New Roman"/>
          <w:i/>
          <w:iCs/>
          <w:color w:val="000000"/>
          <w:sz w:val="28"/>
          <w:szCs w:val="28"/>
        </w:rPr>
        <w:t xml:space="preserve">Weir-Jones, </w:t>
      </w:r>
      <w:r w:rsidR="00010059">
        <w:rPr>
          <w:rFonts w:ascii="Times New Roman" w:hAnsi="Times New Roman" w:cs="Times New Roman"/>
          <w:color w:val="000000"/>
          <w:sz w:val="28"/>
          <w:szCs w:val="28"/>
        </w:rPr>
        <w:t xml:space="preserve">at para 29. </w:t>
      </w:r>
    </w:p>
    <w:p w14:paraId="3018F8ED" w14:textId="77777777" w:rsidR="00D66F9E" w:rsidRPr="00D66F9E" w:rsidRDefault="00D66F9E" w:rsidP="00D66F9E">
      <w:pPr>
        <w:pStyle w:val="ListParagraph"/>
        <w:spacing w:after="0" w:line="240" w:lineRule="auto"/>
        <w:ind w:left="0"/>
        <w:jc w:val="both"/>
        <w:rPr>
          <w:rFonts w:ascii="Times New Roman" w:hAnsi="Times New Roman" w:cs="Times New Roman"/>
          <w:i/>
          <w:iCs/>
          <w:sz w:val="28"/>
          <w:szCs w:val="28"/>
        </w:rPr>
      </w:pPr>
    </w:p>
    <w:p w14:paraId="49126634" w14:textId="77777777" w:rsidR="00745DAF" w:rsidRPr="00745DAF" w:rsidRDefault="00D66F9E" w:rsidP="00745DAF">
      <w:pPr>
        <w:pStyle w:val="ListParagraph"/>
        <w:numPr>
          <w:ilvl w:val="0"/>
          <w:numId w:val="10"/>
        </w:num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Weir-Jones </w:t>
      </w:r>
      <w:r>
        <w:rPr>
          <w:rFonts w:ascii="Times New Roman" w:hAnsi="Times New Roman" w:cs="Times New Roman"/>
          <w:sz w:val="28"/>
          <w:szCs w:val="28"/>
        </w:rPr>
        <w:t>is not binding on this Court</w:t>
      </w:r>
      <w:r w:rsidR="003F7C74">
        <w:rPr>
          <w:rFonts w:ascii="Times New Roman" w:hAnsi="Times New Roman" w:cs="Times New Roman"/>
          <w:sz w:val="28"/>
          <w:szCs w:val="28"/>
        </w:rPr>
        <w:t>.  Nevertheless, it is an appellate court decision which confirm</w:t>
      </w:r>
      <w:r w:rsidR="00745DAF">
        <w:rPr>
          <w:rFonts w:ascii="Times New Roman" w:hAnsi="Times New Roman" w:cs="Times New Roman"/>
          <w:sz w:val="28"/>
          <w:szCs w:val="28"/>
        </w:rPr>
        <w:t>s</w:t>
      </w:r>
      <w:r w:rsidR="003F7C74">
        <w:rPr>
          <w:rFonts w:ascii="Times New Roman" w:hAnsi="Times New Roman" w:cs="Times New Roman"/>
          <w:sz w:val="28"/>
          <w:szCs w:val="28"/>
        </w:rPr>
        <w:t xml:space="preserve"> a judge hearing a summary judgment application can weigh conflicting affidavit evidence and make factual findings</w:t>
      </w:r>
      <w:r w:rsidR="00FA2587">
        <w:rPr>
          <w:rFonts w:ascii="Times New Roman" w:hAnsi="Times New Roman" w:cs="Times New Roman"/>
          <w:sz w:val="28"/>
          <w:szCs w:val="28"/>
        </w:rPr>
        <w:t xml:space="preserve"> </w:t>
      </w:r>
      <w:r w:rsidR="00745DAF">
        <w:rPr>
          <w:rFonts w:ascii="Times New Roman" w:hAnsi="Times New Roman" w:cs="Times New Roman"/>
          <w:sz w:val="28"/>
          <w:szCs w:val="28"/>
        </w:rPr>
        <w:t xml:space="preserve">under procedural rules </w:t>
      </w:r>
      <w:r w:rsidR="003F7C74">
        <w:rPr>
          <w:rFonts w:ascii="Times New Roman" w:hAnsi="Times New Roman" w:cs="Times New Roman"/>
          <w:sz w:val="28"/>
          <w:szCs w:val="28"/>
        </w:rPr>
        <w:t>which do not expressly</w:t>
      </w:r>
      <w:r w:rsidR="00745DAF">
        <w:rPr>
          <w:rFonts w:ascii="Times New Roman" w:hAnsi="Times New Roman" w:cs="Times New Roman"/>
          <w:sz w:val="28"/>
          <w:szCs w:val="28"/>
        </w:rPr>
        <w:t xml:space="preserve"> so</w:t>
      </w:r>
      <w:r w:rsidR="003F7C74">
        <w:rPr>
          <w:rFonts w:ascii="Times New Roman" w:hAnsi="Times New Roman" w:cs="Times New Roman"/>
          <w:sz w:val="28"/>
          <w:szCs w:val="28"/>
        </w:rPr>
        <w:t xml:space="preserve"> </w:t>
      </w:r>
      <w:r w:rsidR="00745DAF">
        <w:rPr>
          <w:rFonts w:ascii="Times New Roman" w:hAnsi="Times New Roman" w:cs="Times New Roman"/>
          <w:sz w:val="28"/>
          <w:szCs w:val="28"/>
        </w:rPr>
        <w:t>state</w:t>
      </w:r>
      <w:r w:rsidR="003F7C74">
        <w:rPr>
          <w:rFonts w:ascii="Times New Roman" w:hAnsi="Times New Roman" w:cs="Times New Roman"/>
          <w:sz w:val="28"/>
          <w:szCs w:val="28"/>
        </w:rPr>
        <w:t xml:space="preserve">.  It is highly influential and, in my view, offers a sound basis </w:t>
      </w:r>
      <w:r w:rsidR="004A14E6">
        <w:rPr>
          <w:rFonts w:ascii="Times New Roman" w:hAnsi="Times New Roman" w:cs="Times New Roman"/>
          <w:sz w:val="28"/>
          <w:szCs w:val="28"/>
        </w:rPr>
        <w:t>to conclude that, like the Alberta rules considered there, the Northwest Territories’ rules permit judges to weigh evidence</w:t>
      </w:r>
      <w:r w:rsidR="00FA2587">
        <w:rPr>
          <w:rFonts w:ascii="Times New Roman" w:hAnsi="Times New Roman" w:cs="Times New Roman"/>
          <w:sz w:val="28"/>
          <w:szCs w:val="28"/>
        </w:rPr>
        <w:t>, assess credibility</w:t>
      </w:r>
      <w:r w:rsidR="004A14E6">
        <w:rPr>
          <w:rFonts w:ascii="Times New Roman" w:hAnsi="Times New Roman" w:cs="Times New Roman"/>
          <w:sz w:val="28"/>
          <w:szCs w:val="28"/>
        </w:rPr>
        <w:t xml:space="preserve"> and make factual findings in hearing summary judgment applications. </w:t>
      </w:r>
    </w:p>
    <w:p w14:paraId="61E7A504" w14:textId="77777777" w:rsidR="004401E0" w:rsidRPr="004401E0" w:rsidRDefault="004401E0" w:rsidP="004401E0">
      <w:pPr>
        <w:pStyle w:val="ListParagraph"/>
        <w:rPr>
          <w:rFonts w:ascii="Times New Roman" w:hAnsi="Times New Roman" w:cs="Times New Roman"/>
          <w:sz w:val="28"/>
          <w:szCs w:val="28"/>
        </w:rPr>
      </w:pPr>
    </w:p>
    <w:p w14:paraId="0EB27947" w14:textId="77777777" w:rsidR="00F454F3" w:rsidRPr="00FA2587" w:rsidRDefault="00FA2587" w:rsidP="003E64D8">
      <w:pPr>
        <w:pStyle w:val="ListParagraph"/>
        <w:numPr>
          <w:ilvl w:val="0"/>
          <w:numId w:val="10"/>
        </w:num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To conclude, t</w:t>
      </w:r>
      <w:r w:rsidR="0020191C" w:rsidRPr="003F4952">
        <w:rPr>
          <w:rFonts w:ascii="Times New Roman" w:hAnsi="Times New Roman" w:cs="Times New Roman"/>
          <w:sz w:val="28"/>
          <w:szCs w:val="28"/>
        </w:rPr>
        <w:t>he summary judgment process represents an important tool for access to justice, offering a more expeditious and affordable means of resolving legal disputes</w:t>
      </w:r>
      <w:r w:rsidR="003F4952" w:rsidRPr="003F4952">
        <w:rPr>
          <w:rFonts w:ascii="Times New Roman" w:hAnsi="Times New Roman" w:cs="Times New Roman"/>
          <w:sz w:val="28"/>
          <w:szCs w:val="28"/>
        </w:rPr>
        <w:t xml:space="preserve"> where the record permits the judge to make the required factual findings and to apply the law to those facts</w:t>
      </w:r>
      <w:r w:rsidR="0020191C" w:rsidRPr="003F4952">
        <w:rPr>
          <w:rFonts w:ascii="Times New Roman" w:hAnsi="Times New Roman" w:cs="Times New Roman"/>
          <w:sz w:val="28"/>
          <w:szCs w:val="28"/>
        </w:rPr>
        <w:t xml:space="preserve">. </w:t>
      </w:r>
      <w:r w:rsidR="009D46F2">
        <w:rPr>
          <w:rFonts w:ascii="Times New Roman" w:hAnsi="Times New Roman" w:cs="Times New Roman"/>
          <w:sz w:val="28"/>
          <w:szCs w:val="28"/>
        </w:rPr>
        <w:t xml:space="preserve"> </w:t>
      </w:r>
      <w:r w:rsidR="003F4952" w:rsidRPr="003F4952">
        <w:rPr>
          <w:rFonts w:ascii="Times New Roman" w:hAnsi="Times New Roman" w:cs="Times New Roman"/>
          <w:sz w:val="28"/>
          <w:szCs w:val="28"/>
        </w:rPr>
        <w:t xml:space="preserve">It is not restricted to cases where the evidence is undisputed and as such, judges hearing summary judgment applications </w:t>
      </w:r>
      <w:r w:rsidR="00AC1F43">
        <w:rPr>
          <w:rFonts w:ascii="Times New Roman" w:hAnsi="Times New Roman" w:cs="Times New Roman"/>
          <w:sz w:val="28"/>
          <w:szCs w:val="28"/>
        </w:rPr>
        <w:t xml:space="preserve">may </w:t>
      </w:r>
      <w:r w:rsidR="003F4952" w:rsidRPr="003F4952">
        <w:rPr>
          <w:rFonts w:ascii="Times New Roman" w:hAnsi="Times New Roman" w:cs="Times New Roman"/>
          <w:sz w:val="28"/>
          <w:szCs w:val="28"/>
        </w:rPr>
        <w:t>weigh evidence, draw inferences from that evidence, and make factual findings</w:t>
      </w:r>
      <w:r w:rsidR="003F4952">
        <w:rPr>
          <w:rFonts w:ascii="Times New Roman" w:hAnsi="Times New Roman" w:cs="Times New Roman"/>
          <w:sz w:val="28"/>
          <w:szCs w:val="28"/>
        </w:rPr>
        <w:t xml:space="preserve"> to determine if there is a genuine issue requiring a trial. </w:t>
      </w:r>
    </w:p>
    <w:p w14:paraId="474C81EA" w14:textId="77777777" w:rsidR="003F4952" w:rsidRPr="003F4952" w:rsidRDefault="003F4952" w:rsidP="003F4952">
      <w:pPr>
        <w:pStyle w:val="ListParagraph"/>
        <w:rPr>
          <w:rFonts w:ascii="Times New Roman" w:hAnsi="Times New Roman" w:cs="Times New Roman"/>
          <w:i/>
          <w:iCs/>
          <w:sz w:val="28"/>
          <w:szCs w:val="28"/>
        </w:rPr>
      </w:pPr>
    </w:p>
    <w:p w14:paraId="26F3DD07" w14:textId="77777777" w:rsidR="005C5D75" w:rsidRDefault="005C5D75" w:rsidP="00A03184">
      <w:pPr>
        <w:pStyle w:val="ListParagraph"/>
        <w:spacing w:after="0" w:line="240" w:lineRule="auto"/>
        <w:ind w:left="0"/>
        <w:jc w:val="both"/>
        <w:rPr>
          <w:rFonts w:ascii="Times New Roman" w:hAnsi="Times New Roman" w:cs="Times New Roman"/>
          <w:i/>
          <w:iCs/>
          <w:sz w:val="28"/>
          <w:szCs w:val="28"/>
        </w:rPr>
      </w:pPr>
    </w:p>
    <w:p w14:paraId="285583D7" w14:textId="77777777" w:rsidR="005C5D75" w:rsidRDefault="005C5D75" w:rsidP="00A03184">
      <w:pPr>
        <w:pStyle w:val="ListParagraph"/>
        <w:spacing w:after="0" w:line="240" w:lineRule="auto"/>
        <w:ind w:left="0"/>
        <w:jc w:val="both"/>
        <w:rPr>
          <w:rFonts w:ascii="Times New Roman" w:hAnsi="Times New Roman" w:cs="Times New Roman"/>
          <w:i/>
          <w:iCs/>
          <w:sz w:val="28"/>
          <w:szCs w:val="28"/>
        </w:rPr>
      </w:pPr>
    </w:p>
    <w:p w14:paraId="5D20CC31" w14:textId="77777777" w:rsidR="0002248D" w:rsidRDefault="00A03184" w:rsidP="00A03184">
      <w:pPr>
        <w:pStyle w:val="ListParagraph"/>
        <w:spacing w:after="0" w:line="240" w:lineRule="auto"/>
        <w:ind w:left="0"/>
        <w:jc w:val="both"/>
        <w:rPr>
          <w:rFonts w:ascii="Times New Roman" w:hAnsi="Times New Roman" w:cs="Times New Roman"/>
          <w:i/>
          <w:iCs/>
          <w:sz w:val="28"/>
          <w:szCs w:val="28"/>
        </w:rPr>
      </w:pPr>
      <w:r w:rsidRPr="00A03184">
        <w:rPr>
          <w:rFonts w:ascii="Times New Roman" w:hAnsi="Times New Roman" w:cs="Times New Roman"/>
          <w:i/>
          <w:iCs/>
          <w:sz w:val="28"/>
          <w:szCs w:val="28"/>
        </w:rPr>
        <w:lastRenderedPageBreak/>
        <w:t xml:space="preserve">Did the Judge err in law in how he </w:t>
      </w:r>
      <w:r w:rsidR="00FA2587">
        <w:rPr>
          <w:rFonts w:ascii="Times New Roman" w:hAnsi="Times New Roman" w:cs="Times New Roman"/>
          <w:i/>
          <w:iCs/>
          <w:sz w:val="28"/>
          <w:szCs w:val="28"/>
        </w:rPr>
        <w:t xml:space="preserve">applied </w:t>
      </w:r>
      <w:r w:rsidRPr="00A03184">
        <w:rPr>
          <w:rFonts w:ascii="Times New Roman" w:hAnsi="Times New Roman" w:cs="Times New Roman"/>
          <w:i/>
          <w:iCs/>
          <w:sz w:val="28"/>
          <w:szCs w:val="28"/>
        </w:rPr>
        <w:t>the Weber framework?</w:t>
      </w:r>
    </w:p>
    <w:p w14:paraId="4E465A01" w14:textId="77777777" w:rsidR="00A03184" w:rsidRPr="00A03184" w:rsidRDefault="00A03184" w:rsidP="00A03184">
      <w:pPr>
        <w:pStyle w:val="ListParagraph"/>
        <w:spacing w:after="0" w:line="240" w:lineRule="auto"/>
        <w:ind w:left="0"/>
        <w:jc w:val="both"/>
        <w:rPr>
          <w:rFonts w:ascii="Times New Roman" w:hAnsi="Times New Roman" w:cs="Times New Roman"/>
          <w:i/>
          <w:iCs/>
          <w:sz w:val="28"/>
          <w:szCs w:val="28"/>
        </w:rPr>
      </w:pPr>
    </w:p>
    <w:p w14:paraId="7BF7A8E8" w14:textId="77777777" w:rsidR="00AD5A43" w:rsidRPr="00AD5A43" w:rsidRDefault="004A771A" w:rsidP="002A664C">
      <w:pPr>
        <w:pStyle w:val="scjnumber"/>
        <w:numPr>
          <w:ilvl w:val="0"/>
          <w:numId w:val="10"/>
        </w:numPr>
        <w:spacing w:before="0" w:beforeAutospacing="0" w:after="240" w:afterAutospacing="0"/>
        <w:jc w:val="both"/>
        <w:rPr>
          <w:color w:val="000000"/>
          <w:sz w:val="28"/>
          <w:szCs w:val="28"/>
        </w:rPr>
      </w:pPr>
      <w:r>
        <w:rPr>
          <w:color w:val="000000"/>
          <w:sz w:val="28"/>
          <w:szCs w:val="28"/>
        </w:rPr>
        <w:t>As noted, the Judge identified</w:t>
      </w:r>
      <w:r w:rsidR="00CF0681">
        <w:rPr>
          <w:color w:val="000000"/>
          <w:sz w:val="28"/>
          <w:szCs w:val="28"/>
        </w:rPr>
        <w:t xml:space="preserve"> the exclusive jurisdiction model set out in</w:t>
      </w:r>
      <w:r>
        <w:rPr>
          <w:color w:val="000000"/>
          <w:sz w:val="28"/>
          <w:szCs w:val="28"/>
        </w:rPr>
        <w:t xml:space="preserve"> </w:t>
      </w:r>
      <w:r>
        <w:rPr>
          <w:i/>
          <w:iCs/>
          <w:color w:val="000000"/>
          <w:sz w:val="28"/>
          <w:szCs w:val="28"/>
        </w:rPr>
        <w:t xml:space="preserve">Weber </w:t>
      </w:r>
      <w:r>
        <w:rPr>
          <w:color w:val="000000"/>
          <w:sz w:val="28"/>
          <w:szCs w:val="28"/>
        </w:rPr>
        <w:t>as the applicable legal framework.</w:t>
      </w:r>
      <w:r w:rsidR="00E67832">
        <w:rPr>
          <w:color w:val="000000"/>
          <w:sz w:val="28"/>
          <w:szCs w:val="28"/>
        </w:rPr>
        <w:t xml:space="preserve">  </w:t>
      </w:r>
      <w:r w:rsidR="00FA2587">
        <w:rPr>
          <w:color w:val="000000"/>
          <w:sz w:val="28"/>
          <w:szCs w:val="28"/>
        </w:rPr>
        <w:t xml:space="preserve">The legal policy behind </w:t>
      </w:r>
      <w:r w:rsidR="00FA2587">
        <w:rPr>
          <w:i/>
          <w:iCs/>
          <w:color w:val="000000"/>
          <w:sz w:val="28"/>
          <w:szCs w:val="28"/>
        </w:rPr>
        <w:t xml:space="preserve">Weber </w:t>
      </w:r>
      <w:r w:rsidR="00FA2587">
        <w:rPr>
          <w:color w:val="000000"/>
          <w:sz w:val="28"/>
          <w:szCs w:val="28"/>
        </w:rPr>
        <w:t>has</w:t>
      </w:r>
      <w:r w:rsidR="00CF0681">
        <w:rPr>
          <w:color w:val="000000"/>
          <w:sz w:val="28"/>
          <w:szCs w:val="28"/>
        </w:rPr>
        <w:t xml:space="preserve"> its roots in </w:t>
      </w:r>
      <w:r w:rsidR="00CF0681">
        <w:rPr>
          <w:i/>
          <w:iCs/>
          <w:color w:val="000000"/>
          <w:sz w:val="28"/>
          <w:szCs w:val="28"/>
        </w:rPr>
        <w:t>St Anne Nackawic Pulp &amp; Paper Co v Canadian Paper Workers Union, Local 219,</w:t>
      </w:r>
      <w:r w:rsidR="00AD5A43">
        <w:rPr>
          <w:color w:val="000000"/>
          <w:sz w:val="28"/>
          <w:szCs w:val="28"/>
        </w:rPr>
        <w:t xml:space="preserve"> (1986) </w:t>
      </w:r>
      <w:proofErr w:type="spellStart"/>
      <w:r w:rsidR="00AD5A43">
        <w:rPr>
          <w:color w:val="000000"/>
          <w:sz w:val="28"/>
          <w:szCs w:val="28"/>
        </w:rPr>
        <w:t>CanLii</w:t>
      </w:r>
      <w:proofErr w:type="spellEnd"/>
      <w:r w:rsidR="00AD5A43">
        <w:rPr>
          <w:color w:val="000000"/>
          <w:sz w:val="28"/>
          <w:szCs w:val="28"/>
        </w:rPr>
        <w:t xml:space="preserve"> 71 (SCC),</w:t>
      </w:r>
      <w:r w:rsidR="00CF0681">
        <w:rPr>
          <w:i/>
          <w:iCs/>
          <w:color w:val="000000"/>
          <w:sz w:val="28"/>
          <w:szCs w:val="28"/>
        </w:rPr>
        <w:t xml:space="preserve"> </w:t>
      </w:r>
      <w:r w:rsidR="00CF0681">
        <w:rPr>
          <w:color w:val="000000"/>
          <w:sz w:val="28"/>
          <w:szCs w:val="28"/>
        </w:rPr>
        <w:t>[1989] 1 SCR 704</w:t>
      </w:r>
      <w:r w:rsidR="00EF5E44">
        <w:rPr>
          <w:color w:val="000000"/>
          <w:sz w:val="28"/>
          <w:szCs w:val="28"/>
        </w:rPr>
        <w:t xml:space="preserve">. </w:t>
      </w:r>
      <w:r w:rsidR="0002248D" w:rsidRPr="004A771A">
        <w:rPr>
          <w:i/>
          <w:color w:val="000000"/>
          <w:sz w:val="28"/>
          <w:szCs w:val="28"/>
        </w:rPr>
        <w:t xml:space="preserve"> </w:t>
      </w:r>
      <w:r w:rsidR="00AD5A43">
        <w:rPr>
          <w:iCs/>
          <w:color w:val="000000"/>
          <w:sz w:val="28"/>
          <w:szCs w:val="28"/>
        </w:rPr>
        <w:t xml:space="preserve">Justice </w:t>
      </w:r>
      <w:proofErr w:type="spellStart"/>
      <w:r w:rsidR="00AD5A43">
        <w:rPr>
          <w:iCs/>
          <w:color w:val="000000"/>
          <w:sz w:val="28"/>
          <w:szCs w:val="28"/>
        </w:rPr>
        <w:t>Estey</w:t>
      </w:r>
      <w:proofErr w:type="spellEnd"/>
      <w:r w:rsidR="00AD5A43">
        <w:rPr>
          <w:iCs/>
          <w:color w:val="000000"/>
          <w:sz w:val="28"/>
          <w:szCs w:val="28"/>
        </w:rPr>
        <w:t xml:space="preserve"> </w:t>
      </w:r>
      <w:r w:rsidR="00F46296">
        <w:rPr>
          <w:iCs/>
          <w:color w:val="000000"/>
          <w:sz w:val="28"/>
          <w:szCs w:val="28"/>
        </w:rPr>
        <w:t xml:space="preserve">(at 718-19) </w:t>
      </w:r>
      <w:r w:rsidR="00AD5A43">
        <w:rPr>
          <w:iCs/>
          <w:color w:val="000000"/>
          <w:sz w:val="28"/>
          <w:szCs w:val="28"/>
        </w:rPr>
        <w:t>opined collective agreements set out the “broad parameters” of the employer-employee relationship.  Th</w:t>
      </w:r>
      <w:r w:rsidR="00FA2587">
        <w:rPr>
          <w:iCs/>
          <w:color w:val="000000"/>
          <w:sz w:val="28"/>
          <w:szCs w:val="28"/>
        </w:rPr>
        <w:t>at</w:t>
      </w:r>
      <w:r w:rsidR="00AD5A43">
        <w:rPr>
          <w:iCs/>
          <w:color w:val="000000"/>
          <w:sz w:val="28"/>
          <w:szCs w:val="28"/>
        </w:rPr>
        <w:t xml:space="preserve"> relationship, in turn, is properly regulated by arbitrat</w:t>
      </w:r>
      <w:r w:rsidR="00FA2587">
        <w:rPr>
          <w:iCs/>
          <w:color w:val="000000"/>
          <w:sz w:val="28"/>
          <w:szCs w:val="28"/>
        </w:rPr>
        <w:t>ors</w:t>
      </w:r>
      <w:r w:rsidR="00AD5A43">
        <w:rPr>
          <w:iCs/>
          <w:color w:val="000000"/>
          <w:sz w:val="28"/>
          <w:szCs w:val="28"/>
        </w:rPr>
        <w:t xml:space="preserve">, rather than the courts. </w:t>
      </w:r>
      <w:r w:rsidR="00E67832">
        <w:rPr>
          <w:iCs/>
          <w:color w:val="000000"/>
          <w:sz w:val="28"/>
          <w:szCs w:val="28"/>
        </w:rPr>
        <w:t xml:space="preserve"> </w:t>
      </w:r>
      <w:r w:rsidR="00AD5A43">
        <w:rPr>
          <w:iCs/>
          <w:color w:val="000000"/>
          <w:sz w:val="28"/>
          <w:szCs w:val="28"/>
        </w:rPr>
        <w:t xml:space="preserve">To permit access to the arbitration process as well as the courts would subvert both the relationship and the legislative scheme under which it arises.  </w:t>
      </w:r>
      <w:r w:rsidR="00F46296">
        <w:rPr>
          <w:iCs/>
          <w:color w:val="000000"/>
          <w:sz w:val="28"/>
          <w:szCs w:val="28"/>
        </w:rPr>
        <w:t xml:space="preserve">Later, he stated (at 721): </w:t>
      </w:r>
    </w:p>
    <w:p w14:paraId="6717D699" w14:textId="77777777" w:rsidR="00AD5A43" w:rsidRPr="00AD5A43" w:rsidRDefault="00AD5A43" w:rsidP="00AD5A43">
      <w:pPr>
        <w:pStyle w:val="ListParagraph"/>
        <w:spacing w:line="240" w:lineRule="auto"/>
        <w:ind w:right="737"/>
        <w:jc w:val="both"/>
        <w:rPr>
          <w:rFonts w:ascii="Times New Roman" w:hAnsi="Times New Roman" w:cs="Times New Roman"/>
          <w:sz w:val="24"/>
          <w:szCs w:val="24"/>
        </w:rPr>
      </w:pPr>
      <w:r w:rsidRPr="00AD5A43">
        <w:rPr>
          <w:rFonts w:ascii="Times New Roman" w:hAnsi="Times New Roman" w:cs="Times New Roman"/>
          <w:color w:val="000000"/>
          <w:spacing w:val="-3"/>
          <w:sz w:val="24"/>
          <w:szCs w:val="24"/>
        </w:rPr>
        <w:t>What is left is an attitude of judicial deference to the arbitration process. . .</w:t>
      </w:r>
      <w:r w:rsidR="00F46296">
        <w:rPr>
          <w:rFonts w:ascii="Times New Roman" w:hAnsi="Times New Roman" w:cs="Times New Roman"/>
          <w:color w:val="000000"/>
          <w:spacing w:val="-3"/>
          <w:sz w:val="24"/>
          <w:szCs w:val="24"/>
        </w:rPr>
        <w:t xml:space="preserve"> </w:t>
      </w:r>
      <w:r w:rsidRPr="00AD5A43">
        <w:rPr>
          <w:rFonts w:ascii="Times New Roman" w:hAnsi="Times New Roman" w:cs="Times New Roman"/>
          <w:color w:val="000000"/>
          <w:spacing w:val="-3"/>
          <w:sz w:val="24"/>
          <w:szCs w:val="24"/>
        </w:rPr>
        <w:t>It is based on the idea that if the courts are available to the parties as an alternative forum, violence is done to a comprehensive statutory scheme designed to govern all aspects of the relationship of the parties in a labour relations setting.</w:t>
      </w:r>
      <w:r w:rsidR="00E67832">
        <w:rPr>
          <w:rFonts w:ascii="Times New Roman" w:hAnsi="Times New Roman" w:cs="Times New Roman"/>
          <w:color w:val="000000"/>
          <w:spacing w:val="-3"/>
          <w:sz w:val="24"/>
          <w:szCs w:val="24"/>
        </w:rPr>
        <w:t xml:space="preserve"> </w:t>
      </w:r>
      <w:r w:rsidRPr="00AD5A43">
        <w:rPr>
          <w:rFonts w:ascii="Times New Roman" w:hAnsi="Times New Roman" w:cs="Times New Roman"/>
          <w:color w:val="000000"/>
          <w:spacing w:val="-3"/>
          <w:sz w:val="24"/>
          <w:szCs w:val="24"/>
        </w:rPr>
        <w:t xml:space="preserve"> Arbitration, when adopted by the parties as was done here in the collective agreement, is an integral part of that scheme, and is clearly the forum preferred by the legislature for resolution of disputes arising under collective agreements.</w:t>
      </w:r>
      <w:r w:rsidR="00E67832">
        <w:rPr>
          <w:rFonts w:ascii="Times New Roman" w:hAnsi="Times New Roman" w:cs="Times New Roman"/>
          <w:color w:val="000000"/>
          <w:spacing w:val="-3"/>
          <w:sz w:val="24"/>
          <w:szCs w:val="24"/>
        </w:rPr>
        <w:t xml:space="preserve"> </w:t>
      </w:r>
      <w:r w:rsidRPr="00AD5A43">
        <w:rPr>
          <w:rFonts w:ascii="Times New Roman" w:hAnsi="Times New Roman" w:cs="Times New Roman"/>
          <w:color w:val="000000"/>
          <w:spacing w:val="-3"/>
          <w:sz w:val="24"/>
          <w:szCs w:val="24"/>
        </w:rPr>
        <w:t xml:space="preserve"> From the foregoing authorities, it might be said, therefore, that the law has so evolved that it is appropriate to hold that the grievance and arbitration procedures provided for by the Act and embodied by legislative prescription in the terms of a collective agreement provide the exclusive recourse open to parties to the collective agreement for its enforcement.</w:t>
      </w:r>
    </w:p>
    <w:p w14:paraId="1890916A" w14:textId="3B233BBB" w:rsidR="001E15A6" w:rsidRDefault="00F46296" w:rsidP="00F46296">
      <w:pPr>
        <w:pStyle w:val="scjnumber"/>
        <w:numPr>
          <w:ilvl w:val="0"/>
          <w:numId w:val="10"/>
        </w:numPr>
        <w:spacing w:before="0" w:beforeAutospacing="0" w:after="240" w:afterAutospacing="0"/>
        <w:jc w:val="both"/>
        <w:rPr>
          <w:color w:val="000000"/>
          <w:sz w:val="28"/>
          <w:szCs w:val="28"/>
        </w:rPr>
      </w:pPr>
      <w:r>
        <w:rPr>
          <w:i/>
          <w:iCs/>
          <w:color w:val="000000"/>
          <w:sz w:val="28"/>
          <w:szCs w:val="28"/>
        </w:rPr>
        <w:t>Weber</w:t>
      </w:r>
      <w:r w:rsidR="00FA2587">
        <w:rPr>
          <w:i/>
          <w:iCs/>
          <w:color w:val="000000"/>
          <w:sz w:val="28"/>
          <w:szCs w:val="28"/>
        </w:rPr>
        <w:t xml:space="preserve"> </w:t>
      </w:r>
      <w:r w:rsidR="0002248D" w:rsidRPr="004A771A">
        <w:rPr>
          <w:color w:val="000000"/>
          <w:sz w:val="28"/>
          <w:szCs w:val="28"/>
        </w:rPr>
        <w:t>requires consideration and determination of</w:t>
      </w:r>
      <w:r w:rsidR="00FA2587">
        <w:rPr>
          <w:color w:val="000000"/>
          <w:sz w:val="28"/>
          <w:szCs w:val="28"/>
        </w:rPr>
        <w:t xml:space="preserve"> </w:t>
      </w:r>
      <w:r w:rsidR="0002248D" w:rsidRPr="004A771A">
        <w:rPr>
          <w:color w:val="000000"/>
          <w:sz w:val="28"/>
          <w:szCs w:val="28"/>
        </w:rPr>
        <w:t>first, the “essential character” of the dispute and second, whether the essential character is a subject covered by the terms of the collective agreement.</w:t>
      </w:r>
      <w:r w:rsidR="00E67832">
        <w:rPr>
          <w:color w:val="000000"/>
          <w:sz w:val="28"/>
          <w:szCs w:val="28"/>
        </w:rPr>
        <w:t xml:space="preserve"> </w:t>
      </w:r>
      <w:r w:rsidR="0002248D" w:rsidRPr="004A771A">
        <w:rPr>
          <w:color w:val="000000"/>
          <w:sz w:val="28"/>
          <w:szCs w:val="28"/>
        </w:rPr>
        <w:t xml:space="preserve"> </w:t>
      </w:r>
      <w:r w:rsidR="007778DF" w:rsidRPr="004A771A">
        <w:rPr>
          <w:color w:val="000000"/>
          <w:sz w:val="28"/>
          <w:szCs w:val="28"/>
        </w:rPr>
        <w:t>If the answer to both questions is “yes”, then the dispute is within the sole jurisdiction of the arbitrator.</w:t>
      </w:r>
      <w:r w:rsidR="00E67832">
        <w:rPr>
          <w:color w:val="000000"/>
          <w:sz w:val="28"/>
          <w:szCs w:val="28"/>
        </w:rPr>
        <w:t xml:space="preserve"> </w:t>
      </w:r>
      <w:r w:rsidR="007778DF">
        <w:rPr>
          <w:color w:val="000000"/>
          <w:sz w:val="28"/>
          <w:szCs w:val="28"/>
        </w:rPr>
        <w:t xml:space="preserve"> </w:t>
      </w:r>
      <w:r w:rsidR="002A664C">
        <w:rPr>
          <w:color w:val="000000"/>
          <w:sz w:val="28"/>
          <w:szCs w:val="28"/>
        </w:rPr>
        <w:t xml:space="preserve">In determining the essential character of the dispute, the </w:t>
      </w:r>
      <w:r w:rsidR="002A664C">
        <w:rPr>
          <w:i/>
          <w:iCs/>
          <w:color w:val="000000"/>
          <w:sz w:val="28"/>
          <w:szCs w:val="28"/>
        </w:rPr>
        <w:t xml:space="preserve">facts </w:t>
      </w:r>
      <w:r w:rsidR="002A664C">
        <w:rPr>
          <w:color w:val="000000"/>
          <w:sz w:val="28"/>
          <w:szCs w:val="28"/>
        </w:rPr>
        <w:t xml:space="preserve">giving rise to the dispute are what must be considered, not how the dispute is framed legally, such as, for example, in contract or tort, or a </w:t>
      </w:r>
      <w:r w:rsidR="002A664C">
        <w:rPr>
          <w:i/>
          <w:iCs/>
          <w:color w:val="000000"/>
          <w:sz w:val="28"/>
          <w:szCs w:val="28"/>
        </w:rPr>
        <w:t xml:space="preserve">Charter </w:t>
      </w:r>
      <w:r w:rsidR="002A664C">
        <w:rPr>
          <w:color w:val="000000"/>
          <w:sz w:val="28"/>
          <w:szCs w:val="28"/>
        </w:rPr>
        <w:t xml:space="preserve">breach. </w:t>
      </w:r>
      <w:r w:rsidR="00E67832">
        <w:rPr>
          <w:color w:val="000000"/>
          <w:sz w:val="28"/>
          <w:szCs w:val="28"/>
        </w:rPr>
        <w:t xml:space="preserve"> </w:t>
      </w:r>
      <w:r w:rsidR="002A664C">
        <w:rPr>
          <w:i/>
          <w:iCs/>
          <w:color w:val="000000"/>
          <w:sz w:val="28"/>
          <w:szCs w:val="28"/>
        </w:rPr>
        <w:t xml:space="preserve">Weber, </w:t>
      </w:r>
      <w:r w:rsidR="002A664C">
        <w:rPr>
          <w:color w:val="000000"/>
          <w:sz w:val="28"/>
          <w:szCs w:val="28"/>
        </w:rPr>
        <w:t xml:space="preserve">at paras 43, 45 and 49; </w:t>
      </w:r>
      <w:r w:rsidR="002A664C">
        <w:rPr>
          <w:i/>
          <w:iCs/>
          <w:color w:val="000000"/>
          <w:sz w:val="28"/>
          <w:szCs w:val="28"/>
        </w:rPr>
        <w:t xml:space="preserve">Regina Police Association Inc v Regina (City) Board of Police Commissioners, </w:t>
      </w:r>
      <w:r w:rsidR="002A664C">
        <w:rPr>
          <w:color w:val="000000"/>
          <w:sz w:val="28"/>
          <w:szCs w:val="28"/>
        </w:rPr>
        <w:t>2000 SCC 14</w:t>
      </w:r>
      <w:r w:rsidR="007778DF">
        <w:rPr>
          <w:color w:val="000000"/>
          <w:sz w:val="28"/>
          <w:szCs w:val="28"/>
        </w:rPr>
        <w:t xml:space="preserve"> at para 25,</w:t>
      </w:r>
      <w:r w:rsidR="002A664C">
        <w:rPr>
          <w:color w:val="000000"/>
          <w:sz w:val="28"/>
          <w:szCs w:val="28"/>
        </w:rPr>
        <w:t xml:space="preserve"> [2000] 1 SCR 360</w:t>
      </w:r>
      <w:r w:rsidR="007778DF">
        <w:rPr>
          <w:color w:val="000000"/>
          <w:sz w:val="28"/>
          <w:szCs w:val="28"/>
        </w:rPr>
        <w:t xml:space="preserve">. </w:t>
      </w:r>
      <w:r w:rsidR="00E67832">
        <w:rPr>
          <w:color w:val="000000"/>
          <w:sz w:val="28"/>
          <w:szCs w:val="28"/>
        </w:rPr>
        <w:t xml:space="preserve"> </w:t>
      </w:r>
      <w:r w:rsidR="007778DF">
        <w:rPr>
          <w:color w:val="000000"/>
          <w:sz w:val="28"/>
          <w:szCs w:val="28"/>
        </w:rPr>
        <w:t>Thus, the fact that Ryland has alleged a contract and framed his action as such is not determinative.</w:t>
      </w:r>
      <w:r w:rsidR="0002248D" w:rsidRPr="00F46296">
        <w:rPr>
          <w:color w:val="000000"/>
          <w:sz w:val="28"/>
          <w:szCs w:val="28"/>
        </w:rPr>
        <w:t xml:space="preserve"> </w:t>
      </w:r>
    </w:p>
    <w:p w14:paraId="7D273D36" w14:textId="77777777" w:rsidR="00182C67" w:rsidRPr="00F46296" w:rsidRDefault="001E15A6" w:rsidP="00F46296">
      <w:pPr>
        <w:pStyle w:val="scjnumber"/>
        <w:numPr>
          <w:ilvl w:val="0"/>
          <w:numId w:val="10"/>
        </w:numPr>
        <w:spacing w:before="0" w:beforeAutospacing="0" w:after="240" w:afterAutospacing="0"/>
        <w:jc w:val="both"/>
        <w:rPr>
          <w:color w:val="000000"/>
          <w:sz w:val="28"/>
          <w:szCs w:val="28"/>
        </w:rPr>
      </w:pPr>
      <w:r>
        <w:rPr>
          <w:color w:val="000000"/>
          <w:sz w:val="28"/>
          <w:szCs w:val="28"/>
        </w:rPr>
        <w:t>It is also important to note a collective agreement need not provide for the particular</w:t>
      </w:r>
      <w:r w:rsidR="002C73AC">
        <w:rPr>
          <w:color w:val="000000"/>
          <w:sz w:val="28"/>
          <w:szCs w:val="28"/>
        </w:rPr>
        <w:t xml:space="preserve"> </w:t>
      </w:r>
      <w:r>
        <w:rPr>
          <w:color w:val="000000"/>
          <w:sz w:val="28"/>
          <w:szCs w:val="28"/>
        </w:rPr>
        <w:t xml:space="preserve">dispute explicitly. “If the essential character of the dispute arises either explicitly, or </w:t>
      </w:r>
      <w:r w:rsidRPr="00FA2587">
        <w:rPr>
          <w:i/>
          <w:iCs/>
          <w:color w:val="000000"/>
          <w:sz w:val="28"/>
          <w:szCs w:val="28"/>
        </w:rPr>
        <w:t>implicitly</w:t>
      </w:r>
      <w:r>
        <w:rPr>
          <w:color w:val="000000"/>
          <w:sz w:val="28"/>
          <w:szCs w:val="28"/>
        </w:rPr>
        <w:t>, from the interpretation, application, administration or violation of the collective agreement, the dispute is within the sole jurisdiction of an arbitrator to decide”.</w:t>
      </w:r>
      <w:r w:rsidR="00E67832">
        <w:rPr>
          <w:color w:val="000000"/>
          <w:sz w:val="28"/>
          <w:szCs w:val="28"/>
        </w:rPr>
        <w:t xml:space="preserve"> </w:t>
      </w:r>
      <w:r>
        <w:rPr>
          <w:color w:val="000000"/>
          <w:sz w:val="28"/>
          <w:szCs w:val="28"/>
        </w:rPr>
        <w:t xml:space="preserve"> </w:t>
      </w:r>
      <w:r>
        <w:rPr>
          <w:i/>
          <w:iCs/>
          <w:color w:val="000000"/>
          <w:sz w:val="28"/>
          <w:szCs w:val="28"/>
        </w:rPr>
        <w:t xml:space="preserve">Regina Police Association, </w:t>
      </w:r>
      <w:r>
        <w:rPr>
          <w:color w:val="000000"/>
          <w:sz w:val="28"/>
          <w:szCs w:val="28"/>
        </w:rPr>
        <w:t>at para 25</w:t>
      </w:r>
      <w:r w:rsidR="00FA2587">
        <w:rPr>
          <w:color w:val="000000"/>
          <w:sz w:val="28"/>
          <w:szCs w:val="28"/>
        </w:rPr>
        <w:t xml:space="preserve"> (emphasis mine).</w:t>
      </w:r>
    </w:p>
    <w:p w14:paraId="6564392D" w14:textId="647E999B" w:rsidR="002D7A21" w:rsidRDefault="004A771A" w:rsidP="005771E0">
      <w:pPr>
        <w:pStyle w:val="ListParagraph"/>
        <w:numPr>
          <w:ilvl w:val="0"/>
          <w:numId w:val="10"/>
        </w:numPr>
        <w:spacing w:after="0" w:line="240" w:lineRule="auto"/>
        <w:jc w:val="both"/>
        <w:rPr>
          <w:rFonts w:ascii="Times New Roman" w:hAnsi="Times New Roman" w:cs="Times New Roman"/>
          <w:sz w:val="28"/>
          <w:szCs w:val="28"/>
        </w:rPr>
      </w:pPr>
      <w:r w:rsidRPr="00794E5D">
        <w:rPr>
          <w:rFonts w:ascii="Times New Roman" w:hAnsi="Times New Roman" w:cs="Times New Roman"/>
          <w:sz w:val="28"/>
          <w:szCs w:val="28"/>
        </w:rPr>
        <w:lastRenderedPageBreak/>
        <w:t xml:space="preserve">Respectfully, the Judge did not apply the </w:t>
      </w:r>
      <w:r w:rsidRPr="00794E5D">
        <w:rPr>
          <w:rFonts w:ascii="Times New Roman" w:hAnsi="Times New Roman" w:cs="Times New Roman"/>
          <w:i/>
          <w:iCs/>
          <w:sz w:val="28"/>
          <w:szCs w:val="28"/>
        </w:rPr>
        <w:t xml:space="preserve">Weber </w:t>
      </w:r>
      <w:r w:rsidRPr="00794E5D">
        <w:rPr>
          <w:rFonts w:ascii="Times New Roman" w:hAnsi="Times New Roman" w:cs="Times New Roman"/>
          <w:sz w:val="28"/>
          <w:szCs w:val="28"/>
        </w:rPr>
        <w:t>framework correctly</w:t>
      </w:r>
      <w:r w:rsidR="002767B1" w:rsidRPr="00794E5D">
        <w:rPr>
          <w:rFonts w:ascii="Times New Roman" w:hAnsi="Times New Roman" w:cs="Times New Roman"/>
          <w:sz w:val="28"/>
          <w:szCs w:val="28"/>
        </w:rPr>
        <w:t xml:space="preserve"> and this led to </w:t>
      </w:r>
      <w:r w:rsidR="00F83803">
        <w:rPr>
          <w:rFonts w:ascii="Times New Roman" w:hAnsi="Times New Roman" w:cs="Times New Roman"/>
          <w:sz w:val="28"/>
          <w:szCs w:val="28"/>
        </w:rPr>
        <w:t xml:space="preserve">an incorrect </w:t>
      </w:r>
      <w:r w:rsidR="002767B1" w:rsidRPr="00794E5D">
        <w:rPr>
          <w:rFonts w:ascii="Times New Roman" w:hAnsi="Times New Roman" w:cs="Times New Roman"/>
          <w:sz w:val="28"/>
          <w:szCs w:val="28"/>
        </w:rPr>
        <w:t>conclusion</w:t>
      </w:r>
      <w:r w:rsidR="002D7A21">
        <w:rPr>
          <w:rFonts w:ascii="Times New Roman" w:hAnsi="Times New Roman" w:cs="Times New Roman"/>
          <w:sz w:val="28"/>
          <w:szCs w:val="28"/>
        </w:rPr>
        <w:t xml:space="preserve"> regarding the essential character of the dispute and</w:t>
      </w:r>
      <w:r w:rsidR="00EE23A5">
        <w:rPr>
          <w:rFonts w:ascii="Times New Roman" w:hAnsi="Times New Roman" w:cs="Times New Roman"/>
          <w:sz w:val="28"/>
          <w:szCs w:val="28"/>
        </w:rPr>
        <w:t xml:space="preserve"> an</w:t>
      </w:r>
      <w:r w:rsidR="002D7A21">
        <w:rPr>
          <w:rFonts w:ascii="Times New Roman" w:hAnsi="Times New Roman" w:cs="Times New Roman"/>
          <w:sz w:val="28"/>
          <w:szCs w:val="28"/>
        </w:rPr>
        <w:t xml:space="preserve"> </w:t>
      </w:r>
      <w:r w:rsidR="00F83803">
        <w:rPr>
          <w:rFonts w:ascii="Times New Roman" w:hAnsi="Times New Roman" w:cs="Times New Roman"/>
          <w:sz w:val="28"/>
          <w:szCs w:val="28"/>
        </w:rPr>
        <w:t xml:space="preserve">overriding and palpable error in his conclusions about </w:t>
      </w:r>
      <w:r w:rsidR="002D7A21">
        <w:rPr>
          <w:rFonts w:ascii="Times New Roman" w:hAnsi="Times New Roman" w:cs="Times New Roman"/>
          <w:sz w:val="28"/>
          <w:szCs w:val="28"/>
        </w:rPr>
        <w:t>the ambit of the collective agreement</w:t>
      </w:r>
      <w:r w:rsidRPr="00794E5D">
        <w:rPr>
          <w:rFonts w:ascii="Times New Roman" w:hAnsi="Times New Roman" w:cs="Times New Roman"/>
          <w:sz w:val="28"/>
          <w:szCs w:val="28"/>
        </w:rPr>
        <w:t xml:space="preserve">. </w:t>
      </w:r>
    </w:p>
    <w:p w14:paraId="50F2573A" w14:textId="77777777" w:rsidR="002D7A21" w:rsidRDefault="002D7A21" w:rsidP="002D7A21">
      <w:pPr>
        <w:pStyle w:val="ListParagraph"/>
        <w:spacing w:after="0" w:line="240" w:lineRule="auto"/>
        <w:ind w:left="0"/>
        <w:jc w:val="both"/>
        <w:rPr>
          <w:rFonts w:ascii="Times New Roman" w:hAnsi="Times New Roman" w:cs="Times New Roman"/>
          <w:sz w:val="28"/>
          <w:szCs w:val="28"/>
        </w:rPr>
      </w:pPr>
    </w:p>
    <w:p w14:paraId="7C092AC7" w14:textId="74732A82" w:rsidR="00647BD0" w:rsidRDefault="004A771A" w:rsidP="005771E0">
      <w:pPr>
        <w:pStyle w:val="ListParagraph"/>
        <w:numPr>
          <w:ilvl w:val="0"/>
          <w:numId w:val="10"/>
        </w:numPr>
        <w:spacing w:after="0" w:line="240" w:lineRule="auto"/>
        <w:jc w:val="both"/>
        <w:rPr>
          <w:rFonts w:ascii="Times New Roman" w:hAnsi="Times New Roman" w:cs="Times New Roman"/>
          <w:sz w:val="28"/>
          <w:szCs w:val="28"/>
        </w:rPr>
      </w:pPr>
      <w:r w:rsidRPr="00794E5D">
        <w:rPr>
          <w:rFonts w:ascii="Times New Roman" w:hAnsi="Times New Roman" w:cs="Times New Roman"/>
          <w:sz w:val="28"/>
          <w:szCs w:val="28"/>
        </w:rPr>
        <w:t>It appears t</w:t>
      </w:r>
      <w:r w:rsidR="002D7A21">
        <w:rPr>
          <w:rFonts w:ascii="Times New Roman" w:hAnsi="Times New Roman" w:cs="Times New Roman"/>
          <w:sz w:val="28"/>
          <w:szCs w:val="28"/>
        </w:rPr>
        <w:t>he Judge’s errors</w:t>
      </w:r>
      <w:r w:rsidRPr="00794E5D">
        <w:rPr>
          <w:rFonts w:ascii="Times New Roman" w:hAnsi="Times New Roman" w:cs="Times New Roman"/>
          <w:sz w:val="28"/>
          <w:szCs w:val="28"/>
        </w:rPr>
        <w:t xml:space="preserve"> w</w:t>
      </w:r>
      <w:r w:rsidR="002D7A21">
        <w:rPr>
          <w:rFonts w:ascii="Times New Roman" w:hAnsi="Times New Roman" w:cs="Times New Roman"/>
          <w:sz w:val="28"/>
          <w:szCs w:val="28"/>
        </w:rPr>
        <w:t>ere</w:t>
      </w:r>
      <w:r w:rsidRPr="00794E5D">
        <w:rPr>
          <w:rFonts w:ascii="Times New Roman" w:hAnsi="Times New Roman" w:cs="Times New Roman"/>
          <w:sz w:val="28"/>
          <w:szCs w:val="28"/>
        </w:rPr>
        <w:t xml:space="preserve"> driven by how </w:t>
      </w:r>
      <w:r w:rsidR="002D7A21">
        <w:rPr>
          <w:rFonts w:ascii="Times New Roman" w:hAnsi="Times New Roman" w:cs="Times New Roman"/>
          <w:sz w:val="28"/>
          <w:szCs w:val="28"/>
        </w:rPr>
        <w:t xml:space="preserve">Ryland framed his pleadings and how </w:t>
      </w:r>
      <w:r w:rsidR="00647BD0">
        <w:rPr>
          <w:rFonts w:ascii="Times New Roman" w:hAnsi="Times New Roman" w:cs="Times New Roman"/>
          <w:sz w:val="28"/>
          <w:szCs w:val="28"/>
        </w:rPr>
        <w:t xml:space="preserve">the Judge characterized </w:t>
      </w:r>
      <w:r w:rsidRPr="00794E5D">
        <w:rPr>
          <w:rFonts w:ascii="Times New Roman" w:hAnsi="Times New Roman" w:cs="Times New Roman"/>
          <w:sz w:val="28"/>
          <w:szCs w:val="28"/>
        </w:rPr>
        <w:t>the issues</w:t>
      </w:r>
      <w:r w:rsidR="002D7A21">
        <w:rPr>
          <w:rFonts w:ascii="Times New Roman" w:hAnsi="Times New Roman" w:cs="Times New Roman"/>
          <w:sz w:val="28"/>
          <w:szCs w:val="28"/>
        </w:rPr>
        <w:t xml:space="preserve"> to be analyzed in the summary judgment</w:t>
      </w:r>
      <w:r w:rsidR="005C5D75">
        <w:rPr>
          <w:rFonts w:ascii="Times New Roman" w:hAnsi="Times New Roman" w:cs="Times New Roman"/>
          <w:sz w:val="28"/>
          <w:szCs w:val="28"/>
        </w:rPr>
        <w:t xml:space="preserve"> application</w:t>
      </w:r>
      <w:r w:rsidRPr="00794E5D">
        <w:rPr>
          <w:rFonts w:ascii="Times New Roman" w:hAnsi="Times New Roman" w:cs="Times New Roman"/>
          <w:sz w:val="28"/>
          <w:szCs w:val="28"/>
        </w:rPr>
        <w:t xml:space="preserve">.  Rather than starting with </w:t>
      </w:r>
      <w:r w:rsidR="002767B1" w:rsidRPr="00794E5D">
        <w:rPr>
          <w:rFonts w:ascii="Times New Roman" w:hAnsi="Times New Roman" w:cs="Times New Roman"/>
          <w:sz w:val="28"/>
          <w:szCs w:val="28"/>
        </w:rPr>
        <w:t xml:space="preserve">an analysis of the essential character of the dispute, </w:t>
      </w:r>
      <w:r w:rsidR="00126513">
        <w:rPr>
          <w:rFonts w:ascii="Times New Roman" w:hAnsi="Times New Roman" w:cs="Times New Roman"/>
          <w:sz w:val="28"/>
          <w:szCs w:val="28"/>
        </w:rPr>
        <w:t>the Judge</w:t>
      </w:r>
      <w:r w:rsidR="002767B1" w:rsidRPr="00794E5D">
        <w:rPr>
          <w:rFonts w:ascii="Times New Roman" w:hAnsi="Times New Roman" w:cs="Times New Roman"/>
          <w:sz w:val="28"/>
          <w:szCs w:val="28"/>
        </w:rPr>
        <w:t xml:space="preserve"> </w:t>
      </w:r>
      <w:r w:rsidR="002D7A21">
        <w:rPr>
          <w:rFonts w:ascii="Times New Roman" w:hAnsi="Times New Roman" w:cs="Times New Roman"/>
          <w:sz w:val="28"/>
          <w:szCs w:val="28"/>
        </w:rPr>
        <w:t xml:space="preserve">began with the assumption </w:t>
      </w:r>
      <w:r w:rsidR="002767B1" w:rsidRPr="00794E5D">
        <w:rPr>
          <w:rFonts w:ascii="Times New Roman" w:hAnsi="Times New Roman" w:cs="Times New Roman"/>
          <w:sz w:val="28"/>
          <w:szCs w:val="28"/>
        </w:rPr>
        <w:t>that there was a contract between Ryland and the PSAC</w:t>
      </w:r>
      <w:r w:rsidR="00F46296">
        <w:rPr>
          <w:rFonts w:ascii="Times New Roman" w:hAnsi="Times New Roman" w:cs="Times New Roman"/>
          <w:sz w:val="28"/>
          <w:szCs w:val="28"/>
        </w:rPr>
        <w:t xml:space="preserve">. </w:t>
      </w:r>
      <w:r w:rsidR="00CE4812">
        <w:rPr>
          <w:rFonts w:ascii="Times New Roman" w:hAnsi="Times New Roman" w:cs="Times New Roman"/>
          <w:sz w:val="28"/>
          <w:szCs w:val="28"/>
        </w:rPr>
        <w:t xml:space="preserve"> </w:t>
      </w:r>
      <w:r w:rsidR="00F46296">
        <w:rPr>
          <w:rFonts w:ascii="Times New Roman" w:hAnsi="Times New Roman" w:cs="Times New Roman"/>
          <w:sz w:val="28"/>
          <w:szCs w:val="28"/>
        </w:rPr>
        <w:t xml:space="preserve">He </w:t>
      </w:r>
      <w:r w:rsidR="002767B1" w:rsidRPr="00794E5D">
        <w:rPr>
          <w:rFonts w:ascii="Times New Roman" w:hAnsi="Times New Roman" w:cs="Times New Roman"/>
          <w:sz w:val="28"/>
          <w:szCs w:val="28"/>
        </w:rPr>
        <w:t xml:space="preserve">then went on to consider whether </w:t>
      </w:r>
      <w:r w:rsidR="00CE4812">
        <w:rPr>
          <w:rFonts w:ascii="Times New Roman" w:hAnsi="Times New Roman" w:cs="Times New Roman"/>
          <w:sz w:val="28"/>
          <w:szCs w:val="28"/>
        </w:rPr>
        <w:t xml:space="preserve">the </w:t>
      </w:r>
      <w:r w:rsidR="00647BD0">
        <w:rPr>
          <w:rFonts w:ascii="Times New Roman" w:hAnsi="Times New Roman" w:cs="Times New Roman"/>
          <w:sz w:val="28"/>
          <w:szCs w:val="28"/>
        </w:rPr>
        <w:t xml:space="preserve">rental fee Ryland claimed </w:t>
      </w:r>
      <w:r w:rsidR="00CE4812">
        <w:rPr>
          <w:rFonts w:ascii="Times New Roman" w:hAnsi="Times New Roman" w:cs="Times New Roman"/>
          <w:sz w:val="28"/>
          <w:szCs w:val="28"/>
        </w:rPr>
        <w:t xml:space="preserve">was </w:t>
      </w:r>
      <w:r w:rsidR="002767B1" w:rsidRPr="00794E5D">
        <w:rPr>
          <w:rFonts w:ascii="Times New Roman" w:hAnsi="Times New Roman" w:cs="Times New Roman"/>
          <w:sz w:val="28"/>
          <w:szCs w:val="28"/>
        </w:rPr>
        <w:t>arbitrable</w:t>
      </w:r>
      <w:r w:rsidR="002D7A21">
        <w:rPr>
          <w:rFonts w:ascii="Times New Roman" w:hAnsi="Times New Roman" w:cs="Times New Roman"/>
          <w:sz w:val="28"/>
          <w:szCs w:val="28"/>
        </w:rPr>
        <w:t>, or within the ambit of the collective agreement,</w:t>
      </w:r>
      <w:r w:rsidR="00CE4812">
        <w:rPr>
          <w:rFonts w:ascii="Times New Roman" w:hAnsi="Times New Roman" w:cs="Times New Roman"/>
          <w:sz w:val="28"/>
          <w:szCs w:val="28"/>
        </w:rPr>
        <w:t xml:space="preserve"> </w:t>
      </w:r>
      <w:r w:rsidR="00FA2587">
        <w:rPr>
          <w:rFonts w:ascii="Times New Roman" w:hAnsi="Times New Roman" w:cs="Times New Roman"/>
          <w:sz w:val="28"/>
          <w:szCs w:val="28"/>
        </w:rPr>
        <w:t xml:space="preserve">ultimately determining </w:t>
      </w:r>
      <w:r w:rsidR="00CE4812">
        <w:rPr>
          <w:rFonts w:ascii="Times New Roman" w:hAnsi="Times New Roman" w:cs="Times New Roman"/>
          <w:sz w:val="28"/>
          <w:szCs w:val="28"/>
        </w:rPr>
        <w:t>it was not</w:t>
      </w:r>
      <w:r w:rsidR="0085079A">
        <w:rPr>
          <w:rFonts w:ascii="Times New Roman" w:hAnsi="Times New Roman" w:cs="Times New Roman"/>
          <w:sz w:val="28"/>
          <w:szCs w:val="28"/>
        </w:rPr>
        <w:t xml:space="preserve">.  </w:t>
      </w:r>
      <w:r w:rsidR="002D7A21">
        <w:rPr>
          <w:rFonts w:ascii="Times New Roman" w:hAnsi="Times New Roman" w:cs="Times New Roman"/>
          <w:sz w:val="28"/>
          <w:szCs w:val="28"/>
        </w:rPr>
        <w:t>H</w:t>
      </w:r>
      <w:r w:rsidR="0085079A">
        <w:rPr>
          <w:rFonts w:ascii="Times New Roman" w:hAnsi="Times New Roman" w:cs="Times New Roman"/>
          <w:sz w:val="28"/>
          <w:szCs w:val="28"/>
        </w:rPr>
        <w:t xml:space="preserve">e found </w:t>
      </w:r>
      <w:r w:rsidR="002D7A21">
        <w:rPr>
          <w:rFonts w:ascii="Times New Roman" w:hAnsi="Times New Roman" w:cs="Times New Roman"/>
          <w:sz w:val="28"/>
          <w:szCs w:val="28"/>
        </w:rPr>
        <w:t xml:space="preserve">there was no express provision in the collective agreement addressing the situation where an employee agrees to rent a personal vehicle to the employer.  He also found </w:t>
      </w:r>
      <w:r w:rsidR="0085079A">
        <w:rPr>
          <w:rFonts w:ascii="Times New Roman" w:hAnsi="Times New Roman" w:cs="Times New Roman"/>
          <w:sz w:val="28"/>
          <w:szCs w:val="28"/>
        </w:rPr>
        <w:t xml:space="preserve">Ryland could not claim compensation for renting his personal vehicle as an </w:t>
      </w:r>
      <w:r w:rsidR="002D7A21">
        <w:rPr>
          <w:rFonts w:ascii="Times New Roman" w:hAnsi="Times New Roman" w:cs="Times New Roman"/>
          <w:sz w:val="28"/>
          <w:szCs w:val="28"/>
        </w:rPr>
        <w:t>“</w:t>
      </w:r>
      <w:r w:rsidR="0085079A">
        <w:rPr>
          <w:rFonts w:ascii="Times New Roman" w:hAnsi="Times New Roman" w:cs="Times New Roman"/>
          <w:sz w:val="28"/>
          <w:szCs w:val="28"/>
        </w:rPr>
        <w:t>expense</w:t>
      </w:r>
      <w:r w:rsidR="002D7A21">
        <w:rPr>
          <w:rFonts w:ascii="Times New Roman" w:hAnsi="Times New Roman" w:cs="Times New Roman"/>
          <w:sz w:val="28"/>
          <w:szCs w:val="28"/>
        </w:rPr>
        <w:t>”</w:t>
      </w:r>
      <w:r w:rsidR="0085079A">
        <w:rPr>
          <w:rFonts w:ascii="Times New Roman" w:hAnsi="Times New Roman" w:cs="Times New Roman"/>
          <w:sz w:val="28"/>
          <w:szCs w:val="28"/>
        </w:rPr>
        <w:t xml:space="preserve"> under Article 25 because </w:t>
      </w:r>
      <w:r w:rsidR="002D7A21">
        <w:rPr>
          <w:rFonts w:ascii="Times New Roman" w:hAnsi="Times New Roman" w:cs="Times New Roman"/>
          <w:sz w:val="28"/>
          <w:szCs w:val="28"/>
        </w:rPr>
        <w:t>the rental cost set out in the invoice Ryland submitted was not money which had already be</w:t>
      </w:r>
      <w:r w:rsidR="00FA2587">
        <w:rPr>
          <w:rFonts w:ascii="Times New Roman" w:hAnsi="Times New Roman" w:cs="Times New Roman"/>
          <w:sz w:val="28"/>
          <w:szCs w:val="28"/>
        </w:rPr>
        <w:t>en</w:t>
      </w:r>
      <w:r w:rsidR="002D7A21">
        <w:rPr>
          <w:rFonts w:ascii="Times New Roman" w:hAnsi="Times New Roman" w:cs="Times New Roman"/>
          <w:sz w:val="28"/>
          <w:szCs w:val="28"/>
        </w:rPr>
        <w:t xml:space="preserve"> spent. </w:t>
      </w:r>
      <w:r w:rsidR="00E67832">
        <w:rPr>
          <w:rFonts w:ascii="Times New Roman" w:hAnsi="Times New Roman" w:cs="Times New Roman"/>
          <w:sz w:val="28"/>
          <w:szCs w:val="28"/>
        </w:rPr>
        <w:t xml:space="preserve"> </w:t>
      </w:r>
      <w:r w:rsidR="002D7A21">
        <w:rPr>
          <w:rFonts w:ascii="Times New Roman" w:hAnsi="Times New Roman" w:cs="Times New Roman"/>
          <w:sz w:val="28"/>
          <w:szCs w:val="28"/>
        </w:rPr>
        <w:t xml:space="preserve">Thus, </w:t>
      </w:r>
      <w:r w:rsidR="00FA2587">
        <w:rPr>
          <w:rFonts w:ascii="Times New Roman" w:hAnsi="Times New Roman" w:cs="Times New Roman"/>
          <w:sz w:val="28"/>
          <w:szCs w:val="28"/>
        </w:rPr>
        <w:t xml:space="preserve">the Judge found </w:t>
      </w:r>
      <w:r w:rsidR="002D7A21">
        <w:rPr>
          <w:rFonts w:ascii="Times New Roman" w:hAnsi="Times New Roman" w:cs="Times New Roman"/>
          <w:sz w:val="28"/>
          <w:szCs w:val="28"/>
        </w:rPr>
        <w:t xml:space="preserve">it fell outside the meaning of expense in Article 25. </w:t>
      </w:r>
    </w:p>
    <w:p w14:paraId="06BB04EA" w14:textId="77777777" w:rsidR="00647BD0" w:rsidRPr="00647BD0" w:rsidRDefault="00647BD0" w:rsidP="00647BD0">
      <w:pPr>
        <w:pStyle w:val="ListParagraph"/>
        <w:rPr>
          <w:rFonts w:ascii="Times New Roman" w:hAnsi="Times New Roman" w:cs="Times New Roman"/>
          <w:sz w:val="28"/>
          <w:szCs w:val="28"/>
        </w:rPr>
      </w:pPr>
    </w:p>
    <w:p w14:paraId="4FB838C8" w14:textId="0132BCAF" w:rsidR="002D7A21" w:rsidRDefault="00647BD0" w:rsidP="005771E0">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 my view, h</w:t>
      </w:r>
      <w:r w:rsidR="00F46296" w:rsidRPr="001E15A6">
        <w:rPr>
          <w:rFonts w:ascii="Times New Roman" w:hAnsi="Times New Roman" w:cs="Times New Roman"/>
          <w:sz w:val="28"/>
          <w:szCs w:val="28"/>
        </w:rPr>
        <w:t>ad the Judge</w:t>
      </w:r>
      <w:r w:rsidR="002767B1" w:rsidRPr="001E15A6">
        <w:rPr>
          <w:rFonts w:ascii="Times New Roman" w:hAnsi="Times New Roman" w:cs="Times New Roman"/>
          <w:sz w:val="28"/>
          <w:szCs w:val="28"/>
        </w:rPr>
        <w:t xml:space="preserve"> started with </w:t>
      </w:r>
      <w:r w:rsidR="00182C67" w:rsidRPr="001E15A6">
        <w:rPr>
          <w:rFonts w:ascii="Times New Roman" w:hAnsi="Times New Roman" w:cs="Times New Roman"/>
          <w:sz w:val="28"/>
          <w:szCs w:val="28"/>
        </w:rPr>
        <w:t xml:space="preserve">an analysis of the facts underpinning the dispute, </w:t>
      </w:r>
      <w:r w:rsidR="00CE4812">
        <w:rPr>
          <w:rFonts w:ascii="Times New Roman" w:hAnsi="Times New Roman" w:cs="Times New Roman"/>
          <w:sz w:val="28"/>
          <w:szCs w:val="28"/>
        </w:rPr>
        <w:t>rather than starting with the assumption there was a commercial contract</w:t>
      </w:r>
      <w:r w:rsidR="005C5D75">
        <w:rPr>
          <w:rFonts w:ascii="Times New Roman" w:hAnsi="Times New Roman" w:cs="Times New Roman"/>
          <w:sz w:val="28"/>
          <w:szCs w:val="28"/>
        </w:rPr>
        <w:t xml:space="preserve"> and then considering whether it fell within the collective agreement</w:t>
      </w:r>
      <w:r w:rsidR="00CE4812">
        <w:rPr>
          <w:rFonts w:ascii="Times New Roman" w:hAnsi="Times New Roman" w:cs="Times New Roman"/>
          <w:sz w:val="28"/>
          <w:szCs w:val="28"/>
        </w:rPr>
        <w:t xml:space="preserve">, </w:t>
      </w:r>
      <w:r w:rsidR="00F46296" w:rsidRPr="001E15A6">
        <w:rPr>
          <w:rFonts w:ascii="Times New Roman" w:hAnsi="Times New Roman" w:cs="Times New Roman"/>
          <w:sz w:val="28"/>
          <w:szCs w:val="28"/>
        </w:rPr>
        <w:t xml:space="preserve">he would </w:t>
      </w:r>
      <w:r w:rsidR="00182C67" w:rsidRPr="001E15A6">
        <w:rPr>
          <w:rFonts w:ascii="Times New Roman" w:hAnsi="Times New Roman" w:cs="Times New Roman"/>
          <w:sz w:val="28"/>
          <w:szCs w:val="28"/>
        </w:rPr>
        <w:t>have reached a different conclusion.</w:t>
      </w:r>
      <w:r w:rsidR="005771E0">
        <w:rPr>
          <w:rFonts w:ascii="Times New Roman" w:hAnsi="Times New Roman" w:cs="Times New Roman"/>
          <w:sz w:val="28"/>
          <w:szCs w:val="28"/>
        </w:rPr>
        <w:t xml:space="preserve"> </w:t>
      </w:r>
    </w:p>
    <w:p w14:paraId="69673E33" w14:textId="77777777" w:rsidR="002D7A21" w:rsidRDefault="002D7A21" w:rsidP="002D7A21">
      <w:pPr>
        <w:pStyle w:val="ListParagraph"/>
        <w:spacing w:after="0" w:line="240" w:lineRule="auto"/>
        <w:ind w:left="0"/>
        <w:jc w:val="both"/>
        <w:rPr>
          <w:rFonts w:ascii="Times New Roman" w:hAnsi="Times New Roman" w:cs="Times New Roman"/>
          <w:sz w:val="28"/>
          <w:szCs w:val="28"/>
        </w:rPr>
      </w:pPr>
    </w:p>
    <w:p w14:paraId="38CA19CC" w14:textId="77777777" w:rsidR="00E14B83" w:rsidRPr="002D7A21" w:rsidRDefault="00CE4812" w:rsidP="002D7A21">
      <w:pPr>
        <w:pStyle w:val="ListParagraph"/>
        <w:numPr>
          <w:ilvl w:val="0"/>
          <w:numId w:val="10"/>
        </w:numPr>
        <w:spacing w:after="0" w:line="240" w:lineRule="auto"/>
        <w:jc w:val="both"/>
        <w:rPr>
          <w:rFonts w:ascii="Times New Roman" w:hAnsi="Times New Roman" w:cs="Times New Roman"/>
          <w:sz w:val="28"/>
          <w:szCs w:val="28"/>
        </w:rPr>
      </w:pPr>
      <w:r w:rsidRPr="005771E0">
        <w:rPr>
          <w:rFonts w:ascii="Times New Roman" w:hAnsi="Times New Roman" w:cs="Times New Roman"/>
          <w:sz w:val="28"/>
          <w:szCs w:val="28"/>
        </w:rPr>
        <w:t xml:space="preserve">Applying the </w:t>
      </w:r>
      <w:r w:rsidRPr="005771E0">
        <w:rPr>
          <w:rFonts w:ascii="Times New Roman" w:hAnsi="Times New Roman" w:cs="Times New Roman"/>
          <w:i/>
          <w:iCs/>
          <w:sz w:val="28"/>
          <w:szCs w:val="28"/>
        </w:rPr>
        <w:t xml:space="preserve">Weber </w:t>
      </w:r>
      <w:r w:rsidRPr="005771E0">
        <w:rPr>
          <w:rFonts w:ascii="Times New Roman" w:hAnsi="Times New Roman" w:cs="Times New Roman"/>
          <w:sz w:val="28"/>
          <w:szCs w:val="28"/>
        </w:rPr>
        <w:t xml:space="preserve">framework, it is clear the essential character of this dispute arises under the collective agreement.  </w:t>
      </w:r>
      <w:r w:rsidR="005771E0" w:rsidRPr="002D7A21">
        <w:rPr>
          <w:rFonts w:ascii="Times New Roman" w:hAnsi="Times New Roman" w:cs="Times New Roman"/>
          <w:sz w:val="28"/>
          <w:szCs w:val="28"/>
        </w:rPr>
        <w:t>Although there is disagreement about whether Kinsella agreed on behalf of the PSAC to rent Ryland’s truck, t</w:t>
      </w:r>
      <w:r w:rsidR="00F46296" w:rsidRPr="002D7A21">
        <w:rPr>
          <w:rFonts w:ascii="Times New Roman" w:hAnsi="Times New Roman" w:cs="Times New Roman"/>
          <w:sz w:val="28"/>
          <w:szCs w:val="28"/>
        </w:rPr>
        <w:t xml:space="preserve">he facts </w:t>
      </w:r>
      <w:r w:rsidR="005771E0" w:rsidRPr="002D7A21">
        <w:rPr>
          <w:rFonts w:ascii="Times New Roman" w:hAnsi="Times New Roman" w:cs="Times New Roman"/>
          <w:sz w:val="28"/>
          <w:szCs w:val="28"/>
        </w:rPr>
        <w:t>relevant to determining the essential character of the dispute do not conflict.</w:t>
      </w:r>
      <w:r w:rsidR="00E67832">
        <w:rPr>
          <w:rFonts w:ascii="Times New Roman" w:hAnsi="Times New Roman" w:cs="Times New Roman"/>
          <w:sz w:val="28"/>
          <w:szCs w:val="28"/>
        </w:rPr>
        <w:t xml:space="preserve"> </w:t>
      </w:r>
      <w:r w:rsidR="005771E0" w:rsidRPr="002D7A21">
        <w:rPr>
          <w:rFonts w:ascii="Times New Roman" w:hAnsi="Times New Roman" w:cs="Times New Roman"/>
          <w:sz w:val="28"/>
          <w:szCs w:val="28"/>
        </w:rPr>
        <w:t xml:space="preserve"> </w:t>
      </w:r>
      <w:r w:rsidR="001E15A6" w:rsidRPr="002D7A21">
        <w:rPr>
          <w:rFonts w:ascii="Times New Roman" w:hAnsi="Times New Roman" w:cs="Times New Roman"/>
          <w:sz w:val="28"/>
          <w:szCs w:val="28"/>
        </w:rPr>
        <w:t xml:space="preserve">At all times, </w:t>
      </w:r>
      <w:r w:rsidR="00F46296" w:rsidRPr="002D7A21">
        <w:rPr>
          <w:rFonts w:ascii="Times New Roman" w:hAnsi="Times New Roman" w:cs="Times New Roman"/>
          <w:sz w:val="28"/>
          <w:szCs w:val="28"/>
        </w:rPr>
        <w:t>Ryland was an employee.  His position was within a bargaining unit governed by a collective agreement</w:t>
      </w:r>
      <w:r w:rsidR="001E15A6" w:rsidRPr="002D7A21">
        <w:rPr>
          <w:rFonts w:ascii="Times New Roman" w:hAnsi="Times New Roman" w:cs="Times New Roman"/>
          <w:sz w:val="28"/>
          <w:szCs w:val="28"/>
        </w:rPr>
        <w:t xml:space="preserve">, which, in accordance with the </w:t>
      </w:r>
      <w:r w:rsidR="001E15A6" w:rsidRPr="002D7A21">
        <w:rPr>
          <w:rFonts w:ascii="Times New Roman" w:hAnsi="Times New Roman" w:cs="Times New Roman"/>
          <w:i/>
          <w:iCs/>
          <w:sz w:val="28"/>
          <w:szCs w:val="28"/>
        </w:rPr>
        <w:t xml:space="preserve">Canada Labour Code, </w:t>
      </w:r>
      <w:r w:rsidR="001E15A6" w:rsidRPr="002D7A21">
        <w:rPr>
          <w:rFonts w:ascii="Times New Roman" w:hAnsi="Times New Roman" w:cs="Times New Roman"/>
          <w:sz w:val="28"/>
          <w:szCs w:val="28"/>
        </w:rPr>
        <w:t>contains an arbitration clause.</w:t>
      </w:r>
      <w:r w:rsidR="00F46296" w:rsidRPr="002D7A21">
        <w:rPr>
          <w:rFonts w:ascii="Times New Roman" w:hAnsi="Times New Roman" w:cs="Times New Roman"/>
          <w:sz w:val="28"/>
          <w:szCs w:val="28"/>
        </w:rPr>
        <w:t xml:space="preserve">  </w:t>
      </w:r>
      <w:r w:rsidR="001E15A6" w:rsidRPr="002D7A21">
        <w:rPr>
          <w:rFonts w:ascii="Times New Roman" w:hAnsi="Times New Roman" w:cs="Times New Roman"/>
          <w:sz w:val="28"/>
          <w:szCs w:val="28"/>
        </w:rPr>
        <w:t xml:space="preserve">Ryland </w:t>
      </w:r>
      <w:r w:rsidR="00F46296" w:rsidRPr="002D7A21">
        <w:rPr>
          <w:rFonts w:ascii="Times New Roman" w:hAnsi="Times New Roman" w:cs="Times New Roman"/>
          <w:sz w:val="28"/>
          <w:szCs w:val="28"/>
        </w:rPr>
        <w:t xml:space="preserve">was performing work </w:t>
      </w:r>
      <w:r w:rsidR="002C73AC" w:rsidRPr="002D7A21">
        <w:rPr>
          <w:rFonts w:ascii="Times New Roman" w:hAnsi="Times New Roman" w:cs="Times New Roman"/>
          <w:sz w:val="28"/>
          <w:szCs w:val="28"/>
        </w:rPr>
        <w:t xml:space="preserve">on a project </w:t>
      </w:r>
      <w:r w:rsidR="00F46296" w:rsidRPr="002D7A21">
        <w:rPr>
          <w:rFonts w:ascii="Times New Roman" w:hAnsi="Times New Roman" w:cs="Times New Roman"/>
          <w:sz w:val="28"/>
          <w:szCs w:val="28"/>
        </w:rPr>
        <w:t xml:space="preserve">for his employer, on work time.  He was paid </w:t>
      </w:r>
      <w:r w:rsidR="001E15A6" w:rsidRPr="002D7A21">
        <w:rPr>
          <w:rFonts w:ascii="Times New Roman" w:hAnsi="Times New Roman" w:cs="Times New Roman"/>
          <w:sz w:val="28"/>
          <w:szCs w:val="28"/>
        </w:rPr>
        <w:t>wages</w:t>
      </w:r>
      <w:r w:rsidR="002C73AC" w:rsidRPr="002D7A21">
        <w:rPr>
          <w:rFonts w:ascii="Times New Roman" w:hAnsi="Times New Roman" w:cs="Times New Roman"/>
          <w:sz w:val="28"/>
          <w:szCs w:val="28"/>
        </w:rPr>
        <w:t>, including overtime</w:t>
      </w:r>
      <w:r w:rsidR="001E15A6" w:rsidRPr="002D7A21">
        <w:rPr>
          <w:rFonts w:ascii="Times New Roman" w:hAnsi="Times New Roman" w:cs="Times New Roman"/>
          <w:sz w:val="28"/>
          <w:szCs w:val="28"/>
        </w:rPr>
        <w:t xml:space="preserve">.  </w:t>
      </w:r>
      <w:r w:rsidR="002C73AC" w:rsidRPr="002D7A21">
        <w:rPr>
          <w:rFonts w:ascii="Times New Roman" w:hAnsi="Times New Roman" w:cs="Times New Roman"/>
          <w:sz w:val="28"/>
          <w:szCs w:val="28"/>
        </w:rPr>
        <w:t xml:space="preserve">As the project manager, he </w:t>
      </w:r>
      <w:r w:rsidR="001E15A6" w:rsidRPr="002D7A21">
        <w:rPr>
          <w:rFonts w:ascii="Times New Roman" w:hAnsi="Times New Roman" w:cs="Times New Roman"/>
          <w:sz w:val="28"/>
          <w:szCs w:val="28"/>
        </w:rPr>
        <w:t xml:space="preserve">incurred </w:t>
      </w:r>
      <w:r w:rsidR="002C73AC" w:rsidRPr="002D7A21">
        <w:rPr>
          <w:rFonts w:ascii="Times New Roman" w:hAnsi="Times New Roman" w:cs="Times New Roman"/>
          <w:sz w:val="28"/>
          <w:szCs w:val="28"/>
        </w:rPr>
        <w:t xml:space="preserve">certain </w:t>
      </w:r>
      <w:r w:rsidR="00647BD0">
        <w:rPr>
          <w:rFonts w:ascii="Times New Roman" w:hAnsi="Times New Roman" w:cs="Times New Roman"/>
          <w:sz w:val="28"/>
          <w:szCs w:val="28"/>
        </w:rPr>
        <w:t xml:space="preserve">expenses </w:t>
      </w:r>
      <w:r w:rsidR="001E15A6" w:rsidRPr="002D7A21">
        <w:rPr>
          <w:rFonts w:ascii="Times New Roman" w:hAnsi="Times New Roman" w:cs="Times New Roman"/>
          <w:sz w:val="28"/>
          <w:szCs w:val="28"/>
        </w:rPr>
        <w:t>and submitted these for reimbursement</w:t>
      </w:r>
      <w:r w:rsidR="00126513" w:rsidRPr="002D7A21">
        <w:rPr>
          <w:rFonts w:ascii="Times New Roman" w:hAnsi="Times New Roman" w:cs="Times New Roman"/>
          <w:sz w:val="28"/>
          <w:szCs w:val="28"/>
        </w:rPr>
        <w:t>.  Among the expenses he submitted was a</w:t>
      </w:r>
      <w:r w:rsidR="002D7A21">
        <w:rPr>
          <w:rFonts w:ascii="Times New Roman" w:hAnsi="Times New Roman" w:cs="Times New Roman"/>
          <w:sz w:val="28"/>
          <w:szCs w:val="28"/>
        </w:rPr>
        <w:t xml:space="preserve"> claim</w:t>
      </w:r>
      <w:r w:rsidR="00126513" w:rsidRPr="002D7A21">
        <w:rPr>
          <w:rFonts w:ascii="Times New Roman" w:hAnsi="Times New Roman" w:cs="Times New Roman"/>
          <w:sz w:val="28"/>
          <w:szCs w:val="28"/>
        </w:rPr>
        <w:t xml:space="preserve"> for</w:t>
      </w:r>
      <w:r w:rsidR="00647BD0">
        <w:rPr>
          <w:rFonts w:ascii="Times New Roman" w:hAnsi="Times New Roman" w:cs="Times New Roman"/>
          <w:sz w:val="28"/>
          <w:szCs w:val="28"/>
        </w:rPr>
        <w:t xml:space="preserve"> a fee </w:t>
      </w:r>
      <w:r w:rsidR="00126513" w:rsidRPr="002D7A21">
        <w:rPr>
          <w:rFonts w:ascii="Times New Roman" w:hAnsi="Times New Roman" w:cs="Times New Roman"/>
          <w:sz w:val="28"/>
          <w:szCs w:val="28"/>
        </w:rPr>
        <w:t xml:space="preserve">to rent his truck to the PSAC.  </w:t>
      </w:r>
      <w:r w:rsidR="002C73AC" w:rsidRPr="002D7A21">
        <w:rPr>
          <w:rFonts w:ascii="Times New Roman" w:hAnsi="Times New Roman" w:cs="Times New Roman"/>
          <w:sz w:val="28"/>
          <w:szCs w:val="28"/>
        </w:rPr>
        <w:t xml:space="preserve">He did so in the form of an invoice he created.  The </w:t>
      </w:r>
      <w:r w:rsidR="00647BD0">
        <w:rPr>
          <w:rFonts w:ascii="Times New Roman" w:hAnsi="Times New Roman" w:cs="Times New Roman"/>
          <w:sz w:val="28"/>
          <w:szCs w:val="28"/>
        </w:rPr>
        <w:t>fee he claimed</w:t>
      </w:r>
      <w:r w:rsidR="002C73AC" w:rsidRPr="002D7A21">
        <w:rPr>
          <w:rFonts w:ascii="Times New Roman" w:hAnsi="Times New Roman" w:cs="Times New Roman"/>
          <w:sz w:val="28"/>
          <w:szCs w:val="28"/>
        </w:rPr>
        <w:t xml:space="preserve"> for the truck rental was not reimbursed, though the other</w:t>
      </w:r>
      <w:r w:rsidR="002D7A21">
        <w:rPr>
          <w:rFonts w:ascii="Times New Roman" w:hAnsi="Times New Roman" w:cs="Times New Roman"/>
          <w:sz w:val="28"/>
          <w:szCs w:val="28"/>
        </w:rPr>
        <w:t xml:space="preserve"> expenses</w:t>
      </w:r>
      <w:r w:rsidR="002C73AC" w:rsidRPr="002D7A21">
        <w:rPr>
          <w:rFonts w:ascii="Times New Roman" w:hAnsi="Times New Roman" w:cs="Times New Roman"/>
          <w:sz w:val="28"/>
          <w:szCs w:val="28"/>
        </w:rPr>
        <w:t xml:space="preserve"> were.  Ryland was told he was not entitled to a vehicle allowance under the collective agreement</w:t>
      </w:r>
      <w:r w:rsidRPr="002D7A21">
        <w:rPr>
          <w:rFonts w:ascii="Times New Roman" w:hAnsi="Times New Roman" w:cs="Times New Roman"/>
          <w:sz w:val="28"/>
          <w:szCs w:val="28"/>
        </w:rPr>
        <w:t xml:space="preserve"> and he was denied payment </w:t>
      </w:r>
      <w:r w:rsidR="005771E0" w:rsidRPr="002D7A21">
        <w:rPr>
          <w:rFonts w:ascii="Times New Roman" w:hAnsi="Times New Roman" w:cs="Times New Roman"/>
          <w:sz w:val="28"/>
          <w:szCs w:val="28"/>
        </w:rPr>
        <w:t>for the invoice</w:t>
      </w:r>
      <w:r w:rsidR="002C73AC" w:rsidRPr="002D7A21">
        <w:rPr>
          <w:rFonts w:ascii="Times New Roman" w:hAnsi="Times New Roman" w:cs="Times New Roman"/>
          <w:sz w:val="28"/>
          <w:szCs w:val="28"/>
        </w:rPr>
        <w:t xml:space="preserve">; however, he was invited to submit a claim for </w:t>
      </w:r>
      <w:r w:rsidR="00647BD0">
        <w:rPr>
          <w:rFonts w:ascii="Times New Roman" w:hAnsi="Times New Roman" w:cs="Times New Roman"/>
          <w:sz w:val="28"/>
          <w:szCs w:val="28"/>
        </w:rPr>
        <w:t xml:space="preserve">a </w:t>
      </w:r>
      <w:r w:rsidR="002C73AC" w:rsidRPr="002D7A21">
        <w:rPr>
          <w:rFonts w:ascii="Times New Roman" w:hAnsi="Times New Roman" w:cs="Times New Roman"/>
          <w:sz w:val="28"/>
          <w:szCs w:val="28"/>
        </w:rPr>
        <w:t xml:space="preserve">kilometrage </w:t>
      </w:r>
      <w:r w:rsidR="00647BD0">
        <w:rPr>
          <w:rFonts w:ascii="Times New Roman" w:hAnsi="Times New Roman" w:cs="Times New Roman"/>
          <w:sz w:val="28"/>
          <w:szCs w:val="28"/>
        </w:rPr>
        <w:t xml:space="preserve">expense </w:t>
      </w:r>
      <w:r w:rsidR="002C73AC" w:rsidRPr="002D7A21">
        <w:rPr>
          <w:rFonts w:ascii="Times New Roman" w:hAnsi="Times New Roman" w:cs="Times New Roman"/>
          <w:sz w:val="28"/>
          <w:szCs w:val="28"/>
        </w:rPr>
        <w:t xml:space="preserve">as compensation for the use of the truck. </w:t>
      </w:r>
      <w:r w:rsidR="00E67832">
        <w:rPr>
          <w:rFonts w:ascii="Times New Roman" w:hAnsi="Times New Roman" w:cs="Times New Roman"/>
          <w:sz w:val="28"/>
          <w:szCs w:val="28"/>
        </w:rPr>
        <w:t xml:space="preserve"> </w:t>
      </w:r>
      <w:r w:rsidR="002C73AC" w:rsidRPr="002D7A21">
        <w:rPr>
          <w:rFonts w:ascii="Times New Roman" w:hAnsi="Times New Roman" w:cs="Times New Roman"/>
          <w:sz w:val="28"/>
          <w:szCs w:val="28"/>
        </w:rPr>
        <w:t>Ryland declined to do so.</w:t>
      </w:r>
    </w:p>
    <w:p w14:paraId="3C4C76D5" w14:textId="77777777" w:rsidR="00126513" w:rsidRPr="00126513" w:rsidRDefault="00126513" w:rsidP="00126513">
      <w:pPr>
        <w:pStyle w:val="ListParagraph"/>
        <w:rPr>
          <w:rFonts w:ascii="Times New Roman" w:hAnsi="Times New Roman" w:cs="Times New Roman"/>
          <w:sz w:val="28"/>
          <w:szCs w:val="28"/>
        </w:rPr>
      </w:pPr>
    </w:p>
    <w:p w14:paraId="37744CF9" w14:textId="3ECFC143" w:rsidR="007B2BE0" w:rsidRPr="005C5D75" w:rsidRDefault="002C73AC" w:rsidP="005C5D75">
      <w:pPr>
        <w:pStyle w:val="ListParagraph"/>
        <w:numPr>
          <w:ilvl w:val="0"/>
          <w:numId w:val="10"/>
        </w:numPr>
        <w:spacing w:after="0" w:line="240" w:lineRule="auto"/>
        <w:jc w:val="both"/>
        <w:rPr>
          <w:rFonts w:ascii="Times New Roman" w:hAnsi="Times New Roman" w:cs="Times New Roman"/>
          <w:sz w:val="28"/>
          <w:szCs w:val="28"/>
        </w:rPr>
      </w:pPr>
      <w:r w:rsidRPr="005E3535">
        <w:rPr>
          <w:rFonts w:ascii="Times New Roman" w:hAnsi="Times New Roman" w:cs="Times New Roman"/>
          <w:sz w:val="28"/>
          <w:szCs w:val="28"/>
        </w:rPr>
        <w:lastRenderedPageBreak/>
        <w:t>Despite Ryland casting it as a commercial contract issue</w:t>
      </w:r>
      <w:r w:rsidR="003D0739">
        <w:rPr>
          <w:rFonts w:ascii="Times New Roman" w:hAnsi="Times New Roman" w:cs="Times New Roman"/>
          <w:sz w:val="28"/>
          <w:szCs w:val="28"/>
        </w:rPr>
        <w:t xml:space="preserve"> in his civil claim against the PSAC</w:t>
      </w:r>
      <w:r w:rsidRPr="005E3535">
        <w:rPr>
          <w:rFonts w:ascii="Times New Roman" w:hAnsi="Times New Roman" w:cs="Times New Roman"/>
          <w:sz w:val="28"/>
          <w:szCs w:val="28"/>
        </w:rPr>
        <w:t xml:space="preserve">, </w:t>
      </w:r>
      <w:r w:rsidR="005771E0" w:rsidRPr="005E3535">
        <w:rPr>
          <w:rFonts w:ascii="Times New Roman" w:hAnsi="Times New Roman" w:cs="Times New Roman"/>
          <w:sz w:val="28"/>
          <w:szCs w:val="28"/>
        </w:rPr>
        <w:t xml:space="preserve">it </w:t>
      </w:r>
      <w:r w:rsidR="003D1E2A">
        <w:rPr>
          <w:rFonts w:ascii="Times New Roman" w:hAnsi="Times New Roman" w:cs="Times New Roman"/>
          <w:sz w:val="28"/>
          <w:szCs w:val="28"/>
        </w:rPr>
        <w:t>i</w:t>
      </w:r>
      <w:r w:rsidR="005771E0" w:rsidRPr="005E3535">
        <w:rPr>
          <w:rFonts w:ascii="Times New Roman" w:hAnsi="Times New Roman" w:cs="Times New Roman"/>
          <w:sz w:val="28"/>
          <w:szCs w:val="28"/>
        </w:rPr>
        <w:t xml:space="preserve">s clear what is </w:t>
      </w:r>
      <w:r w:rsidRPr="005E3535">
        <w:rPr>
          <w:rFonts w:ascii="Times New Roman" w:hAnsi="Times New Roman" w:cs="Times New Roman"/>
          <w:sz w:val="28"/>
          <w:szCs w:val="28"/>
        </w:rPr>
        <w:t xml:space="preserve">at the </w:t>
      </w:r>
      <w:r w:rsidR="007B2BE0">
        <w:rPr>
          <w:rFonts w:ascii="Times New Roman" w:hAnsi="Times New Roman" w:cs="Times New Roman"/>
          <w:sz w:val="28"/>
          <w:szCs w:val="28"/>
        </w:rPr>
        <w:t xml:space="preserve">heart </w:t>
      </w:r>
      <w:r w:rsidRPr="005E3535">
        <w:rPr>
          <w:rFonts w:ascii="Times New Roman" w:hAnsi="Times New Roman" w:cs="Times New Roman"/>
          <w:sz w:val="28"/>
          <w:szCs w:val="28"/>
        </w:rPr>
        <w:t>of this dispute</w:t>
      </w:r>
      <w:r w:rsidR="007B2BE0">
        <w:rPr>
          <w:rFonts w:ascii="Times New Roman" w:hAnsi="Times New Roman" w:cs="Times New Roman"/>
          <w:sz w:val="28"/>
          <w:szCs w:val="28"/>
        </w:rPr>
        <w:t xml:space="preserve"> – its essential character -</w:t>
      </w:r>
      <w:r w:rsidRPr="005E3535">
        <w:rPr>
          <w:rFonts w:ascii="Times New Roman" w:hAnsi="Times New Roman" w:cs="Times New Roman"/>
          <w:sz w:val="28"/>
          <w:szCs w:val="28"/>
        </w:rPr>
        <w:t xml:space="preserve"> is </w:t>
      </w:r>
      <w:r w:rsidR="007B2BE0">
        <w:rPr>
          <w:rFonts w:ascii="Times New Roman" w:hAnsi="Times New Roman" w:cs="Times New Roman"/>
          <w:sz w:val="28"/>
          <w:szCs w:val="28"/>
        </w:rPr>
        <w:t>Ryland’s</w:t>
      </w:r>
      <w:r w:rsidRPr="005E3535">
        <w:rPr>
          <w:rFonts w:ascii="Times New Roman" w:hAnsi="Times New Roman" w:cs="Times New Roman"/>
          <w:sz w:val="28"/>
          <w:szCs w:val="28"/>
        </w:rPr>
        <w:t xml:space="preserve"> desire to be compensated for the use of his personal vehicle in the course of work performed for his employer</w:t>
      </w:r>
      <w:r w:rsidR="001B6E30" w:rsidRPr="005E3535">
        <w:rPr>
          <w:rFonts w:ascii="Times New Roman" w:hAnsi="Times New Roman" w:cs="Times New Roman"/>
          <w:sz w:val="28"/>
          <w:szCs w:val="28"/>
        </w:rPr>
        <w:t>, including the amount of that compensation</w:t>
      </w:r>
      <w:r w:rsidRPr="005E3535">
        <w:rPr>
          <w:rFonts w:ascii="Times New Roman" w:hAnsi="Times New Roman" w:cs="Times New Roman"/>
          <w:sz w:val="28"/>
          <w:szCs w:val="28"/>
        </w:rPr>
        <w:t>.</w:t>
      </w:r>
      <w:r w:rsidR="0053220A" w:rsidRPr="005E3535">
        <w:rPr>
          <w:rFonts w:ascii="Times New Roman" w:hAnsi="Times New Roman" w:cs="Times New Roman"/>
          <w:sz w:val="28"/>
          <w:szCs w:val="28"/>
        </w:rPr>
        <w:t xml:space="preserve"> </w:t>
      </w:r>
      <w:r w:rsidR="00E67832">
        <w:rPr>
          <w:rFonts w:ascii="Times New Roman" w:hAnsi="Times New Roman" w:cs="Times New Roman"/>
          <w:sz w:val="28"/>
          <w:szCs w:val="28"/>
        </w:rPr>
        <w:t xml:space="preserve"> </w:t>
      </w:r>
      <w:r w:rsidR="0053220A" w:rsidRPr="005E3535">
        <w:rPr>
          <w:rFonts w:ascii="Times New Roman" w:hAnsi="Times New Roman" w:cs="Times New Roman"/>
          <w:sz w:val="28"/>
          <w:szCs w:val="28"/>
        </w:rPr>
        <w:t xml:space="preserve">This falls squarely within </w:t>
      </w:r>
      <w:r w:rsidR="0085079A">
        <w:rPr>
          <w:rFonts w:ascii="Times New Roman" w:hAnsi="Times New Roman" w:cs="Times New Roman"/>
          <w:sz w:val="28"/>
          <w:szCs w:val="28"/>
        </w:rPr>
        <w:t xml:space="preserve">ambit of </w:t>
      </w:r>
      <w:r w:rsidR="0053220A" w:rsidRPr="005E3535">
        <w:rPr>
          <w:rFonts w:ascii="Times New Roman" w:hAnsi="Times New Roman" w:cs="Times New Roman"/>
          <w:sz w:val="28"/>
          <w:szCs w:val="28"/>
        </w:rPr>
        <w:t>collective agreement</w:t>
      </w:r>
      <w:r w:rsidR="0085079A">
        <w:rPr>
          <w:rFonts w:ascii="Times New Roman" w:hAnsi="Times New Roman" w:cs="Times New Roman"/>
          <w:sz w:val="28"/>
          <w:szCs w:val="28"/>
        </w:rPr>
        <w:t xml:space="preserve">, which addresses expressly </w:t>
      </w:r>
      <w:r w:rsidR="00CE4812" w:rsidRPr="005E3535">
        <w:rPr>
          <w:rFonts w:ascii="Times New Roman" w:hAnsi="Times New Roman" w:cs="Times New Roman"/>
          <w:sz w:val="28"/>
          <w:szCs w:val="28"/>
        </w:rPr>
        <w:t>expense claims</w:t>
      </w:r>
      <w:r w:rsidR="003D1E2A">
        <w:rPr>
          <w:rFonts w:ascii="Times New Roman" w:hAnsi="Times New Roman" w:cs="Times New Roman"/>
          <w:sz w:val="28"/>
          <w:szCs w:val="28"/>
        </w:rPr>
        <w:t xml:space="preserve"> as well as</w:t>
      </w:r>
      <w:r w:rsidR="00CE4812" w:rsidRPr="005E3535">
        <w:rPr>
          <w:rFonts w:ascii="Times New Roman" w:hAnsi="Times New Roman" w:cs="Times New Roman"/>
          <w:sz w:val="28"/>
          <w:szCs w:val="28"/>
        </w:rPr>
        <w:t xml:space="preserve"> travel by way of personal vehicle for employer business.</w:t>
      </w:r>
      <w:r w:rsidR="00E67832" w:rsidRPr="005C5D75">
        <w:rPr>
          <w:rFonts w:ascii="Times New Roman" w:hAnsi="Times New Roman" w:cs="Times New Roman"/>
          <w:sz w:val="28"/>
          <w:szCs w:val="28"/>
        </w:rPr>
        <w:t xml:space="preserve"> </w:t>
      </w:r>
      <w:r w:rsidR="00D31DF1" w:rsidRPr="005C5D75">
        <w:rPr>
          <w:rFonts w:ascii="Times New Roman" w:hAnsi="Times New Roman" w:cs="Times New Roman"/>
          <w:sz w:val="28"/>
          <w:szCs w:val="28"/>
        </w:rPr>
        <w:t xml:space="preserve"> </w:t>
      </w:r>
      <w:r w:rsidR="001B6E30" w:rsidRPr="005C5D75">
        <w:rPr>
          <w:rFonts w:ascii="Times New Roman" w:hAnsi="Times New Roman" w:cs="Times New Roman"/>
          <w:sz w:val="28"/>
          <w:szCs w:val="28"/>
        </w:rPr>
        <w:t>It may be Ryland</w:t>
      </w:r>
      <w:r w:rsidR="003D1E2A" w:rsidRPr="005C5D75">
        <w:rPr>
          <w:rFonts w:ascii="Times New Roman" w:hAnsi="Times New Roman" w:cs="Times New Roman"/>
          <w:sz w:val="28"/>
          <w:szCs w:val="28"/>
        </w:rPr>
        <w:t xml:space="preserve">’s truck rental invoice is not considered a legitimate expense and it is possible he will not </w:t>
      </w:r>
      <w:r w:rsidR="001B6E30" w:rsidRPr="005C5D75">
        <w:rPr>
          <w:rFonts w:ascii="Times New Roman" w:hAnsi="Times New Roman" w:cs="Times New Roman"/>
          <w:sz w:val="28"/>
          <w:szCs w:val="28"/>
        </w:rPr>
        <w:t>be compensated for what he has claimed in the invoice he created and submitted.  Th</w:t>
      </w:r>
      <w:r w:rsidR="003D1E2A" w:rsidRPr="005C5D75">
        <w:rPr>
          <w:rFonts w:ascii="Times New Roman" w:hAnsi="Times New Roman" w:cs="Times New Roman"/>
          <w:sz w:val="28"/>
          <w:szCs w:val="28"/>
        </w:rPr>
        <w:t xml:space="preserve">ese possibilities do not change </w:t>
      </w:r>
      <w:r w:rsidR="001B6E30" w:rsidRPr="005C5D75">
        <w:rPr>
          <w:rFonts w:ascii="Times New Roman" w:hAnsi="Times New Roman" w:cs="Times New Roman"/>
          <w:sz w:val="28"/>
          <w:szCs w:val="28"/>
        </w:rPr>
        <w:t>the essential character of the dispute</w:t>
      </w:r>
      <w:r w:rsidR="003D1E2A" w:rsidRPr="005C5D75">
        <w:rPr>
          <w:rFonts w:ascii="Times New Roman" w:hAnsi="Times New Roman" w:cs="Times New Roman"/>
          <w:sz w:val="28"/>
          <w:szCs w:val="28"/>
        </w:rPr>
        <w:t xml:space="preserve">, which is whether Ryland is entitled to compensation in the circumstances and if so, to what extent. </w:t>
      </w:r>
    </w:p>
    <w:p w14:paraId="03B9C759" w14:textId="77777777" w:rsidR="00835D07" w:rsidRPr="00835D07" w:rsidRDefault="00835D07" w:rsidP="00835D07">
      <w:pPr>
        <w:pStyle w:val="ListParagraph"/>
        <w:rPr>
          <w:rFonts w:ascii="Times New Roman" w:hAnsi="Times New Roman" w:cs="Times New Roman"/>
          <w:sz w:val="28"/>
          <w:szCs w:val="28"/>
        </w:rPr>
      </w:pPr>
    </w:p>
    <w:p w14:paraId="09216179" w14:textId="77777777" w:rsidR="00835D07" w:rsidRPr="00835D07" w:rsidRDefault="00835D07" w:rsidP="00835D0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60A52503" w14:textId="77777777" w:rsidR="000F614C" w:rsidRPr="000F614C" w:rsidRDefault="000F614C" w:rsidP="000F614C">
      <w:pPr>
        <w:pStyle w:val="ListParagraph"/>
        <w:rPr>
          <w:rFonts w:ascii="Times New Roman" w:hAnsi="Times New Roman" w:cs="Times New Roman"/>
          <w:sz w:val="28"/>
          <w:szCs w:val="28"/>
        </w:rPr>
      </w:pPr>
    </w:p>
    <w:p w14:paraId="3A89DDED" w14:textId="77777777" w:rsidR="00CD1696" w:rsidRDefault="000F614C" w:rsidP="00E26C93">
      <w:pPr>
        <w:pStyle w:val="ListParagraph"/>
        <w:numPr>
          <w:ilvl w:val="0"/>
          <w:numId w:val="10"/>
        </w:numPr>
        <w:spacing w:after="0" w:line="240" w:lineRule="auto"/>
        <w:jc w:val="both"/>
        <w:rPr>
          <w:rFonts w:ascii="Times New Roman" w:hAnsi="Times New Roman" w:cs="Times New Roman"/>
          <w:sz w:val="28"/>
          <w:szCs w:val="28"/>
        </w:rPr>
      </w:pPr>
      <w:r w:rsidRPr="000F614C">
        <w:rPr>
          <w:rFonts w:ascii="Times New Roman" w:hAnsi="Times New Roman" w:cs="Times New Roman"/>
          <w:sz w:val="28"/>
          <w:szCs w:val="28"/>
        </w:rPr>
        <w:t>The essential character of the dispute between Ryland and the PSAC</w:t>
      </w:r>
      <w:r w:rsidR="00835D07">
        <w:rPr>
          <w:rFonts w:ascii="Times New Roman" w:hAnsi="Times New Roman" w:cs="Times New Roman"/>
          <w:sz w:val="28"/>
          <w:szCs w:val="28"/>
        </w:rPr>
        <w:t xml:space="preserve"> </w:t>
      </w:r>
      <w:r w:rsidRPr="000F614C">
        <w:rPr>
          <w:rFonts w:ascii="Times New Roman" w:hAnsi="Times New Roman" w:cs="Times New Roman"/>
          <w:sz w:val="28"/>
          <w:szCs w:val="28"/>
        </w:rPr>
        <w:t>falls within the ambit of the collective agreement</w:t>
      </w:r>
      <w:r>
        <w:rPr>
          <w:rFonts w:ascii="Times New Roman" w:hAnsi="Times New Roman" w:cs="Times New Roman"/>
          <w:sz w:val="28"/>
          <w:szCs w:val="28"/>
        </w:rPr>
        <w:t xml:space="preserve">.  </w:t>
      </w:r>
      <w:r w:rsidR="00835D07">
        <w:rPr>
          <w:rFonts w:ascii="Times New Roman" w:hAnsi="Times New Roman" w:cs="Times New Roman"/>
          <w:sz w:val="28"/>
          <w:szCs w:val="28"/>
        </w:rPr>
        <w:t xml:space="preserve">Therefore, its </w:t>
      </w:r>
      <w:r>
        <w:rPr>
          <w:rFonts w:ascii="Times New Roman" w:hAnsi="Times New Roman" w:cs="Times New Roman"/>
          <w:sz w:val="28"/>
          <w:szCs w:val="28"/>
        </w:rPr>
        <w:t xml:space="preserve">resolution is within the exclusive jurisdiction on an arbitrator. </w:t>
      </w:r>
      <w:r w:rsidR="00835D07">
        <w:rPr>
          <w:rFonts w:ascii="Times New Roman" w:hAnsi="Times New Roman" w:cs="Times New Roman"/>
          <w:sz w:val="28"/>
          <w:szCs w:val="28"/>
        </w:rPr>
        <w:t xml:space="preserve"> </w:t>
      </w:r>
    </w:p>
    <w:p w14:paraId="56138DE9" w14:textId="77777777" w:rsidR="00CD1696" w:rsidRDefault="00CD1696" w:rsidP="00CD1696">
      <w:pPr>
        <w:pStyle w:val="ListParagraph"/>
        <w:spacing w:after="0" w:line="240" w:lineRule="auto"/>
        <w:ind w:left="0"/>
        <w:jc w:val="both"/>
        <w:rPr>
          <w:rFonts w:ascii="Times New Roman" w:hAnsi="Times New Roman" w:cs="Times New Roman"/>
          <w:sz w:val="28"/>
          <w:szCs w:val="28"/>
        </w:rPr>
      </w:pPr>
    </w:p>
    <w:p w14:paraId="4738020E" w14:textId="77777777" w:rsidR="00835D07" w:rsidRDefault="00835D07" w:rsidP="00E26C9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appeal is therefore granted.</w:t>
      </w:r>
      <w:r w:rsidR="00E67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CD1696">
        <w:rPr>
          <w:rFonts w:ascii="Times New Roman" w:hAnsi="Times New Roman" w:cs="Times New Roman"/>
          <w:sz w:val="28"/>
          <w:szCs w:val="28"/>
        </w:rPr>
        <w:t>There will be an order dismissing Ryland’s claim against the PSAC.</w:t>
      </w:r>
      <w:r>
        <w:rPr>
          <w:rFonts w:ascii="Times New Roman" w:hAnsi="Times New Roman" w:cs="Times New Roman"/>
          <w:sz w:val="28"/>
          <w:szCs w:val="28"/>
        </w:rPr>
        <w:t xml:space="preserve"> </w:t>
      </w:r>
    </w:p>
    <w:p w14:paraId="4AB3A7D4" w14:textId="77777777" w:rsidR="00835D07" w:rsidRDefault="00835D07" w:rsidP="00835D07">
      <w:pPr>
        <w:pStyle w:val="ListParagraph"/>
        <w:spacing w:after="0" w:line="240" w:lineRule="auto"/>
        <w:ind w:left="0"/>
        <w:jc w:val="both"/>
        <w:rPr>
          <w:rFonts w:ascii="Times New Roman" w:hAnsi="Times New Roman" w:cs="Times New Roman"/>
          <w:sz w:val="28"/>
          <w:szCs w:val="28"/>
        </w:rPr>
      </w:pPr>
    </w:p>
    <w:p w14:paraId="693A5A90" w14:textId="77777777" w:rsidR="004B51F6" w:rsidRPr="0032647A" w:rsidRDefault="00835D07" w:rsidP="00835D0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PSAC shall have its costs.</w:t>
      </w:r>
    </w:p>
    <w:p w14:paraId="7EB12B63" w14:textId="77777777" w:rsidR="00835D07"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p>
    <w:p w14:paraId="6DDA7670" w14:textId="77777777" w:rsidR="00835D07" w:rsidRDefault="00835D07"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p>
    <w:p w14:paraId="70FEA217" w14:textId="77777777" w:rsidR="00E67832" w:rsidRDefault="00E67832"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p>
    <w:p w14:paraId="739D52D9" w14:textId="77777777" w:rsidR="00455003" w:rsidRPr="00455003" w:rsidRDefault="00835D07"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14:paraId="758050D4"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14:paraId="56A9DAE9" w14:textId="77777777" w:rsidR="00455003" w:rsidRPr="00455003" w:rsidRDefault="00455003" w:rsidP="00455003">
      <w:pPr>
        <w:spacing w:after="0" w:line="240" w:lineRule="auto"/>
        <w:rPr>
          <w:rFonts w:ascii="Times New Roman" w:hAnsi="Times New Roman" w:cs="Times New Roman"/>
          <w:sz w:val="28"/>
          <w:szCs w:val="28"/>
        </w:rPr>
      </w:pPr>
    </w:p>
    <w:p w14:paraId="4D400D43" w14:textId="77777777"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2D499D68" w14:textId="2E78BEE8" w:rsidR="00455003" w:rsidRPr="00455003" w:rsidRDefault="0042700B"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th </w:t>
      </w:r>
      <w:r w:rsidR="009301F4">
        <w:rPr>
          <w:rFonts w:ascii="Times New Roman" w:hAnsi="Times New Roman" w:cs="Times New Roman"/>
          <w:sz w:val="28"/>
          <w:szCs w:val="28"/>
        </w:rPr>
        <w:t xml:space="preserve"> </w:t>
      </w:r>
      <w:r w:rsidR="00455003" w:rsidRPr="00455003">
        <w:rPr>
          <w:rFonts w:ascii="Times New Roman" w:hAnsi="Times New Roman" w:cs="Times New Roman"/>
          <w:sz w:val="28"/>
          <w:szCs w:val="28"/>
        </w:rPr>
        <w:t>day</w:t>
      </w:r>
      <w:proofErr w:type="gramEnd"/>
      <w:r w:rsidR="00455003" w:rsidRPr="00455003">
        <w:rPr>
          <w:rFonts w:ascii="Times New Roman" w:hAnsi="Times New Roman" w:cs="Times New Roman"/>
          <w:sz w:val="28"/>
          <w:szCs w:val="28"/>
        </w:rPr>
        <w:t xml:space="preserve"> of</w:t>
      </w:r>
      <w:r w:rsidR="003E5BBA">
        <w:rPr>
          <w:rFonts w:ascii="Times New Roman" w:hAnsi="Times New Roman" w:cs="Times New Roman"/>
          <w:sz w:val="28"/>
          <w:szCs w:val="28"/>
        </w:rPr>
        <w:t xml:space="preserve"> </w:t>
      </w:r>
      <w:r w:rsidR="00835D07">
        <w:rPr>
          <w:rFonts w:ascii="Times New Roman" w:hAnsi="Times New Roman" w:cs="Times New Roman"/>
          <w:sz w:val="28"/>
          <w:szCs w:val="28"/>
        </w:rPr>
        <w:t xml:space="preserve">January </w:t>
      </w:r>
      <w:r w:rsidR="003E5BBA">
        <w:rPr>
          <w:rFonts w:ascii="Times New Roman" w:hAnsi="Times New Roman" w:cs="Times New Roman"/>
          <w:sz w:val="28"/>
          <w:szCs w:val="28"/>
        </w:rPr>
        <w:t>202</w:t>
      </w:r>
      <w:r w:rsidR="00835D07">
        <w:rPr>
          <w:rFonts w:ascii="Times New Roman" w:hAnsi="Times New Roman" w:cs="Times New Roman"/>
          <w:sz w:val="28"/>
          <w:szCs w:val="28"/>
        </w:rPr>
        <w:t>3</w:t>
      </w:r>
    </w:p>
    <w:p w14:paraId="7C285EFE" w14:textId="77777777" w:rsidR="00455003" w:rsidRPr="00455003" w:rsidRDefault="00455003" w:rsidP="00455003">
      <w:pPr>
        <w:spacing w:after="0" w:line="240" w:lineRule="auto"/>
        <w:rPr>
          <w:rFonts w:ascii="Times New Roman" w:hAnsi="Times New Roman" w:cs="Times New Roman"/>
          <w:sz w:val="28"/>
          <w:szCs w:val="28"/>
        </w:rPr>
      </w:pPr>
    </w:p>
    <w:p w14:paraId="33D129AA" w14:textId="77777777"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A36735">
        <w:rPr>
          <w:rFonts w:ascii="Times New Roman" w:hAnsi="Times New Roman" w:cs="Times New Roman"/>
          <w:sz w:val="28"/>
          <w:szCs w:val="28"/>
        </w:rPr>
        <w:t>App</w:t>
      </w:r>
      <w:r w:rsidR="00835D07">
        <w:rPr>
          <w:rFonts w:ascii="Times New Roman" w:hAnsi="Times New Roman" w:cs="Times New Roman"/>
          <w:sz w:val="28"/>
          <w:szCs w:val="28"/>
        </w:rPr>
        <w:t>ellant</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A36735">
        <w:rPr>
          <w:rFonts w:ascii="Times New Roman" w:hAnsi="Times New Roman" w:cs="Times New Roman"/>
          <w:sz w:val="28"/>
          <w:szCs w:val="28"/>
        </w:rPr>
        <w:tab/>
      </w:r>
      <w:r w:rsidR="00A36735">
        <w:rPr>
          <w:rFonts w:ascii="Times New Roman" w:hAnsi="Times New Roman" w:cs="Times New Roman"/>
          <w:sz w:val="28"/>
          <w:szCs w:val="28"/>
        </w:rPr>
        <w:tab/>
      </w:r>
      <w:r w:rsidR="00464EA6">
        <w:rPr>
          <w:rFonts w:ascii="Times New Roman" w:hAnsi="Times New Roman" w:cs="Times New Roman"/>
          <w:sz w:val="28"/>
          <w:szCs w:val="28"/>
        </w:rPr>
        <w:tab/>
      </w:r>
      <w:r w:rsidR="00464EA6">
        <w:rPr>
          <w:rFonts w:ascii="Times New Roman" w:hAnsi="Times New Roman" w:cs="Times New Roman"/>
          <w:sz w:val="28"/>
          <w:szCs w:val="28"/>
        </w:rPr>
        <w:tab/>
      </w:r>
      <w:r w:rsidR="00835D07">
        <w:rPr>
          <w:rFonts w:ascii="Times New Roman" w:hAnsi="Times New Roman" w:cs="Times New Roman"/>
          <w:sz w:val="28"/>
          <w:szCs w:val="28"/>
        </w:rPr>
        <w:t>Teri Lynn Bougie</w:t>
      </w:r>
    </w:p>
    <w:p w14:paraId="7A382E1B" w14:textId="77777777"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584DA95C" w14:textId="77777777" w:rsidR="00707EAE" w:rsidRDefault="00DA1C18"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The Respondent</w:t>
      </w:r>
      <w:r w:rsidR="00835D07">
        <w:rPr>
          <w:rFonts w:ascii="Times New Roman" w:hAnsi="Times New Roman" w:cs="Times New Roman"/>
          <w:sz w:val="28"/>
          <w:szCs w:val="28"/>
        </w:rPr>
        <w:t xml:space="preserve"> </w:t>
      </w:r>
      <w:r>
        <w:rPr>
          <w:rFonts w:ascii="Times New Roman" w:hAnsi="Times New Roman" w:cs="Times New Roman"/>
          <w:sz w:val="28"/>
          <w:szCs w:val="28"/>
        </w:rPr>
        <w:t>was self-represented</w:t>
      </w:r>
      <w:r w:rsidR="00A36735">
        <w:rPr>
          <w:rFonts w:ascii="Times New Roman" w:hAnsi="Times New Roman" w:cs="Times New Roman"/>
          <w:sz w:val="28"/>
          <w:szCs w:val="28"/>
        </w:rPr>
        <w:tab/>
      </w:r>
    </w:p>
    <w:p w14:paraId="36670976" w14:textId="77777777" w:rsidR="00707EAE" w:rsidRPr="0032647A" w:rsidRDefault="00707EAE">
      <w:pPr>
        <w:rPr>
          <w:rFonts w:ascii="Times New Roman" w:hAnsi="Times New Roman" w:cs="Times New Roman"/>
          <w:sz w:val="28"/>
          <w:szCs w:val="28"/>
        </w:rPr>
        <w:sectPr w:rsidR="00707EAE" w:rsidRPr="0032647A" w:rsidSect="003F3AC9">
          <w:headerReference w:type="first" r:id="rId15"/>
          <w:pgSz w:w="12240" w:h="15840"/>
          <w:pgMar w:top="1440" w:right="1440" w:bottom="1440" w:left="1440" w:header="720" w:footer="720" w:gutter="0"/>
          <w:pgNumType w:start="3"/>
          <w:cols w:space="720"/>
          <w:titlePg/>
          <w:docGrid w:linePitch="360"/>
        </w:sectPr>
      </w:pPr>
      <w:r w:rsidRPr="0032647A">
        <w:rPr>
          <w:rFonts w:ascii="Times New Roman" w:hAnsi="Times New Roman" w:cs="Times New Roman"/>
          <w:sz w:val="28"/>
          <w:szCs w:val="28"/>
        </w:rPr>
        <w:br w:type="page"/>
      </w:r>
    </w:p>
    <w:p w14:paraId="29E2C1F2" w14:textId="77777777" w:rsidR="00707EAE" w:rsidRPr="005A45CD" w:rsidRDefault="00707EAE" w:rsidP="005A45CD"/>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0CA2C028" w14:textId="77777777" w:rsidTr="00707EAE">
        <w:tc>
          <w:tcPr>
            <w:tcW w:w="6408" w:type="dxa"/>
          </w:tcPr>
          <w:p w14:paraId="7B371EBA" w14:textId="77777777" w:rsidR="00707EAE" w:rsidRPr="0032647A" w:rsidRDefault="00562423" w:rsidP="00B2366F">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1-CV-2022 000082</w:t>
            </w:r>
          </w:p>
        </w:tc>
      </w:tr>
      <w:tr w:rsidR="00707EAE" w:rsidRPr="0032647A" w14:paraId="15E8DB54" w14:textId="77777777" w:rsidTr="00707EAE">
        <w:tc>
          <w:tcPr>
            <w:tcW w:w="6408" w:type="dxa"/>
          </w:tcPr>
          <w:p w14:paraId="5AB2784D" w14:textId="77777777" w:rsidR="00707EAE" w:rsidRPr="0032647A" w:rsidRDefault="00707EAE" w:rsidP="00707EAE">
            <w:pPr>
              <w:tabs>
                <w:tab w:val="center" w:pos="2784"/>
              </w:tabs>
              <w:jc w:val="center"/>
              <w:rPr>
                <w:rFonts w:ascii="Times New Roman" w:hAnsi="Times New Roman" w:cs="Times New Roman"/>
                <w:b/>
                <w:bCs/>
                <w:sz w:val="28"/>
                <w:szCs w:val="28"/>
                <w:lang w:val="en-GB"/>
              </w:rPr>
            </w:pPr>
          </w:p>
          <w:p w14:paraId="0BBDFD8A" w14:textId="77777777"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12B44943" w14:textId="77777777"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296B56AC" w14:textId="77777777" w:rsidR="00707EAE" w:rsidRPr="0032647A" w:rsidRDefault="00707EAE" w:rsidP="00707EAE">
            <w:pPr>
              <w:pStyle w:val="NoSpacing"/>
              <w:rPr>
                <w:rFonts w:ascii="Times New Roman" w:hAnsi="Times New Roman" w:cs="Times New Roman"/>
                <w:sz w:val="28"/>
                <w:szCs w:val="28"/>
                <w:lang w:val="en-GB"/>
              </w:rPr>
            </w:pPr>
          </w:p>
        </w:tc>
      </w:tr>
      <w:tr w:rsidR="00707EAE" w:rsidRPr="0032647A" w14:paraId="45C05947" w14:textId="77777777" w:rsidTr="00707EAE">
        <w:tc>
          <w:tcPr>
            <w:tcW w:w="6408" w:type="dxa"/>
          </w:tcPr>
          <w:p w14:paraId="2132ED00" w14:textId="77777777" w:rsidR="003D1E2A" w:rsidRDefault="003D1E2A" w:rsidP="00835D07">
            <w:pPr>
              <w:rPr>
                <w:rFonts w:ascii="Times New Roman" w:hAnsi="Times New Roman" w:cs="Times New Roman"/>
                <w:b/>
                <w:sz w:val="28"/>
                <w:szCs w:val="28"/>
              </w:rPr>
            </w:pPr>
          </w:p>
          <w:p w14:paraId="39BAD76A" w14:textId="77777777" w:rsidR="00835D07" w:rsidRDefault="00835D07" w:rsidP="00835D07">
            <w:pPr>
              <w:rPr>
                <w:rFonts w:ascii="Times New Roman" w:hAnsi="Times New Roman" w:cs="Times New Roman"/>
                <w:b/>
                <w:sz w:val="28"/>
                <w:szCs w:val="28"/>
              </w:rPr>
            </w:pPr>
            <w:r>
              <w:rPr>
                <w:rFonts w:ascii="Times New Roman" w:hAnsi="Times New Roman" w:cs="Times New Roman"/>
                <w:b/>
                <w:sz w:val="28"/>
                <w:szCs w:val="28"/>
              </w:rPr>
              <w:t>BETWEEN:</w:t>
            </w:r>
          </w:p>
          <w:p w14:paraId="4FE6E31C" w14:textId="77777777" w:rsidR="00835D07" w:rsidRDefault="00835D07" w:rsidP="00835D07">
            <w:pPr>
              <w:rPr>
                <w:rFonts w:ascii="Times New Roman" w:hAnsi="Times New Roman" w:cs="Times New Roman"/>
                <w:b/>
                <w:sz w:val="28"/>
                <w:szCs w:val="28"/>
              </w:rPr>
            </w:pPr>
          </w:p>
          <w:p w14:paraId="67A38EB3" w14:textId="77777777" w:rsidR="00835D07" w:rsidRDefault="00835D07" w:rsidP="00835D07">
            <w:pPr>
              <w:jc w:val="center"/>
              <w:rPr>
                <w:rFonts w:ascii="Times New Roman" w:hAnsi="Times New Roman" w:cs="Times New Roman"/>
                <w:b/>
                <w:sz w:val="28"/>
                <w:szCs w:val="28"/>
              </w:rPr>
            </w:pPr>
            <w:r>
              <w:rPr>
                <w:rFonts w:ascii="Times New Roman" w:hAnsi="Times New Roman" w:cs="Times New Roman"/>
                <w:b/>
                <w:sz w:val="28"/>
                <w:szCs w:val="28"/>
              </w:rPr>
              <w:t>PUBLIC SERVICE ALLIANCE OF CANADA –</w:t>
            </w:r>
          </w:p>
          <w:p w14:paraId="08A64797" w14:textId="77777777" w:rsidR="00835D07" w:rsidRDefault="00835D07" w:rsidP="00835D07">
            <w:pPr>
              <w:jc w:val="center"/>
              <w:rPr>
                <w:rFonts w:ascii="Times New Roman" w:hAnsi="Times New Roman" w:cs="Times New Roman"/>
                <w:b/>
                <w:sz w:val="28"/>
                <w:szCs w:val="28"/>
              </w:rPr>
            </w:pPr>
            <w:r>
              <w:rPr>
                <w:rFonts w:ascii="Times New Roman" w:hAnsi="Times New Roman" w:cs="Times New Roman"/>
                <w:b/>
                <w:sz w:val="28"/>
                <w:szCs w:val="28"/>
              </w:rPr>
              <w:t>YELLOWKNIFE REGIONAL OFFICE</w:t>
            </w:r>
          </w:p>
          <w:p w14:paraId="6E15282C" w14:textId="77777777" w:rsidR="00562423" w:rsidRDefault="00562423" w:rsidP="00835D07">
            <w:pPr>
              <w:jc w:val="right"/>
              <w:rPr>
                <w:rFonts w:ascii="Times New Roman" w:hAnsi="Times New Roman" w:cs="Times New Roman"/>
                <w:b/>
                <w:sz w:val="28"/>
                <w:szCs w:val="28"/>
              </w:rPr>
            </w:pPr>
          </w:p>
          <w:p w14:paraId="3CB3024A" w14:textId="77777777" w:rsidR="00835D07" w:rsidRDefault="00835D07" w:rsidP="00835D07">
            <w:pPr>
              <w:jc w:val="right"/>
              <w:rPr>
                <w:rFonts w:ascii="Times New Roman" w:hAnsi="Times New Roman" w:cs="Times New Roman"/>
                <w:b/>
                <w:sz w:val="28"/>
                <w:szCs w:val="28"/>
              </w:rPr>
            </w:pPr>
            <w:r>
              <w:rPr>
                <w:rFonts w:ascii="Times New Roman" w:hAnsi="Times New Roman" w:cs="Times New Roman"/>
                <w:b/>
                <w:sz w:val="28"/>
                <w:szCs w:val="28"/>
              </w:rPr>
              <w:t>Appellant</w:t>
            </w:r>
          </w:p>
          <w:p w14:paraId="3A6BB6B6" w14:textId="77777777" w:rsidR="00835D07" w:rsidRDefault="00835D07" w:rsidP="00835D07">
            <w:pPr>
              <w:jc w:val="center"/>
              <w:rPr>
                <w:rFonts w:ascii="Times New Roman" w:hAnsi="Times New Roman" w:cs="Times New Roman"/>
                <w:b/>
                <w:sz w:val="28"/>
                <w:szCs w:val="28"/>
              </w:rPr>
            </w:pPr>
            <w:r>
              <w:rPr>
                <w:rFonts w:ascii="Times New Roman" w:hAnsi="Times New Roman" w:cs="Times New Roman"/>
                <w:b/>
                <w:sz w:val="28"/>
                <w:szCs w:val="28"/>
              </w:rPr>
              <w:t>-and-</w:t>
            </w:r>
          </w:p>
          <w:p w14:paraId="514D3830" w14:textId="77777777" w:rsidR="00835D07" w:rsidRDefault="00835D07" w:rsidP="00835D07">
            <w:pPr>
              <w:jc w:val="center"/>
              <w:rPr>
                <w:rFonts w:ascii="Times New Roman" w:hAnsi="Times New Roman" w:cs="Times New Roman"/>
                <w:b/>
                <w:sz w:val="28"/>
                <w:szCs w:val="28"/>
              </w:rPr>
            </w:pPr>
          </w:p>
          <w:p w14:paraId="1A715BA3" w14:textId="77777777" w:rsidR="00562423" w:rsidRDefault="00562423" w:rsidP="00835D07">
            <w:pPr>
              <w:jc w:val="center"/>
              <w:rPr>
                <w:rFonts w:ascii="Times New Roman" w:hAnsi="Times New Roman" w:cs="Times New Roman"/>
                <w:b/>
                <w:sz w:val="28"/>
                <w:szCs w:val="28"/>
              </w:rPr>
            </w:pPr>
          </w:p>
          <w:p w14:paraId="09D539A9" w14:textId="77777777" w:rsidR="00835D07" w:rsidRDefault="00835D07" w:rsidP="00835D07">
            <w:pPr>
              <w:jc w:val="center"/>
              <w:rPr>
                <w:rFonts w:ascii="Times New Roman" w:hAnsi="Times New Roman" w:cs="Times New Roman"/>
                <w:b/>
                <w:sz w:val="28"/>
                <w:szCs w:val="28"/>
              </w:rPr>
            </w:pPr>
            <w:r>
              <w:rPr>
                <w:rFonts w:ascii="Times New Roman" w:hAnsi="Times New Roman" w:cs="Times New Roman"/>
                <w:b/>
                <w:sz w:val="28"/>
                <w:szCs w:val="28"/>
              </w:rPr>
              <w:t>EVERT RYLAND</w:t>
            </w:r>
          </w:p>
          <w:p w14:paraId="5411B9C5" w14:textId="77777777" w:rsidR="00835D07" w:rsidRDefault="00835D07" w:rsidP="00835D07">
            <w:pPr>
              <w:jc w:val="right"/>
              <w:rPr>
                <w:rFonts w:ascii="Times New Roman" w:hAnsi="Times New Roman" w:cs="Times New Roman"/>
                <w:b/>
                <w:sz w:val="28"/>
                <w:szCs w:val="28"/>
              </w:rPr>
            </w:pPr>
            <w:r>
              <w:rPr>
                <w:rFonts w:ascii="Times New Roman" w:hAnsi="Times New Roman" w:cs="Times New Roman"/>
                <w:b/>
                <w:sz w:val="28"/>
                <w:szCs w:val="28"/>
              </w:rPr>
              <w:t>Respondent</w:t>
            </w:r>
          </w:p>
          <w:p w14:paraId="4710AF4E" w14:textId="77777777" w:rsidR="00562423" w:rsidRPr="00FF5FC8" w:rsidRDefault="00562423" w:rsidP="00835D07">
            <w:pPr>
              <w:jc w:val="right"/>
              <w:rPr>
                <w:rFonts w:ascii="Times New Roman" w:hAnsi="Times New Roman" w:cs="Times New Roman"/>
                <w:b/>
                <w:sz w:val="28"/>
                <w:szCs w:val="28"/>
              </w:rPr>
            </w:pPr>
          </w:p>
          <w:p w14:paraId="66221D06" w14:textId="77777777" w:rsidR="00707EAE" w:rsidRPr="0032647A" w:rsidRDefault="00707EAE" w:rsidP="00707EAE">
            <w:pPr>
              <w:rPr>
                <w:rFonts w:ascii="Times New Roman" w:hAnsi="Times New Roman" w:cs="Times New Roman"/>
                <w:sz w:val="28"/>
                <w:szCs w:val="28"/>
              </w:rPr>
            </w:pPr>
          </w:p>
        </w:tc>
      </w:tr>
      <w:tr w:rsidR="00707EAE" w:rsidRPr="0032647A" w14:paraId="47A0C51D" w14:textId="77777777" w:rsidTr="00707EAE">
        <w:tc>
          <w:tcPr>
            <w:tcW w:w="6408" w:type="dxa"/>
          </w:tcPr>
          <w:p w14:paraId="7F2DDA6C"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14:paraId="1D215513" w14:textId="77777777" w:rsidR="00707EAE" w:rsidRPr="0032647A" w:rsidRDefault="00EF7A22"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REASONS FOR</w:t>
            </w:r>
            <w:r w:rsidR="00707EAE" w:rsidRPr="0032647A">
              <w:rPr>
                <w:rFonts w:ascii="Times New Roman" w:hAnsi="Times New Roman" w:cs="Times New Roman"/>
                <w:sz w:val="28"/>
                <w:szCs w:val="28"/>
                <w:lang w:val="en-GB"/>
              </w:rPr>
              <w:t xml:space="preserve"> JUDGMENT OF</w:t>
            </w:r>
          </w:p>
          <w:p w14:paraId="22C98CDA"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14:paraId="292D3D98" w14:textId="77777777"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14:paraId="7DB6BBA7" w14:textId="77777777"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headerReference w:type="first" r:id="rId16"/>
          <w:pgSz w:w="12240" w:h="15840"/>
          <w:pgMar w:top="1440" w:right="810" w:bottom="1440" w:left="1440" w:header="720" w:footer="720" w:gutter="0"/>
          <w:cols w:space="720"/>
          <w:titlePg/>
          <w:docGrid w:linePitch="360"/>
        </w:sectPr>
      </w:pPr>
    </w:p>
    <w:p w14:paraId="6649F8DE" w14:textId="77777777"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7"/>
      <w:headerReference w:type="first" r:id="rId18"/>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D6A6" w14:textId="77777777" w:rsidR="00880614" w:rsidRDefault="00880614" w:rsidP="005B5B19">
      <w:pPr>
        <w:spacing w:after="0" w:line="240" w:lineRule="auto"/>
      </w:pPr>
      <w:r>
        <w:separator/>
      </w:r>
    </w:p>
  </w:endnote>
  <w:endnote w:type="continuationSeparator" w:id="0">
    <w:p w14:paraId="43C16302" w14:textId="77777777" w:rsidR="00880614" w:rsidRDefault="00880614"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803B" w14:textId="77777777" w:rsidR="00880614" w:rsidRDefault="00880614" w:rsidP="005B5B19">
      <w:pPr>
        <w:spacing w:after="0" w:line="240" w:lineRule="auto"/>
      </w:pPr>
      <w:r>
        <w:separator/>
      </w:r>
    </w:p>
  </w:footnote>
  <w:footnote w:type="continuationSeparator" w:id="0">
    <w:p w14:paraId="0A444EEA" w14:textId="77777777" w:rsidR="00880614" w:rsidRDefault="00880614"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5912" w14:textId="52A35E62" w:rsidR="00593E5D" w:rsidRPr="00593E5D" w:rsidRDefault="00593E5D">
    <w:pPr>
      <w:pStyle w:val="Header"/>
      <w:jc w:val="right"/>
      <w:rPr>
        <w:rFonts w:ascii="Times New Roman" w:hAnsi="Times New Roman" w:cs="Times New Roman"/>
        <w:sz w:val="24"/>
        <w:szCs w:val="24"/>
      </w:rPr>
    </w:pPr>
    <w:r w:rsidRPr="00593E5D">
      <w:rPr>
        <w:rFonts w:ascii="Times New Roman" w:hAnsi="Times New Roman" w:cs="Times New Roman"/>
        <w:sz w:val="24"/>
        <w:szCs w:val="24"/>
      </w:rPr>
      <w:t xml:space="preserve">Page:  </w:t>
    </w:r>
    <w:sdt>
      <w:sdtPr>
        <w:rPr>
          <w:rFonts w:ascii="Times New Roman" w:hAnsi="Times New Roman" w:cs="Times New Roman"/>
          <w:sz w:val="24"/>
          <w:szCs w:val="24"/>
        </w:rPr>
        <w:id w:val="526073050"/>
        <w:docPartObj>
          <w:docPartGallery w:val="Page Numbers (Top of Page)"/>
          <w:docPartUnique/>
        </w:docPartObj>
      </w:sdtPr>
      <w:sdtEndPr>
        <w:rPr>
          <w:noProof/>
        </w:rPr>
      </w:sdtEndPr>
      <w:sdtContent>
        <w:r w:rsidRPr="00593E5D">
          <w:rPr>
            <w:rFonts w:ascii="Times New Roman" w:hAnsi="Times New Roman" w:cs="Times New Roman"/>
            <w:sz w:val="24"/>
            <w:szCs w:val="24"/>
          </w:rPr>
          <w:fldChar w:fldCharType="begin"/>
        </w:r>
        <w:r w:rsidRPr="00593E5D">
          <w:rPr>
            <w:rFonts w:ascii="Times New Roman" w:hAnsi="Times New Roman" w:cs="Times New Roman"/>
            <w:sz w:val="24"/>
            <w:szCs w:val="24"/>
          </w:rPr>
          <w:instrText xml:space="preserve"> PAGE   \* MERGEFORMAT </w:instrText>
        </w:r>
        <w:r w:rsidRPr="00593E5D">
          <w:rPr>
            <w:rFonts w:ascii="Times New Roman" w:hAnsi="Times New Roman" w:cs="Times New Roman"/>
            <w:sz w:val="24"/>
            <w:szCs w:val="24"/>
          </w:rPr>
          <w:fldChar w:fldCharType="separate"/>
        </w:r>
        <w:r w:rsidR="00970779">
          <w:rPr>
            <w:rFonts w:ascii="Times New Roman" w:hAnsi="Times New Roman" w:cs="Times New Roman"/>
            <w:noProof/>
            <w:sz w:val="24"/>
            <w:szCs w:val="24"/>
          </w:rPr>
          <w:t>13</w:t>
        </w:r>
        <w:r w:rsidRPr="00593E5D">
          <w:rPr>
            <w:rFonts w:ascii="Times New Roman" w:hAnsi="Times New Roman" w:cs="Times New Roman"/>
            <w:noProof/>
            <w:sz w:val="24"/>
            <w:szCs w:val="24"/>
          </w:rPr>
          <w:fldChar w:fldCharType="end"/>
        </w:r>
      </w:sdtContent>
    </w:sdt>
  </w:p>
  <w:p w14:paraId="09E8B4A6" w14:textId="77777777" w:rsidR="00593E5D" w:rsidRDefault="0059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DC8D" w14:textId="5EEBE96C" w:rsidR="00593E5D" w:rsidRPr="00593E5D" w:rsidRDefault="00593E5D">
    <w:pPr>
      <w:pStyle w:val="Header"/>
      <w:jc w:val="right"/>
      <w:rPr>
        <w:rFonts w:ascii="Times New Roman" w:hAnsi="Times New Roman" w:cs="Times New Roman"/>
        <w:sz w:val="24"/>
        <w:szCs w:val="24"/>
      </w:rPr>
    </w:pPr>
    <w:r w:rsidRPr="00593E5D">
      <w:rPr>
        <w:rFonts w:ascii="Times New Roman" w:hAnsi="Times New Roman" w:cs="Times New Roman"/>
        <w:sz w:val="24"/>
        <w:szCs w:val="24"/>
      </w:rPr>
      <w:t xml:space="preserve">Page:  </w:t>
    </w:r>
    <w:sdt>
      <w:sdtPr>
        <w:rPr>
          <w:rFonts w:ascii="Times New Roman" w:hAnsi="Times New Roman" w:cs="Times New Roman"/>
          <w:sz w:val="24"/>
          <w:szCs w:val="24"/>
        </w:rPr>
        <w:id w:val="1330865986"/>
        <w:docPartObj>
          <w:docPartGallery w:val="Page Numbers (Top of Page)"/>
          <w:docPartUnique/>
        </w:docPartObj>
      </w:sdtPr>
      <w:sdtEndPr>
        <w:rPr>
          <w:noProof/>
        </w:rPr>
      </w:sdtEndPr>
      <w:sdtContent>
        <w:r w:rsidRPr="00593E5D">
          <w:rPr>
            <w:rFonts w:ascii="Times New Roman" w:hAnsi="Times New Roman" w:cs="Times New Roman"/>
            <w:sz w:val="24"/>
            <w:szCs w:val="24"/>
          </w:rPr>
          <w:fldChar w:fldCharType="begin"/>
        </w:r>
        <w:r w:rsidRPr="00593E5D">
          <w:rPr>
            <w:rFonts w:ascii="Times New Roman" w:hAnsi="Times New Roman" w:cs="Times New Roman"/>
            <w:sz w:val="24"/>
            <w:szCs w:val="24"/>
          </w:rPr>
          <w:instrText xml:space="preserve"> PAGE   \* MERGEFORMAT </w:instrText>
        </w:r>
        <w:r w:rsidRPr="00593E5D">
          <w:rPr>
            <w:rFonts w:ascii="Times New Roman" w:hAnsi="Times New Roman" w:cs="Times New Roman"/>
            <w:sz w:val="24"/>
            <w:szCs w:val="24"/>
          </w:rPr>
          <w:fldChar w:fldCharType="separate"/>
        </w:r>
        <w:r w:rsidR="00970779">
          <w:rPr>
            <w:rFonts w:ascii="Times New Roman" w:hAnsi="Times New Roman" w:cs="Times New Roman"/>
            <w:noProof/>
            <w:sz w:val="24"/>
            <w:szCs w:val="24"/>
          </w:rPr>
          <w:t>2</w:t>
        </w:r>
        <w:r w:rsidRPr="00593E5D">
          <w:rPr>
            <w:rFonts w:ascii="Times New Roman" w:hAnsi="Times New Roman" w:cs="Times New Roman"/>
            <w:noProof/>
            <w:sz w:val="24"/>
            <w:szCs w:val="24"/>
          </w:rPr>
          <w:fldChar w:fldCharType="end"/>
        </w:r>
      </w:sdtContent>
    </w:sdt>
  </w:p>
  <w:p w14:paraId="17F9B224" w14:textId="77777777" w:rsidR="00593E5D" w:rsidRDefault="00593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C96A" w14:textId="77777777" w:rsidR="00593E5D" w:rsidRPr="00593E5D" w:rsidRDefault="00593E5D">
    <w:pPr>
      <w:pStyle w:val="Header"/>
      <w:jc w:val="right"/>
      <w:rPr>
        <w:rFonts w:ascii="Times New Roman" w:hAnsi="Times New Roman" w:cs="Times New Roman"/>
        <w:sz w:val="24"/>
        <w:szCs w:val="24"/>
      </w:rPr>
    </w:pPr>
    <w:r w:rsidRPr="00593E5D">
      <w:rPr>
        <w:rFonts w:ascii="Times New Roman" w:hAnsi="Times New Roman" w:cs="Times New Roman"/>
        <w:sz w:val="24"/>
        <w:szCs w:val="24"/>
      </w:rPr>
      <w:t xml:space="preserve">Page:  </w:t>
    </w:r>
    <w:sdt>
      <w:sdtPr>
        <w:rPr>
          <w:rFonts w:ascii="Times New Roman" w:hAnsi="Times New Roman" w:cs="Times New Roman"/>
          <w:sz w:val="24"/>
          <w:szCs w:val="24"/>
        </w:rPr>
        <w:id w:val="-554245913"/>
        <w:docPartObj>
          <w:docPartGallery w:val="Page Numbers (Top of Page)"/>
          <w:docPartUnique/>
        </w:docPartObj>
      </w:sdtPr>
      <w:sdtEndPr>
        <w:rPr>
          <w:noProof/>
        </w:rPr>
      </w:sdtEndPr>
      <w:sdtContent>
        <w:r w:rsidRPr="00593E5D">
          <w:rPr>
            <w:rFonts w:ascii="Times New Roman" w:hAnsi="Times New Roman" w:cs="Times New Roman"/>
            <w:sz w:val="24"/>
            <w:szCs w:val="24"/>
          </w:rPr>
          <w:fldChar w:fldCharType="begin"/>
        </w:r>
        <w:r w:rsidRPr="00593E5D">
          <w:rPr>
            <w:rFonts w:ascii="Times New Roman" w:hAnsi="Times New Roman" w:cs="Times New Roman"/>
            <w:sz w:val="24"/>
            <w:szCs w:val="24"/>
          </w:rPr>
          <w:instrText xml:space="preserve"> PAGE   \* MERGEFORMAT </w:instrText>
        </w:r>
        <w:r w:rsidRPr="00593E5D">
          <w:rPr>
            <w:rFonts w:ascii="Times New Roman" w:hAnsi="Times New Roman" w:cs="Times New Roman"/>
            <w:sz w:val="24"/>
            <w:szCs w:val="24"/>
          </w:rPr>
          <w:fldChar w:fldCharType="separate"/>
        </w:r>
        <w:r w:rsidR="00970779">
          <w:rPr>
            <w:rFonts w:ascii="Times New Roman" w:hAnsi="Times New Roman" w:cs="Times New Roman"/>
            <w:noProof/>
            <w:sz w:val="24"/>
            <w:szCs w:val="24"/>
          </w:rPr>
          <w:t>3</w:t>
        </w:r>
        <w:r w:rsidRPr="00593E5D">
          <w:rPr>
            <w:rFonts w:ascii="Times New Roman" w:hAnsi="Times New Roman" w:cs="Times New Roman"/>
            <w:noProof/>
            <w:sz w:val="24"/>
            <w:szCs w:val="24"/>
          </w:rPr>
          <w:fldChar w:fldCharType="end"/>
        </w:r>
      </w:sdtContent>
    </w:sdt>
  </w:p>
  <w:p w14:paraId="1007C4F2" w14:textId="77777777" w:rsidR="00593E5D" w:rsidRDefault="00593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D1BE" w14:textId="77777777" w:rsidR="0042700B" w:rsidRDefault="0042700B" w:rsidP="005B5B19">
    <w:pPr>
      <w:pStyle w:val="Header"/>
      <w:tabs>
        <w:tab w:val="clea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2B6B" w14:textId="77777777" w:rsidR="00D95BE8" w:rsidRDefault="00D95BE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4A609D82" w14:textId="77777777" w:rsidR="00D95BE8" w:rsidRDefault="00D95B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3836" w14:textId="77777777" w:rsidR="00D95BE8" w:rsidRDefault="00D95BE8">
    <w:pPr>
      <w:pStyle w:val="Header"/>
      <w:jc w:val="right"/>
    </w:pPr>
  </w:p>
  <w:p w14:paraId="68002F61" w14:textId="77777777" w:rsidR="00D95BE8" w:rsidRDefault="00D95BE8"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36E"/>
    <w:multiLevelType w:val="hybridMultilevel"/>
    <w:tmpl w:val="BCB0380E"/>
    <w:lvl w:ilvl="0" w:tplc="C0BEBB04">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482A"/>
    <w:multiLevelType w:val="hybridMultilevel"/>
    <w:tmpl w:val="6A8870BC"/>
    <w:lvl w:ilvl="0" w:tplc="7092305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15924"/>
    <w:multiLevelType w:val="hybridMultilevel"/>
    <w:tmpl w:val="1042F822"/>
    <w:lvl w:ilvl="0" w:tplc="EFE2766A">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0A09"/>
    <w:multiLevelType w:val="multilevel"/>
    <w:tmpl w:val="76B4403C"/>
    <w:numStyleLink w:val="Style1"/>
  </w:abstractNum>
  <w:abstractNum w:abstractNumId="10" w15:restartNumberingAfterBreak="0">
    <w:nsid w:val="2EE959F7"/>
    <w:multiLevelType w:val="hybridMultilevel"/>
    <w:tmpl w:val="33B89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8A69DE"/>
    <w:multiLevelType w:val="hybridMultilevel"/>
    <w:tmpl w:val="8DCAE8A6"/>
    <w:lvl w:ilvl="0" w:tplc="F52E8394">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1441F"/>
    <w:multiLevelType w:val="multilevel"/>
    <w:tmpl w:val="76B4403C"/>
    <w:styleLink w:val="Style1"/>
    <w:lvl w:ilvl="0">
      <w:start w:val="1"/>
      <w:numFmt w:val="decimal"/>
      <w:lvlText w:val="[%1]"/>
      <w:lvlJc w:val="left"/>
      <w:pPr>
        <w:ind w:left="0" w:firstLine="0"/>
      </w:pPr>
      <w:rPr>
        <w:rFonts w:ascii="Times New Roman" w:hAnsi="Times New Roman" w:hint="default"/>
        <w:b w:val="0"/>
        <w:i w:val="0"/>
        <w:sz w:val="28"/>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EE084A"/>
    <w:multiLevelType w:val="hybridMultilevel"/>
    <w:tmpl w:val="B0A2A9F4"/>
    <w:lvl w:ilvl="0" w:tplc="C596B4FC">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E237D"/>
    <w:multiLevelType w:val="hybridMultilevel"/>
    <w:tmpl w:val="32487E0E"/>
    <w:lvl w:ilvl="0" w:tplc="862473D8">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174BB2"/>
    <w:multiLevelType w:val="hybridMultilevel"/>
    <w:tmpl w:val="84960928"/>
    <w:lvl w:ilvl="0" w:tplc="B478179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AF618C"/>
    <w:multiLevelType w:val="hybridMultilevel"/>
    <w:tmpl w:val="23108C9C"/>
    <w:lvl w:ilvl="0" w:tplc="2A6CEF46">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1C0212"/>
    <w:multiLevelType w:val="hybridMultilevel"/>
    <w:tmpl w:val="3D8C8CE0"/>
    <w:lvl w:ilvl="0" w:tplc="D778B178">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AF7F8D"/>
    <w:multiLevelType w:val="hybridMultilevel"/>
    <w:tmpl w:val="1D3604A0"/>
    <w:lvl w:ilvl="0" w:tplc="48881C16">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7F0C4F78"/>
    <w:multiLevelType w:val="hybridMultilevel"/>
    <w:tmpl w:val="575863D0"/>
    <w:lvl w:ilvl="0" w:tplc="245407C4">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0"/>
  </w:num>
  <w:num w:numId="5">
    <w:abstractNumId w:val="24"/>
  </w:num>
  <w:num w:numId="6">
    <w:abstractNumId w:val="3"/>
  </w:num>
  <w:num w:numId="7">
    <w:abstractNumId w:val="4"/>
  </w:num>
  <w:num w:numId="8">
    <w:abstractNumId w:val="2"/>
  </w:num>
  <w:num w:numId="9">
    <w:abstractNumId w:val="15"/>
  </w:num>
  <w:num w:numId="10">
    <w:abstractNumId w:val="9"/>
  </w:num>
  <w:num w:numId="11">
    <w:abstractNumId w:val="22"/>
  </w:num>
  <w:num w:numId="12">
    <w:abstractNumId w:val="7"/>
  </w:num>
  <w:num w:numId="13">
    <w:abstractNumId w:val="16"/>
  </w:num>
  <w:num w:numId="14">
    <w:abstractNumId w:val="18"/>
  </w:num>
  <w:num w:numId="15">
    <w:abstractNumId w:val="6"/>
  </w:num>
  <w:num w:numId="16">
    <w:abstractNumId w:val="21"/>
  </w:num>
  <w:num w:numId="17">
    <w:abstractNumId w:val="23"/>
  </w:num>
  <w:num w:numId="18">
    <w:abstractNumId w:val="1"/>
  </w:num>
  <w:num w:numId="19">
    <w:abstractNumId w:val="19"/>
  </w:num>
  <w:num w:numId="20">
    <w:abstractNumId w:val="11"/>
  </w:num>
  <w:num w:numId="21">
    <w:abstractNumId w:val="20"/>
  </w:num>
  <w:num w:numId="22">
    <w:abstractNumId w:val="8"/>
  </w:num>
  <w:num w:numId="23">
    <w:abstractNumId w:val="14"/>
  </w:num>
  <w:num w:numId="24">
    <w:abstractNumId w:val="2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2B7"/>
    <w:rsid w:val="0000296C"/>
    <w:rsid w:val="00010059"/>
    <w:rsid w:val="000111E8"/>
    <w:rsid w:val="0001699C"/>
    <w:rsid w:val="0002248D"/>
    <w:rsid w:val="000275FC"/>
    <w:rsid w:val="000408BD"/>
    <w:rsid w:val="00042BCE"/>
    <w:rsid w:val="0004448D"/>
    <w:rsid w:val="000459B9"/>
    <w:rsid w:val="00054310"/>
    <w:rsid w:val="00056613"/>
    <w:rsid w:val="0005687C"/>
    <w:rsid w:val="0006126C"/>
    <w:rsid w:val="0006292F"/>
    <w:rsid w:val="0006344A"/>
    <w:rsid w:val="00063A67"/>
    <w:rsid w:val="000658E1"/>
    <w:rsid w:val="00070CD5"/>
    <w:rsid w:val="000721C3"/>
    <w:rsid w:val="00074022"/>
    <w:rsid w:val="00074470"/>
    <w:rsid w:val="000812FA"/>
    <w:rsid w:val="0008684B"/>
    <w:rsid w:val="00086E43"/>
    <w:rsid w:val="00086EF8"/>
    <w:rsid w:val="000902FA"/>
    <w:rsid w:val="00092286"/>
    <w:rsid w:val="0009629C"/>
    <w:rsid w:val="00096A2A"/>
    <w:rsid w:val="000A02B6"/>
    <w:rsid w:val="000A1898"/>
    <w:rsid w:val="000A231B"/>
    <w:rsid w:val="000A35CC"/>
    <w:rsid w:val="000A6862"/>
    <w:rsid w:val="000A6A09"/>
    <w:rsid w:val="000A6A35"/>
    <w:rsid w:val="000B2A8C"/>
    <w:rsid w:val="000B4758"/>
    <w:rsid w:val="000C1FD4"/>
    <w:rsid w:val="000C4C1E"/>
    <w:rsid w:val="000D1917"/>
    <w:rsid w:val="000D24E0"/>
    <w:rsid w:val="000D5EF5"/>
    <w:rsid w:val="000E5036"/>
    <w:rsid w:val="000E5DEA"/>
    <w:rsid w:val="000E6F1A"/>
    <w:rsid w:val="000E6F59"/>
    <w:rsid w:val="000E7873"/>
    <w:rsid w:val="000F02DC"/>
    <w:rsid w:val="000F53DB"/>
    <w:rsid w:val="000F5CF0"/>
    <w:rsid w:val="000F614C"/>
    <w:rsid w:val="000F775C"/>
    <w:rsid w:val="00103D66"/>
    <w:rsid w:val="00107052"/>
    <w:rsid w:val="00113940"/>
    <w:rsid w:val="001139C8"/>
    <w:rsid w:val="001152B2"/>
    <w:rsid w:val="00115FB8"/>
    <w:rsid w:val="00120506"/>
    <w:rsid w:val="00121C8A"/>
    <w:rsid w:val="00126513"/>
    <w:rsid w:val="00126F0C"/>
    <w:rsid w:val="00127AA4"/>
    <w:rsid w:val="00132D5B"/>
    <w:rsid w:val="00132F8C"/>
    <w:rsid w:val="001338DF"/>
    <w:rsid w:val="00134ACA"/>
    <w:rsid w:val="001403CF"/>
    <w:rsid w:val="00142877"/>
    <w:rsid w:val="00151793"/>
    <w:rsid w:val="0015279B"/>
    <w:rsid w:val="00154197"/>
    <w:rsid w:val="0016176F"/>
    <w:rsid w:val="0016194C"/>
    <w:rsid w:val="00164112"/>
    <w:rsid w:val="0016786E"/>
    <w:rsid w:val="001738BB"/>
    <w:rsid w:val="00173A9B"/>
    <w:rsid w:val="00174C02"/>
    <w:rsid w:val="00182532"/>
    <w:rsid w:val="001827BC"/>
    <w:rsid w:val="00182C67"/>
    <w:rsid w:val="00185282"/>
    <w:rsid w:val="00187A9C"/>
    <w:rsid w:val="00191353"/>
    <w:rsid w:val="001922F6"/>
    <w:rsid w:val="00193DFC"/>
    <w:rsid w:val="00197AAE"/>
    <w:rsid w:val="00197B31"/>
    <w:rsid w:val="00197EC4"/>
    <w:rsid w:val="00197FC8"/>
    <w:rsid w:val="001A10E2"/>
    <w:rsid w:val="001A3CE0"/>
    <w:rsid w:val="001A59B1"/>
    <w:rsid w:val="001A6308"/>
    <w:rsid w:val="001B341D"/>
    <w:rsid w:val="001B3B3D"/>
    <w:rsid w:val="001B6E30"/>
    <w:rsid w:val="001B7074"/>
    <w:rsid w:val="001C1DCF"/>
    <w:rsid w:val="001D05C6"/>
    <w:rsid w:val="001D2FF9"/>
    <w:rsid w:val="001D42F6"/>
    <w:rsid w:val="001D4836"/>
    <w:rsid w:val="001D4D84"/>
    <w:rsid w:val="001D5A13"/>
    <w:rsid w:val="001D60FB"/>
    <w:rsid w:val="001D68A6"/>
    <w:rsid w:val="001D6D77"/>
    <w:rsid w:val="001D7C74"/>
    <w:rsid w:val="001E0F8F"/>
    <w:rsid w:val="001E15A6"/>
    <w:rsid w:val="001F1918"/>
    <w:rsid w:val="001F5970"/>
    <w:rsid w:val="001F59F4"/>
    <w:rsid w:val="001F6525"/>
    <w:rsid w:val="0020191C"/>
    <w:rsid w:val="00203808"/>
    <w:rsid w:val="0020469C"/>
    <w:rsid w:val="00205A56"/>
    <w:rsid w:val="00206343"/>
    <w:rsid w:val="0021180B"/>
    <w:rsid w:val="00211DEB"/>
    <w:rsid w:val="0021532F"/>
    <w:rsid w:val="0021690F"/>
    <w:rsid w:val="00224CA7"/>
    <w:rsid w:val="00225169"/>
    <w:rsid w:val="002258E7"/>
    <w:rsid w:val="00231B65"/>
    <w:rsid w:val="0023323D"/>
    <w:rsid w:val="0023366A"/>
    <w:rsid w:val="0023399C"/>
    <w:rsid w:val="002343B9"/>
    <w:rsid w:val="00237965"/>
    <w:rsid w:val="00241C03"/>
    <w:rsid w:val="002420CE"/>
    <w:rsid w:val="0024282C"/>
    <w:rsid w:val="00244314"/>
    <w:rsid w:val="00246419"/>
    <w:rsid w:val="00247E33"/>
    <w:rsid w:val="002543E7"/>
    <w:rsid w:val="0025649C"/>
    <w:rsid w:val="00263582"/>
    <w:rsid w:val="00263F93"/>
    <w:rsid w:val="0026495E"/>
    <w:rsid w:val="00265274"/>
    <w:rsid w:val="00274DA4"/>
    <w:rsid w:val="002767B1"/>
    <w:rsid w:val="00277274"/>
    <w:rsid w:val="00281021"/>
    <w:rsid w:val="0028426F"/>
    <w:rsid w:val="00285F86"/>
    <w:rsid w:val="00286E85"/>
    <w:rsid w:val="00291189"/>
    <w:rsid w:val="0029281C"/>
    <w:rsid w:val="002939DA"/>
    <w:rsid w:val="002A4396"/>
    <w:rsid w:val="002A52A5"/>
    <w:rsid w:val="002A5F39"/>
    <w:rsid w:val="002A664C"/>
    <w:rsid w:val="002A69E8"/>
    <w:rsid w:val="002A7F9F"/>
    <w:rsid w:val="002A7FD2"/>
    <w:rsid w:val="002B08ED"/>
    <w:rsid w:val="002B1299"/>
    <w:rsid w:val="002B5C72"/>
    <w:rsid w:val="002B73EC"/>
    <w:rsid w:val="002C58AC"/>
    <w:rsid w:val="002C73AC"/>
    <w:rsid w:val="002D0476"/>
    <w:rsid w:val="002D0E34"/>
    <w:rsid w:val="002D29DA"/>
    <w:rsid w:val="002D59FA"/>
    <w:rsid w:val="002D74C2"/>
    <w:rsid w:val="002D7A21"/>
    <w:rsid w:val="002D7E0E"/>
    <w:rsid w:val="002E0C9D"/>
    <w:rsid w:val="002E1376"/>
    <w:rsid w:val="002E1BA0"/>
    <w:rsid w:val="002E263C"/>
    <w:rsid w:val="002E33E1"/>
    <w:rsid w:val="002E37B9"/>
    <w:rsid w:val="002E397E"/>
    <w:rsid w:val="002E484F"/>
    <w:rsid w:val="002E4E96"/>
    <w:rsid w:val="002E57AB"/>
    <w:rsid w:val="002E5AAB"/>
    <w:rsid w:val="002E6F4B"/>
    <w:rsid w:val="002F0AE9"/>
    <w:rsid w:val="002F13E0"/>
    <w:rsid w:val="002F2158"/>
    <w:rsid w:val="002F21F4"/>
    <w:rsid w:val="002F2521"/>
    <w:rsid w:val="002F4F97"/>
    <w:rsid w:val="0030334C"/>
    <w:rsid w:val="00305F3A"/>
    <w:rsid w:val="00307964"/>
    <w:rsid w:val="003079CA"/>
    <w:rsid w:val="003138DE"/>
    <w:rsid w:val="003157D5"/>
    <w:rsid w:val="00321645"/>
    <w:rsid w:val="00322117"/>
    <w:rsid w:val="0032298A"/>
    <w:rsid w:val="0032647A"/>
    <w:rsid w:val="00332DAE"/>
    <w:rsid w:val="00333952"/>
    <w:rsid w:val="00334549"/>
    <w:rsid w:val="003418C3"/>
    <w:rsid w:val="0034463B"/>
    <w:rsid w:val="003508FB"/>
    <w:rsid w:val="00353A0E"/>
    <w:rsid w:val="00354416"/>
    <w:rsid w:val="00356447"/>
    <w:rsid w:val="003568E3"/>
    <w:rsid w:val="00356D3E"/>
    <w:rsid w:val="00362387"/>
    <w:rsid w:val="00364F1F"/>
    <w:rsid w:val="0037122B"/>
    <w:rsid w:val="00372157"/>
    <w:rsid w:val="0037441E"/>
    <w:rsid w:val="00386F68"/>
    <w:rsid w:val="003878F3"/>
    <w:rsid w:val="00387E2F"/>
    <w:rsid w:val="0039061A"/>
    <w:rsid w:val="00394B6F"/>
    <w:rsid w:val="00397879"/>
    <w:rsid w:val="003A0ABD"/>
    <w:rsid w:val="003A3072"/>
    <w:rsid w:val="003A39D0"/>
    <w:rsid w:val="003B045A"/>
    <w:rsid w:val="003B0A8F"/>
    <w:rsid w:val="003B5E10"/>
    <w:rsid w:val="003C2C86"/>
    <w:rsid w:val="003C2D1E"/>
    <w:rsid w:val="003C334D"/>
    <w:rsid w:val="003C658D"/>
    <w:rsid w:val="003D0739"/>
    <w:rsid w:val="003D1E2A"/>
    <w:rsid w:val="003D319D"/>
    <w:rsid w:val="003D3E8C"/>
    <w:rsid w:val="003D436A"/>
    <w:rsid w:val="003D65EB"/>
    <w:rsid w:val="003E1A1F"/>
    <w:rsid w:val="003E4D7D"/>
    <w:rsid w:val="003E5BBA"/>
    <w:rsid w:val="003F0766"/>
    <w:rsid w:val="003F2B8B"/>
    <w:rsid w:val="003F3AC9"/>
    <w:rsid w:val="003F45FB"/>
    <w:rsid w:val="003F4952"/>
    <w:rsid w:val="003F7C74"/>
    <w:rsid w:val="00400B1D"/>
    <w:rsid w:val="00403527"/>
    <w:rsid w:val="004061D8"/>
    <w:rsid w:val="00407201"/>
    <w:rsid w:val="00415C64"/>
    <w:rsid w:val="00416B95"/>
    <w:rsid w:val="00420350"/>
    <w:rsid w:val="00423626"/>
    <w:rsid w:val="00425AF6"/>
    <w:rsid w:val="0042700B"/>
    <w:rsid w:val="00427822"/>
    <w:rsid w:val="00430BA2"/>
    <w:rsid w:val="00435EA3"/>
    <w:rsid w:val="00435FD5"/>
    <w:rsid w:val="004401E0"/>
    <w:rsid w:val="00443ECB"/>
    <w:rsid w:val="00446E02"/>
    <w:rsid w:val="004507B2"/>
    <w:rsid w:val="004525BE"/>
    <w:rsid w:val="00453DF9"/>
    <w:rsid w:val="00455003"/>
    <w:rsid w:val="00455DBB"/>
    <w:rsid w:val="0046366D"/>
    <w:rsid w:val="00463D5E"/>
    <w:rsid w:val="00464EA6"/>
    <w:rsid w:val="00466B42"/>
    <w:rsid w:val="004717C2"/>
    <w:rsid w:val="004729A8"/>
    <w:rsid w:val="004731CC"/>
    <w:rsid w:val="00475587"/>
    <w:rsid w:val="00481216"/>
    <w:rsid w:val="00481F3E"/>
    <w:rsid w:val="00486F4A"/>
    <w:rsid w:val="00487AF0"/>
    <w:rsid w:val="0049477E"/>
    <w:rsid w:val="00494A00"/>
    <w:rsid w:val="00495CE4"/>
    <w:rsid w:val="004A14E6"/>
    <w:rsid w:val="004A2F34"/>
    <w:rsid w:val="004A56D3"/>
    <w:rsid w:val="004A7217"/>
    <w:rsid w:val="004A771A"/>
    <w:rsid w:val="004B1ED2"/>
    <w:rsid w:val="004B51F6"/>
    <w:rsid w:val="004B5E1C"/>
    <w:rsid w:val="004C241A"/>
    <w:rsid w:val="004C3E7C"/>
    <w:rsid w:val="004C5384"/>
    <w:rsid w:val="004C5A15"/>
    <w:rsid w:val="004C7212"/>
    <w:rsid w:val="004C7A03"/>
    <w:rsid w:val="004D0232"/>
    <w:rsid w:val="004D1517"/>
    <w:rsid w:val="004D29BF"/>
    <w:rsid w:val="004D3102"/>
    <w:rsid w:val="004D45E4"/>
    <w:rsid w:val="004D67C4"/>
    <w:rsid w:val="004E2D1F"/>
    <w:rsid w:val="004E34E7"/>
    <w:rsid w:val="004E3513"/>
    <w:rsid w:val="004E356C"/>
    <w:rsid w:val="004E4D6F"/>
    <w:rsid w:val="004E5F7D"/>
    <w:rsid w:val="004F0138"/>
    <w:rsid w:val="004F1B7E"/>
    <w:rsid w:val="004F225C"/>
    <w:rsid w:val="004F2D15"/>
    <w:rsid w:val="00501407"/>
    <w:rsid w:val="00503478"/>
    <w:rsid w:val="00503759"/>
    <w:rsid w:val="005072A8"/>
    <w:rsid w:val="00511141"/>
    <w:rsid w:val="00512C5E"/>
    <w:rsid w:val="005162D4"/>
    <w:rsid w:val="00516537"/>
    <w:rsid w:val="00516E46"/>
    <w:rsid w:val="005178D4"/>
    <w:rsid w:val="0052414C"/>
    <w:rsid w:val="00530689"/>
    <w:rsid w:val="0053220A"/>
    <w:rsid w:val="00533F06"/>
    <w:rsid w:val="0053438C"/>
    <w:rsid w:val="00535554"/>
    <w:rsid w:val="00540430"/>
    <w:rsid w:val="00541FD0"/>
    <w:rsid w:val="00544C15"/>
    <w:rsid w:val="00550DE8"/>
    <w:rsid w:val="00552D62"/>
    <w:rsid w:val="00553716"/>
    <w:rsid w:val="00556944"/>
    <w:rsid w:val="00556FA1"/>
    <w:rsid w:val="005609E6"/>
    <w:rsid w:val="00560E44"/>
    <w:rsid w:val="00562423"/>
    <w:rsid w:val="00565CA5"/>
    <w:rsid w:val="00566AAE"/>
    <w:rsid w:val="00573629"/>
    <w:rsid w:val="00574C4A"/>
    <w:rsid w:val="00576C40"/>
    <w:rsid w:val="005771E0"/>
    <w:rsid w:val="005772F0"/>
    <w:rsid w:val="005846D0"/>
    <w:rsid w:val="005846FF"/>
    <w:rsid w:val="00585638"/>
    <w:rsid w:val="00585759"/>
    <w:rsid w:val="00586A7F"/>
    <w:rsid w:val="00587A42"/>
    <w:rsid w:val="00592C8D"/>
    <w:rsid w:val="00593E5D"/>
    <w:rsid w:val="00597A40"/>
    <w:rsid w:val="005A071C"/>
    <w:rsid w:val="005A45CD"/>
    <w:rsid w:val="005A63FA"/>
    <w:rsid w:val="005B3F05"/>
    <w:rsid w:val="005B5B19"/>
    <w:rsid w:val="005C02CB"/>
    <w:rsid w:val="005C27F7"/>
    <w:rsid w:val="005C2D0C"/>
    <w:rsid w:val="005C4149"/>
    <w:rsid w:val="005C56F2"/>
    <w:rsid w:val="005C5D75"/>
    <w:rsid w:val="005D1500"/>
    <w:rsid w:val="005E3100"/>
    <w:rsid w:val="005E3207"/>
    <w:rsid w:val="005E3535"/>
    <w:rsid w:val="005E4F16"/>
    <w:rsid w:val="005E56A1"/>
    <w:rsid w:val="005E6DB2"/>
    <w:rsid w:val="005E76CB"/>
    <w:rsid w:val="005F0148"/>
    <w:rsid w:val="005F27B3"/>
    <w:rsid w:val="00601BAB"/>
    <w:rsid w:val="00602A52"/>
    <w:rsid w:val="00604F40"/>
    <w:rsid w:val="00610667"/>
    <w:rsid w:val="00613DD4"/>
    <w:rsid w:val="00614806"/>
    <w:rsid w:val="00614D16"/>
    <w:rsid w:val="006153F5"/>
    <w:rsid w:val="00616043"/>
    <w:rsid w:val="00616FFA"/>
    <w:rsid w:val="006216D5"/>
    <w:rsid w:val="0062213B"/>
    <w:rsid w:val="006274D8"/>
    <w:rsid w:val="00631701"/>
    <w:rsid w:val="0063172D"/>
    <w:rsid w:val="00631C79"/>
    <w:rsid w:val="0063651C"/>
    <w:rsid w:val="00637E44"/>
    <w:rsid w:val="00647BD0"/>
    <w:rsid w:val="00656F66"/>
    <w:rsid w:val="00656FD3"/>
    <w:rsid w:val="006628A3"/>
    <w:rsid w:val="00663505"/>
    <w:rsid w:val="00670A31"/>
    <w:rsid w:val="00674262"/>
    <w:rsid w:val="006768CA"/>
    <w:rsid w:val="0067716E"/>
    <w:rsid w:val="00677ACD"/>
    <w:rsid w:val="00681EFE"/>
    <w:rsid w:val="006828DD"/>
    <w:rsid w:val="00683912"/>
    <w:rsid w:val="00684125"/>
    <w:rsid w:val="00684164"/>
    <w:rsid w:val="00684D83"/>
    <w:rsid w:val="00690C60"/>
    <w:rsid w:val="0069153C"/>
    <w:rsid w:val="00691CD3"/>
    <w:rsid w:val="006935C0"/>
    <w:rsid w:val="00697D73"/>
    <w:rsid w:val="006A139A"/>
    <w:rsid w:val="006A44E2"/>
    <w:rsid w:val="006A5A8B"/>
    <w:rsid w:val="006A7F51"/>
    <w:rsid w:val="006B0A0B"/>
    <w:rsid w:val="006B1E0D"/>
    <w:rsid w:val="006B3080"/>
    <w:rsid w:val="006B67F2"/>
    <w:rsid w:val="006B6EAA"/>
    <w:rsid w:val="006B757A"/>
    <w:rsid w:val="006C0366"/>
    <w:rsid w:val="006C036D"/>
    <w:rsid w:val="006C26E1"/>
    <w:rsid w:val="006C4F77"/>
    <w:rsid w:val="006C5020"/>
    <w:rsid w:val="006C5D68"/>
    <w:rsid w:val="006D17B8"/>
    <w:rsid w:val="006D1D5E"/>
    <w:rsid w:val="006D28E5"/>
    <w:rsid w:val="006D47CD"/>
    <w:rsid w:val="006E0998"/>
    <w:rsid w:val="006E22B2"/>
    <w:rsid w:val="006E4C1E"/>
    <w:rsid w:val="006E647D"/>
    <w:rsid w:val="006F04E0"/>
    <w:rsid w:val="006F74E0"/>
    <w:rsid w:val="006F7B07"/>
    <w:rsid w:val="007010E1"/>
    <w:rsid w:val="0070257F"/>
    <w:rsid w:val="00702B8D"/>
    <w:rsid w:val="00705DF1"/>
    <w:rsid w:val="00706CC8"/>
    <w:rsid w:val="00707EAE"/>
    <w:rsid w:val="007107CF"/>
    <w:rsid w:val="00711308"/>
    <w:rsid w:val="00712ECE"/>
    <w:rsid w:val="00714B27"/>
    <w:rsid w:val="00716BF4"/>
    <w:rsid w:val="007172DF"/>
    <w:rsid w:val="00717D2A"/>
    <w:rsid w:val="00720356"/>
    <w:rsid w:val="00723C12"/>
    <w:rsid w:val="00726916"/>
    <w:rsid w:val="007300D6"/>
    <w:rsid w:val="00732C8C"/>
    <w:rsid w:val="00736078"/>
    <w:rsid w:val="007404D1"/>
    <w:rsid w:val="00740811"/>
    <w:rsid w:val="00742329"/>
    <w:rsid w:val="007438BB"/>
    <w:rsid w:val="00743AE7"/>
    <w:rsid w:val="00745A79"/>
    <w:rsid w:val="00745DAF"/>
    <w:rsid w:val="00746B0D"/>
    <w:rsid w:val="00754DD4"/>
    <w:rsid w:val="00755193"/>
    <w:rsid w:val="00755781"/>
    <w:rsid w:val="00755BE1"/>
    <w:rsid w:val="0076058B"/>
    <w:rsid w:val="00760C8D"/>
    <w:rsid w:val="00763589"/>
    <w:rsid w:val="00772E07"/>
    <w:rsid w:val="00774582"/>
    <w:rsid w:val="007766D3"/>
    <w:rsid w:val="007778DF"/>
    <w:rsid w:val="00777B6B"/>
    <w:rsid w:val="00782CBC"/>
    <w:rsid w:val="00786A85"/>
    <w:rsid w:val="0079125C"/>
    <w:rsid w:val="00791D5D"/>
    <w:rsid w:val="00794E5D"/>
    <w:rsid w:val="007A069E"/>
    <w:rsid w:val="007A0895"/>
    <w:rsid w:val="007A0AA9"/>
    <w:rsid w:val="007A272D"/>
    <w:rsid w:val="007A6539"/>
    <w:rsid w:val="007B03B7"/>
    <w:rsid w:val="007B0ED5"/>
    <w:rsid w:val="007B2BE0"/>
    <w:rsid w:val="007B5A95"/>
    <w:rsid w:val="007B64F1"/>
    <w:rsid w:val="007B6556"/>
    <w:rsid w:val="007C0444"/>
    <w:rsid w:val="007C0A87"/>
    <w:rsid w:val="007C1C45"/>
    <w:rsid w:val="007C2FA2"/>
    <w:rsid w:val="007C4D52"/>
    <w:rsid w:val="007D09B2"/>
    <w:rsid w:val="007D4FB0"/>
    <w:rsid w:val="007D59CC"/>
    <w:rsid w:val="007D68BB"/>
    <w:rsid w:val="007E09EE"/>
    <w:rsid w:val="007E0DCD"/>
    <w:rsid w:val="007E1728"/>
    <w:rsid w:val="007E4421"/>
    <w:rsid w:val="007E4F2C"/>
    <w:rsid w:val="007E583B"/>
    <w:rsid w:val="007F317F"/>
    <w:rsid w:val="007F436D"/>
    <w:rsid w:val="007F5229"/>
    <w:rsid w:val="007F52B7"/>
    <w:rsid w:val="00800417"/>
    <w:rsid w:val="00801C0F"/>
    <w:rsid w:val="00810A66"/>
    <w:rsid w:val="00811637"/>
    <w:rsid w:val="00811AF5"/>
    <w:rsid w:val="00817F8B"/>
    <w:rsid w:val="00823C60"/>
    <w:rsid w:val="008254AB"/>
    <w:rsid w:val="008262A5"/>
    <w:rsid w:val="00831CC2"/>
    <w:rsid w:val="00832577"/>
    <w:rsid w:val="008325A4"/>
    <w:rsid w:val="00832DAE"/>
    <w:rsid w:val="00835705"/>
    <w:rsid w:val="00835D07"/>
    <w:rsid w:val="008365DB"/>
    <w:rsid w:val="008402AF"/>
    <w:rsid w:val="00842734"/>
    <w:rsid w:val="008444D4"/>
    <w:rsid w:val="0084474D"/>
    <w:rsid w:val="00846942"/>
    <w:rsid w:val="0085079A"/>
    <w:rsid w:val="00850E9D"/>
    <w:rsid w:val="0085198B"/>
    <w:rsid w:val="00851D96"/>
    <w:rsid w:val="00852397"/>
    <w:rsid w:val="008575FD"/>
    <w:rsid w:val="00862BF2"/>
    <w:rsid w:val="00866B24"/>
    <w:rsid w:val="00867131"/>
    <w:rsid w:val="00870512"/>
    <w:rsid w:val="00872B94"/>
    <w:rsid w:val="00875CDC"/>
    <w:rsid w:val="00880614"/>
    <w:rsid w:val="00880C2D"/>
    <w:rsid w:val="00884EB4"/>
    <w:rsid w:val="00885E82"/>
    <w:rsid w:val="0088782B"/>
    <w:rsid w:val="00890D8C"/>
    <w:rsid w:val="00894996"/>
    <w:rsid w:val="00896674"/>
    <w:rsid w:val="008A3713"/>
    <w:rsid w:val="008A427D"/>
    <w:rsid w:val="008A69A9"/>
    <w:rsid w:val="008B0CB1"/>
    <w:rsid w:val="008B3D4C"/>
    <w:rsid w:val="008B4B4E"/>
    <w:rsid w:val="008B5FB3"/>
    <w:rsid w:val="008C09DB"/>
    <w:rsid w:val="008C140F"/>
    <w:rsid w:val="008C317A"/>
    <w:rsid w:val="008C33C8"/>
    <w:rsid w:val="008C4E6D"/>
    <w:rsid w:val="008C5F97"/>
    <w:rsid w:val="008C6573"/>
    <w:rsid w:val="008C726D"/>
    <w:rsid w:val="008D0D12"/>
    <w:rsid w:val="008D10C7"/>
    <w:rsid w:val="008E0E24"/>
    <w:rsid w:val="008E2E47"/>
    <w:rsid w:val="008E3DBD"/>
    <w:rsid w:val="008E57C1"/>
    <w:rsid w:val="008E58D3"/>
    <w:rsid w:val="008E59B9"/>
    <w:rsid w:val="008F3B6F"/>
    <w:rsid w:val="008F443A"/>
    <w:rsid w:val="008F4AD6"/>
    <w:rsid w:val="008F5409"/>
    <w:rsid w:val="008F59A0"/>
    <w:rsid w:val="008F71FF"/>
    <w:rsid w:val="008F770C"/>
    <w:rsid w:val="00901F00"/>
    <w:rsid w:val="009032F9"/>
    <w:rsid w:val="00903DCB"/>
    <w:rsid w:val="009050BC"/>
    <w:rsid w:val="00911A99"/>
    <w:rsid w:val="00913A57"/>
    <w:rsid w:val="00915447"/>
    <w:rsid w:val="00920149"/>
    <w:rsid w:val="00925E7B"/>
    <w:rsid w:val="00925F1E"/>
    <w:rsid w:val="00926786"/>
    <w:rsid w:val="009301F4"/>
    <w:rsid w:val="00931100"/>
    <w:rsid w:val="00931DB5"/>
    <w:rsid w:val="00934591"/>
    <w:rsid w:val="0094137D"/>
    <w:rsid w:val="00944EE3"/>
    <w:rsid w:val="00946C46"/>
    <w:rsid w:val="00950652"/>
    <w:rsid w:val="00955128"/>
    <w:rsid w:val="00957E07"/>
    <w:rsid w:val="00960E41"/>
    <w:rsid w:val="00962DC3"/>
    <w:rsid w:val="00966D78"/>
    <w:rsid w:val="00967D4E"/>
    <w:rsid w:val="00970663"/>
    <w:rsid w:val="00970779"/>
    <w:rsid w:val="00974606"/>
    <w:rsid w:val="00980C0E"/>
    <w:rsid w:val="00981337"/>
    <w:rsid w:val="00981D48"/>
    <w:rsid w:val="009870D0"/>
    <w:rsid w:val="00987D86"/>
    <w:rsid w:val="0099024F"/>
    <w:rsid w:val="00992149"/>
    <w:rsid w:val="00992BF7"/>
    <w:rsid w:val="00992D1C"/>
    <w:rsid w:val="00997BD0"/>
    <w:rsid w:val="009A19B5"/>
    <w:rsid w:val="009A6B10"/>
    <w:rsid w:val="009A7BE9"/>
    <w:rsid w:val="009B0406"/>
    <w:rsid w:val="009B0FA1"/>
    <w:rsid w:val="009B1B34"/>
    <w:rsid w:val="009B1ED8"/>
    <w:rsid w:val="009B2D16"/>
    <w:rsid w:val="009B4901"/>
    <w:rsid w:val="009B5221"/>
    <w:rsid w:val="009B529F"/>
    <w:rsid w:val="009B58E7"/>
    <w:rsid w:val="009C093F"/>
    <w:rsid w:val="009C2CC4"/>
    <w:rsid w:val="009C3747"/>
    <w:rsid w:val="009C474B"/>
    <w:rsid w:val="009C4930"/>
    <w:rsid w:val="009C5550"/>
    <w:rsid w:val="009C63B5"/>
    <w:rsid w:val="009D3496"/>
    <w:rsid w:val="009D46F2"/>
    <w:rsid w:val="009D4C53"/>
    <w:rsid w:val="009D5A9E"/>
    <w:rsid w:val="009D5D7C"/>
    <w:rsid w:val="009E0091"/>
    <w:rsid w:val="009E024A"/>
    <w:rsid w:val="009E027E"/>
    <w:rsid w:val="009E0788"/>
    <w:rsid w:val="009F098A"/>
    <w:rsid w:val="009F0E0D"/>
    <w:rsid w:val="009F298B"/>
    <w:rsid w:val="00A01796"/>
    <w:rsid w:val="00A01BD9"/>
    <w:rsid w:val="00A01F6D"/>
    <w:rsid w:val="00A02472"/>
    <w:rsid w:val="00A03184"/>
    <w:rsid w:val="00A063A3"/>
    <w:rsid w:val="00A06F57"/>
    <w:rsid w:val="00A16020"/>
    <w:rsid w:val="00A17C53"/>
    <w:rsid w:val="00A2019A"/>
    <w:rsid w:val="00A22D2A"/>
    <w:rsid w:val="00A26C2A"/>
    <w:rsid w:val="00A30F31"/>
    <w:rsid w:val="00A332F9"/>
    <w:rsid w:val="00A3395A"/>
    <w:rsid w:val="00A33BF9"/>
    <w:rsid w:val="00A35325"/>
    <w:rsid w:val="00A36735"/>
    <w:rsid w:val="00A40601"/>
    <w:rsid w:val="00A43093"/>
    <w:rsid w:val="00A4438E"/>
    <w:rsid w:val="00A46617"/>
    <w:rsid w:val="00A46835"/>
    <w:rsid w:val="00A46DED"/>
    <w:rsid w:val="00A50727"/>
    <w:rsid w:val="00A52129"/>
    <w:rsid w:val="00A5423E"/>
    <w:rsid w:val="00A55495"/>
    <w:rsid w:val="00A57DA4"/>
    <w:rsid w:val="00A62CD7"/>
    <w:rsid w:val="00A641C9"/>
    <w:rsid w:val="00A671E5"/>
    <w:rsid w:val="00A6789F"/>
    <w:rsid w:val="00A72150"/>
    <w:rsid w:val="00A72406"/>
    <w:rsid w:val="00A72D7E"/>
    <w:rsid w:val="00A75683"/>
    <w:rsid w:val="00A82C88"/>
    <w:rsid w:val="00A83F84"/>
    <w:rsid w:val="00A84262"/>
    <w:rsid w:val="00A84D6A"/>
    <w:rsid w:val="00A91150"/>
    <w:rsid w:val="00A9443F"/>
    <w:rsid w:val="00A96430"/>
    <w:rsid w:val="00AA0537"/>
    <w:rsid w:val="00AA14C0"/>
    <w:rsid w:val="00AA1633"/>
    <w:rsid w:val="00AA211C"/>
    <w:rsid w:val="00AA234A"/>
    <w:rsid w:val="00AA7DD3"/>
    <w:rsid w:val="00AB1856"/>
    <w:rsid w:val="00AB1CCA"/>
    <w:rsid w:val="00AB3531"/>
    <w:rsid w:val="00AB5AB1"/>
    <w:rsid w:val="00AC0814"/>
    <w:rsid w:val="00AC1F43"/>
    <w:rsid w:val="00AC3EE9"/>
    <w:rsid w:val="00AC48E2"/>
    <w:rsid w:val="00AC491A"/>
    <w:rsid w:val="00AC4C7B"/>
    <w:rsid w:val="00AD5A43"/>
    <w:rsid w:val="00AD5D39"/>
    <w:rsid w:val="00AE0ABD"/>
    <w:rsid w:val="00AE0ED3"/>
    <w:rsid w:val="00AE295A"/>
    <w:rsid w:val="00AE2974"/>
    <w:rsid w:val="00AE2ED9"/>
    <w:rsid w:val="00AE58AC"/>
    <w:rsid w:val="00AE5F6F"/>
    <w:rsid w:val="00AE63A9"/>
    <w:rsid w:val="00AE6705"/>
    <w:rsid w:val="00AE709E"/>
    <w:rsid w:val="00AE7992"/>
    <w:rsid w:val="00AF0289"/>
    <w:rsid w:val="00AF1B8D"/>
    <w:rsid w:val="00AF25E1"/>
    <w:rsid w:val="00AF2927"/>
    <w:rsid w:val="00AF2F9F"/>
    <w:rsid w:val="00AF41A1"/>
    <w:rsid w:val="00AF428E"/>
    <w:rsid w:val="00AF4E87"/>
    <w:rsid w:val="00B00690"/>
    <w:rsid w:val="00B01154"/>
    <w:rsid w:val="00B0128B"/>
    <w:rsid w:val="00B02019"/>
    <w:rsid w:val="00B02950"/>
    <w:rsid w:val="00B10322"/>
    <w:rsid w:val="00B10ABF"/>
    <w:rsid w:val="00B12C2C"/>
    <w:rsid w:val="00B17B81"/>
    <w:rsid w:val="00B2366F"/>
    <w:rsid w:val="00B25895"/>
    <w:rsid w:val="00B371F0"/>
    <w:rsid w:val="00B4251F"/>
    <w:rsid w:val="00B474B5"/>
    <w:rsid w:val="00B512D6"/>
    <w:rsid w:val="00B523E5"/>
    <w:rsid w:val="00B5240C"/>
    <w:rsid w:val="00B5615F"/>
    <w:rsid w:val="00B569E5"/>
    <w:rsid w:val="00B56AA5"/>
    <w:rsid w:val="00B64ADE"/>
    <w:rsid w:val="00B66339"/>
    <w:rsid w:val="00B7051E"/>
    <w:rsid w:val="00B724DF"/>
    <w:rsid w:val="00B74D57"/>
    <w:rsid w:val="00B755B3"/>
    <w:rsid w:val="00B756D3"/>
    <w:rsid w:val="00B77D8E"/>
    <w:rsid w:val="00B8014B"/>
    <w:rsid w:val="00B819CE"/>
    <w:rsid w:val="00B84CCB"/>
    <w:rsid w:val="00B86106"/>
    <w:rsid w:val="00B93A15"/>
    <w:rsid w:val="00B94F8E"/>
    <w:rsid w:val="00B95036"/>
    <w:rsid w:val="00B95E59"/>
    <w:rsid w:val="00BA1BB1"/>
    <w:rsid w:val="00BA1F54"/>
    <w:rsid w:val="00BA1FBD"/>
    <w:rsid w:val="00BA2E17"/>
    <w:rsid w:val="00BA2F80"/>
    <w:rsid w:val="00BA44A4"/>
    <w:rsid w:val="00BB0653"/>
    <w:rsid w:val="00BB22F5"/>
    <w:rsid w:val="00BB3B24"/>
    <w:rsid w:val="00BC1F18"/>
    <w:rsid w:val="00BC64AA"/>
    <w:rsid w:val="00BC697B"/>
    <w:rsid w:val="00BC71F7"/>
    <w:rsid w:val="00BD1AF8"/>
    <w:rsid w:val="00BD41A7"/>
    <w:rsid w:val="00BD4DEC"/>
    <w:rsid w:val="00BD5720"/>
    <w:rsid w:val="00BD6721"/>
    <w:rsid w:val="00BD6B48"/>
    <w:rsid w:val="00BD781C"/>
    <w:rsid w:val="00BD78DA"/>
    <w:rsid w:val="00BE0CDF"/>
    <w:rsid w:val="00BE6711"/>
    <w:rsid w:val="00BF2E17"/>
    <w:rsid w:val="00BF4CF3"/>
    <w:rsid w:val="00C0143C"/>
    <w:rsid w:val="00C01A2C"/>
    <w:rsid w:val="00C027BB"/>
    <w:rsid w:val="00C048D0"/>
    <w:rsid w:val="00C06FA0"/>
    <w:rsid w:val="00C17EDA"/>
    <w:rsid w:val="00C30C14"/>
    <w:rsid w:val="00C324F5"/>
    <w:rsid w:val="00C33BC6"/>
    <w:rsid w:val="00C417B3"/>
    <w:rsid w:val="00C41BCF"/>
    <w:rsid w:val="00C4535A"/>
    <w:rsid w:val="00C52BC6"/>
    <w:rsid w:val="00C52F4C"/>
    <w:rsid w:val="00C54BBF"/>
    <w:rsid w:val="00C57CF5"/>
    <w:rsid w:val="00C67B57"/>
    <w:rsid w:val="00C72AB7"/>
    <w:rsid w:val="00C746F4"/>
    <w:rsid w:val="00C801D4"/>
    <w:rsid w:val="00C80FA1"/>
    <w:rsid w:val="00C81C16"/>
    <w:rsid w:val="00C82361"/>
    <w:rsid w:val="00C8505A"/>
    <w:rsid w:val="00C857E4"/>
    <w:rsid w:val="00C96036"/>
    <w:rsid w:val="00C965B0"/>
    <w:rsid w:val="00C976EB"/>
    <w:rsid w:val="00CA05D7"/>
    <w:rsid w:val="00CA073D"/>
    <w:rsid w:val="00CA135F"/>
    <w:rsid w:val="00CA2E58"/>
    <w:rsid w:val="00CA3E84"/>
    <w:rsid w:val="00CA541A"/>
    <w:rsid w:val="00CA6C5D"/>
    <w:rsid w:val="00CB17A6"/>
    <w:rsid w:val="00CB6D4F"/>
    <w:rsid w:val="00CB76FD"/>
    <w:rsid w:val="00CC448E"/>
    <w:rsid w:val="00CC5210"/>
    <w:rsid w:val="00CC6BF4"/>
    <w:rsid w:val="00CC7866"/>
    <w:rsid w:val="00CD1696"/>
    <w:rsid w:val="00CD1BA0"/>
    <w:rsid w:val="00CD1BE1"/>
    <w:rsid w:val="00CD2758"/>
    <w:rsid w:val="00CD4C8B"/>
    <w:rsid w:val="00CD5892"/>
    <w:rsid w:val="00CD7AA5"/>
    <w:rsid w:val="00CE051B"/>
    <w:rsid w:val="00CE0CBF"/>
    <w:rsid w:val="00CE0DD6"/>
    <w:rsid w:val="00CE1F51"/>
    <w:rsid w:val="00CE4549"/>
    <w:rsid w:val="00CE4812"/>
    <w:rsid w:val="00CE6342"/>
    <w:rsid w:val="00CE64D5"/>
    <w:rsid w:val="00CE7D5C"/>
    <w:rsid w:val="00CF0656"/>
    <w:rsid w:val="00CF0681"/>
    <w:rsid w:val="00CF192C"/>
    <w:rsid w:val="00CF2F10"/>
    <w:rsid w:val="00CF4C19"/>
    <w:rsid w:val="00CF6E55"/>
    <w:rsid w:val="00D01ACA"/>
    <w:rsid w:val="00D03657"/>
    <w:rsid w:val="00D0384D"/>
    <w:rsid w:val="00D03FD5"/>
    <w:rsid w:val="00D04EFF"/>
    <w:rsid w:val="00D052DD"/>
    <w:rsid w:val="00D10211"/>
    <w:rsid w:val="00D1137A"/>
    <w:rsid w:val="00D11416"/>
    <w:rsid w:val="00D1142D"/>
    <w:rsid w:val="00D140D6"/>
    <w:rsid w:val="00D161B7"/>
    <w:rsid w:val="00D162A0"/>
    <w:rsid w:val="00D27502"/>
    <w:rsid w:val="00D31DF1"/>
    <w:rsid w:val="00D3307E"/>
    <w:rsid w:val="00D338A7"/>
    <w:rsid w:val="00D343ED"/>
    <w:rsid w:val="00D355A5"/>
    <w:rsid w:val="00D35B40"/>
    <w:rsid w:val="00D3681F"/>
    <w:rsid w:val="00D37409"/>
    <w:rsid w:val="00D46D65"/>
    <w:rsid w:val="00D4714D"/>
    <w:rsid w:val="00D525CF"/>
    <w:rsid w:val="00D55142"/>
    <w:rsid w:val="00D66295"/>
    <w:rsid w:val="00D66F9E"/>
    <w:rsid w:val="00D72211"/>
    <w:rsid w:val="00D738D8"/>
    <w:rsid w:val="00D83913"/>
    <w:rsid w:val="00D84B8E"/>
    <w:rsid w:val="00D850AC"/>
    <w:rsid w:val="00D87BCB"/>
    <w:rsid w:val="00D95BE8"/>
    <w:rsid w:val="00D96DD5"/>
    <w:rsid w:val="00DA1C18"/>
    <w:rsid w:val="00DA2577"/>
    <w:rsid w:val="00DA3C73"/>
    <w:rsid w:val="00DB24F0"/>
    <w:rsid w:val="00DB3988"/>
    <w:rsid w:val="00DB49DA"/>
    <w:rsid w:val="00DB559F"/>
    <w:rsid w:val="00DC0CB0"/>
    <w:rsid w:val="00DC1A43"/>
    <w:rsid w:val="00DC65E0"/>
    <w:rsid w:val="00DC6CBC"/>
    <w:rsid w:val="00DC7F2B"/>
    <w:rsid w:val="00DD0BD5"/>
    <w:rsid w:val="00DD1131"/>
    <w:rsid w:val="00DD17D6"/>
    <w:rsid w:val="00DD6625"/>
    <w:rsid w:val="00DD736E"/>
    <w:rsid w:val="00DE309C"/>
    <w:rsid w:val="00DE4F02"/>
    <w:rsid w:val="00DF0AC2"/>
    <w:rsid w:val="00DF22B3"/>
    <w:rsid w:val="00DF3589"/>
    <w:rsid w:val="00DF577E"/>
    <w:rsid w:val="00DF5A8D"/>
    <w:rsid w:val="00DF607D"/>
    <w:rsid w:val="00DF7538"/>
    <w:rsid w:val="00E007A1"/>
    <w:rsid w:val="00E007BB"/>
    <w:rsid w:val="00E00ED9"/>
    <w:rsid w:val="00E01635"/>
    <w:rsid w:val="00E03E38"/>
    <w:rsid w:val="00E04C9D"/>
    <w:rsid w:val="00E05E58"/>
    <w:rsid w:val="00E10120"/>
    <w:rsid w:val="00E143AC"/>
    <w:rsid w:val="00E14B83"/>
    <w:rsid w:val="00E16EB5"/>
    <w:rsid w:val="00E20149"/>
    <w:rsid w:val="00E23354"/>
    <w:rsid w:val="00E250ED"/>
    <w:rsid w:val="00E265B5"/>
    <w:rsid w:val="00E3181A"/>
    <w:rsid w:val="00E416B5"/>
    <w:rsid w:val="00E45D27"/>
    <w:rsid w:val="00E476D2"/>
    <w:rsid w:val="00E50FB2"/>
    <w:rsid w:val="00E51C98"/>
    <w:rsid w:val="00E528A5"/>
    <w:rsid w:val="00E53595"/>
    <w:rsid w:val="00E623D9"/>
    <w:rsid w:val="00E628BE"/>
    <w:rsid w:val="00E65F92"/>
    <w:rsid w:val="00E6601E"/>
    <w:rsid w:val="00E663E4"/>
    <w:rsid w:val="00E66B1D"/>
    <w:rsid w:val="00E67832"/>
    <w:rsid w:val="00E67A30"/>
    <w:rsid w:val="00E70CE4"/>
    <w:rsid w:val="00E7506A"/>
    <w:rsid w:val="00E762C5"/>
    <w:rsid w:val="00E80617"/>
    <w:rsid w:val="00E80975"/>
    <w:rsid w:val="00E8166F"/>
    <w:rsid w:val="00E84201"/>
    <w:rsid w:val="00E93A72"/>
    <w:rsid w:val="00EA15D9"/>
    <w:rsid w:val="00EA5FBC"/>
    <w:rsid w:val="00EA6303"/>
    <w:rsid w:val="00EB04BD"/>
    <w:rsid w:val="00EC19C3"/>
    <w:rsid w:val="00EC1DDF"/>
    <w:rsid w:val="00EC2722"/>
    <w:rsid w:val="00EC37BD"/>
    <w:rsid w:val="00EC40D6"/>
    <w:rsid w:val="00EC5A06"/>
    <w:rsid w:val="00EC66BD"/>
    <w:rsid w:val="00ED094F"/>
    <w:rsid w:val="00ED1BA8"/>
    <w:rsid w:val="00ED1E5E"/>
    <w:rsid w:val="00ED3DEF"/>
    <w:rsid w:val="00ED6BFF"/>
    <w:rsid w:val="00ED72C6"/>
    <w:rsid w:val="00ED7E55"/>
    <w:rsid w:val="00EE0BB7"/>
    <w:rsid w:val="00EE1C5D"/>
    <w:rsid w:val="00EE23A5"/>
    <w:rsid w:val="00EE5DB6"/>
    <w:rsid w:val="00EF0167"/>
    <w:rsid w:val="00EF2C40"/>
    <w:rsid w:val="00EF5E44"/>
    <w:rsid w:val="00EF7A22"/>
    <w:rsid w:val="00EF7C65"/>
    <w:rsid w:val="00F00013"/>
    <w:rsid w:val="00F025C7"/>
    <w:rsid w:val="00F059B3"/>
    <w:rsid w:val="00F064C8"/>
    <w:rsid w:val="00F06858"/>
    <w:rsid w:val="00F11ADB"/>
    <w:rsid w:val="00F11FB5"/>
    <w:rsid w:val="00F12ED6"/>
    <w:rsid w:val="00F16FB3"/>
    <w:rsid w:val="00F207AB"/>
    <w:rsid w:val="00F22C79"/>
    <w:rsid w:val="00F24DAC"/>
    <w:rsid w:val="00F309E0"/>
    <w:rsid w:val="00F32958"/>
    <w:rsid w:val="00F34A25"/>
    <w:rsid w:val="00F4061F"/>
    <w:rsid w:val="00F40D00"/>
    <w:rsid w:val="00F42621"/>
    <w:rsid w:val="00F454F3"/>
    <w:rsid w:val="00F45E3D"/>
    <w:rsid w:val="00F46296"/>
    <w:rsid w:val="00F5303A"/>
    <w:rsid w:val="00F538B6"/>
    <w:rsid w:val="00F666B2"/>
    <w:rsid w:val="00F71B09"/>
    <w:rsid w:val="00F73216"/>
    <w:rsid w:val="00F7359F"/>
    <w:rsid w:val="00F73D6A"/>
    <w:rsid w:val="00F741CF"/>
    <w:rsid w:val="00F742B6"/>
    <w:rsid w:val="00F742FB"/>
    <w:rsid w:val="00F7667B"/>
    <w:rsid w:val="00F8217F"/>
    <w:rsid w:val="00F833FB"/>
    <w:rsid w:val="00F83803"/>
    <w:rsid w:val="00F840CD"/>
    <w:rsid w:val="00F84708"/>
    <w:rsid w:val="00F85B81"/>
    <w:rsid w:val="00F87489"/>
    <w:rsid w:val="00F92D4A"/>
    <w:rsid w:val="00F950FE"/>
    <w:rsid w:val="00F9532A"/>
    <w:rsid w:val="00F955B0"/>
    <w:rsid w:val="00FA133C"/>
    <w:rsid w:val="00FA1C22"/>
    <w:rsid w:val="00FA2587"/>
    <w:rsid w:val="00FA2D57"/>
    <w:rsid w:val="00FA566D"/>
    <w:rsid w:val="00FA57F8"/>
    <w:rsid w:val="00FA7336"/>
    <w:rsid w:val="00FB00E0"/>
    <w:rsid w:val="00FB1781"/>
    <w:rsid w:val="00FB5359"/>
    <w:rsid w:val="00FB7F16"/>
    <w:rsid w:val="00FC0294"/>
    <w:rsid w:val="00FC02D4"/>
    <w:rsid w:val="00FC14BA"/>
    <w:rsid w:val="00FC2E6B"/>
    <w:rsid w:val="00FC34E8"/>
    <w:rsid w:val="00FC3DA0"/>
    <w:rsid w:val="00FC3DC6"/>
    <w:rsid w:val="00FC7D31"/>
    <w:rsid w:val="00FD25F9"/>
    <w:rsid w:val="00FD2641"/>
    <w:rsid w:val="00FD4EAC"/>
    <w:rsid w:val="00FD5F42"/>
    <w:rsid w:val="00FD780C"/>
    <w:rsid w:val="00FE05E3"/>
    <w:rsid w:val="00FE07E2"/>
    <w:rsid w:val="00FE282E"/>
    <w:rsid w:val="00FE4EF9"/>
    <w:rsid w:val="00FE6C06"/>
    <w:rsid w:val="00FF0B32"/>
    <w:rsid w:val="00FF16F3"/>
    <w:rsid w:val="00FF3C04"/>
    <w:rsid w:val="00FF59FE"/>
    <w:rsid w:val="00FF5FC8"/>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95D0"/>
  <w15:docId w15:val="{BA0D4BF9-3D6E-4D4C-9191-8070477C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customStyle="1" w:styleId="judgmentbody">
    <w:name w:val="judgmentbody"/>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basedOn w:val="DefaultParagraphFont"/>
    <w:rsid w:val="00CE4549"/>
  </w:style>
  <w:style w:type="character" w:customStyle="1" w:styleId="reflex3-alt">
    <w:name w:val="reflex3-alt"/>
    <w:basedOn w:val="DefaultParagraphFont"/>
    <w:rsid w:val="00CE4549"/>
  </w:style>
  <w:style w:type="paragraph" w:customStyle="1" w:styleId="quotes">
    <w:name w:val="quotes"/>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number">
    <w:name w:val="scjnumber"/>
    <w:basedOn w:val="Normal"/>
    <w:rsid w:val="0002248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E6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C06"/>
    <w:rPr>
      <w:sz w:val="20"/>
      <w:szCs w:val="20"/>
    </w:rPr>
  </w:style>
  <w:style w:type="character" w:styleId="FootnoteReference">
    <w:name w:val="footnote reference"/>
    <w:basedOn w:val="DefaultParagraphFont"/>
    <w:uiPriority w:val="99"/>
    <w:semiHidden/>
    <w:unhideWhenUsed/>
    <w:rsid w:val="00FE6C06"/>
    <w:rPr>
      <w:vertAlign w:val="superscript"/>
    </w:rPr>
  </w:style>
  <w:style w:type="numbering" w:customStyle="1" w:styleId="Style1">
    <w:name w:val="Style1"/>
    <w:uiPriority w:val="99"/>
    <w:rsid w:val="00ED3DEF"/>
    <w:pPr>
      <w:numPr>
        <w:numId w:val="26"/>
      </w:numPr>
    </w:pPr>
  </w:style>
  <w:style w:type="character" w:customStyle="1" w:styleId="solexhl">
    <w:name w:val="solexhl"/>
    <w:basedOn w:val="DefaultParagraphFont"/>
    <w:rsid w:val="00F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8025908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80249">
      <w:bodyDiv w:val="1"/>
      <w:marLeft w:val="0"/>
      <w:marRight w:val="0"/>
      <w:marTop w:val="0"/>
      <w:marBottom w:val="0"/>
      <w:divBdr>
        <w:top w:val="none" w:sz="0" w:space="0" w:color="auto"/>
        <w:left w:val="none" w:sz="0" w:space="0" w:color="auto"/>
        <w:bottom w:val="none" w:sz="0" w:space="0" w:color="auto"/>
        <w:right w:val="none" w:sz="0" w:space="0" w:color="auto"/>
      </w:divBdr>
    </w:div>
    <w:div w:id="2011255871">
      <w:bodyDiv w:val="1"/>
      <w:marLeft w:val="0"/>
      <w:marRight w:val="0"/>
      <w:marTop w:val="0"/>
      <w:marBottom w:val="0"/>
      <w:divBdr>
        <w:top w:val="none" w:sz="0" w:space="0" w:color="auto"/>
        <w:left w:val="none" w:sz="0" w:space="0" w:color="auto"/>
        <w:bottom w:val="none" w:sz="0" w:space="0" w:color="auto"/>
        <w:right w:val="none" w:sz="0" w:space="0" w:color="auto"/>
      </w:divBdr>
      <w:divsChild>
        <w:div w:id="237058820">
          <w:marLeft w:val="0"/>
          <w:marRight w:val="0"/>
          <w:marTop w:val="0"/>
          <w:marBottom w:val="0"/>
          <w:divBdr>
            <w:top w:val="none" w:sz="0" w:space="0" w:color="auto"/>
            <w:left w:val="none" w:sz="0" w:space="0" w:color="auto"/>
            <w:bottom w:val="none" w:sz="0" w:space="0" w:color="auto"/>
            <w:right w:val="none" w:sz="0" w:space="0" w:color="auto"/>
          </w:divBdr>
        </w:div>
        <w:div w:id="388187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ca/scc/doc/1995/1995canlii109/1995canlii109.html" TargetMode="Externa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lii.org/en/ca/scc/doc/1995/1995canlii108/1995canlii108.html"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CF820AFA84F47A508BD988F5C72E0" ma:contentTypeVersion="0" ma:contentTypeDescription="Create a new document." ma:contentTypeScope="" ma:versionID="4cf703c877f7364d3c316c8976c713a4">
  <xsd:schema xmlns:xsd="http://www.w3.org/2001/XMLSchema" xmlns:xs="http://www.w3.org/2001/XMLSchema" xmlns:p="http://schemas.microsoft.com/office/2006/metadata/properties" targetNamespace="http://schemas.microsoft.com/office/2006/metadata/properties" ma:root="true" ma:fieldsID="cf07e4c43f0024170fc87c93101a50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46355-AD33-4780-91A8-30C0FC27E6DB}">
  <ds:schemaRefs>
    <ds:schemaRef ds:uri="http://schemas.openxmlformats.org/officeDocument/2006/bibliography"/>
  </ds:schemaRefs>
</ds:datastoreItem>
</file>

<file path=customXml/itemProps2.xml><?xml version="1.0" encoding="utf-8"?>
<ds:datastoreItem xmlns:ds="http://schemas.openxmlformats.org/officeDocument/2006/customXml" ds:itemID="{3D153AA9-8B44-42CE-9DEA-A62B4A7EB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08DE9-0A06-4C39-A9E6-1164851E9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3D6318-A829-42A5-A74D-1CCDAF411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dc:creator>
  <cp:keywords/>
  <dc:description/>
  <cp:lastModifiedBy>Tyler Vibert</cp:lastModifiedBy>
  <cp:revision>2</cp:revision>
  <cp:lastPrinted>2023-01-09T16:49:00Z</cp:lastPrinted>
  <dcterms:created xsi:type="dcterms:W3CDTF">2023-01-13T23:26:00Z</dcterms:created>
  <dcterms:modified xsi:type="dcterms:W3CDTF">2023-01-13T23:26:00Z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0x0101003EACF820AFA84F47A508BD988F5C72E0</vt:lpwstr>
  </property>
</Properties>
</file>