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44" w:rsidRPr="00AA2637" w:rsidRDefault="00251A5F" w:rsidP="000B09E5">
      <w:pPr>
        <w:spacing w:after="0" w:line="240" w:lineRule="auto"/>
        <w:ind w:right="351"/>
        <w:rPr>
          <w:rFonts w:ascii="Times New Roman" w:eastAsia="Times New Roman" w:hAnsi="Times New Roman" w:cs="Times New Roman"/>
          <w:color w:val="000000"/>
          <w:sz w:val="24"/>
          <w:szCs w:val="24"/>
          <w:lang w:val="en-US" w:eastAsia="fr-CA"/>
        </w:rPr>
      </w:pPr>
      <w:r>
        <w:rPr>
          <w:rFonts w:ascii="Times New Roman" w:eastAsia="Times New Roman" w:hAnsi="Times New Roman" w:cs="Times New Roman"/>
          <w:i/>
          <w:color w:val="000000"/>
          <w:sz w:val="24"/>
          <w:szCs w:val="24"/>
          <w:lang w:val="en-US" w:eastAsia="fr-CA"/>
        </w:rPr>
        <w:t>Salt River First Nation #195 et al</w:t>
      </w:r>
      <w:r w:rsidR="00AA2637">
        <w:rPr>
          <w:rFonts w:ascii="Times New Roman" w:eastAsia="Times New Roman" w:hAnsi="Times New Roman" w:cs="Times New Roman"/>
          <w:i/>
          <w:color w:val="000000"/>
          <w:sz w:val="24"/>
          <w:szCs w:val="24"/>
          <w:lang w:val="en-US" w:eastAsia="fr-CA"/>
        </w:rPr>
        <w:t xml:space="preserve"> v </w:t>
      </w:r>
      <w:r>
        <w:rPr>
          <w:rFonts w:ascii="Times New Roman" w:eastAsia="Times New Roman" w:hAnsi="Times New Roman" w:cs="Times New Roman"/>
          <w:i/>
          <w:color w:val="000000"/>
          <w:sz w:val="24"/>
          <w:szCs w:val="24"/>
          <w:lang w:val="en-US" w:eastAsia="fr-CA"/>
        </w:rPr>
        <w:t>5721 NT Ltd</w:t>
      </w:r>
      <w:r w:rsidR="00DF565B">
        <w:rPr>
          <w:rFonts w:ascii="Times New Roman" w:eastAsia="Times New Roman" w:hAnsi="Times New Roman" w:cs="Times New Roman"/>
          <w:i/>
          <w:color w:val="000000"/>
          <w:sz w:val="24"/>
          <w:szCs w:val="24"/>
          <w:lang w:val="en-US" w:eastAsia="fr-CA"/>
        </w:rPr>
        <w:t>.</w:t>
      </w:r>
      <w:r>
        <w:rPr>
          <w:rFonts w:ascii="Times New Roman" w:eastAsia="Times New Roman" w:hAnsi="Times New Roman" w:cs="Times New Roman"/>
          <w:i/>
          <w:color w:val="000000"/>
          <w:sz w:val="24"/>
          <w:szCs w:val="24"/>
          <w:lang w:val="en-US" w:eastAsia="fr-CA"/>
        </w:rPr>
        <w:t xml:space="preserve"> et al</w:t>
      </w:r>
      <w:r w:rsidR="00AA2637">
        <w:rPr>
          <w:rFonts w:ascii="Times New Roman" w:eastAsia="Times New Roman" w:hAnsi="Times New Roman" w:cs="Times New Roman"/>
          <w:i/>
          <w:color w:val="000000"/>
          <w:sz w:val="24"/>
          <w:szCs w:val="24"/>
          <w:lang w:val="en-US" w:eastAsia="fr-CA"/>
        </w:rPr>
        <w:t xml:space="preserve"> </w:t>
      </w:r>
      <w:r w:rsidR="00AA2637">
        <w:rPr>
          <w:rFonts w:ascii="Times New Roman" w:eastAsia="Times New Roman" w:hAnsi="Times New Roman" w:cs="Times New Roman"/>
          <w:color w:val="000000"/>
          <w:sz w:val="24"/>
          <w:szCs w:val="24"/>
          <w:lang w:val="en-US" w:eastAsia="fr-CA"/>
        </w:rPr>
        <w:t>202</w:t>
      </w:r>
      <w:r>
        <w:rPr>
          <w:rFonts w:ascii="Times New Roman" w:eastAsia="Times New Roman" w:hAnsi="Times New Roman" w:cs="Times New Roman"/>
          <w:color w:val="000000"/>
          <w:sz w:val="24"/>
          <w:szCs w:val="24"/>
          <w:lang w:val="en-US" w:eastAsia="fr-CA"/>
        </w:rPr>
        <w:t>2</w:t>
      </w:r>
      <w:r w:rsidR="00AA2637">
        <w:rPr>
          <w:rFonts w:ascii="Times New Roman" w:eastAsia="Times New Roman" w:hAnsi="Times New Roman" w:cs="Times New Roman"/>
          <w:color w:val="000000"/>
          <w:sz w:val="24"/>
          <w:szCs w:val="24"/>
          <w:lang w:val="en-US" w:eastAsia="fr-CA"/>
        </w:rPr>
        <w:t xml:space="preserve"> NWTSC </w:t>
      </w:r>
      <w:r w:rsidR="0002101A">
        <w:rPr>
          <w:rFonts w:ascii="Times New Roman" w:eastAsia="Times New Roman" w:hAnsi="Times New Roman" w:cs="Times New Roman"/>
          <w:color w:val="000000"/>
          <w:sz w:val="24"/>
          <w:szCs w:val="24"/>
          <w:lang w:val="en-US" w:eastAsia="fr-CA"/>
        </w:rPr>
        <w:t>26</w:t>
      </w:r>
    </w:p>
    <w:p w:rsidR="00E97E44" w:rsidRDefault="00E97E44" w:rsidP="00E97E44">
      <w:pPr>
        <w:spacing w:after="0" w:line="240" w:lineRule="auto"/>
        <w:rPr>
          <w:rFonts w:ascii="Times New Roman" w:hAnsi="Times New Roman" w:cs="Times New Roman"/>
          <w:sz w:val="28"/>
          <w:szCs w:val="28"/>
        </w:rPr>
      </w:pPr>
    </w:p>
    <w:p w:rsidR="00B94F8E" w:rsidRPr="0032647A" w:rsidRDefault="001922F6" w:rsidP="00FF1640">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251A5F">
        <w:rPr>
          <w:rFonts w:ascii="Times New Roman" w:hAnsi="Times New Roman" w:cs="Times New Roman"/>
          <w:sz w:val="28"/>
          <w:szCs w:val="28"/>
        </w:rPr>
        <w:t>22</w:t>
      </w:r>
      <w:r w:rsidR="00F546E6">
        <w:rPr>
          <w:rFonts w:ascii="Times New Roman" w:hAnsi="Times New Roman" w:cs="Times New Roman"/>
          <w:sz w:val="28"/>
          <w:szCs w:val="28"/>
        </w:rPr>
        <w:t xml:space="preserve"> </w:t>
      </w:r>
      <w:r w:rsidR="00251A5F">
        <w:rPr>
          <w:rFonts w:ascii="Times New Roman" w:hAnsi="Times New Roman" w:cs="Times New Roman"/>
          <w:sz w:val="28"/>
          <w:szCs w:val="28"/>
        </w:rPr>
        <w:t>11</w:t>
      </w:r>
      <w:r w:rsidR="00D33540">
        <w:rPr>
          <w:rFonts w:ascii="Times New Roman" w:hAnsi="Times New Roman" w:cs="Times New Roman"/>
          <w:sz w:val="28"/>
          <w:szCs w:val="28"/>
        </w:rPr>
        <w:t xml:space="preserve"> </w:t>
      </w:r>
      <w:r w:rsidR="0002101A">
        <w:rPr>
          <w:rFonts w:ascii="Times New Roman" w:hAnsi="Times New Roman" w:cs="Times New Roman"/>
          <w:sz w:val="28"/>
          <w:szCs w:val="28"/>
        </w:rPr>
        <w:t>14</w:t>
      </w:r>
    </w:p>
    <w:p w:rsidR="00B94F8E" w:rsidRPr="0032647A" w:rsidRDefault="001922F6" w:rsidP="00FF1640">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3079CA" w:rsidRPr="0032647A">
        <w:rPr>
          <w:rFonts w:ascii="Times New Roman" w:hAnsi="Times New Roman" w:cs="Times New Roman"/>
          <w:sz w:val="28"/>
          <w:szCs w:val="28"/>
        </w:rPr>
        <w:t>S</w:t>
      </w:r>
      <w:r w:rsidR="00227B7D">
        <w:rPr>
          <w:rFonts w:ascii="Times New Roman" w:hAnsi="Times New Roman" w:cs="Times New Roman"/>
          <w:sz w:val="28"/>
          <w:szCs w:val="28"/>
        </w:rPr>
        <w:t xml:space="preserve"> </w:t>
      </w:r>
      <w:r w:rsidR="00B94F8E" w:rsidRPr="0032647A">
        <w:rPr>
          <w:rFonts w:ascii="Times New Roman" w:hAnsi="Times New Roman" w:cs="Times New Roman"/>
          <w:sz w:val="28"/>
          <w:szCs w:val="28"/>
        </w:rPr>
        <w:t>1</w:t>
      </w:r>
      <w:r w:rsidR="00251A5F">
        <w:rPr>
          <w:rFonts w:ascii="Times New Roman" w:hAnsi="Times New Roman" w:cs="Times New Roman"/>
          <w:sz w:val="28"/>
          <w:szCs w:val="28"/>
        </w:rPr>
        <w:t xml:space="preserve"> C</w:t>
      </w:r>
      <w:r w:rsidR="009C730C">
        <w:rPr>
          <w:rFonts w:ascii="Times New Roman" w:hAnsi="Times New Roman" w:cs="Times New Roman"/>
          <w:sz w:val="28"/>
          <w:szCs w:val="28"/>
        </w:rPr>
        <w:t>V</w:t>
      </w:r>
      <w:r w:rsidR="00227B7D">
        <w:rPr>
          <w:rFonts w:ascii="Times New Roman" w:hAnsi="Times New Roman" w:cs="Times New Roman"/>
          <w:sz w:val="28"/>
          <w:szCs w:val="28"/>
        </w:rPr>
        <w:t xml:space="preserve"> </w:t>
      </w:r>
      <w:r w:rsidR="00251A5F">
        <w:rPr>
          <w:rFonts w:ascii="Times New Roman" w:hAnsi="Times New Roman" w:cs="Times New Roman"/>
          <w:sz w:val="28"/>
          <w:szCs w:val="28"/>
        </w:rPr>
        <w:t>2010 000033</w:t>
      </w:r>
    </w:p>
    <w:p w:rsidR="00B94F8E" w:rsidRPr="0032647A" w:rsidRDefault="00B94F8E" w:rsidP="00FF1640">
      <w:pPr>
        <w:spacing w:after="0" w:line="240" w:lineRule="auto"/>
        <w:jc w:val="right"/>
        <w:rPr>
          <w:rFonts w:ascii="Times New Roman" w:hAnsi="Times New Roman" w:cs="Times New Roman"/>
          <w:sz w:val="28"/>
          <w:szCs w:val="28"/>
        </w:rPr>
      </w:pPr>
    </w:p>
    <w:p w:rsidR="00B94F8E" w:rsidRPr="006F2464" w:rsidRDefault="00B94F8E" w:rsidP="00FF1640">
      <w:pPr>
        <w:spacing w:after="0" w:line="240" w:lineRule="auto"/>
        <w:jc w:val="center"/>
        <w:rPr>
          <w:rFonts w:ascii="Times New Roman" w:hAnsi="Times New Roman" w:cs="Times New Roman"/>
          <w:b/>
          <w:sz w:val="28"/>
          <w:szCs w:val="28"/>
        </w:rPr>
      </w:pPr>
      <w:r w:rsidRPr="006F2464">
        <w:rPr>
          <w:rFonts w:ascii="Times New Roman" w:hAnsi="Times New Roman" w:cs="Times New Roman"/>
          <w:b/>
          <w:sz w:val="28"/>
          <w:szCs w:val="28"/>
        </w:rPr>
        <w:t>IN THE SUPREME COURT OF THE NORTHWEST TERRITORIES</w:t>
      </w:r>
    </w:p>
    <w:p w:rsidR="007172DF" w:rsidRPr="0032647A" w:rsidRDefault="007172DF" w:rsidP="00FF1640">
      <w:pPr>
        <w:spacing w:after="0" w:line="240" w:lineRule="auto"/>
        <w:jc w:val="center"/>
        <w:rPr>
          <w:rFonts w:ascii="Times New Roman" w:hAnsi="Times New Roman" w:cs="Times New Roman"/>
          <w:sz w:val="28"/>
          <w:szCs w:val="28"/>
        </w:rPr>
      </w:pPr>
    </w:p>
    <w:p w:rsidR="00B94F8E" w:rsidRPr="0032647A" w:rsidRDefault="00B94F8E" w:rsidP="00FF1640">
      <w:pPr>
        <w:spacing w:after="0" w:line="240" w:lineRule="auto"/>
        <w:jc w:val="center"/>
        <w:rPr>
          <w:rFonts w:ascii="Times New Roman" w:hAnsi="Times New Roman" w:cs="Times New Roman"/>
          <w:sz w:val="28"/>
          <w:szCs w:val="28"/>
        </w:rPr>
      </w:pPr>
    </w:p>
    <w:p w:rsidR="00B94F8E" w:rsidRPr="0032647A" w:rsidRDefault="00B94F8E" w:rsidP="00FF1640">
      <w:pPr>
        <w:spacing w:after="0" w:line="240" w:lineRule="auto"/>
        <w:rPr>
          <w:rFonts w:ascii="Times New Roman" w:hAnsi="Times New Roman" w:cs="Times New Roman"/>
          <w:sz w:val="28"/>
          <w:szCs w:val="28"/>
        </w:rPr>
      </w:pPr>
      <w:r w:rsidRPr="0032647A">
        <w:rPr>
          <w:rFonts w:ascii="Times New Roman" w:hAnsi="Times New Roman" w:cs="Times New Roman"/>
          <w:sz w:val="28"/>
          <w:szCs w:val="28"/>
        </w:rPr>
        <w:t>BETWEEN</w:t>
      </w:r>
    </w:p>
    <w:p w:rsidR="00B94F8E" w:rsidRPr="0032647A" w:rsidRDefault="00B94F8E" w:rsidP="00FF1640">
      <w:pPr>
        <w:spacing w:after="0" w:line="240" w:lineRule="auto"/>
        <w:rPr>
          <w:rFonts w:ascii="Times New Roman" w:hAnsi="Times New Roman" w:cs="Times New Roman"/>
          <w:sz w:val="28"/>
          <w:szCs w:val="28"/>
        </w:rPr>
      </w:pPr>
    </w:p>
    <w:p w:rsidR="00B94F8E" w:rsidRPr="001F75D6" w:rsidRDefault="00251A5F" w:rsidP="00FF1640">
      <w:pPr>
        <w:spacing w:after="0" w:line="240" w:lineRule="auto"/>
        <w:jc w:val="center"/>
        <w:rPr>
          <w:rFonts w:ascii="Times New Roman" w:hAnsi="Times New Roman" w:cs="Times New Roman"/>
          <w:sz w:val="24"/>
          <w:szCs w:val="24"/>
        </w:rPr>
      </w:pPr>
      <w:r w:rsidRPr="001F75D6">
        <w:rPr>
          <w:rFonts w:ascii="Times New Roman" w:hAnsi="Times New Roman" w:cs="Times New Roman"/>
          <w:sz w:val="24"/>
          <w:szCs w:val="24"/>
        </w:rPr>
        <w:t>SALT RIVER FIRST NATION #195, 4990 NT LTD</w:t>
      </w:r>
      <w:r w:rsidR="00DF565B">
        <w:rPr>
          <w:rFonts w:ascii="Times New Roman" w:hAnsi="Times New Roman" w:cs="Times New Roman"/>
          <w:sz w:val="24"/>
          <w:szCs w:val="24"/>
        </w:rPr>
        <w:t>.</w:t>
      </w:r>
      <w:r w:rsidRPr="001F75D6">
        <w:rPr>
          <w:rFonts w:ascii="Times New Roman" w:hAnsi="Times New Roman" w:cs="Times New Roman"/>
          <w:sz w:val="24"/>
          <w:szCs w:val="24"/>
        </w:rPr>
        <w:t xml:space="preserve"> AND 4993 NT LTD</w:t>
      </w:r>
      <w:r w:rsidR="00DF565B">
        <w:rPr>
          <w:rFonts w:ascii="Times New Roman" w:hAnsi="Times New Roman" w:cs="Times New Roman"/>
          <w:sz w:val="24"/>
          <w:szCs w:val="24"/>
        </w:rPr>
        <w:t>.</w:t>
      </w:r>
    </w:p>
    <w:p w:rsidR="00251A5F" w:rsidRPr="001F75D6" w:rsidRDefault="00251A5F" w:rsidP="00FF1640">
      <w:pPr>
        <w:spacing w:after="0" w:line="240" w:lineRule="auto"/>
        <w:jc w:val="center"/>
        <w:rPr>
          <w:rFonts w:ascii="Times New Roman" w:hAnsi="Times New Roman" w:cs="Times New Roman"/>
          <w:sz w:val="24"/>
          <w:szCs w:val="24"/>
        </w:rPr>
      </w:pPr>
    </w:p>
    <w:p w:rsidR="00B94F8E" w:rsidRPr="001F75D6" w:rsidRDefault="009C730C" w:rsidP="00972D9D">
      <w:pPr>
        <w:spacing w:after="0" w:line="240" w:lineRule="auto"/>
        <w:jc w:val="right"/>
        <w:rPr>
          <w:rFonts w:ascii="Times New Roman" w:hAnsi="Times New Roman" w:cs="Times New Roman"/>
          <w:sz w:val="24"/>
          <w:szCs w:val="24"/>
        </w:rPr>
      </w:pPr>
      <w:r w:rsidRPr="001F75D6">
        <w:rPr>
          <w:rFonts w:ascii="Times New Roman" w:hAnsi="Times New Roman" w:cs="Times New Roman"/>
          <w:sz w:val="24"/>
          <w:szCs w:val="24"/>
        </w:rPr>
        <w:t>P</w:t>
      </w:r>
      <w:r w:rsidR="00251A5F" w:rsidRPr="001F75D6">
        <w:rPr>
          <w:rFonts w:ascii="Times New Roman" w:hAnsi="Times New Roman" w:cs="Times New Roman"/>
          <w:sz w:val="24"/>
          <w:szCs w:val="24"/>
        </w:rPr>
        <w:t>laintiffs</w:t>
      </w:r>
    </w:p>
    <w:p w:rsidR="00B94F8E" w:rsidRDefault="007404D1" w:rsidP="00FF1640">
      <w:pPr>
        <w:pStyle w:val="ListParagraph"/>
        <w:spacing w:after="0" w:line="240" w:lineRule="auto"/>
        <w:ind w:left="0"/>
        <w:jc w:val="center"/>
        <w:rPr>
          <w:rFonts w:ascii="Times New Roman" w:hAnsi="Times New Roman" w:cs="Times New Roman"/>
          <w:sz w:val="24"/>
          <w:szCs w:val="24"/>
        </w:rPr>
      </w:pPr>
      <w:r w:rsidRPr="001F75D6">
        <w:rPr>
          <w:rFonts w:ascii="Times New Roman" w:hAnsi="Times New Roman" w:cs="Times New Roman"/>
          <w:sz w:val="24"/>
          <w:szCs w:val="24"/>
        </w:rPr>
        <w:t xml:space="preserve"> </w:t>
      </w:r>
      <w:r w:rsidR="009C474B" w:rsidRPr="001F75D6">
        <w:rPr>
          <w:rFonts w:ascii="Times New Roman" w:hAnsi="Times New Roman" w:cs="Times New Roman"/>
          <w:sz w:val="24"/>
          <w:szCs w:val="24"/>
        </w:rPr>
        <w:t xml:space="preserve"> </w:t>
      </w:r>
      <w:r w:rsidRPr="001F75D6">
        <w:rPr>
          <w:rFonts w:ascii="Times New Roman" w:hAnsi="Times New Roman" w:cs="Times New Roman"/>
          <w:sz w:val="24"/>
          <w:szCs w:val="24"/>
        </w:rPr>
        <w:t>-</w:t>
      </w:r>
      <w:r w:rsidR="009C474B" w:rsidRPr="001F75D6">
        <w:rPr>
          <w:rFonts w:ascii="Times New Roman" w:hAnsi="Times New Roman" w:cs="Times New Roman"/>
          <w:sz w:val="24"/>
          <w:szCs w:val="24"/>
        </w:rPr>
        <w:t xml:space="preserve"> </w:t>
      </w:r>
      <w:proofErr w:type="gramStart"/>
      <w:r w:rsidR="009C474B" w:rsidRPr="001F75D6">
        <w:rPr>
          <w:rFonts w:ascii="Times New Roman" w:hAnsi="Times New Roman" w:cs="Times New Roman"/>
          <w:sz w:val="24"/>
          <w:szCs w:val="24"/>
        </w:rPr>
        <w:t>and</w:t>
      </w:r>
      <w:proofErr w:type="gramEnd"/>
      <w:r w:rsidR="009C474B" w:rsidRPr="001F75D6">
        <w:rPr>
          <w:rFonts w:ascii="Times New Roman" w:hAnsi="Times New Roman" w:cs="Times New Roman"/>
          <w:sz w:val="24"/>
          <w:szCs w:val="24"/>
        </w:rPr>
        <w:t xml:space="preserve"> </w:t>
      </w:r>
      <w:r w:rsidR="00081480">
        <w:rPr>
          <w:rFonts w:ascii="Times New Roman" w:hAnsi="Times New Roman" w:cs="Times New Roman"/>
          <w:sz w:val="24"/>
          <w:szCs w:val="24"/>
        </w:rPr>
        <w:t>–</w:t>
      </w:r>
    </w:p>
    <w:p w:rsidR="00081480" w:rsidRPr="001F75D6" w:rsidRDefault="00081480" w:rsidP="00FF1640">
      <w:pPr>
        <w:pStyle w:val="ListParagraph"/>
        <w:spacing w:after="0" w:line="240" w:lineRule="auto"/>
        <w:ind w:left="0"/>
        <w:jc w:val="center"/>
        <w:rPr>
          <w:rFonts w:ascii="Times New Roman" w:hAnsi="Times New Roman" w:cs="Times New Roman"/>
          <w:sz w:val="24"/>
          <w:szCs w:val="24"/>
        </w:rPr>
      </w:pPr>
    </w:p>
    <w:p w:rsidR="00777B6B" w:rsidRPr="001F75D6" w:rsidRDefault="00777B6B" w:rsidP="00FF1640">
      <w:pPr>
        <w:pStyle w:val="ListParagraph"/>
        <w:spacing w:after="0" w:line="240" w:lineRule="auto"/>
        <w:ind w:left="0"/>
        <w:jc w:val="center"/>
        <w:rPr>
          <w:rFonts w:ascii="Times New Roman" w:hAnsi="Times New Roman" w:cs="Times New Roman"/>
          <w:sz w:val="24"/>
          <w:szCs w:val="24"/>
        </w:rPr>
      </w:pPr>
    </w:p>
    <w:p w:rsidR="001F75D6" w:rsidRPr="001F75D6" w:rsidRDefault="001F75D6" w:rsidP="00FF1640">
      <w:pPr>
        <w:pStyle w:val="ListParagraph"/>
        <w:spacing w:after="0" w:line="240" w:lineRule="auto"/>
        <w:ind w:left="0"/>
        <w:jc w:val="center"/>
        <w:rPr>
          <w:rFonts w:ascii="Times New Roman" w:hAnsi="Times New Roman" w:cs="Times New Roman"/>
          <w:sz w:val="24"/>
          <w:szCs w:val="24"/>
        </w:rPr>
      </w:pPr>
      <w:r w:rsidRPr="001F75D6">
        <w:rPr>
          <w:rFonts w:ascii="Times New Roman" w:hAnsi="Times New Roman" w:cs="Times New Roman"/>
          <w:sz w:val="24"/>
          <w:szCs w:val="24"/>
        </w:rPr>
        <w:t>5721 NT LTD</w:t>
      </w:r>
      <w:r w:rsidR="00DF565B">
        <w:rPr>
          <w:rFonts w:ascii="Times New Roman" w:hAnsi="Times New Roman" w:cs="Times New Roman"/>
          <w:sz w:val="24"/>
          <w:szCs w:val="24"/>
        </w:rPr>
        <w:t>.</w:t>
      </w:r>
      <w:r w:rsidRPr="001F75D6">
        <w:rPr>
          <w:rFonts w:ascii="Times New Roman" w:hAnsi="Times New Roman" w:cs="Times New Roman"/>
          <w:sz w:val="24"/>
          <w:szCs w:val="24"/>
        </w:rPr>
        <w:t>, 5780 NT LTD</w:t>
      </w:r>
      <w:r w:rsidR="00DF565B">
        <w:rPr>
          <w:rFonts w:ascii="Times New Roman" w:hAnsi="Times New Roman" w:cs="Times New Roman"/>
          <w:sz w:val="24"/>
          <w:szCs w:val="24"/>
        </w:rPr>
        <w:t>.</w:t>
      </w:r>
      <w:r w:rsidRPr="001F75D6">
        <w:rPr>
          <w:rFonts w:ascii="Times New Roman" w:hAnsi="Times New Roman" w:cs="Times New Roman"/>
          <w:sz w:val="24"/>
          <w:szCs w:val="24"/>
        </w:rPr>
        <w:t>, SLFN LAND CORP (NT) LTD</w:t>
      </w:r>
      <w:r w:rsidR="00DF565B">
        <w:rPr>
          <w:rFonts w:ascii="Times New Roman" w:hAnsi="Times New Roman" w:cs="Times New Roman"/>
          <w:sz w:val="24"/>
          <w:szCs w:val="24"/>
        </w:rPr>
        <w:t>.</w:t>
      </w:r>
      <w:r w:rsidRPr="001F75D6">
        <w:rPr>
          <w:rFonts w:ascii="Times New Roman" w:hAnsi="Times New Roman" w:cs="Times New Roman"/>
          <w:sz w:val="24"/>
          <w:szCs w:val="24"/>
        </w:rPr>
        <w:t>, VITI INVESTMENTS LIMITED, RAM MUDALIER, JAMES SCHAEFER, RAYMOND BEAVER, MELVIN WANDERINGSPIRIT, DELPHINE BEAULIEU, CHIS BIRD, TONI HERON, SONNY MACDONALD, MICHAEL BEAVER, BARBARA HERON McARTHUR, BETTY TOURANGEAU, FRED DANIELS, KELERA BEGUM MUDALIER, SUSAN FAY MUDALIER, ALLEN SCHAEFER, ALLEN SCHAEFER carrying on business either as AJ’s or as AJ’s CONRACTING, JOHN DOE, JANE DOE, AND ABC CORP</w:t>
      </w:r>
      <w:r w:rsidR="000F5C77">
        <w:rPr>
          <w:rFonts w:ascii="Times New Roman" w:hAnsi="Times New Roman" w:cs="Times New Roman"/>
          <w:sz w:val="24"/>
          <w:szCs w:val="24"/>
        </w:rPr>
        <w:t>.</w:t>
      </w:r>
    </w:p>
    <w:p w:rsidR="00777B6B" w:rsidRPr="001F75D6" w:rsidRDefault="00777B6B" w:rsidP="00FF1640">
      <w:pPr>
        <w:pStyle w:val="ListParagraph"/>
        <w:spacing w:after="0" w:line="240" w:lineRule="auto"/>
        <w:ind w:left="0"/>
        <w:jc w:val="center"/>
        <w:rPr>
          <w:rFonts w:ascii="Times New Roman" w:hAnsi="Times New Roman" w:cs="Times New Roman"/>
          <w:sz w:val="24"/>
          <w:szCs w:val="24"/>
        </w:rPr>
      </w:pPr>
    </w:p>
    <w:p w:rsidR="00777B6B" w:rsidRPr="001F75D6" w:rsidRDefault="00777B6B" w:rsidP="00FF1640">
      <w:pPr>
        <w:pStyle w:val="ListParagraph"/>
        <w:spacing w:after="0" w:line="240" w:lineRule="auto"/>
        <w:ind w:left="0"/>
        <w:jc w:val="center"/>
        <w:rPr>
          <w:rFonts w:ascii="Times New Roman" w:hAnsi="Times New Roman" w:cs="Times New Roman"/>
          <w:sz w:val="24"/>
          <w:szCs w:val="24"/>
        </w:rPr>
      </w:pPr>
    </w:p>
    <w:p w:rsidR="00707EAE" w:rsidRPr="001F75D6" w:rsidRDefault="00251A5F" w:rsidP="00FF1640">
      <w:pPr>
        <w:pStyle w:val="ListParagraph"/>
        <w:spacing w:after="0" w:line="240" w:lineRule="auto"/>
        <w:ind w:left="0"/>
        <w:jc w:val="right"/>
        <w:rPr>
          <w:rFonts w:ascii="Times New Roman" w:hAnsi="Times New Roman" w:cs="Times New Roman"/>
          <w:sz w:val="24"/>
          <w:szCs w:val="24"/>
        </w:rPr>
      </w:pPr>
      <w:r w:rsidRPr="001F75D6">
        <w:rPr>
          <w:rFonts w:ascii="Times New Roman" w:hAnsi="Times New Roman" w:cs="Times New Roman"/>
          <w:sz w:val="24"/>
          <w:szCs w:val="24"/>
        </w:rPr>
        <w:t>Defendants</w:t>
      </w:r>
    </w:p>
    <w:p w:rsidR="00251A5F" w:rsidRPr="001F75D6" w:rsidRDefault="00081480" w:rsidP="00081480">
      <w:pPr>
        <w:pStyle w:val="ListParagraph"/>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1A0D">
        <w:rPr>
          <w:rFonts w:ascii="Times New Roman" w:hAnsi="Times New Roman" w:cs="Times New Roman"/>
          <w:sz w:val="24"/>
          <w:szCs w:val="24"/>
        </w:rPr>
        <w:t>and</w:t>
      </w:r>
      <w:proofErr w:type="gramEnd"/>
      <w:r w:rsidR="005D1A0D">
        <w:rPr>
          <w:rFonts w:ascii="Times New Roman" w:hAnsi="Times New Roman" w:cs="Times New Roman"/>
          <w:sz w:val="24"/>
          <w:szCs w:val="24"/>
        </w:rPr>
        <w:t xml:space="preserve"> -</w:t>
      </w:r>
    </w:p>
    <w:p w:rsidR="00251A5F" w:rsidRPr="001F75D6" w:rsidRDefault="00251A5F" w:rsidP="00251A5F">
      <w:pPr>
        <w:spacing w:after="0" w:line="240" w:lineRule="auto"/>
        <w:jc w:val="center"/>
        <w:rPr>
          <w:rFonts w:ascii="Times New Roman" w:hAnsi="Times New Roman" w:cs="Times New Roman"/>
          <w:sz w:val="24"/>
          <w:szCs w:val="24"/>
        </w:rPr>
      </w:pPr>
    </w:p>
    <w:p w:rsidR="00251A5F" w:rsidRPr="001F75D6" w:rsidRDefault="001F75D6" w:rsidP="00251A5F">
      <w:pPr>
        <w:spacing w:after="0" w:line="240" w:lineRule="auto"/>
        <w:jc w:val="center"/>
        <w:rPr>
          <w:rFonts w:ascii="Times New Roman" w:hAnsi="Times New Roman" w:cs="Times New Roman"/>
          <w:sz w:val="24"/>
          <w:szCs w:val="24"/>
        </w:rPr>
      </w:pPr>
      <w:r w:rsidRPr="001F75D6">
        <w:rPr>
          <w:rFonts w:ascii="Times New Roman" w:hAnsi="Times New Roman" w:cs="Times New Roman"/>
          <w:sz w:val="24"/>
          <w:szCs w:val="24"/>
        </w:rPr>
        <w:t>KEN LAVIOLETTE, CRYSTAL CATHOLIC, GLORIA VILLEBRUN, JOLENE BEAVER, RON SCHAEFER, JEFF FRASER AND FREDRICK BEAULIEU</w:t>
      </w:r>
    </w:p>
    <w:p w:rsidR="00251A5F" w:rsidRPr="001F75D6" w:rsidRDefault="00251A5F" w:rsidP="00251A5F">
      <w:pPr>
        <w:spacing w:after="0" w:line="240" w:lineRule="auto"/>
        <w:jc w:val="center"/>
        <w:rPr>
          <w:rFonts w:ascii="Times New Roman" w:hAnsi="Times New Roman" w:cs="Times New Roman"/>
          <w:sz w:val="24"/>
          <w:szCs w:val="24"/>
        </w:rPr>
      </w:pPr>
    </w:p>
    <w:p w:rsidR="00251A5F" w:rsidRPr="001F75D6" w:rsidRDefault="00251A5F" w:rsidP="00251A5F">
      <w:pPr>
        <w:spacing w:after="0" w:line="240" w:lineRule="auto"/>
        <w:jc w:val="right"/>
        <w:rPr>
          <w:rFonts w:ascii="Times New Roman" w:hAnsi="Times New Roman" w:cs="Times New Roman"/>
          <w:sz w:val="24"/>
          <w:szCs w:val="24"/>
        </w:rPr>
      </w:pPr>
      <w:r w:rsidRPr="001F75D6">
        <w:rPr>
          <w:rFonts w:ascii="Times New Roman" w:hAnsi="Times New Roman" w:cs="Times New Roman"/>
          <w:sz w:val="24"/>
          <w:szCs w:val="24"/>
        </w:rPr>
        <w:t>Third Parties</w:t>
      </w:r>
    </w:p>
    <w:p w:rsidR="00251A5F" w:rsidRDefault="00251A5F" w:rsidP="00FF1640">
      <w:pPr>
        <w:pStyle w:val="ListParagraph"/>
        <w:spacing w:after="0" w:line="240" w:lineRule="auto"/>
        <w:ind w:left="0"/>
        <w:jc w:val="right"/>
        <w:rPr>
          <w:rFonts w:ascii="Times New Roman" w:hAnsi="Times New Roman" w:cs="Times New Roman"/>
          <w:sz w:val="28"/>
          <w:szCs w:val="28"/>
        </w:rPr>
      </w:pPr>
    </w:p>
    <w:p w:rsidR="00777B6B" w:rsidRPr="006F2464" w:rsidRDefault="00AA2637" w:rsidP="00FF1640">
      <w:pPr>
        <w:pStyle w:val="ListParagraph"/>
        <w:spacing w:after="0" w:line="240" w:lineRule="auto"/>
        <w:ind w:left="0"/>
        <w:jc w:val="center"/>
        <w:rPr>
          <w:rFonts w:ascii="Times New Roman" w:hAnsi="Times New Roman" w:cs="Times New Roman"/>
          <w:b/>
          <w:i/>
          <w:sz w:val="28"/>
          <w:szCs w:val="28"/>
        </w:rPr>
      </w:pPr>
      <w:r>
        <w:rPr>
          <w:rFonts w:ascii="Times New Roman" w:hAnsi="Times New Roman" w:cs="Times New Roman"/>
          <w:b/>
          <w:sz w:val="28"/>
          <w:szCs w:val="28"/>
        </w:rPr>
        <w:t>MEMORANDUM OF JUDGMENT</w:t>
      </w:r>
    </w:p>
    <w:p w:rsidR="003D3E8C" w:rsidRDefault="003D3E8C" w:rsidP="00FF1640">
      <w:pPr>
        <w:pStyle w:val="ListParagraph"/>
        <w:spacing w:after="0" w:line="240" w:lineRule="auto"/>
        <w:ind w:left="0"/>
        <w:contextualSpacing w:val="0"/>
        <w:jc w:val="center"/>
        <w:rPr>
          <w:rFonts w:ascii="Times New Roman" w:hAnsi="Times New Roman" w:cs="Times New Roman"/>
          <w:sz w:val="28"/>
          <w:szCs w:val="28"/>
        </w:rPr>
      </w:pPr>
    </w:p>
    <w:p w:rsidR="00E93C73" w:rsidRPr="00E93C73" w:rsidRDefault="00E93C73" w:rsidP="00E93C73">
      <w:pPr>
        <w:pStyle w:val="ListParagraph"/>
        <w:spacing w:after="0" w:line="240" w:lineRule="auto"/>
        <w:ind w:left="0"/>
        <w:contextualSpacing w:val="0"/>
        <w:rPr>
          <w:rFonts w:ascii="Times New Roman" w:hAnsi="Times New Roman" w:cs="Times New Roman"/>
          <w:b/>
          <w:sz w:val="28"/>
          <w:szCs w:val="28"/>
        </w:rPr>
      </w:pPr>
      <w:r>
        <w:rPr>
          <w:rFonts w:ascii="Times New Roman" w:hAnsi="Times New Roman" w:cs="Times New Roman"/>
          <w:b/>
          <w:sz w:val="28"/>
          <w:szCs w:val="28"/>
        </w:rPr>
        <w:t>INTRODUCTION</w:t>
      </w:r>
    </w:p>
    <w:p w:rsidR="006B0449" w:rsidRPr="006B0449" w:rsidRDefault="006B0449" w:rsidP="00653327">
      <w:pPr>
        <w:spacing w:after="0" w:line="240" w:lineRule="auto"/>
        <w:jc w:val="both"/>
        <w:rPr>
          <w:rFonts w:ascii="Times New Roman" w:hAnsi="Times New Roman" w:cs="Times New Roman"/>
          <w:sz w:val="28"/>
          <w:szCs w:val="28"/>
        </w:rPr>
      </w:pPr>
    </w:p>
    <w:p w:rsidR="007D2840" w:rsidRPr="007D2840" w:rsidRDefault="00E93C73" w:rsidP="007D2840">
      <w:pPr>
        <w:pStyle w:val="ListParagraph"/>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On </w:t>
      </w:r>
      <w:r w:rsidR="005D1A0D">
        <w:rPr>
          <w:rFonts w:ascii="Times New Roman" w:hAnsi="Times New Roman" w:cs="Times New Roman"/>
          <w:sz w:val="28"/>
          <w:szCs w:val="28"/>
        </w:rPr>
        <w:t>April 27, 2021</w:t>
      </w:r>
      <w:r>
        <w:rPr>
          <w:rFonts w:ascii="Times New Roman" w:hAnsi="Times New Roman" w:cs="Times New Roman"/>
          <w:sz w:val="28"/>
          <w:szCs w:val="28"/>
        </w:rPr>
        <w:t>, the Plaintiffs filed a Discontinuance of Action.</w:t>
      </w:r>
      <w:r w:rsidR="00F3413B">
        <w:rPr>
          <w:rFonts w:ascii="Times New Roman" w:hAnsi="Times New Roman" w:cs="Times New Roman"/>
          <w:sz w:val="28"/>
          <w:szCs w:val="28"/>
        </w:rPr>
        <w:t xml:space="preserve"> </w:t>
      </w:r>
      <w:r>
        <w:rPr>
          <w:rFonts w:ascii="Times New Roman" w:hAnsi="Times New Roman" w:cs="Times New Roman"/>
          <w:sz w:val="28"/>
          <w:szCs w:val="28"/>
        </w:rPr>
        <w:t xml:space="preserve"> </w:t>
      </w:r>
      <w:r w:rsidR="005D1A0D">
        <w:rPr>
          <w:rFonts w:ascii="Times New Roman" w:hAnsi="Times New Roman" w:cs="Times New Roman"/>
          <w:sz w:val="28"/>
          <w:szCs w:val="28"/>
        </w:rPr>
        <w:t xml:space="preserve">It was served on the </w:t>
      </w:r>
      <w:r w:rsidR="00251A5F">
        <w:rPr>
          <w:rFonts w:ascii="Times New Roman" w:hAnsi="Times New Roman" w:cs="Times New Roman"/>
          <w:sz w:val="28"/>
          <w:szCs w:val="28"/>
        </w:rPr>
        <w:t xml:space="preserve">defendants Ram Mudalier and Viti Investments Limited </w:t>
      </w:r>
      <w:r w:rsidR="002E3E33">
        <w:rPr>
          <w:rFonts w:ascii="Times New Roman" w:hAnsi="Times New Roman" w:cs="Times New Roman"/>
          <w:sz w:val="28"/>
          <w:szCs w:val="28"/>
        </w:rPr>
        <w:t xml:space="preserve">(the “Applicants”) </w:t>
      </w:r>
      <w:r w:rsidR="005D1A0D">
        <w:rPr>
          <w:rFonts w:ascii="Times New Roman" w:hAnsi="Times New Roman" w:cs="Times New Roman"/>
          <w:sz w:val="28"/>
          <w:szCs w:val="28"/>
        </w:rPr>
        <w:t>through their lawyer on July 14, 2021.  This triggered a 30-day limitation period within which the Applicants were required to file and serve a Notice of Intention to Tax in order to seek their costs pursuant to r 312(3</w:t>
      </w:r>
      <w:r w:rsidR="007D2840">
        <w:rPr>
          <w:rFonts w:ascii="Times New Roman" w:hAnsi="Times New Roman" w:cs="Times New Roman"/>
          <w:sz w:val="28"/>
          <w:szCs w:val="28"/>
        </w:rPr>
        <w:t>)</w:t>
      </w:r>
      <w:r w:rsidR="00B24146">
        <w:rPr>
          <w:rFonts w:ascii="Times New Roman" w:hAnsi="Times New Roman" w:cs="Times New Roman"/>
          <w:sz w:val="28"/>
          <w:szCs w:val="28"/>
        </w:rPr>
        <w:t xml:space="preserve"> of the </w:t>
      </w:r>
      <w:r w:rsidR="00B24146">
        <w:rPr>
          <w:rFonts w:ascii="Times New Roman" w:hAnsi="Times New Roman" w:cs="Times New Roman"/>
          <w:i/>
          <w:sz w:val="28"/>
          <w:szCs w:val="28"/>
        </w:rPr>
        <w:t>Rules of Supreme Court of the Northwest Territories</w:t>
      </w:r>
      <w:r w:rsidR="00E16919">
        <w:rPr>
          <w:rFonts w:ascii="Times New Roman" w:hAnsi="Times New Roman" w:cs="Times New Roman"/>
          <w:sz w:val="28"/>
          <w:szCs w:val="28"/>
        </w:rPr>
        <w:t xml:space="preserve"> (the “</w:t>
      </w:r>
      <w:r w:rsidR="00E16919">
        <w:rPr>
          <w:rFonts w:ascii="Times New Roman" w:hAnsi="Times New Roman" w:cs="Times New Roman"/>
          <w:i/>
          <w:sz w:val="28"/>
          <w:szCs w:val="28"/>
        </w:rPr>
        <w:t>Rules</w:t>
      </w:r>
      <w:r w:rsidR="00E16919">
        <w:rPr>
          <w:rFonts w:ascii="Times New Roman" w:hAnsi="Times New Roman" w:cs="Times New Roman"/>
          <w:sz w:val="28"/>
          <w:szCs w:val="28"/>
        </w:rPr>
        <w:t>”)</w:t>
      </w:r>
      <w:r w:rsidR="00B24146">
        <w:rPr>
          <w:rFonts w:ascii="Times New Roman" w:hAnsi="Times New Roman" w:cs="Times New Roman"/>
          <w:i/>
          <w:sz w:val="28"/>
          <w:szCs w:val="28"/>
        </w:rPr>
        <w:t xml:space="preserve">.  </w:t>
      </w:r>
      <w:r w:rsidR="005D1A0D">
        <w:rPr>
          <w:rFonts w:ascii="Times New Roman" w:hAnsi="Times New Roman" w:cs="Times New Roman"/>
          <w:sz w:val="28"/>
          <w:szCs w:val="28"/>
        </w:rPr>
        <w:t>The Applicants did not do so within the 30-day timeframe.  They now ask the Court to extend that deadline so they may pursue a taxation of costs.</w:t>
      </w:r>
    </w:p>
    <w:p w:rsidR="007D2840" w:rsidRDefault="007D2840" w:rsidP="007D2840">
      <w:pPr>
        <w:pStyle w:val="ListParagraph"/>
        <w:spacing w:after="0" w:line="240" w:lineRule="auto"/>
        <w:ind w:left="0"/>
        <w:jc w:val="both"/>
        <w:rPr>
          <w:rFonts w:ascii="Times New Roman" w:hAnsi="Times New Roman" w:cs="Times New Roman"/>
          <w:i/>
          <w:sz w:val="28"/>
          <w:szCs w:val="28"/>
        </w:rPr>
      </w:pPr>
    </w:p>
    <w:p w:rsidR="007D2840" w:rsidRDefault="007D2840" w:rsidP="007D2840">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FACTS</w:t>
      </w:r>
    </w:p>
    <w:p w:rsidR="007D2840" w:rsidRPr="007D2840" w:rsidRDefault="007D2840" w:rsidP="007D2840">
      <w:pPr>
        <w:pStyle w:val="ListParagraph"/>
        <w:spacing w:after="0" w:line="240" w:lineRule="auto"/>
        <w:ind w:left="0"/>
        <w:jc w:val="both"/>
        <w:rPr>
          <w:rFonts w:ascii="Times New Roman" w:hAnsi="Times New Roman" w:cs="Times New Roman"/>
          <w:b/>
          <w:sz w:val="28"/>
          <w:szCs w:val="28"/>
        </w:rPr>
      </w:pPr>
    </w:p>
    <w:p w:rsidR="007D2840" w:rsidRDefault="007D2840" w:rsidP="007D2840">
      <w:pPr>
        <w:pStyle w:val="ListParagraph"/>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The facts are not disputed and can be summarized as follows:</w:t>
      </w:r>
    </w:p>
    <w:p w:rsidR="007D2840" w:rsidRPr="00972D9D" w:rsidRDefault="007D2840" w:rsidP="007D2840">
      <w:pPr>
        <w:spacing w:after="0" w:line="240" w:lineRule="auto"/>
        <w:jc w:val="both"/>
        <w:rPr>
          <w:rFonts w:ascii="Times New Roman" w:hAnsi="Times New Roman" w:cs="Times New Roman"/>
          <w:sz w:val="28"/>
          <w:szCs w:val="28"/>
        </w:rPr>
      </w:pPr>
    </w:p>
    <w:p w:rsidR="007D2840" w:rsidRDefault="007D2840" w:rsidP="007D2840">
      <w:pPr>
        <w:pStyle w:val="ListParagraph"/>
        <w:numPr>
          <w:ilvl w:val="1"/>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By letter dated April 19, 2021 the Plaintiffs advised the Applicants’ lawyer of their intention to discontinue the action and set out an offer respecting costs. </w:t>
      </w:r>
      <w:r w:rsidR="00F3413B">
        <w:rPr>
          <w:rFonts w:ascii="Times New Roman" w:hAnsi="Times New Roman" w:cs="Times New Roman"/>
          <w:sz w:val="28"/>
          <w:szCs w:val="28"/>
        </w:rPr>
        <w:t xml:space="preserve"> </w:t>
      </w:r>
      <w:r>
        <w:rPr>
          <w:rFonts w:ascii="Times New Roman" w:hAnsi="Times New Roman" w:cs="Times New Roman"/>
          <w:sz w:val="28"/>
          <w:szCs w:val="28"/>
        </w:rPr>
        <w:t>The offer would remain open until the earlier of it being withdrawn, rejected, or countered by the Applicants.</w:t>
      </w:r>
    </w:p>
    <w:p w:rsidR="007D2840" w:rsidRDefault="007D2840" w:rsidP="007D2840">
      <w:pPr>
        <w:pStyle w:val="ListParagraph"/>
        <w:numPr>
          <w:ilvl w:val="1"/>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Plaintiffs then filed the discontinuance on April 2</w:t>
      </w:r>
      <w:r w:rsidR="005D1A0D">
        <w:rPr>
          <w:rFonts w:ascii="Times New Roman" w:hAnsi="Times New Roman" w:cs="Times New Roman"/>
          <w:sz w:val="28"/>
          <w:szCs w:val="28"/>
        </w:rPr>
        <w:t>7, 2021 pursuant to r 309(1</w:t>
      </w:r>
      <w:proofErr w:type="gramStart"/>
      <w:r w:rsidR="005D1A0D">
        <w:rPr>
          <w:rFonts w:ascii="Times New Roman" w:hAnsi="Times New Roman" w:cs="Times New Roman"/>
          <w:sz w:val="28"/>
          <w:szCs w:val="28"/>
        </w:rPr>
        <w:t>)(</w:t>
      </w:r>
      <w:proofErr w:type="gramEnd"/>
      <w:r w:rsidR="005D1A0D">
        <w:rPr>
          <w:rFonts w:ascii="Times New Roman" w:hAnsi="Times New Roman" w:cs="Times New Roman"/>
          <w:sz w:val="28"/>
          <w:szCs w:val="28"/>
        </w:rPr>
        <w:t>a).</w:t>
      </w:r>
      <w:r w:rsidR="00C75B09">
        <w:rPr>
          <w:rFonts w:ascii="Times New Roman" w:hAnsi="Times New Roman" w:cs="Times New Roman"/>
          <w:sz w:val="28"/>
          <w:szCs w:val="28"/>
        </w:rPr>
        <w:t xml:space="preserve"> </w:t>
      </w:r>
      <w:r w:rsidR="00C247C9">
        <w:rPr>
          <w:rFonts w:ascii="Times New Roman" w:hAnsi="Times New Roman" w:cs="Times New Roman"/>
          <w:sz w:val="28"/>
          <w:szCs w:val="28"/>
        </w:rPr>
        <w:t xml:space="preserve"> </w:t>
      </w:r>
      <w:r w:rsidR="00C75B09">
        <w:rPr>
          <w:rFonts w:ascii="Times New Roman" w:hAnsi="Times New Roman" w:cs="Times New Roman"/>
          <w:sz w:val="28"/>
          <w:szCs w:val="28"/>
        </w:rPr>
        <w:t>It was not immediately served on the Applicants.</w:t>
      </w:r>
    </w:p>
    <w:p w:rsidR="007D2840" w:rsidRDefault="007D2840" w:rsidP="007D2840">
      <w:pPr>
        <w:pStyle w:val="ListParagraph"/>
        <w:numPr>
          <w:ilvl w:val="1"/>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Applicants’ lawyer responded to the April 19 letter on May 7, 2021, advising he required more time</w:t>
      </w:r>
      <w:r w:rsidR="005D1A0D">
        <w:rPr>
          <w:rFonts w:ascii="Times New Roman" w:hAnsi="Times New Roman" w:cs="Times New Roman"/>
          <w:sz w:val="28"/>
          <w:szCs w:val="28"/>
        </w:rPr>
        <w:t xml:space="preserve"> to seek instructions.</w:t>
      </w:r>
    </w:p>
    <w:p w:rsidR="007D2840" w:rsidRDefault="007D2840" w:rsidP="007D2840">
      <w:pPr>
        <w:pStyle w:val="ListParagraph"/>
        <w:numPr>
          <w:ilvl w:val="1"/>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Plaintiffs served the Notice of Discontinuance on the Applicants’ lawyer on July 14, 2021. </w:t>
      </w:r>
    </w:p>
    <w:p w:rsidR="007D2840" w:rsidRDefault="007D2840" w:rsidP="007D2840">
      <w:pPr>
        <w:pStyle w:val="ListParagraph"/>
        <w:numPr>
          <w:ilvl w:val="1"/>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On September 1, 2021 the Applicants’ lawyer sent a letter to the Plaintiff’s lawyer enclosing a draft Bill of Costs proposing a higher amount of costs than what the Plaintiffs offered. </w:t>
      </w:r>
    </w:p>
    <w:p w:rsidR="007D2840" w:rsidRDefault="007D2840" w:rsidP="007D2840">
      <w:pPr>
        <w:pStyle w:val="ListParagraph"/>
        <w:numPr>
          <w:ilvl w:val="1"/>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parties exchanged a few more letters containing revised offers and counter offers, with the final letter being sent by the Plaintiffs’ lawyer on March 1, 2022. </w:t>
      </w:r>
      <w:r w:rsidR="00F3413B">
        <w:rPr>
          <w:rFonts w:ascii="Times New Roman" w:hAnsi="Times New Roman" w:cs="Times New Roman"/>
          <w:sz w:val="28"/>
          <w:szCs w:val="28"/>
        </w:rPr>
        <w:t xml:space="preserve"> </w:t>
      </w:r>
      <w:r>
        <w:rPr>
          <w:rFonts w:ascii="Times New Roman" w:hAnsi="Times New Roman" w:cs="Times New Roman"/>
          <w:sz w:val="28"/>
          <w:szCs w:val="28"/>
        </w:rPr>
        <w:t xml:space="preserve">No settlement was reached on costs. </w:t>
      </w:r>
    </w:p>
    <w:p w:rsidR="007D2840" w:rsidRDefault="007D2840" w:rsidP="007D2840">
      <w:pPr>
        <w:pStyle w:val="ListParagraph"/>
        <w:numPr>
          <w:ilvl w:val="1"/>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Plaintiffs’ lawyer did not</w:t>
      </w:r>
      <w:r w:rsidR="005D1A0D">
        <w:rPr>
          <w:rFonts w:ascii="Times New Roman" w:hAnsi="Times New Roman" w:cs="Times New Roman"/>
          <w:sz w:val="28"/>
          <w:szCs w:val="28"/>
        </w:rPr>
        <w:t xml:space="preserve"> at </w:t>
      </w:r>
      <w:r>
        <w:rPr>
          <w:rFonts w:ascii="Times New Roman" w:hAnsi="Times New Roman" w:cs="Times New Roman"/>
          <w:sz w:val="28"/>
          <w:szCs w:val="28"/>
        </w:rPr>
        <w:t xml:space="preserve">any point </w:t>
      </w:r>
      <w:r w:rsidR="005D1A0D">
        <w:rPr>
          <w:rFonts w:ascii="Times New Roman" w:hAnsi="Times New Roman" w:cs="Times New Roman"/>
          <w:sz w:val="28"/>
          <w:szCs w:val="28"/>
        </w:rPr>
        <w:t xml:space="preserve">in his correspondence </w:t>
      </w:r>
      <w:r>
        <w:rPr>
          <w:rFonts w:ascii="Times New Roman" w:hAnsi="Times New Roman" w:cs="Times New Roman"/>
          <w:sz w:val="28"/>
          <w:szCs w:val="28"/>
        </w:rPr>
        <w:t xml:space="preserve">waive the 30-day </w:t>
      </w:r>
      <w:r w:rsidR="005D1A0D">
        <w:rPr>
          <w:rFonts w:ascii="Times New Roman" w:hAnsi="Times New Roman" w:cs="Times New Roman"/>
          <w:sz w:val="28"/>
          <w:szCs w:val="28"/>
        </w:rPr>
        <w:t>limitation period in r 312(3)</w:t>
      </w:r>
      <w:r>
        <w:rPr>
          <w:rFonts w:ascii="Times New Roman" w:hAnsi="Times New Roman" w:cs="Times New Roman"/>
          <w:sz w:val="28"/>
          <w:szCs w:val="28"/>
        </w:rPr>
        <w:t>.</w:t>
      </w:r>
    </w:p>
    <w:p w:rsidR="007D2840" w:rsidRDefault="007D2840" w:rsidP="007D2840">
      <w:pPr>
        <w:pStyle w:val="ListParagraph"/>
        <w:numPr>
          <w:ilvl w:val="1"/>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Applicants filed a Notice of Inten</w:t>
      </w:r>
      <w:r w:rsidR="005D1A0D">
        <w:rPr>
          <w:rFonts w:ascii="Times New Roman" w:hAnsi="Times New Roman" w:cs="Times New Roman"/>
          <w:sz w:val="28"/>
          <w:szCs w:val="28"/>
        </w:rPr>
        <w:t xml:space="preserve">tion </w:t>
      </w:r>
      <w:r w:rsidR="002A2C74">
        <w:rPr>
          <w:rFonts w:ascii="Times New Roman" w:hAnsi="Times New Roman" w:cs="Times New Roman"/>
          <w:sz w:val="28"/>
          <w:szCs w:val="28"/>
        </w:rPr>
        <w:t>to Tax on October 6, 2022, approximately 15 months after the time for doing so had passed.</w:t>
      </w:r>
    </w:p>
    <w:p w:rsidR="007D2840" w:rsidRPr="007D2840" w:rsidRDefault="007D2840" w:rsidP="007D2840">
      <w:pPr>
        <w:pStyle w:val="ListParagraph"/>
        <w:spacing w:after="0" w:line="240" w:lineRule="auto"/>
        <w:ind w:left="0"/>
        <w:jc w:val="both"/>
        <w:rPr>
          <w:rFonts w:ascii="Times New Roman" w:hAnsi="Times New Roman" w:cs="Times New Roman"/>
          <w:sz w:val="28"/>
          <w:szCs w:val="28"/>
        </w:rPr>
      </w:pPr>
    </w:p>
    <w:p w:rsidR="007D2840" w:rsidRDefault="007D2840" w:rsidP="00E93C73">
      <w:pPr>
        <w:pStyle w:val="ListParagraph"/>
        <w:spacing w:after="0" w:line="240" w:lineRule="auto"/>
        <w:ind w:left="0"/>
        <w:jc w:val="both"/>
        <w:rPr>
          <w:rFonts w:ascii="Times New Roman" w:hAnsi="Times New Roman" w:cs="Times New Roman"/>
          <w:b/>
          <w:sz w:val="28"/>
          <w:szCs w:val="28"/>
        </w:rPr>
      </w:pPr>
    </w:p>
    <w:p w:rsidR="00E93C73" w:rsidRDefault="007D2840" w:rsidP="00E93C73">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ANALYSIS</w:t>
      </w:r>
    </w:p>
    <w:p w:rsidR="007D2840" w:rsidRDefault="007D2840" w:rsidP="007D2840">
      <w:pPr>
        <w:pStyle w:val="ListParagraph"/>
        <w:spacing w:after="0" w:line="240" w:lineRule="auto"/>
        <w:ind w:left="0"/>
        <w:jc w:val="both"/>
        <w:rPr>
          <w:rFonts w:ascii="Times New Roman" w:hAnsi="Times New Roman" w:cs="Times New Roman"/>
          <w:sz w:val="28"/>
          <w:szCs w:val="28"/>
        </w:rPr>
      </w:pPr>
    </w:p>
    <w:p w:rsidR="00972D9D" w:rsidRDefault="00972D9D" w:rsidP="00C711A9">
      <w:pPr>
        <w:pStyle w:val="ListParagraph"/>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The relevant portions of r 312 are as follows:</w:t>
      </w:r>
    </w:p>
    <w:p w:rsidR="00972D9D" w:rsidRDefault="00972D9D" w:rsidP="00972D9D">
      <w:pPr>
        <w:pStyle w:val="ListParagraph"/>
        <w:spacing w:after="0" w:line="240" w:lineRule="auto"/>
        <w:ind w:left="0"/>
        <w:jc w:val="both"/>
        <w:rPr>
          <w:rFonts w:ascii="Times New Roman" w:hAnsi="Times New Roman" w:cs="Times New Roman"/>
          <w:sz w:val="28"/>
          <w:szCs w:val="28"/>
        </w:rPr>
      </w:pPr>
    </w:p>
    <w:p w:rsidR="00972D9D" w:rsidRDefault="00972D9D" w:rsidP="00972D9D">
      <w:pPr>
        <w:pStyle w:val="ListParagraph"/>
        <w:spacing w:after="0" w:line="240" w:lineRule="auto"/>
        <w:ind w:left="737" w:right="737"/>
        <w:jc w:val="both"/>
        <w:rPr>
          <w:rFonts w:ascii="Times New Roman" w:hAnsi="Times New Roman" w:cs="Times New Roman"/>
          <w:sz w:val="24"/>
          <w:szCs w:val="24"/>
        </w:rPr>
      </w:pPr>
      <w:r w:rsidRPr="00972D9D">
        <w:rPr>
          <w:rFonts w:ascii="Times New Roman" w:hAnsi="Times New Roman" w:cs="Times New Roman"/>
          <w:sz w:val="24"/>
          <w:szCs w:val="24"/>
        </w:rPr>
        <w:t>312. (1)  Subject to subrules (2) and (4), where a plaintiff discontinues a proceeding, the defendant is entitled to recover from the plaintiff the costs of the proceeding.</w:t>
      </w:r>
    </w:p>
    <w:p w:rsidR="00972D9D" w:rsidRDefault="00972D9D" w:rsidP="00972D9D">
      <w:pPr>
        <w:pStyle w:val="ListParagraph"/>
        <w:spacing w:after="0" w:line="240" w:lineRule="auto"/>
        <w:ind w:left="737" w:right="737"/>
        <w:jc w:val="both"/>
        <w:rPr>
          <w:rFonts w:ascii="Times New Roman" w:hAnsi="Times New Roman" w:cs="Times New Roman"/>
          <w:sz w:val="24"/>
          <w:szCs w:val="24"/>
        </w:rPr>
      </w:pPr>
    </w:p>
    <w:p w:rsidR="00972D9D" w:rsidRPr="00972D9D" w:rsidRDefault="00972D9D" w:rsidP="00972D9D">
      <w:pPr>
        <w:pStyle w:val="ListParagraph"/>
        <w:spacing w:after="0" w:line="240" w:lineRule="auto"/>
        <w:ind w:left="737" w:right="737"/>
        <w:jc w:val="both"/>
        <w:rPr>
          <w:rFonts w:ascii="Times New Roman" w:hAnsi="Times New Roman" w:cs="Times New Roman"/>
          <w:sz w:val="24"/>
          <w:szCs w:val="24"/>
        </w:rPr>
      </w:pPr>
      <w:r>
        <w:rPr>
          <w:rFonts w:ascii="Times New Roman" w:hAnsi="Times New Roman" w:cs="Times New Roman"/>
          <w:sz w:val="24"/>
          <w:szCs w:val="24"/>
        </w:rPr>
        <w:t>[…]</w:t>
      </w:r>
    </w:p>
    <w:p w:rsidR="00972D9D" w:rsidRPr="00972D9D" w:rsidRDefault="00972D9D" w:rsidP="00972D9D">
      <w:pPr>
        <w:pStyle w:val="ListParagraph"/>
        <w:spacing w:after="0" w:line="240" w:lineRule="auto"/>
        <w:ind w:left="737" w:right="737"/>
        <w:jc w:val="both"/>
        <w:rPr>
          <w:rFonts w:ascii="Times New Roman" w:hAnsi="Times New Roman" w:cs="Times New Roman"/>
          <w:sz w:val="24"/>
          <w:szCs w:val="24"/>
        </w:rPr>
      </w:pPr>
    </w:p>
    <w:p w:rsidR="00972D9D" w:rsidRPr="00972D9D" w:rsidRDefault="00972D9D" w:rsidP="00972D9D">
      <w:pPr>
        <w:pStyle w:val="ListParagraph"/>
        <w:spacing w:after="0" w:line="240" w:lineRule="auto"/>
        <w:ind w:left="737" w:right="737"/>
        <w:jc w:val="both"/>
        <w:rPr>
          <w:rFonts w:ascii="Times New Roman" w:hAnsi="Times New Roman" w:cs="Times New Roman"/>
          <w:sz w:val="24"/>
          <w:szCs w:val="24"/>
        </w:rPr>
      </w:pPr>
      <w:r w:rsidRPr="00972D9D">
        <w:rPr>
          <w:rFonts w:ascii="Times New Roman" w:hAnsi="Times New Roman" w:cs="Times New Roman"/>
          <w:sz w:val="24"/>
          <w:szCs w:val="24"/>
        </w:rPr>
        <w:tab/>
        <w:t>(3)  Subject to subrule (4), a defendant may recover costs entitled to him or her under this rule if, within 30 days after service of the notice of discontinuance, he or she</w:t>
      </w:r>
    </w:p>
    <w:p w:rsidR="00972D9D" w:rsidRPr="00972D9D" w:rsidRDefault="00972D9D" w:rsidP="00972D9D">
      <w:pPr>
        <w:pStyle w:val="ListParagraph"/>
        <w:spacing w:after="0" w:line="240" w:lineRule="auto"/>
        <w:ind w:left="2880" w:right="737" w:hanging="715"/>
        <w:jc w:val="both"/>
        <w:rPr>
          <w:rFonts w:ascii="Times New Roman" w:hAnsi="Times New Roman" w:cs="Times New Roman"/>
          <w:sz w:val="24"/>
          <w:szCs w:val="24"/>
        </w:rPr>
      </w:pPr>
      <w:r w:rsidRPr="00972D9D">
        <w:rPr>
          <w:rFonts w:ascii="Times New Roman" w:hAnsi="Times New Roman" w:cs="Times New Roman"/>
          <w:sz w:val="24"/>
          <w:szCs w:val="24"/>
        </w:rPr>
        <w:t>(a)</w:t>
      </w:r>
      <w:r w:rsidRPr="00972D9D">
        <w:rPr>
          <w:rFonts w:ascii="Times New Roman" w:hAnsi="Times New Roman" w:cs="Times New Roman"/>
          <w:sz w:val="24"/>
          <w:szCs w:val="24"/>
        </w:rPr>
        <w:tab/>
        <w:t>serves a notice of intention to tax on the party required to pay the costs; and</w:t>
      </w:r>
    </w:p>
    <w:p w:rsidR="00972D9D" w:rsidRPr="00972D9D" w:rsidRDefault="00972D9D" w:rsidP="00972D9D">
      <w:pPr>
        <w:pStyle w:val="ListParagraph"/>
        <w:spacing w:after="0" w:line="240" w:lineRule="auto"/>
        <w:ind w:left="737" w:right="737"/>
        <w:jc w:val="both"/>
        <w:rPr>
          <w:rFonts w:ascii="Times New Roman" w:hAnsi="Times New Roman" w:cs="Times New Roman"/>
          <w:sz w:val="24"/>
          <w:szCs w:val="24"/>
        </w:rPr>
      </w:pPr>
      <w:r w:rsidRPr="00972D9D">
        <w:rPr>
          <w:rFonts w:ascii="Times New Roman" w:hAnsi="Times New Roman" w:cs="Times New Roman"/>
          <w:sz w:val="24"/>
          <w:szCs w:val="24"/>
        </w:rPr>
        <w:tab/>
      </w:r>
      <w:r w:rsidRPr="00972D9D">
        <w:rPr>
          <w:rFonts w:ascii="Times New Roman" w:hAnsi="Times New Roman" w:cs="Times New Roman"/>
          <w:sz w:val="24"/>
          <w:szCs w:val="24"/>
        </w:rPr>
        <w:tab/>
        <w:t>(b)</w:t>
      </w:r>
      <w:r w:rsidRPr="00972D9D">
        <w:rPr>
          <w:rFonts w:ascii="Times New Roman" w:hAnsi="Times New Roman" w:cs="Times New Roman"/>
          <w:sz w:val="24"/>
          <w:szCs w:val="24"/>
        </w:rPr>
        <w:tab/>
        <w:t>files the notice of intention to tax with the Clerk.</w:t>
      </w:r>
    </w:p>
    <w:p w:rsidR="00972D9D" w:rsidRPr="00972D9D" w:rsidRDefault="00972D9D" w:rsidP="00972D9D">
      <w:pPr>
        <w:pStyle w:val="ListParagraph"/>
        <w:spacing w:after="0" w:line="240" w:lineRule="auto"/>
        <w:ind w:left="737" w:right="737"/>
        <w:jc w:val="both"/>
        <w:rPr>
          <w:rFonts w:ascii="Times New Roman" w:hAnsi="Times New Roman" w:cs="Times New Roman"/>
          <w:sz w:val="24"/>
          <w:szCs w:val="24"/>
        </w:rPr>
      </w:pPr>
    </w:p>
    <w:p w:rsidR="00972D9D" w:rsidRDefault="00972D9D" w:rsidP="00972D9D">
      <w:pPr>
        <w:pStyle w:val="ListParagraph"/>
        <w:spacing w:after="0" w:line="240" w:lineRule="auto"/>
        <w:ind w:left="737" w:right="737"/>
        <w:jc w:val="both"/>
        <w:rPr>
          <w:rFonts w:ascii="Times New Roman" w:hAnsi="Times New Roman" w:cs="Times New Roman"/>
          <w:sz w:val="24"/>
          <w:szCs w:val="24"/>
        </w:rPr>
      </w:pPr>
      <w:r w:rsidRPr="00972D9D">
        <w:rPr>
          <w:rFonts w:ascii="Times New Roman" w:hAnsi="Times New Roman" w:cs="Times New Roman"/>
          <w:sz w:val="24"/>
          <w:szCs w:val="24"/>
        </w:rPr>
        <w:tab/>
        <w:t>(4)</w:t>
      </w:r>
      <w:r w:rsidRPr="00972D9D">
        <w:rPr>
          <w:rFonts w:ascii="Times New Roman" w:hAnsi="Times New Roman" w:cs="Times New Roman"/>
          <w:sz w:val="24"/>
          <w:szCs w:val="24"/>
        </w:rPr>
        <w:tab/>
        <w:t>Subrules (1), (2) or (3) do not apply if</w:t>
      </w:r>
    </w:p>
    <w:p w:rsidR="00972D9D" w:rsidRPr="00972D9D" w:rsidRDefault="00972D9D" w:rsidP="00972D9D">
      <w:pPr>
        <w:pStyle w:val="ListParagraph"/>
        <w:spacing w:after="0" w:line="240" w:lineRule="auto"/>
        <w:ind w:left="737" w:right="73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72D9D" w:rsidRDefault="00972D9D" w:rsidP="00972D9D">
      <w:pPr>
        <w:pStyle w:val="ListParagraph"/>
        <w:numPr>
          <w:ilvl w:val="0"/>
          <w:numId w:val="27"/>
        </w:numPr>
        <w:spacing w:after="0" w:line="240" w:lineRule="auto"/>
        <w:ind w:right="737"/>
        <w:jc w:val="both"/>
        <w:rPr>
          <w:rFonts w:ascii="Times New Roman" w:hAnsi="Times New Roman" w:cs="Times New Roman"/>
          <w:sz w:val="24"/>
          <w:szCs w:val="24"/>
        </w:rPr>
      </w:pPr>
      <w:r w:rsidRPr="00972D9D">
        <w:rPr>
          <w:rFonts w:ascii="Times New Roman" w:hAnsi="Times New Roman" w:cs="Times New Roman"/>
          <w:sz w:val="24"/>
          <w:szCs w:val="24"/>
        </w:rPr>
        <w:t xml:space="preserve">the proceeding is discontinued on the consent of all parties; </w:t>
      </w:r>
      <w:r>
        <w:rPr>
          <w:rFonts w:ascii="Times New Roman" w:hAnsi="Times New Roman" w:cs="Times New Roman"/>
          <w:sz w:val="24"/>
          <w:szCs w:val="24"/>
        </w:rPr>
        <w:t>or</w:t>
      </w:r>
    </w:p>
    <w:p w:rsidR="00B24146" w:rsidRPr="00972D9D" w:rsidRDefault="00972D9D" w:rsidP="00972D9D">
      <w:pPr>
        <w:pStyle w:val="ListParagraph"/>
        <w:numPr>
          <w:ilvl w:val="0"/>
          <w:numId w:val="27"/>
        </w:numPr>
        <w:spacing w:after="0" w:line="240" w:lineRule="auto"/>
        <w:ind w:right="737"/>
        <w:jc w:val="both"/>
        <w:rPr>
          <w:rFonts w:ascii="Times New Roman" w:hAnsi="Times New Roman" w:cs="Times New Roman"/>
          <w:sz w:val="24"/>
          <w:szCs w:val="24"/>
        </w:rPr>
      </w:pPr>
      <w:r>
        <w:rPr>
          <w:rFonts w:ascii="Times New Roman" w:hAnsi="Times New Roman" w:cs="Times New Roman"/>
          <w:sz w:val="24"/>
          <w:szCs w:val="24"/>
        </w:rPr>
        <w:t>the Court so orders.</w:t>
      </w:r>
    </w:p>
    <w:p w:rsidR="00B24146" w:rsidRDefault="00B24146" w:rsidP="00B24146">
      <w:pPr>
        <w:pStyle w:val="ListParagraph"/>
        <w:spacing w:after="0" w:line="240" w:lineRule="auto"/>
        <w:ind w:left="0"/>
        <w:jc w:val="both"/>
        <w:rPr>
          <w:rFonts w:ascii="Times New Roman" w:hAnsi="Times New Roman" w:cs="Times New Roman"/>
          <w:sz w:val="28"/>
          <w:szCs w:val="28"/>
        </w:rPr>
      </w:pPr>
    </w:p>
    <w:p w:rsidR="007D2840" w:rsidRDefault="004121D5" w:rsidP="00C711A9">
      <w:pPr>
        <w:pStyle w:val="ListParagraph"/>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Pr>
          <w:rFonts w:ascii="Times New Roman" w:hAnsi="Times New Roman" w:cs="Times New Roman"/>
          <w:i/>
          <w:sz w:val="28"/>
          <w:szCs w:val="28"/>
        </w:rPr>
        <w:t xml:space="preserve">Rules </w:t>
      </w:r>
      <w:r>
        <w:rPr>
          <w:rFonts w:ascii="Times New Roman" w:hAnsi="Times New Roman" w:cs="Times New Roman"/>
          <w:sz w:val="28"/>
          <w:szCs w:val="28"/>
        </w:rPr>
        <w:t>provide a framework through which proceedings can be advanced efficiently through the Court.  They set out expectations and, in turn, provide a level of certainty to litigants and their legal representatives about what steps must be taken, how they must be taken, and, importantly, when.</w:t>
      </w:r>
      <w:r w:rsidR="00F3413B">
        <w:rPr>
          <w:rFonts w:ascii="Times New Roman" w:hAnsi="Times New Roman" w:cs="Times New Roman"/>
          <w:sz w:val="28"/>
          <w:szCs w:val="28"/>
        </w:rPr>
        <w:t xml:space="preserve"> </w:t>
      </w:r>
      <w:r>
        <w:rPr>
          <w:rFonts w:ascii="Times New Roman" w:hAnsi="Times New Roman" w:cs="Times New Roman"/>
          <w:sz w:val="28"/>
          <w:szCs w:val="28"/>
        </w:rPr>
        <w:t xml:space="preserve"> At the same time, the Court recognizes there are times when unforeseen and unintended circumstances prevent a party from complying with a deadline set out in the </w:t>
      </w:r>
      <w:r>
        <w:rPr>
          <w:rFonts w:ascii="Times New Roman" w:hAnsi="Times New Roman" w:cs="Times New Roman"/>
          <w:i/>
          <w:sz w:val="28"/>
          <w:szCs w:val="28"/>
        </w:rPr>
        <w:t>Rules</w:t>
      </w:r>
      <w:r>
        <w:rPr>
          <w:rFonts w:ascii="Times New Roman" w:hAnsi="Times New Roman" w:cs="Times New Roman"/>
          <w:sz w:val="28"/>
          <w:szCs w:val="28"/>
        </w:rPr>
        <w:t xml:space="preserve"> and that enforcing the deadline may result in an injustice.</w:t>
      </w:r>
      <w:r w:rsidR="00F3413B">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This is embodied in a number of places throughout the </w:t>
      </w:r>
      <w:r>
        <w:rPr>
          <w:rFonts w:ascii="Times New Roman" w:hAnsi="Times New Roman" w:cs="Times New Roman"/>
          <w:i/>
          <w:sz w:val="28"/>
          <w:szCs w:val="28"/>
        </w:rPr>
        <w:t xml:space="preserve">Rules, </w:t>
      </w:r>
      <w:r>
        <w:rPr>
          <w:rFonts w:ascii="Times New Roman" w:hAnsi="Times New Roman" w:cs="Times New Roman"/>
          <w:sz w:val="28"/>
          <w:szCs w:val="28"/>
        </w:rPr>
        <w:t>including r</w:t>
      </w:r>
      <w:r w:rsidR="007D2840">
        <w:rPr>
          <w:rFonts w:ascii="Times New Roman" w:hAnsi="Times New Roman" w:cs="Times New Roman"/>
          <w:sz w:val="28"/>
          <w:szCs w:val="28"/>
        </w:rPr>
        <w:t xml:space="preserve"> 713(2)</w:t>
      </w:r>
      <w:r>
        <w:rPr>
          <w:rFonts w:ascii="Times New Roman" w:hAnsi="Times New Roman" w:cs="Times New Roman"/>
          <w:sz w:val="28"/>
          <w:szCs w:val="28"/>
        </w:rPr>
        <w:t>.</w:t>
      </w:r>
      <w:r w:rsidR="00F3413B">
        <w:rPr>
          <w:rFonts w:ascii="Times New Roman" w:hAnsi="Times New Roman" w:cs="Times New Roman"/>
          <w:sz w:val="28"/>
          <w:szCs w:val="28"/>
        </w:rPr>
        <w:t xml:space="preserve"> </w:t>
      </w:r>
      <w:r>
        <w:rPr>
          <w:rFonts w:ascii="Times New Roman" w:hAnsi="Times New Roman" w:cs="Times New Roman"/>
          <w:sz w:val="28"/>
          <w:szCs w:val="28"/>
        </w:rPr>
        <w:t xml:space="preserve"> It </w:t>
      </w:r>
      <w:r w:rsidR="00E93C73">
        <w:rPr>
          <w:rFonts w:ascii="Times New Roman" w:hAnsi="Times New Roman" w:cs="Times New Roman"/>
          <w:sz w:val="28"/>
          <w:szCs w:val="28"/>
        </w:rPr>
        <w:t>expressly permit</w:t>
      </w:r>
      <w:r w:rsidR="007D2840">
        <w:rPr>
          <w:rFonts w:ascii="Times New Roman" w:hAnsi="Times New Roman" w:cs="Times New Roman"/>
          <w:sz w:val="28"/>
          <w:szCs w:val="28"/>
        </w:rPr>
        <w:t>s</w:t>
      </w:r>
      <w:r w:rsidR="00E93C73">
        <w:rPr>
          <w:rFonts w:ascii="Times New Roman" w:hAnsi="Times New Roman" w:cs="Times New Roman"/>
          <w:sz w:val="28"/>
          <w:szCs w:val="28"/>
        </w:rPr>
        <w:t xml:space="preserve"> t</w:t>
      </w:r>
      <w:r w:rsidR="007D2840">
        <w:rPr>
          <w:rFonts w:ascii="Times New Roman" w:hAnsi="Times New Roman" w:cs="Times New Roman"/>
          <w:sz w:val="28"/>
          <w:szCs w:val="28"/>
        </w:rPr>
        <w:t>he Court to extend the time for doing something under a particular rule.</w:t>
      </w:r>
      <w:r w:rsidR="00F3413B">
        <w:rPr>
          <w:rFonts w:ascii="Times New Roman" w:hAnsi="Times New Roman" w:cs="Times New Roman"/>
          <w:sz w:val="28"/>
          <w:szCs w:val="28"/>
        </w:rPr>
        <w:t xml:space="preserve"> </w:t>
      </w:r>
      <w:r w:rsidR="007D2840">
        <w:rPr>
          <w:rFonts w:ascii="Times New Roman" w:hAnsi="Times New Roman" w:cs="Times New Roman"/>
          <w:sz w:val="28"/>
          <w:szCs w:val="28"/>
        </w:rPr>
        <w:t xml:space="preserve"> This is a discretionary power</w:t>
      </w:r>
      <w:r>
        <w:rPr>
          <w:rFonts w:ascii="Times New Roman" w:hAnsi="Times New Roman" w:cs="Times New Roman"/>
          <w:sz w:val="28"/>
          <w:szCs w:val="28"/>
        </w:rPr>
        <w:t xml:space="preserve">, however, </w:t>
      </w:r>
      <w:r w:rsidR="007D2840">
        <w:rPr>
          <w:rFonts w:ascii="Times New Roman" w:hAnsi="Times New Roman" w:cs="Times New Roman"/>
          <w:sz w:val="28"/>
          <w:szCs w:val="28"/>
        </w:rPr>
        <w:t>and</w:t>
      </w:r>
      <w:r>
        <w:rPr>
          <w:rFonts w:ascii="Times New Roman" w:hAnsi="Times New Roman" w:cs="Times New Roman"/>
          <w:sz w:val="28"/>
          <w:szCs w:val="28"/>
        </w:rPr>
        <w:t>,</w:t>
      </w:r>
      <w:r w:rsidR="007D2840">
        <w:rPr>
          <w:rFonts w:ascii="Times New Roman" w:hAnsi="Times New Roman" w:cs="Times New Roman"/>
          <w:sz w:val="28"/>
          <w:szCs w:val="28"/>
        </w:rPr>
        <w:t xml:space="preserve"> as with all discretionary powers, it must be exercised in a principled</w:t>
      </w:r>
      <w:r>
        <w:rPr>
          <w:rFonts w:ascii="Times New Roman" w:hAnsi="Times New Roman" w:cs="Times New Roman"/>
          <w:sz w:val="28"/>
          <w:szCs w:val="28"/>
        </w:rPr>
        <w:t xml:space="preserve"> and transparent manner which advances the interests of justice and maintains public confidence in the Courts. </w:t>
      </w:r>
    </w:p>
    <w:p w:rsidR="007D2840" w:rsidRDefault="007D2840" w:rsidP="007D2840">
      <w:pPr>
        <w:pStyle w:val="ListParagraph"/>
        <w:spacing w:after="0" w:line="240" w:lineRule="auto"/>
        <w:ind w:left="0"/>
        <w:jc w:val="both"/>
        <w:rPr>
          <w:rFonts w:ascii="Times New Roman" w:hAnsi="Times New Roman" w:cs="Times New Roman"/>
          <w:sz w:val="28"/>
          <w:szCs w:val="28"/>
        </w:rPr>
      </w:pPr>
    </w:p>
    <w:p w:rsidR="00E93C73" w:rsidRDefault="007D2840" w:rsidP="00C711A9">
      <w:pPr>
        <w:pStyle w:val="ListParagraph"/>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This Court has not opined </w:t>
      </w:r>
      <w:r w:rsidR="004121D5">
        <w:rPr>
          <w:rFonts w:ascii="Times New Roman" w:hAnsi="Times New Roman" w:cs="Times New Roman"/>
          <w:sz w:val="28"/>
          <w:szCs w:val="28"/>
        </w:rPr>
        <w:t>specifically on</w:t>
      </w:r>
      <w:r>
        <w:rPr>
          <w:rFonts w:ascii="Times New Roman" w:hAnsi="Times New Roman" w:cs="Times New Roman"/>
          <w:sz w:val="28"/>
          <w:szCs w:val="28"/>
        </w:rPr>
        <w:t xml:space="preserve"> the circumstances under which the limitation in r 312(3) can be extended.  The Plaintiffs’ counsel submitted </w:t>
      </w:r>
      <w:r w:rsidR="004121D5">
        <w:rPr>
          <w:rFonts w:ascii="Times New Roman" w:hAnsi="Times New Roman" w:cs="Times New Roman"/>
          <w:sz w:val="28"/>
          <w:szCs w:val="28"/>
        </w:rPr>
        <w:t>case law</w:t>
      </w:r>
      <w:r>
        <w:rPr>
          <w:rFonts w:ascii="Times New Roman" w:hAnsi="Times New Roman" w:cs="Times New Roman"/>
          <w:sz w:val="28"/>
          <w:szCs w:val="28"/>
        </w:rPr>
        <w:t xml:space="preserve"> from Ont</w:t>
      </w:r>
      <w:r w:rsidR="004121D5">
        <w:rPr>
          <w:rFonts w:ascii="Times New Roman" w:hAnsi="Times New Roman" w:cs="Times New Roman"/>
          <w:sz w:val="28"/>
          <w:szCs w:val="28"/>
        </w:rPr>
        <w:t>ario</w:t>
      </w:r>
      <w:r w:rsidR="002A2C74">
        <w:rPr>
          <w:rFonts w:ascii="Times New Roman" w:hAnsi="Times New Roman" w:cs="Times New Roman"/>
          <w:sz w:val="28"/>
          <w:szCs w:val="28"/>
        </w:rPr>
        <w:t>,</w:t>
      </w:r>
      <w:r w:rsidR="004121D5">
        <w:rPr>
          <w:rFonts w:ascii="Times New Roman" w:hAnsi="Times New Roman" w:cs="Times New Roman"/>
          <w:sz w:val="28"/>
          <w:szCs w:val="28"/>
        </w:rPr>
        <w:t xml:space="preserve"> including</w:t>
      </w:r>
      <w:r w:rsidR="00051ABF">
        <w:rPr>
          <w:rFonts w:ascii="Times New Roman" w:hAnsi="Times New Roman" w:cs="Times New Roman"/>
          <w:sz w:val="28"/>
          <w:szCs w:val="28"/>
        </w:rPr>
        <w:t xml:space="preserve"> </w:t>
      </w:r>
      <w:r w:rsidR="00051ABF">
        <w:rPr>
          <w:rFonts w:ascii="Times New Roman" w:hAnsi="Times New Roman" w:cs="Times New Roman"/>
          <w:i/>
          <w:sz w:val="28"/>
          <w:szCs w:val="28"/>
        </w:rPr>
        <w:t>Marupov v Metron Construction Inc</w:t>
      </w:r>
      <w:r w:rsidR="000F5C77">
        <w:rPr>
          <w:rFonts w:ascii="Times New Roman" w:hAnsi="Times New Roman" w:cs="Times New Roman"/>
          <w:i/>
          <w:sz w:val="28"/>
          <w:szCs w:val="28"/>
        </w:rPr>
        <w:t>.</w:t>
      </w:r>
      <w:r w:rsidR="00051ABF">
        <w:rPr>
          <w:rFonts w:ascii="Times New Roman" w:hAnsi="Times New Roman" w:cs="Times New Roman"/>
          <w:i/>
          <w:sz w:val="28"/>
          <w:szCs w:val="28"/>
        </w:rPr>
        <w:t xml:space="preserve">, </w:t>
      </w:r>
      <w:r w:rsidR="004121D5">
        <w:rPr>
          <w:rFonts w:ascii="Times New Roman" w:hAnsi="Times New Roman" w:cs="Times New Roman"/>
          <w:sz w:val="28"/>
          <w:szCs w:val="28"/>
        </w:rPr>
        <w:t xml:space="preserve">2013 ONSC 609. </w:t>
      </w:r>
      <w:r w:rsidR="00051ABF">
        <w:rPr>
          <w:rFonts w:ascii="Times New Roman" w:hAnsi="Times New Roman" w:cs="Times New Roman"/>
          <w:sz w:val="28"/>
          <w:szCs w:val="28"/>
        </w:rPr>
        <w:t xml:space="preserve"> </w:t>
      </w:r>
      <w:r w:rsidR="004121D5">
        <w:rPr>
          <w:rFonts w:ascii="Times New Roman" w:hAnsi="Times New Roman" w:cs="Times New Roman"/>
          <w:sz w:val="28"/>
          <w:szCs w:val="28"/>
        </w:rPr>
        <w:t xml:space="preserve">That </w:t>
      </w:r>
      <w:r w:rsidR="00051ABF">
        <w:rPr>
          <w:rFonts w:ascii="Times New Roman" w:hAnsi="Times New Roman" w:cs="Times New Roman"/>
          <w:sz w:val="28"/>
          <w:szCs w:val="28"/>
        </w:rPr>
        <w:t>case</w:t>
      </w:r>
      <w:r>
        <w:rPr>
          <w:rFonts w:ascii="Times New Roman" w:hAnsi="Times New Roman" w:cs="Times New Roman"/>
          <w:sz w:val="28"/>
          <w:szCs w:val="28"/>
        </w:rPr>
        <w:t xml:space="preserve"> cons</w:t>
      </w:r>
      <w:r w:rsidR="00051ABF">
        <w:rPr>
          <w:rFonts w:ascii="Times New Roman" w:hAnsi="Times New Roman" w:cs="Times New Roman"/>
          <w:sz w:val="28"/>
          <w:szCs w:val="28"/>
        </w:rPr>
        <w:t>idered the</w:t>
      </w:r>
      <w:r>
        <w:rPr>
          <w:rFonts w:ascii="Times New Roman" w:hAnsi="Times New Roman" w:cs="Times New Roman"/>
          <w:sz w:val="28"/>
          <w:szCs w:val="28"/>
        </w:rPr>
        <w:t xml:space="preserve"> issue </w:t>
      </w:r>
      <w:r w:rsidR="00051ABF">
        <w:rPr>
          <w:rFonts w:ascii="Times New Roman" w:hAnsi="Times New Roman" w:cs="Times New Roman"/>
          <w:sz w:val="28"/>
          <w:szCs w:val="28"/>
        </w:rPr>
        <w:t>of extending time under</w:t>
      </w:r>
      <w:r>
        <w:rPr>
          <w:rFonts w:ascii="Times New Roman" w:hAnsi="Times New Roman" w:cs="Times New Roman"/>
          <w:sz w:val="28"/>
          <w:szCs w:val="28"/>
        </w:rPr>
        <w:t xml:space="preserve"> </w:t>
      </w:r>
      <w:r w:rsidR="00051ABF">
        <w:rPr>
          <w:rFonts w:ascii="Times New Roman" w:hAnsi="Times New Roman" w:cs="Times New Roman"/>
          <w:sz w:val="28"/>
          <w:szCs w:val="28"/>
        </w:rPr>
        <w:t xml:space="preserve">r 23.05 of its </w:t>
      </w:r>
      <w:r w:rsidR="00051ABF">
        <w:rPr>
          <w:rFonts w:ascii="Times New Roman" w:hAnsi="Times New Roman" w:cs="Times New Roman"/>
          <w:i/>
          <w:sz w:val="28"/>
          <w:szCs w:val="28"/>
        </w:rPr>
        <w:t xml:space="preserve">Rules of Civil Procedure, </w:t>
      </w:r>
      <w:r w:rsidR="00051ABF">
        <w:rPr>
          <w:rFonts w:ascii="Times New Roman" w:hAnsi="Times New Roman" w:cs="Times New Roman"/>
          <w:sz w:val="28"/>
          <w:szCs w:val="28"/>
        </w:rPr>
        <w:t>O Reg 575/07 s 6(1), which is substantially similar to r 312(3).  It provides:</w:t>
      </w:r>
    </w:p>
    <w:p w:rsidR="00051ABF" w:rsidRPr="00051ABF" w:rsidRDefault="00051ABF" w:rsidP="00051ABF">
      <w:pPr>
        <w:pStyle w:val="ListParagraph"/>
        <w:rPr>
          <w:rFonts w:ascii="Times New Roman" w:hAnsi="Times New Roman" w:cs="Times New Roman"/>
          <w:sz w:val="28"/>
          <w:szCs w:val="28"/>
        </w:rPr>
      </w:pPr>
    </w:p>
    <w:p w:rsidR="00051ABF" w:rsidRPr="00051ABF" w:rsidRDefault="00051ABF" w:rsidP="00051ABF">
      <w:pPr>
        <w:pStyle w:val="ListParagraph"/>
        <w:spacing w:after="0" w:line="240" w:lineRule="auto"/>
        <w:ind w:left="737" w:right="737"/>
        <w:jc w:val="both"/>
        <w:rPr>
          <w:rFonts w:ascii="Times New Roman" w:hAnsi="Times New Roman" w:cs="Times New Roman"/>
          <w:sz w:val="24"/>
          <w:szCs w:val="24"/>
        </w:rPr>
      </w:pPr>
      <w:r w:rsidRPr="00051ABF">
        <w:rPr>
          <w:rFonts w:ascii="Times New Roman" w:hAnsi="Times New Roman" w:cs="Times New Roman"/>
          <w:b/>
          <w:bCs/>
          <w:color w:val="505050"/>
          <w:sz w:val="24"/>
          <w:szCs w:val="24"/>
          <w:shd w:val="clear" w:color="auto" w:fill="FFFFFF"/>
        </w:rPr>
        <w:t>23.05</w:t>
      </w:r>
      <w:r w:rsidRPr="00051ABF">
        <w:rPr>
          <w:rFonts w:ascii="Times New Roman" w:hAnsi="Times New Roman" w:cs="Times New Roman"/>
          <w:color w:val="505050"/>
          <w:sz w:val="24"/>
          <w:szCs w:val="24"/>
          <w:shd w:val="clear" w:color="auto" w:fill="FFFFFF"/>
        </w:rPr>
        <w:t> (1) If all or part of an action is discontinued, any party to the action may, within thirty days after the action is discontinued, make a motion respecting the costs of the action</w:t>
      </w:r>
    </w:p>
    <w:p w:rsidR="0065416D" w:rsidRDefault="0065416D" w:rsidP="0065416D">
      <w:pPr>
        <w:pStyle w:val="ListParagraph"/>
        <w:spacing w:after="0" w:line="240" w:lineRule="auto"/>
        <w:ind w:left="0"/>
        <w:jc w:val="both"/>
        <w:rPr>
          <w:rFonts w:ascii="Times New Roman" w:hAnsi="Times New Roman" w:cs="Times New Roman"/>
          <w:sz w:val="28"/>
          <w:szCs w:val="28"/>
        </w:rPr>
      </w:pPr>
    </w:p>
    <w:p w:rsidR="00505053" w:rsidRDefault="00E93C73" w:rsidP="00D17BDA">
      <w:pPr>
        <w:pStyle w:val="ListParagraph"/>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51ABF">
        <w:rPr>
          <w:rFonts w:ascii="Times New Roman" w:hAnsi="Times New Roman" w:cs="Times New Roman"/>
          <w:sz w:val="28"/>
          <w:szCs w:val="28"/>
        </w:rPr>
        <w:t xml:space="preserve">In </w:t>
      </w:r>
      <w:r w:rsidR="00051ABF">
        <w:rPr>
          <w:rFonts w:ascii="Times New Roman" w:hAnsi="Times New Roman" w:cs="Times New Roman"/>
          <w:i/>
          <w:sz w:val="28"/>
          <w:szCs w:val="28"/>
        </w:rPr>
        <w:t xml:space="preserve">Marupov, </w:t>
      </w:r>
      <w:r w:rsidR="00051ABF">
        <w:rPr>
          <w:rFonts w:ascii="Times New Roman" w:hAnsi="Times New Roman" w:cs="Times New Roman"/>
          <w:sz w:val="28"/>
          <w:szCs w:val="28"/>
        </w:rPr>
        <w:t xml:space="preserve">Master Dash </w:t>
      </w:r>
      <w:r w:rsidR="00505053">
        <w:rPr>
          <w:rFonts w:ascii="Times New Roman" w:hAnsi="Times New Roman" w:cs="Times New Roman"/>
          <w:sz w:val="28"/>
          <w:szCs w:val="28"/>
        </w:rPr>
        <w:t xml:space="preserve">set out </w:t>
      </w:r>
      <w:r w:rsidR="004121D5">
        <w:rPr>
          <w:rFonts w:ascii="Times New Roman" w:hAnsi="Times New Roman" w:cs="Times New Roman"/>
          <w:sz w:val="28"/>
          <w:szCs w:val="28"/>
        </w:rPr>
        <w:t xml:space="preserve">plainly </w:t>
      </w:r>
      <w:r w:rsidR="00505053">
        <w:rPr>
          <w:rFonts w:ascii="Times New Roman" w:hAnsi="Times New Roman" w:cs="Times New Roman"/>
          <w:sz w:val="28"/>
          <w:szCs w:val="28"/>
        </w:rPr>
        <w:t>what a party seeking to extend the time to seek costs following a discontinuance must demonstrate:</w:t>
      </w:r>
    </w:p>
    <w:p w:rsidR="00505053" w:rsidRDefault="00505053" w:rsidP="00505053">
      <w:pPr>
        <w:pStyle w:val="ListParagraph"/>
        <w:spacing w:after="0" w:line="240" w:lineRule="auto"/>
        <w:ind w:left="0"/>
        <w:jc w:val="both"/>
        <w:rPr>
          <w:color w:val="000000"/>
        </w:rPr>
      </w:pPr>
    </w:p>
    <w:p w:rsidR="00505053" w:rsidRPr="00505053" w:rsidRDefault="00505053" w:rsidP="00505053">
      <w:pPr>
        <w:pStyle w:val="ListParagraph"/>
        <w:spacing w:after="0" w:line="240" w:lineRule="auto"/>
        <w:ind w:left="737" w:right="737"/>
        <w:jc w:val="both"/>
        <w:rPr>
          <w:rFonts w:ascii="Times New Roman" w:hAnsi="Times New Roman" w:cs="Times New Roman"/>
          <w:sz w:val="24"/>
          <w:szCs w:val="24"/>
        </w:rPr>
      </w:pPr>
      <w:r>
        <w:rPr>
          <w:rFonts w:ascii="Times New Roman" w:hAnsi="Times New Roman" w:cs="Times New Roman"/>
          <w:color w:val="000000"/>
          <w:sz w:val="24"/>
          <w:szCs w:val="24"/>
        </w:rPr>
        <w:t>[27]</w:t>
      </w:r>
      <w:r>
        <w:rPr>
          <w:rFonts w:ascii="Times New Roman" w:hAnsi="Times New Roman" w:cs="Times New Roman"/>
          <w:color w:val="000000"/>
          <w:sz w:val="24"/>
          <w:szCs w:val="24"/>
        </w:rPr>
        <w:tab/>
      </w:r>
      <w:r w:rsidRPr="00505053">
        <w:rPr>
          <w:rFonts w:ascii="Times New Roman" w:hAnsi="Times New Roman" w:cs="Times New Roman"/>
          <w:color w:val="000000"/>
          <w:sz w:val="24"/>
          <w:szCs w:val="24"/>
        </w:rPr>
        <w:t>In my view, a party seeking costs of a discontinuance after the 30 day deadline in rule 23.05(1) must provide satisfactory evidence to explain the delay in bringing the motion, explain why they could not have brought the motion within the 30 day deadline set out in the rule and satisfy the court that the plaintiffs have not been prejudiced by the delay. The onus of explaining the delay grows stronger with the passage of time since the discontinuance.</w:t>
      </w:r>
    </w:p>
    <w:p w:rsidR="00505053" w:rsidRDefault="00505053" w:rsidP="00D17BDA">
      <w:pPr>
        <w:pStyle w:val="ListParagraph"/>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While this Court is not bound by </w:t>
      </w:r>
      <w:r>
        <w:rPr>
          <w:rFonts w:ascii="Times New Roman" w:hAnsi="Times New Roman" w:cs="Times New Roman"/>
          <w:i/>
          <w:sz w:val="28"/>
          <w:szCs w:val="28"/>
        </w:rPr>
        <w:t>Marupov,</w:t>
      </w:r>
      <w:r w:rsidR="002A2C74">
        <w:rPr>
          <w:rFonts w:ascii="Times New Roman" w:hAnsi="Times New Roman" w:cs="Times New Roman"/>
          <w:sz w:val="28"/>
          <w:szCs w:val="28"/>
        </w:rPr>
        <w:t xml:space="preserve"> </w:t>
      </w:r>
      <w:r w:rsidR="00E05330">
        <w:rPr>
          <w:rFonts w:ascii="Times New Roman" w:hAnsi="Times New Roman" w:cs="Times New Roman"/>
          <w:sz w:val="28"/>
          <w:szCs w:val="28"/>
        </w:rPr>
        <w:t xml:space="preserve">in my view </w:t>
      </w:r>
      <w:r w:rsidR="002A2C74">
        <w:rPr>
          <w:rFonts w:ascii="Times New Roman" w:hAnsi="Times New Roman" w:cs="Times New Roman"/>
          <w:sz w:val="28"/>
          <w:szCs w:val="28"/>
        </w:rPr>
        <w:t>it provides a sound, transparent, and principled framework within which judicial discretion can be exercised.</w:t>
      </w:r>
      <w:r w:rsidR="00E05330">
        <w:rPr>
          <w:rFonts w:ascii="Times New Roman" w:hAnsi="Times New Roman" w:cs="Times New Roman"/>
          <w:sz w:val="28"/>
          <w:szCs w:val="28"/>
        </w:rPr>
        <w:t xml:space="preserve"> Accordingly, it should apply here.</w:t>
      </w:r>
      <w:r>
        <w:rPr>
          <w:rFonts w:ascii="Times New Roman" w:hAnsi="Times New Roman" w:cs="Times New Roman"/>
          <w:sz w:val="28"/>
          <w:szCs w:val="28"/>
        </w:rPr>
        <w:t xml:space="preserve"> </w:t>
      </w:r>
    </w:p>
    <w:p w:rsidR="00505053" w:rsidRDefault="00505053" w:rsidP="00505053">
      <w:pPr>
        <w:pStyle w:val="ListParagraph"/>
        <w:spacing w:after="0" w:line="240" w:lineRule="auto"/>
        <w:ind w:left="0"/>
        <w:jc w:val="both"/>
        <w:rPr>
          <w:rFonts w:ascii="Times New Roman" w:hAnsi="Times New Roman" w:cs="Times New Roman"/>
          <w:sz w:val="28"/>
          <w:szCs w:val="28"/>
        </w:rPr>
      </w:pPr>
    </w:p>
    <w:p w:rsidR="00E05330" w:rsidRDefault="00505053" w:rsidP="00E05330">
      <w:pPr>
        <w:pStyle w:val="ListParagraph"/>
        <w:numPr>
          <w:ilvl w:val="0"/>
          <w:numId w:val="14"/>
        </w:numPr>
        <w:spacing w:after="0" w:line="240" w:lineRule="auto"/>
        <w:ind w:left="0" w:firstLine="0"/>
        <w:jc w:val="both"/>
        <w:rPr>
          <w:rFonts w:ascii="Times New Roman" w:hAnsi="Times New Roman" w:cs="Times New Roman"/>
          <w:sz w:val="28"/>
          <w:szCs w:val="28"/>
        </w:rPr>
      </w:pPr>
      <w:r w:rsidRPr="00E16919">
        <w:rPr>
          <w:rFonts w:ascii="Times New Roman" w:hAnsi="Times New Roman" w:cs="Times New Roman"/>
          <w:sz w:val="28"/>
          <w:szCs w:val="28"/>
        </w:rPr>
        <w:t xml:space="preserve">Turning to the case at hand, approximately 16 months have passed since the Plaintiffs served the Notice of Discontinuance on the Applicants.  </w:t>
      </w:r>
      <w:r w:rsidR="00876E86">
        <w:rPr>
          <w:rFonts w:ascii="Times New Roman" w:hAnsi="Times New Roman" w:cs="Times New Roman"/>
          <w:sz w:val="28"/>
          <w:szCs w:val="28"/>
        </w:rPr>
        <w:t xml:space="preserve">When the matter was argued, </w:t>
      </w:r>
      <w:r w:rsidR="00E16919" w:rsidRPr="00E16919">
        <w:rPr>
          <w:rFonts w:ascii="Times New Roman" w:hAnsi="Times New Roman" w:cs="Times New Roman"/>
          <w:sz w:val="28"/>
          <w:szCs w:val="28"/>
        </w:rPr>
        <w:t>the Applicants’ counsel pointed to the age of the suit</w:t>
      </w:r>
      <w:r w:rsidR="00876E86">
        <w:rPr>
          <w:rFonts w:ascii="Times New Roman" w:hAnsi="Times New Roman" w:cs="Times New Roman"/>
          <w:sz w:val="28"/>
          <w:szCs w:val="28"/>
        </w:rPr>
        <w:t xml:space="preserve"> (it was filed in 2010)</w:t>
      </w:r>
      <w:r w:rsidR="00E16919" w:rsidRPr="00E16919">
        <w:rPr>
          <w:rFonts w:ascii="Times New Roman" w:hAnsi="Times New Roman" w:cs="Times New Roman"/>
          <w:sz w:val="28"/>
          <w:szCs w:val="28"/>
        </w:rPr>
        <w:t xml:space="preserve"> and suggested the Plaintiffs would not be prejudiced if the Applicants were permitted to file the Notice</w:t>
      </w:r>
      <w:r w:rsidR="00876E86">
        <w:rPr>
          <w:rFonts w:ascii="Times New Roman" w:hAnsi="Times New Roman" w:cs="Times New Roman"/>
          <w:sz w:val="28"/>
          <w:szCs w:val="28"/>
        </w:rPr>
        <w:t xml:space="preserve"> of Intention to Tax.  </w:t>
      </w:r>
      <w:r w:rsidR="001F75D6">
        <w:rPr>
          <w:rFonts w:ascii="Times New Roman" w:hAnsi="Times New Roman" w:cs="Times New Roman"/>
          <w:sz w:val="28"/>
          <w:szCs w:val="28"/>
        </w:rPr>
        <w:t xml:space="preserve">She also submitted there had been significant staff turnover in her law firm around the time the Notice of Discontinuance was served, exacerbated by the need for remote work due to the pandemic. </w:t>
      </w:r>
      <w:r w:rsidR="006359B7">
        <w:rPr>
          <w:rFonts w:ascii="Times New Roman" w:hAnsi="Times New Roman" w:cs="Times New Roman"/>
          <w:sz w:val="28"/>
          <w:szCs w:val="28"/>
        </w:rPr>
        <w:t xml:space="preserve"> </w:t>
      </w:r>
      <w:r w:rsidR="001F75D6">
        <w:rPr>
          <w:rFonts w:ascii="Times New Roman" w:hAnsi="Times New Roman" w:cs="Times New Roman"/>
          <w:sz w:val="28"/>
          <w:szCs w:val="28"/>
        </w:rPr>
        <w:t xml:space="preserve">None of this is in evidence, however. </w:t>
      </w:r>
      <w:r w:rsidR="006359B7">
        <w:rPr>
          <w:rFonts w:ascii="Times New Roman" w:hAnsi="Times New Roman" w:cs="Times New Roman"/>
          <w:sz w:val="28"/>
          <w:szCs w:val="28"/>
        </w:rPr>
        <w:t xml:space="preserve"> </w:t>
      </w:r>
      <w:r w:rsidR="001F75D6">
        <w:rPr>
          <w:rFonts w:ascii="Times New Roman" w:hAnsi="Times New Roman" w:cs="Times New Roman"/>
          <w:sz w:val="28"/>
          <w:szCs w:val="28"/>
        </w:rPr>
        <w:t>These are merely representations.</w:t>
      </w:r>
      <w:r w:rsidR="006359B7">
        <w:rPr>
          <w:rFonts w:ascii="Times New Roman" w:hAnsi="Times New Roman" w:cs="Times New Roman"/>
          <w:sz w:val="28"/>
          <w:szCs w:val="28"/>
        </w:rPr>
        <w:t xml:space="preserve"> </w:t>
      </w:r>
      <w:r w:rsidR="00E16919" w:rsidRPr="00E16919">
        <w:rPr>
          <w:rFonts w:ascii="Times New Roman" w:hAnsi="Times New Roman" w:cs="Times New Roman"/>
          <w:sz w:val="28"/>
          <w:szCs w:val="28"/>
        </w:rPr>
        <w:t xml:space="preserve"> </w:t>
      </w:r>
      <w:r w:rsidRPr="00E16919">
        <w:rPr>
          <w:rFonts w:ascii="Times New Roman" w:hAnsi="Times New Roman" w:cs="Times New Roman"/>
          <w:sz w:val="28"/>
          <w:szCs w:val="28"/>
        </w:rPr>
        <w:t xml:space="preserve">The Applicants have </w:t>
      </w:r>
      <w:r w:rsidR="001F75D6">
        <w:rPr>
          <w:rFonts w:ascii="Times New Roman" w:hAnsi="Times New Roman" w:cs="Times New Roman"/>
          <w:sz w:val="28"/>
          <w:szCs w:val="28"/>
        </w:rPr>
        <w:t>only</w:t>
      </w:r>
      <w:r w:rsidR="00E16919" w:rsidRPr="00E16919">
        <w:rPr>
          <w:rFonts w:ascii="Times New Roman" w:hAnsi="Times New Roman" w:cs="Times New Roman"/>
          <w:sz w:val="28"/>
          <w:szCs w:val="28"/>
        </w:rPr>
        <w:t xml:space="preserve"> </w:t>
      </w:r>
      <w:r w:rsidRPr="00E16919">
        <w:rPr>
          <w:rFonts w:ascii="Times New Roman" w:hAnsi="Times New Roman" w:cs="Times New Roman"/>
          <w:sz w:val="28"/>
          <w:szCs w:val="28"/>
        </w:rPr>
        <w:t xml:space="preserve">provided a chronology </w:t>
      </w:r>
      <w:r w:rsidR="00E16919" w:rsidRPr="00E16919">
        <w:rPr>
          <w:rFonts w:ascii="Times New Roman" w:hAnsi="Times New Roman" w:cs="Times New Roman"/>
          <w:sz w:val="28"/>
          <w:szCs w:val="28"/>
        </w:rPr>
        <w:t xml:space="preserve">of events </w:t>
      </w:r>
      <w:r w:rsidRPr="00E16919">
        <w:rPr>
          <w:rFonts w:ascii="Times New Roman" w:hAnsi="Times New Roman" w:cs="Times New Roman"/>
          <w:sz w:val="28"/>
          <w:szCs w:val="28"/>
        </w:rPr>
        <w:t xml:space="preserve">in the form of an affidavit which includes correspondence between the parties </w:t>
      </w:r>
      <w:r w:rsidR="001F75D6">
        <w:rPr>
          <w:rFonts w:ascii="Times New Roman" w:hAnsi="Times New Roman" w:cs="Times New Roman"/>
          <w:sz w:val="28"/>
          <w:szCs w:val="28"/>
        </w:rPr>
        <w:t xml:space="preserve">debating the </w:t>
      </w:r>
      <w:r w:rsidRPr="00E16919">
        <w:rPr>
          <w:rFonts w:ascii="Times New Roman" w:hAnsi="Times New Roman" w:cs="Times New Roman"/>
          <w:sz w:val="28"/>
          <w:szCs w:val="28"/>
        </w:rPr>
        <w:t>amount of costs</w:t>
      </w:r>
      <w:r w:rsidR="001F75D6">
        <w:rPr>
          <w:rFonts w:ascii="Times New Roman" w:hAnsi="Times New Roman" w:cs="Times New Roman"/>
          <w:sz w:val="28"/>
          <w:szCs w:val="28"/>
        </w:rPr>
        <w:t xml:space="preserve"> to which the Applicants would be entitled</w:t>
      </w:r>
      <w:r w:rsidR="00E16919">
        <w:rPr>
          <w:rFonts w:ascii="Times New Roman" w:hAnsi="Times New Roman" w:cs="Times New Roman"/>
          <w:sz w:val="28"/>
          <w:szCs w:val="28"/>
        </w:rPr>
        <w:t xml:space="preserve">.  </w:t>
      </w:r>
      <w:r w:rsidR="00876E86">
        <w:rPr>
          <w:rFonts w:ascii="Times New Roman" w:hAnsi="Times New Roman" w:cs="Times New Roman"/>
          <w:sz w:val="28"/>
          <w:szCs w:val="28"/>
        </w:rPr>
        <w:t>This is not a satisfactory explanation for missing the filing deadline</w:t>
      </w:r>
      <w:r w:rsidR="00E05330">
        <w:rPr>
          <w:rFonts w:ascii="Times New Roman" w:hAnsi="Times New Roman" w:cs="Times New Roman"/>
          <w:sz w:val="28"/>
          <w:szCs w:val="28"/>
        </w:rPr>
        <w:t xml:space="preserve"> for what is an uncomplicated document</w:t>
      </w:r>
      <w:r w:rsidR="00876E86">
        <w:rPr>
          <w:rFonts w:ascii="Times New Roman" w:hAnsi="Times New Roman" w:cs="Times New Roman"/>
          <w:sz w:val="28"/>
          <w:szCs w:val="28"/>
        </w:rPr>
        <w:t xml:space="preserve">, nor </w:t>
      </w:r>
      <w:r w:rsidR="00E05330">
        <w:rPr>
          <w:rFonts w:ascii="Times New Roman" w:hAnsi="Times New Roman" w:cs="Times New Roman"/>
          <w:sz w:val="28"/>
          <w:szCs w:val="28"/>
        </w:rPr>
        <w:t xml:space="preserve">does the evidence address </w:t>
      </w:r>
      <w:r w:rsidR="00876E86">
        <w:rPr>
          <w:rFonts w:ascii="Times New Roman" w:hAnsi="Times New Roman" w:cs="Times New Roman"/>
          <w:sz w:val="28"/>
          <w:szCs w:val="28"/>
        </w:rPr>
        <w:t xml:space="preserve">the delay in bringing this application forward. </w:t>
      </w:r>
    </w:p>
    <w:p w:rsidR="00E05330" w:rsidRPr="00E05330" w:rsidRDefault="00E05330" w:rsidP="00E05330">
      <w:pPr>
        <w:pStyle w:val="ListParagraph"/>
        <w:rPr>
          <w:rFonts w:ascii="Times New Roman" w:hAnsi="Times New Roman" w:cs="Times New Roman"/>
          <w:sz w:val="28"/>
          <w:szCs w:val="28"/>
        </w:rPr>
      </w:pPr>
    </w:p>
    <w:p w:rsidR="00E05330" w:rsidRPr="00E05330" w:rsidRDefault="00E05330" w:rsidP="00E05330">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CONCLUSION</w:t>
      </w:r>
    </w:p>
    <w:p w:rsidR="00E05330" w:rsidRPr="00E05330" w:rsidRDefault="00E05330" w:rsidP="00E05330">
      <w:pPr>
        <w:pStyle w:val="ListParagraph"/>
        <w:rPr>
          <w:rFonts w:ascii="Times New Roman" w:hAnsi="Times New Roman" w:cs="Times New Roman"/>
          <w:sz w:val="28"/>
          <w:szCs w:val="28"/>
        </w:rPr>
      </w:pPr>
    </w:p>
    <w:p w:rsidR="00876E86" w:rsidRDefault="00876E86" w:rsidP="00E05330">
      <w:pPr>
        <w:pStyle w:val="ListParagraph"/>
        <w:numPr>
          <w:ilvl w:val="0"/>
          <w:numId w:val="14"/>
        </w:numPr>
        <w:spacing w:after="0" w:line="240" w:lineRule="auto"/>
        <w:ind w:left="0" w:firstLine="0"/>
        <w:jc w:val="both"/>
        <w:rPr>
          <w:rFonts w:ascii="Times New Roman" w:hAnsi="Times New Roman" w:cs="Times New Roman"/>
          <w:sz w:val="28"/>
          <w:szCs w:val="28"/>
        </w:rPr>
      </w:pPr>
      <w:r w:rsidRPr="00E05330">
        <w:rPr>
          <w:rFonts w:ascii="Times New Roman" w:hAnsi="Times New Roman" w:cs="Times New Roman"/>
          <w:sz w:val="28"/>
          <w:szCs w:val="28"/>
        </w:rPr>
        <w:t>E</w:t>
      </w:r>
      <w:r w:rsidR="00E05330">
        <w:rPr>
          <w:rFonts w:ascii="Times New Roman" w:hAnsi="Times New Roman" w:cs="Times New Roman"/>
          <w:sz w:val="28"/>
          <w:szCs w:val="28"/>
        </w:rPr>
        <w:t xml:space="preserve">xtending the 30-day deadline for the Applicants to file and serve a Notice of Intention to Tax </w:t>
      </w:r>
      <w:r w:rsidRPr="00E05330">
        <w:rPr>
          <w:rFonts w:ascii="Times New Roman" w:hAnsi="Times New Roman" w:cs="Times New Roman"/>
          <w:sz w:val="28"/>
          <w:szCs w:val="28"/>
        </w:rPr>
        <w:t xml:space="preserve">cannot be </w:t>
      </w:r>
      <w:r w:rsidR="001F75D6" w:rsidRPr="00E05330">
        <w:rPr>
          <w:rFonts w:ascii="Times New Roman" w:hAnsi="Times New Roman" w:cs="Times New Roman"/>
          <w:sz w:val="28"/>
          <w:szCs w:val="28"/>
        </w:rPr>
        <w:t>justified on the evidence provided.</w:t>
      </w:r>
      <w:r w:rsidR="00E05330">
        <w:rPr>
          <w:rFonts w:ascii="Times New Roman" w:hAnsi="Times New Roman" w:cs="Times New Roman"/>
          <w:sz w:val="28"/>
          <w:szCs w:val="28"/>
        </w:rPr>
        <w:t xml:space="preserve">  The application is dismissed.</w:t>
      </w:r>
    </w:p>
    <w:p w:rsidR="00E05330" w:rsidRDefault="00E05330" w:rsidP="00E05330">
      <w:pPr>
        <w:pStyle w:val="ListParagraph"/>
        <w:spacing w:after="0" w:line="240" w:lineRule="auto"/>
        <w:ind w:left="0"/>
        <w:jc w:val="both"/>
        <w:rPr>
          <w:rFonts w:ascii="Times New Roman" w:hAnsi="Times New Roman" w:cs="Times New Roman"/>
          <w:sz w:val="28"/>
          <w:szCs w:val="28"/>
        </w:rPr>
      </w:pPr>
    </w:p>
    <w:p w:rsidR="00E05330" w:rsidRPr="00E05330" w:rsidRDefault="00E05330" w:rsidP="00E05330">
      <w:pPr>
        <w:pStyle w:val="ListParagraph"/>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If the parties wish to speak to costs they may make arr</w:t>
      </w:r>
      <w:r w:rsidR="00C75B09">
        <w:rPr>
          <w:rFonts w:ascii="Times New Roman" w:hAnsi="Times New Roman" w:cs="Times New Roman"/>
          <w:sz w:val="28"/>
          <w:szCs w:val="28"/>
        </w:rPr>
        <w:t>angements through the Registry within 30 days of these reasons.</w:t>
      </w:r>
    </w:p>
    <w:p w:rsidR="00876E86" w:rsidRPr="00876E86" w:rsidRDefault="00876E86" w:rsidP="00876E86">
      <w:pPr>
        <w:pStyle w:val="ListParagraph"/>
        <w:spacing w:after="0" w:line="240" w:lineRule="auto"/>
        <w:ind w:left="0"/>
        <w:jc w:val="both"/>
        <w:rPr>
          <w:rFonts w:ascii="Times New Roman" w:hAnsi="Times New Roman" w:cs="Times New Roman"/>
          <w:i/>
          <w:sz w:val="28"/>
          <w:szCs w:val="28"/>
        </w:rPr>
      </w:pPr>
    </w:p>
    <w:p w:rsidR="00876E86" w:rsidRDefault="00876E86" w:rsidP="00876E86">
      <w:pPr>
        <w:pStyle w:val="ListParagraph"/>
        <w:rPr>
          <w:rFonts w:ascii="Times New Roman" w:hAnsi="Times New Roman" w:cs="Times New Roman"/>
          <w:sz w:val="28"/>
          <w:szCs w:val="28"/>
        </w:rPr>
      </w:pPr>
    </w:p>
    <w:p w:rsidR="006D3CCE" w:rsidRDefault="006D3CCE" w:rsidP="00876E86">
      <w:pPr>
        <w:pStyle w:val="ListParagraph"/>
        <w:rPr>
          <w:rFonts w:ascii="Times New Roman" w:hAnsi="Times New Roman" w:cs="Times New Roman"/>
          <w:sz w:val="28"/>
          <w:szCs w:val="28"/>
        </w:rPr>
      </w:pPr>
    </w:p>
    <w:p w:rsidR="00455003" w:rsidRPr="005C1929" w:rsidRDefault="00A47380" w:rsidP="00FF1640">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lang w:val="fr-CA"/>
        </w:rPr>
      </w:pPr>
      <w:r>
        <w:rPr>
          <w:rFonts w:ascii="Times New Roman" w:hAnsi="Times New Roman" w:cs="Times New Roman"/>
          <w:sz w:val="28"/>
          <w:szCs w:val="28"/>
        </w:rPr>
        <w:tab/>
      </w:r>
      <w:r w:rsidR="00455003" w:rsidRPr="00455003">
        <w:rPr>
          <w:rFonts w:ascii="Times New Roman" w:hAnsi="Times New Roman" w:cs="Times New Roman"/>
          <w:sz w:val="28"/>
          <w:szCs w:val="28"/>
        </w:rPr>
        <w:fldChar w:fldCharType="begin"/>
      </w:r>
      <w:r w:rsidR="00455003" w:rsidRPr="00501206">
        <w:rPr>
          <w:rFonts w:ascii="Times New Roman" w:hAnsi="Times New Roman" w:cs="Times New Roman"/>
          <w:sz w:val="28"/>
          <w:szCs w:val="28"/>
          <w:lang w:val="en-US"/>
        </w:rPr>
        <w:instrText xml:space="preserve"> SEQ CHAPTER \h \r 1</w:instrText>
      </w:r>
      <w:r w:rsidR="00455003" w:rsidRPr="00455003">
        <w:rPr>
          <w:rFonts w:ascii="Times New Roman" w:hAnsi="Times New Roman" w:cs="Times New Roman"/>
          <w:sz w:val="28"/>
          <w:szCs w:val="28"/>
        </w:rPr>
        <w:fldChar w:fldCharType="end"/>
      </w:r>
      <w:r w:rsidR="00455003" w:rsidRPr="00501206">
        <w:rPr>
          <w:rFonts w:ascii="Times New Roman" w:hAnsi="Times New Roman" w:cs="Times New Roman"/>
          <w:sz w:val="28"/>
          <w:szCs w:val="28"/>
          <w:lang w:val="en-US"/>
        </w:rPr>
        <w:tab/>
      </w:r>
      <w:r w:rsidR="00455003" w:rsidRPr="00501206">
        <w:rPr>
          <w:rFonts w:ascii="Times New Roman" w:hAnsi="Times New Roman" w:cs="Times New Roman"/>
          <w:sz w:val="28"/>
          <w:szCs w:val="28"/>
          <w:lang w:val="en-US"/>
        </w:rPr>
        <w:tab/>
      </w:r>
      <w:r w:rsidR="00455003" w:rsidRPr="00501206">
        <w:rPr>
          <w:rFonts w:ascii="Times New Roman" w:hAnsi="Times New Roman" w:cs="Times New Roman"/>
          <w:sz w:val="28"/>
          <w:szCs w:val="28"/>
          <w:lang w:val="en-US"/>
        </w:rPr>
        <w:tab/>
      </w:r>
      <w:r w:rsidR="00455003" w:rsidRPr="00501206">
        <w:rPr>
          <w:rFonts w:ascii="Times New Roman" w:hAnsi="Times New Roman" w:cs="Times New Roman"/>
          <w:sz w:val="28"/>
          <w:szCs w:val="28"/>
          <w:lang w:val="en-US"/>
        </w:rPr>
        <w:tab/>
      </w:r>
      <w:r w:rsidR="00455003" w:rsidRPr="00501206">
        <w:rPr>
          <w:rFonts w:ascii="Times New Roman" w:hAnsi="Times New Roman" w:cs="Times New Roman"/>
          <w:sz w:val="28"/>
          <w:szCs w:val="28"/>
          <w:lang w:val="en-US"/>
        </w:rPr>
        <w:tab/>
      </w:r>
      <w:r w:rsidR="00455003" w:rsidRPr="00501206">
        <w:rPr>
          <w:rFonts w:ascii="Times New Roman" w:hAnsi="Times New Roman" w:cs="Times New Roman"/>
          <w:sz w:val="28"/>
          <w:szCs w:val="28"/>
          <w:lang w:val="en-US"/>
        </w:rPr>
        <w:tab/>
      </w:r>
      <w:r w:rsidR="00455003" w:rsidRPr="00501206">
        <w:rPr>
          <w:rFonts w:ascii="Times New Roman" w:hAnsi="Times New Roman" w:cs="Times New Roman"/>
          <w:sz w:val="28"/>
          <w:szCs w:val="28"/>
          <w:lang w:val="en-US"/>
        </w:rPr>
        <w:tab/>
      </w:r>
      <w:r w:rsidR="00455003" w:rsidRPr="00501206">
        <w:rPr>
          <w:rFonts w:ascii="Times New Roman" w:hAnsi="Times New Roman" w:cs="Times New Roman"/>
          <w:sz w:val="28"/>
          <w:szCs w:val="28"/>
          <w:lang w:val="en-US"/>
        </w:rPr>
        <w:tab/>
      </w:r>
      <w:r w:rsidR="00163859">
        <w:rPr>
          <w:rFonts w:ascii="Times New Roman" w:hAnsi="Times New Roman" w:cs="Times New Roman"/>
          <w:sz w:val="28"/>
          <w:szCs w:val="28"/>
          <w:lang w:val="en-US"/>
        </w:rPr>
        <w:t>K. M. Shaner</w:t>
      </w:r>
    </w:p>
    <w:p w:rsidR="00455003" w:rsidRPr="005C1929" w:rsidRDefault="00455003" w:rsidP="00FF1640">
      <w:pPr>
        <w:spacing w:after="0" w:line="240" w:lineRule="auto"/>
        <w:rPr>
          <w:rFonts w:ascii="Times New Roman" w:hAnsi="Times New Roman" w:cs="Times New Roman"/>
          <w:sz w:val="28"/>
          <w:szCs w:val="28"/>
          <w:lang w:val="fr-CA"/>
        </w:rPr>
      </w:pPr>
      <w:r w:rsidRPr="005C1929">
        <w:rPr>
          <w:rFonts w:ascii="Times New Roman" w:hAnsi="Times New Roman" w:cs="Times New Roman"/>
          <w:sz w:val="28"/>
          <w:szCs w:val="28"/>
          <w:lang w:val="fr-CA"/>
        </w:rPr>
        <w:tab/>
      </w:r>
      <w:r w:rsidR="00A47380"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t xml:space="preserve">        J.S.C.</w:t>
      </w:r>
    </w:p>
    <w:p w:rsidR="00455003" w:rsidRPr="005C1929" w:rsidRDefault="00455003" w:rsidP="00FF1640">
      <w:pPr>
        <w:spacing w:after="0" w:line="240" w:lineRule="auto"/>
        <w:rPr>
          <w:rFonts w:ascii="Times New Roman" w:hAnsi="Times New Roman" w:cs="Times New Roman"/>
          <w:sz w:val="28"/>
          <w:szCs w:val="28"/>
          <w:lang w:val="fr-CA"/>
        </w:rPr>
      </w:pPr>
    </w:p>
    <w:p w:rsidR="00B71F8A" w:rsidRDefault="00455003" w:rsidP="00FF1640">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r w:rsidR="00B71F8A">
        <w:rPr>
          <w:rFonts w:ascii="Times New Roman" w:hAnsi="Times New Roman" w:cs="Times New Roman"/>
          <w:sz w:val="28"/>
          <w:szCs w:val="28"/>
        </w:rPr>
        <w:t xml:space="preserve"> </w:t>
      </w:r>
    </w:p>
    <w:p w:rsidR="00DC1381" w:rsidRDefault="006359B7" w:rsidP="00FF1640">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6359B7">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B71F8A">
        <w:rPr>
          <w:rFonts w:ascii="Times New Roman" w:hAnsi="Times New Roman" w:cs="Times New Roman"/>
          <w:sz w:val="28"/>
          <w:szCs w:val="28"/>
        </w:rPr>
        <w:t xml:space="preserve">day </w:t>
      </w:r>
      <w:r w:rsidR="00227B7D">
        <w:rPr>
          <w:rFonts w:ascii="Times New Roman" w:hAnsi="Times New Roman" w:cs="Times New Roman"/>
          <w:sz w:val="28"/>
          <w:szCs w:val="28"/>
        </w:rPr>
        <w:t>of</w:t>
      </w:r>
      <w:r w:rsidR="00DC1381">
        <w:rPr>
          <w:rFonts w:ascii="Times New Roman" w:hAnsi="Times New Roman" w:cs="Times New Roman"/>
          <w:sz w:val="28"/>
          <w:szCs w:val="28"/>
        </w:rPr>
        <w:t xml:space="preserve"> </w:t>
      </w:r>
      <w:r w:rsidR="00876E86">
        <w:rPr>
          <w:rFonts w:ascii="Times New Roman" w:hAnsi="Times New Roman" w:cs="Times New Roman"/>
          <w:sz w:val="28"/>
          <w:szCs w:val="28"/>
        </w:rPr>
        <w:t>November</w:t>
      </w:r>
      <w:r w:rsidR="00383F1C">
        <w:rPr>
          <w:rFonts w:ascii="Times New Roman" w:hAnsi="Times New Roman" w:cs="Times New Roman"/>
          <w:sz w:val="28"/>
          <w:szCs w:val="28"/>
        </w:rPr>
        <w:t>, 20</w:t>
      </w:r>
      <w:r w:rsidR="00876E86">
        <w:rPr>
          <w:rFonts w:ascii="Times New Roman" w:hAnsi="Times New Roman" w:cs="Times New Roman"/>
          <w:sz w:val="28"/>
          <w:szCs w:val="28"/>
        </w:rPr>
        <w:t>22</w:t>
      </w:r>
    </w:p>
    <w:p w:rsidR="00081480" w:rsidRDefault="00081480" w:rsidP="00FF1640">
      <w:pPr>
        <w:spacing w:after="0" w:line="240" w:lineRule="auto"/>
        <w:rPr>
          <w:rFonts w:ascii="Times New Roman" w:hAnsi="Times New Roman" w:cs="Times New Roman"/>
          <w:sz w:val="28"/>
          <w:szCs w:val="28"/>
        </w:rPr>
      </w:pPr>
    </w:p>
    <w:p w:rsidR="00944C23" w:rsidRDefault="00876E86" w:rsidP="00FF1640">
      <w:pPr>
        <w:spacing w:after="0" w:line="240" w:lineRule="auto"/>
        <w:rPr>
          <w:rFonts w:ascii="Times New Roman" w:hAnsi="Times New Roman" w:cs="Times New Roman"/>
          <w:sz w:val="28"/>
          <w:szCs w:val="28"/>
        </w:rPr>
      </w:pPr>
      <w:r>
        <w:rPr>
          <w:rFonts w:ascii="Times New Roman" w:hAnsi="Times New Roman" w:cs="Times New Roman"/>
          <w:sz w:val="28"/>
          <w:szCs w:val="28"/>
        </w:rPr>
        <w:t>Counsel for the Plaintiffs</w:t>
      </w:r>
      <w:r>
        <w:rPr>
          <w:rFonts w:ascii="Times New Roman" w:hAnsi="Times New Roman" w:cs="Times New Roman"/>
          <w:sz w:val="28"/>
          <w:szCs w:val="28"/>
        </w:rPr>
        <w:tab/>
      </w:r>
      <w:r w:rsidR="00943E79">
        <w:rPr>
          <w:rFonts w:ascii="Times New Roman" w:hAnsi="Times New Roman" w:cs="Times New Roman"/>
          <w:sz w:val="28"/>
          <w:szCs w:val="28"/>
        </w:rPr>
        <w:tab/>
      </w:r>
      <w:r w:rsidR="00943E79">
        <w:rPr>
          <w:rFonts w:ascii="Times New Roman" w:hAnsi="Times New Roman" w:cs="Times New Roman"/>
          <w:sz w:val="28"/>
          <w:szCs w:val="28"/>
        </w:rPr>
        <w:tab/>
      </w:r>
      <w:r w:rsidR="00943E79">
        <w:rPr>
          <w:rFonts w:ascii="Times New Roman" w:hAnsi="Times New Roman" w:cs="Times New Roman"/>
          <w:sz w:val="28"/>
          <w:szCs w:val="28"/>
        </w:rPr>
        <w:tab/>
      </w:r>
      <w:r w:rsidR="00943E79">
        <w:rPr>
          <w:rFonts w:ascii="Times New Roman" w:hAnsi="Times New Roman" w:cs="Times New Roman"/>
          <w:sz w:val="28"/>
          <w:szCs w:val="28"/>
        </w:rPr>
        <w:tab/>
      </w:r>
      <w:r w:rsidR="00943E79">
        <w:rPr>
          <w:rFonts w:ascii="Times New Roman" w:hAnsi="Times New Roman" w:cs="Times New Roman"/>
          <w:sz w:val="28"/>
          <w:szCs w:val="28"/>
        </w:rPr>
        <w:tab/>
      </w:r>
      <w:r>
        <w:rPr>
          <w:rFonts w:ascii="Times New Roman" w:hAnsi="Times New Roman" w:cs="Times New Roman"/>
          <w:sz w:val="28"/>
          <w:szCs w:val="28"/>
        </w:rPr>
        <w:t>David C. Rolf, KC</w:t>
      </w:r>
    </w:p>
    <w:p w:rsidR="00944C23" w:rsidRDefault="00944C23" w:rsidP="00FF1640">
      <w:pPr>
        <w:spacing w:after="0" w:line="240" w:lineRule="auto"/>
        <w:rPr>
          <w:rFonts w:ascii="Times New Roman" w:hAnsi="Times New Roman" w:cs="Times New Roman"/>
          <w:sz w:val="28"/>
          <w:szCs w:val="28"/>
        </w:rPr>
      </w:pPr>
    </w:p>
    <w:p w:rsidR="00943E79" w:rsidRPr="00944C23" w:rsidRDefault="00876E86" w:rsidP="00FF1640">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Counsel for the </w:t>
      </w:r>
      <w:bookmarkStart w:id="2" w:name="_GoBack"/>
      <w:r>
        <w:rPr>
          <w:rFonts w:ascii="Times New Roman" w:hAnsi="Times New Roman" w:cs="Times New Roman"/>
          <w:sz w:val="28"/>
          <w:szCs w:val="28"/>
        </w:rPr>
        <w:t>Applicants</w:t>
      </w:r>
      <w:bookmarkEnd w:id="2"/>
      <w:r w:rsidR="00943E79">
        <w:rPr>
          <w:rFonts w:ascii="Times New Roman" w:hAnsi="Times New Roman" w:cs="Times New Roman"/>
          <w:sz w:val="28"/>
          <w:szCs w:val="28"/>
        </w:rPr>
        <w:tab/>
      </w:r>
      <w:r w:rsidR="00943E79">
        <w:rPr>
          <w:rFonts w:ascii="Times New Roman" w:hAnsi="Times New Roman" w:cs="Times New Roman"/>
          <w:sz w:val="28"/>
          <w:szCs w:val="28"/>
        </w:rPr>
        <w:tab/>
      </w:r>
      <w:r w:rsidR="00943E79">
        <w:rPr>
          <w:rFonts w:ascii="Times New Roman" w:hAnsi="Times New Roman" w:cs="Times New Roman"/>
          <w:sz w:val="28"/>
          <w:szCs w:val="28"/>
        </w:rPr>
        <w:tab/>
      </w:r>
      <w:r w:rsidR="00943E79">
        <w:rPr>
          <w:rFonts w:ascii="Times New Roman" w:hAnsi="Times New Roman" w:cs="Times New Roman"/>
          <w:sz w:val="28"/>
          <w:szCs w:val="28"/>
        </w:rPr>
        <w:tab/>
      </w:r>
      <w:r w:rsidR="00943E79">
        <w:rPr>
          <w:rFonts w:ascii="Times New Roman" w:hAnsi="Times New Roman" w:cs="Times New Roman"/>
          <w:sz w:val="28"/>
          <w:szCs w:val="28"/>
        </w:rPr>
        <w:tab/>
      </w:r>
      <w:proofErr w:type="spellStart"/>
      <w:r>
        <w:rPr>
          <w:rFonts w:ascii="Times New Roman" w:hAnsi="Times New Roman" w:cs="Times New Roman"/>
          <w:sz w:val="28"/>
          <w:szCs w:val="28"/>
        </w:rPr>
        <w:t>Shantelle</w:t>
      </w:r>
      <w:proofErr w:type="spellEnd"/>
      <w:r>
        <w:rPr>
          <w:rFonts w:ascii="Times New Roman" w:hAnsi="Times New Roman" w:cs="Times New Roman"/>
          <w:sz w:val="28"/>
          <w:szCs w:val="28"/>
        </w:rPr>
        <w:t xml:space="preserve"> Smith</w:t>
      </w:r>
    </w:p>
    <w:p w:rsidR="006359B7" w:rsidRDefault="006359B7" w:rsidP="00FF1640">
      <w:pPr>
        <w:spacing w:line="240" w:lineRule="auto"/>
        <w:rPr>
          <w:rFonts w:ascii="Times New Roman" w:hAnsi="Times New Roman" w:cs="Times New Roman"/>
          <w:sz w:val="28"/>
          <w:szCs w:val="28"/>
        </w:rPr>
        <w:sectPr w:rsidR="006359B7" w:rsidSect="006D3CCE">
          <w:headerReference w:type="default" r:id="rId8"/>
          <w:headerReference w:type="first" r:id="rId9"/>
          <w:pgSz w:w="12240" w:h="15840"/>
          <w:pgMar w:top="1440" w:right="1467" w:bottom="1276" w:left="1440" w:header="720" w:footer="720" w:gutter="0"/>
          <w:cols w:space="720"/>
          <w:titlePg/>
          <w:docGrid w:linePitch="360"/>
        </w:sectPr>
      </w:pPr>
    </w:p>
    <w:p w:rsidR="00707EAE" w:rsidRPr="0032647A" w:rsidRDefault="00707EAE" w:rsidP="00FF1640">
      <w:pPr>
        <w:spacing w:line="240" w:lineRule="auto"/>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5994"/>
      </w:tblGrid>
      <w:tr w:rsidR="00707EAE" w:rsidRPr="0032647A" w:rsidTr="00680549">
        <w:tc>
          <w:tcPr>
            <w:tcW w:w="5994" w:type="dxa"/>
          </w:tcPr>
          <w:p w:rsidR="00227B7D" w:rsidRPr="0032647A" w:rsidRDefault="00EE6FE2" w:rsidP="00EE6FE2">
            <w:pPr>
              <w:jc w:val="right"/>
              <w:rPr>
                <w:rFonts w:ascii="Times New Roman" w:hAnsi="Times New Roman" w:cs="Times New Roman"/>
                <w:sz w:val="28"/>
                <w:szCs w:val="28"/>
              </w:rPr>
            </w:pPr>
            <w:r w:rsidRPr="0032647A">
              <w:rPr>
                <w:rFonts w:ascii="Times New Roman" w:hAnsi="Times New Roman" w:cs="Times New Roman"/>
                <w:sz w:val="28"/>
                <w:szCs w:val="28"/>
              </w:rPr>
              <w:t>S</w:t>
            </w:r>
            <w:r>
              <w:rPr>
                <w:rFonts w:ascii="Times New Roman" w:hAnsi="Times New Roman" w:cs="Times New Roman"/>
                <w:sz w:val="28"/>
                <w:szCs w:val="28"/>
              </w:rPr>
              <w:t xml:space="preserve"> </w:t>
            </w:r>
            <w:r w:rsidRPr="0032647A">
              <w:rPr>
                <w:rFonts w:ascii="Times New Roman" w:hAnsi="Times New Roman" w:cs="Times New Roman"/>
                <w:sz w:val="28"/>
                <w:szCs w:val="28"/>
              </w:rPr>
              <w:t>1</w:t>
            </w:r>
            <w:r>
              <w:rPr>
                <w:rFonts w:ascii="Times New Roman" w:hAnsi="Times New Roman" w:cs="Times New Roman"/>
                <w:sz w:val="28"/>
                <w:szCs w:val="28"/>
              </w:rPr>
              <w:t xml:space="preserve"> CV 2010 000033</w:t>
            </w:r>
          </w:p>
        </w:tc>
      </w:tr>
      <w:tr w:rsidR="00707EAE" w:rsidRPr="0032647A" w:rsidTr="00680549">
        <w:tc>
          <w:tcPr>
            <w:tcW w:w="5994" w:type="dxa"/>
          </w:tcPr>
          <w:p w:rsidR="00707EAE" w:rsidRPr="0032647A" w:rsidRDefault="00707EAE" w:rsidP="00FF1640">
            <w:pPr>
              <w:tabs>
                <w:tab w:val="center" w:pos="2784"/>
              </w:tabs>
              <w:jc w:val="center"/>
              <w:rPr>
                <w:rFonts w:ascii="Times New Roman" w:hAnsi="Times New Roman" w:cs="Times New Roman"/>
                <w:b/>
                <w:bCs/>
                <w:sz w:val="28"/>
                <w:szCs w:val="28"/>
                <w:lang w:val="en-GB"/>
              </w:rPr>
            </w:pPr>
          </w:p>
          <w:p w:rsidR="00707EAE" w:rsidRPr="0032647A" w:rsidRDefault="00707EAE" w:rsidP="00FF1640">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rsidR="00707EAE" w:rsidRPr="0032647A" w:rsidRDefault="00707EAE" w:rsidP="00FF1640">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rsidR="00707EAE" w:rsidRPr="0032647A" w:rsidRDefault="00707EAE" w:rsidP="00FF1640">
            <w:pPr>
              <w:pStyle w:val="NoSpacing"/>
              <w:rPr>
                <w:rFonts w:ascii="Times New Roman" w:hAnsi="Times New Roman" w:cs="Times New Roman"/>
                <w:sz w:val="28"/>
                <w:szCs w:val="28"/>
                <w:lang w:val="en-GB"/>
              </w:rPr>
            </w:pPr>
          </w:p>
        </w:tc>
      </w:tr>
      <w:tr w:rsidR="00707EAE" w:rsidRPr="0032647A" w:rsidTr="00680549">
        <w:tc>
          <w:tcPr>
            <w:tcW w:w="5994" w:type="dxa"/>
          </w:tcPr>
          <w:p w:rsidR="00707EAE" w:rsidRDefault="00707EAE" w:rsidP="00FF1640">
            <w:pPr>
              <w:rPr>
                <w:rFonts w:ascii="Times New Roman" w:hAnsi="Times New Roman" w:cs="Times New Roman"/>
                <w:sz w:val="28"/>
                <w:szCs w:val="28"/>
              </w:rPr>
            </w:pPr>
          </w:p>
          <w:p w:rsidR="00A47380" w:rsidRPr="0032647A" w:rsidRDefault="00A47380" w:rsidP="00FF1640">
            <w:pPr>
              <w:rPr>
                <w:rFonts w:ascii="Times New Roman" w:hAnsi="Times New Roman" w:cs="Times New Roman"/>
                <w:sz w:val="28"/>
                <w:szCs w:val="28"/>
              </w:rPr>
            </w:pPr>
          </w:p>
          <w:p w:rsidR="00A47380" w:rsidRDefault="00A47380" w:rsidP="00FF1640">
            <w:pPr>
              <w:rPr>
                <w:rFonts w:ascii="Times New Roman" w:hAnsi="Times New Roman" w:cs="Times New Roman"/>
                <w:sz w:val="28"/>
                <w:szCs w:val="28"/>
              </w:rPr>
            </w:pPr>
            <w:r w:rsidRPr="0032647A">
              <w:rPr>
                <w:rFonts w:ascii="Times New Roman" w:hAnsi="Times New Roman" w:cs="Times New Roman"/>
                <w:sz w:val="28"/>
                <w:szCs w:val="28"/>
              </w:rPr>
              <w:t>BETWEEN</w:t>
            </w:r>
            <w:r w:rsidR="00163859">
              <w:rPr>
                <w:rFonts w:ascii="Times New Roman" w:hAnsi="Times New Roman" w:cs="Times New Roman"/>
                <w:sz w:val="28"/>
                <w:szCs w:val="28"/>
              </w:rPr>
              <w:t>:</w:t>
            </w:r>
          </w:p>
          <w:p w:rsidR="00163859" w:rsidRPr="0032647A" w:rsidRDefault="00163859" w:rsidP="00FF1640">
            <w:pPr>
              <w:rPr>
                <w:rFonts w:ascii="Times New Roman" w:hAnsi="Times New Roman" w:cs="Times New Roman"/>
                <w:sz w:val="28"/>
                <w:szCs w:val="28"/>
              </w:rPr>
            </w:pPr>
          </w:p>
          <w:p w:rsidR="001F75D6" w:rsidRPr="001F75D6" w:rsidRDefault="001F75D6" w:rsidP="001F75D6">
            <w:pPr>
              <w:jc w:val="center"/>
              <w:rPr>
                <w:rFonts w:ascii="Times New Roman" w:hAnsi="Times New Roman" w:cs="Times New Roman"/>
                <w:sz w:val="24"/>
                <w:szCs w:val="24"/>
              </w:rPr>
            </w:pPr>
            <w:r w:rsidRPr="001F75D6">
              <w:rPr>
                <w:rFonts w:ascii="Times New Roman" w:hAnsi="Times New Roman" w:cs="Times New Roman"/>
                <w:sz w:val="24"/>
                <w:szCs w:val="24"/>
              </w:rPr>
              <w:t>SALT RIVER FIRST NATION #195, 4990 NT LTD AND 4993 NT LTD</w:t>
            </w:r>
          </w:p>
          <w:p w:rsidR="001F75D6" w:rsidRPr="001F75D6" w:rsidRDefault="001F75D6" w:rsidP="001F75D6">
            <w:pPr>
              <w:jc w:val="center"/>
              <w:rPr>
                <w:rFonts w:ascii="Times New Roman" w:hAnsi="Times New Roman" w:cs="Times New Roman"/>
                <w:sz w:val="24"/>
                <w:szCs w:val="24"/>
              </w:rPr>
            </w:pPr>
          </w:p>
          <w:p w:rsidR="001F75D6" w:rsidRPr="001F75D6" w:rsidRDefault="001F75D6" w:rsidP="001F75D6">
            <w:pPr>
              <w:jc w:val="right"/>
              <w:rPr>
                <w:rFonts w:ascii="Times New Roman" w:hAnsi="Times New Roman" w:cs="Times New Roman"/>
                <w:sz w:val="24"/>
                <w:szCs w:val="24"/>
              </w:rPr>
            </w:pPr>
            <w:r w:rsidRPr="001F75D6">
              <w:rPr>
                <w:rFonts w:ascii="Times New Roman" w:hAnsi="Times New Roman" w:cs="Times New Roman"/>
                <w:sz w:val="24"/>
                <w:szCs w:val="24"/>
              </w:rPr>
              <w:t>Plaintiffs</w:t>
            </w:r>
          </w:p>
          <w:p w:rsidR="001F75D6" w:rsidRPr="001F75D6" w:rsidRDefault="001F75D6" w:rsidP="001F75D6">
            <w:pPr>
              <w:pStyle w:val="ListParagraph"/>
              <w:ind w:left="0"/>
              <w:jc w:val="center"/>
              <w:rPr>
                <w:rFonts w:ascii="Times New Roman" w:hAnsi="Times New Roman" w:cs="Times New Roman"/>
                <w:sz w:val="24"/>
                <w:szCs w:val="24"/>
              </w:rPr>
            </w:pPr>
            <w:r w:rsidRPr="001F75D6">
              <w:rPr>
                <w:rFonts w:ascii="Times New Roman" w:hAnsi="Times New Roman" w:cs="Times New Roman"/>
                <w:sz w:val="24"/>
                <w:szCs w:val="24"/>
              </w:rPr>
              <w:t xml:space="preserve">  - and -</w:t>
            </w:r>
          </w:p>
          <w:p w:rsidR="001F75D6" w:rsidRPr="001F75D6" w:rsidRDefault="001F75D6" w:rsidP="001F75D6">
            <w:pPr>
              <w:pStyle w:val="ListParagraph"/>
              <w:ind w:left="0"/>
              <w:jc w:val="center"/>
              <w:rPr>
                <w:rFonts w:ascii="Times New Roman" w:hAnsi="Times New Roman" w:cs="Times New Roman"/>
                <w:sz w:val="24"/>
                <w:szCs w:val="24"/>
              </w:rPr>
            </w:pPr>
          </w:p>
          <w:p w:rsidR="001F75D6" w:rsidRPr="001F75D6" w:rsidRDefault="001F75D6" w:rsidP="001F75D6">
            <w:pPr>
              <w:pStyle w:val="ListParagraph"/>
              <w:ind w:left="0"/>
              <w:jc w:val="center"/>
              <w:rPr>
                <w:rFonts w:ascii="Times New Roman" w:hAnsi="Times New Roman" w:cs="Times New Roman"/>
                <w:sz w:val="24"/>
                <w:szCs w:val="24"/>
              </w:rPr>
            </w:pPr>
            <w:r w:rsidRPr="001F75D6">
              <w:rPr>
                <w:rFonts w:ascii="Times New Roman" w:hAnsi="Times New Roman" w:cs="Times New Roman"/>
                <w:sz w:val="24"/>
                <w:szCs w:val="24"/>
              </w:rPr>
              <w:t>5721 NT LTD, 5780 NT LTD, SLFN LAND CORP (NT) LTD, VITI INVESTMENTS LIMITED, RAM MUDALIER, JAMES SCHAEFER, RAYMOND BEAVER, MELVIN WANDERINGSPIRIT, DELPHINE BEAULIEU, CHIS BIRD, TONI HERON, SONNY MACDONALD, MICHAEL BEAVER, BARBARA HERON McARTHUR, BETTY TOURANGEAU, FRED DANIELS, KELERA BEGUM MUDALIER, SUSAN FAY MUDALIER, ALLEN SCHAEFER, ALLEN SCHAEFER carrying on business either as AJ’s or as AJ’s CONRACTING, JOHN DOE, JANE DOE, AND ABC CORP</w:t>
            </w:r>
          </w:p>
          <w:p w:rsidR="001F75D6" w:rsidRPr="001F75D6" w:rsidRDefault="001F75D6" w:rsidP="001F75D6">
            <w:pPr>
              <w:pStyle w:val="ListParagraph"/>
              <w:ind w:left="0"/>
              <w:jc w:val="center"/>
              <w:rPr>
                <w:rFonts w:ascii="Times New Roman" w:hAnsi="Times New Roman" w:cs="Times New Roman"/>
                <w:sz w:val="24"/>
                <w:szCs w:val="24"/>
              </w:rPr>
            </w:pPr>
          </w:p>
          <w:p w:rsidR="001F75D6" w:rsidRPr="001F75D6" w:rsidRDefault="001F75D6" w:rsidP="001F75D6">
            <w:pPr>
              <w:pStyle w:val="ListParagraph"/>
              <w:ind w:left="0"/>
              <w:jc w:val="center"/>
              <w:rPr>
                <w:rFonts w:ascii="Times New Roman" w:hAnsi="Times New Roman" w:cs="Times New Roman"/>
                <w:sz w:val="24"/>
                <w:szCs w:val="24"/>
              </w:rPr>
            </w:pPr>
          </w:p>
          <w:p w:rsidR="001F75D6" w:rsidRPr="001F75D6" w:rsidRDefault="001F75D6" w:rsidP="001F75D6">
            <w:pPr>
              <w:pStyle w:val="ListParagraph"/>
              <w:ind w:left="0"/>
              <w:jc w:val="right"/>
              <w:rPr>
                <w:rFonts w:ascii="Times New Roman" w:hAnsi="Times New Roman" w:cs="Times New Roman"/>
                <w:sz w:val="24"/>
                <w:szCs w:val="24"/>
              </w:rPr>
            </w:pPr>
            <w:r w:rsidRPr="001F75D6">
              <w:rPr>
                <w:rFonts w:ascii="Times New Roman" w:hAnsi="Times New Roman" w:cs="Times New Roman"/>
                <w:sz w:val="24"/>
                <w:szCs w:val="24"/>
              </w:rPr>
              <w:t>Defendants</w:t>
            </w:r>
          </w:p>
          <w:p w:rsidR="001F75D6" w:rsidRPr="001F75D6" w:rsidRDefault="001F75D6" w:rsidP="001F75D6">
            <w:pPr>
              <w:pStyle w:val="ListParagraph"/>
              <w:numPr>
                <w:ilvl w:val="0"/>
                <w:numId w:val="24"/>
              </w:numPr>
              <w:jc w:val="center"/>
              <w:rPr>
                <w:rFonts w:ascii="Times New Roman" w:hAnsi="Times New Roman" w:cs="Times New Roman"/>
                <w:sz w:val="24"/>
                <w:szCs w:val="24"/>
              </w:rPr>
            </w:pPr>
            <w:r w:rsidRPr="001F75D6">
              <w:rPr>
                <w:rFonts w:ascii="Times New Roman" w:hAnsi="Times New Roman" w:cs="Times New Roman"/>
                <w:sz w:val="24"/>
                <w:szCs w:val="24"/>
              </w:rPr>
              <w:t>and –</w:t>
            </w:r>
          </w:p>
          <w:p w:rsidR="001F75D6" w:rsidRPr="001F75D6" w:rsidRDefault="001F75D6" w:rsidP="001F75D6">
            <w:pPr>
              <w:jc w:val="center"/>
              <w:rPr>
                <w:rFonts w:ascii="Times New Roman" w:hAnsi="Times New Roman" w:cs="Times New Roman"/>
                <w:sz w:val="24"/>
                <w:szCs w:val="24"/>
              </w:rPr>
            </w:pPr>
          </w:p>
          <w:p w:rsidR="001F75D6" w:rsidRPr="001F75D6" w:rsidRDefault="001F75D6" w:rsidP="001F75D6">
            <w:pPr>
              <w:jc w:val="center"/>
              <w:rPr>
                <w:rFonts w:ascii="Times New Roman" w:hAnsi="Times New Roman" w:cs="Times New Roman"/>
                <w:sz w:val="24"/>
                <w:szCs w:val="24"/>
              </w:rPr>
            </w:pPr>
            <w:r w:rsidRPr="001F75D6">
              <w:rPr>
                <w:rFonts w:ascii="Times New Roman" w:hAnsi="Times New Roman" w:cs="Times New Roman"/>
                <w:sz w:val="24"/>
                <w:szCs w:val="24"/>
              </w:rPr>
              <w:t>KEN LAVIOLETTE, CRYSTAL CATHOLIC, GLORIA VILLEBRUN, JOLENE BEAVER, RON SCHAEFER, JEFF FRASER AND FREDRICK BEAULIEU</w:t>
            </w:r>
          </w:p>
          <w:p w:rsidR="001F75D6" w:rsidRPr="001F75D6" w:rsidRDefault="001F75D6" w:rsidP="001F75D6">
            <w:pPr>
              <w:jc w:val="center"/>
              <w:rPr>
                <w:rFonts w:ascii="Times New Roman" w:hAnsi="Times New Roman" w:cs="Times New Roman"/>
                <w:sz w:val="24"/>
                <w:szCs w:val="24"/>
              </w:rPr>
            </w:pPr>
          </w:p>
          <w:p w:rsidR="001F75D6" w:rsidRPr="001F75D6" w:rsidRDefault="001F75D6" w:rsidP="001F75D6">
            <w:pPr>
              <w:jc w:val="right"/>
              <w:rPr>
                <w:rFonts w:ascii="Times New Roman" w:hAnsi="Times New Roman" w:cs="Times New Roman"/>
                <w:sz w:val="24"/>
                <w:szCs w:val="24"/>
              </w:rPr>
            </w:pPr>
            <w:r w:rsidRPr="001F75D6">
              <w:rPr>
                <w:rFonts w:ascii="Times New Roman" w:hAnsi="Times New Roman" w:cs="Times New Roman"/>
                <w:sz w:val="24"/>
                <w:szCs w:val="24"/>
              </w:rPr>
              <w:t>Third Parties</w:t>
            </w:r>
          </w:p>
          <w:p w:rsidR="00707EAE" w:rsidRPr="0032647A" w:rsidRDefault="00707EAE" w:rsidP="00FF1640">
            <w:pPr>
              <w:rPr>
                <w:rFonts w:ascii="Times New Roman" w:hAnsi="Times New Roman" w:cs="Times New Roman"/>
                <w:sz w:val="28"/>
                <w:szCs w:val="28"/>
              </w:rPr>
            </w:pPr>
          </w:p>
        </w:tc>
      </w:tr>
      <w:tr w:rsidR="00707EAE" w:rsidRPr="0032647A" w:rsidTr="00680549">
        <w:tc>
          <w:tcPr>
            <w:tcW w:w="5994" w:type="dxa"/>
          </w:tcPr>
          <w:p w:rsidR="00707EAE" w:rsidRPr="0032647A" w:rsidRDefault="00707EAE" w:rsidP="00FF1640">
            <w:pPr>
              <w:tabs>
                <w:tab w:val="left" w:pos="720"/>
                <w:tab w:val="left" w:pos="1452"/>
                <w:tab w:val="left" w:pos="2392"/>
              </w:tabs>
              <w:jc w:val="center"/>
              <w:rPr>
                <w:rFonts w:ascii="Times New Roman" w:hAnsi="Times New Roman" w:cs="Times New Roman"/>
                <w:sz w:val="28"/>
                <w:szCs w:val="28"/>
                <w:lang w:val="en-GB"/>
              </w:rPr>
            </w:pPr>
          </w:p>
          <w:p w:rsidR="00707EAE" w:rsidRDefault="00943E79" w:rsidP="00943E79">
            <w:pPr>
              <w:pStyle w:val="ListParagraph"/>
              <w:ind w:left="0"/>
              <w:jc w:val="center"/>
              <w:rPr>
                <w:rFonts w:ascii="Times New Roman" w:hAnsi="Times New Roman" w:cs="Times New Roman"/>
                <w:sz w:val="28"/>
                <w:szCs w:val="28"/>
                <w:lang w:val="en-GB"/>
              </w:rPr>
            </w:pPr>
            <w:r>
              <w:rPr>
                <w:rFonts w:ascii="Times New Roman" w:hAnsi="Times New Roman" w:cs="Times New Roman"/>
                <w:sz w:val="28"/>
                <w:szCs w:val="28"/>
                <w:lang w:val="en-GB"/>
              </w:rPr>
              <w:t>MEMORANDUM OF JUDGMENT OF</w:t>
            </w:r>
          </w:p>
          <w:p w:rsidR="00943E79" w:rsidRDefault="00943E79" w:rsidP="00943E79">
            <w:pPr>
              <w:pStyle w:val="ListParagraph"/>
              <w:ind w:left="0"/>
              <w:jc w:val="center"/>
              <w:rPr>
                <w:rFonts w:ascii="Times New Roman" w:hAnsi="Times New Roman" w:cs="Times New Roman"/>
                <w:sz w:val="28"/>
                <w:szCs w:val="28"/>
                <w:lang w:val="en-GB"/>
              </w:rPr>
            </w:pPr>
            <w:r>
              <w:rPr>
                <w:rFonts w:ascii="Times New Roman" w:hAnsi="Times New Roman" w:cs="Times New Roman"/>
                <w:sz w:val="28"/>
                <w:szCs w:val="28"/>
                <w:lang w:val="en-GB"/>
              </w:rPr>
              <w:t>THE HONOURABLE K.M. SHANER</w:t>
            </w:r>
          </w:p>
          <w:p w:rsidR="00943E79" w:rsidRPr="0032647A" w:rsidRDefault="00943E79" w:rsidP="00943E79">
            <w:pPr>
              <w:pStyle w:val="ListParagraph"/>
              <w:ind w:left="0"/>
              <w:jc w:val="center"/>
              <w:rPr>
                <w:rFonts w:ascii="Times New Roman" w:hAnsi="Times New Roman" w:cs="Times New Roman"/>
                <w:sz w:val="28"/>
                <w:szCs w:val="28"/>
                <w:lang w:val="en-GB"/>
              </w:rPr>
            </w:pPr>
          </w:p>
        </w:tc>
      </w:tr>
    </w:tbl>
    <w:p w:rsidR="001F5970" w:rsidRPr="0032647A" w:rsidRDefault="001F5970" w:rsidP="00FF1640">
      <w:pPr>
        <w:spacing w:after="0" w:line="240" w:lineRule="auto"/>
        <w:jc w:val="both"/>
        <w:rPr>
          <w:rFonts w:ascii="Times New Roman" w:hAnsi="Times New Roman" w:cs="Times New Roman"/>
          <w:sz w:val="28"/>
          <w:szCs w:val="28"/>
        </w:rPr>
        <w:sectPr w:rsidR="001F5970" w:rsidRPr="0032647A" w:rsidSect="000B09E5">
          <w:pgSz w:w="12240" w:h="15840"/>
          <w:pgMar w:top="1440" w:right="1608" w:bottom="1440" w:left="1440" w:header="720" w:footer="720" w:gutter="0"/>
          <w:cols w:space="720"/>
          <w:titlePg/>
          <w:docGrid w:linePitch="360"/>
        </w:sectPr>
      </w:pPr>
    </w:p>
    <w:p w:rsidR="000812FA" w:rsidRPr="0032647A" w:rsidRDefault="000812FA" w:rsidP="00FF1640">
      <w:pPr>
        <w:tabs>
          <w:tab w:val="right" w:pos="4230"/>
        </w:tabs>
        <w:spacing w:after="0" w:line="240" w:lineRule="auto"/>
        <w:ind w:right="-432"/>
        <w:jc w:val="both"/>
        <w:rPr>
          <w:rFonts w:ascii="Times New Roman" w:hAnsi="Times New Roman" w:cs="Times New Roman"/>
          <w:sz w:val="28"/>
          <w:szCs w:val="28"/>
          <w:u w:val="single"/>
        </w:rPr>
      </w:pPr>
    </w:p>
    <w:sectPr w:rsidR="000812FA" w:rsidRPr="0032647A" w:rsidSect="000B09E5">
      <w:headerReference w:type="default" r:id="rId10"/>
      <w:headerReference w:type="first" r:id="rId11"/>
      <w:type w:val="continuous"/>
      <w:pgSz w:w="12240" w:h="15840" w:code="1"/>
      <w:pgMar w:top="1440" w:right="1608"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37" w:rsidRDefault="00EE0E37" w:rsidP="005B5B19">
      <w:pPr>
        <w:spacing w:after="0" w:line="240" w:lineRule="auto"/>
      </w:pPr>
      <w:r>
        <w:separator/>
      </w:r>
    </w:p>
  </w:endnote>
  <w:endnote w:type="continuationSeparator" w:id="0">
    <w:p w:rsidR="00EE0E37" w:rsidRDefault="00EE0E37"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37" w:rsidRDefault="00EE0E37" w:rsidP="005B5B19">
      <w:pPr>
        <w:spacing w:after="0" w:line="240" w:lineRule="auto"/>
      </w:pPr>
      <w:r>
        <w:separator/>
      </w:r>
    </w:p>
  </w:footnote>
  <w:footnote w:type="continuationSeparator" w:id="0">
    <w:p w:rsidR="00EE0E37" w:rsidRDefault="00EE0E37"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8551738"/>
      <w:docPartObj>
        <w:docPartGallery w:val="Page Numbers (Top of Page)"/>
        <w:docPartUnique/>
      </w:docPartObj>
    </w:sdtPr>
    <w:sdtEndPr>
      <w:rPr>
        <w:noProof/>
      </w:rPr>
    </w:sdtEndPr>
    <w:sdtContent>
      <w:p w:rsidR="006359B7" w:rsidRPr="008063CA" w:rsidRDefault="006359B7">
        <w:pPr>
          <w:pStyle w:val="Header"/>
          <w:jc w:val="right"/>
          <w:rPr>
            <w:rFonts w:ascii="Times New Roman" w:hAnsi="Times New Roman" w:cs="Times New Roman"/>
          </w:rPr>
        </w:pPr>
        <w:r w:rsidRPr="008063CA">
          <w:rPr>
            <w:rFonts w:ascii="Times New Roman" w:hAnsi="Times New Roman" w:cs="Times New Roman"/>
          </w:rPr>
          <w:t xml:space="preserve">Page:  </w:t>
        </w:r>
        <w:r w:rsidRPr="008063CA">
          <w:rPr>
            <w:rFonts w:ascii="Times New Roman" w:hAnsi="Times New Roman" w:cs="Times New Roman"/>
          </w:rPr>
          <w:fldChar w:fldCharType="begin"/>
        </w:r>
        <w:r w:rsidRPr="008063CA">
          <w:rPr>
            <w:rFonts w:ascii="Times New Roman" w:hAnsi="Times New Roman" w:cs="Times New Roman"/>
          </w:rPr>
          <w:instrText xml:space="preserve"> PAGE   \* MERGEFORMAT </w:instrText>
        </w:r>
        <w:r w:rsidRPr="008063CA">
          <w:rPr>
            <w:rFonts w:ascii="Times New Roman" w:hAnsi="Times New Roman" w:cs="Times New Roman"/>
          </w:rPr>
          <w:fldChar w:fldCharType="separate"/>
        </w:r>
        <w:r w:rsidR="000A3E74">
          <w:rPr>
            <w:rFonts w:ascii="Times New Roman" w:hAnsi="Times New Roman" w:cs="Times New Roman"/>
            <w:noProof/>
          </w:rPr>
          <w:t>3</w:t>
        </w:r>
        <w:r w:rsidRPr="008063CA">
          <w:rPr>
            <w:rFonts w:ascii="Times New Roman" w:hAnsi="Times New Roman" w:cs="Times New Roman"/>
            <w:noProof/>
          </w:rPr>
          <w:fldChar w:fldCharType="end"/>
        </w:r>
      </w:p>
    </w:sdtContent>
  </w:sdt>
  <w:p w:rsidR="006359B7" w:rsidRDefault="00635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7D" w:rsidRDefault="00227B7D">
    <w:pPr>
      <w:pStyle w:val="Header"/>
      <w:jc w:val="right"/>
    </w:pPr>
  </w:p>
  <w:p w:rsidR="00227B7D" w:rsidRDefault="00227B7D"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7D" w:rsidRDefault="00227B7D">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227B7D" w:rsidRDefault="00227B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7D" w:rsidRDefault="00227B7D">
    <w:pPr>
      <w:pStyle w:val="Header"/>
      <w:jc w:val="right"/>
    </w:pPr>
  </w:p>
  <w:p w:rsidR="00227B7D" w:rsidRDefault="00227B7D"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C96342"/>
    <w:multiLevelType w:val="hybridMultilevel"/>
    <w:tmpl w:val="2BD85074"/>
    <w:lvl w:ilvl="0" w:tplc="C48A8726">
      <w:start w:val="1"/>
      <w:numFmt w:val="lowerLetter"/>
      <w:lvlText w:val="(%1)"/>
      <w:lvlJc w:val="left"/>
      <w:pPr>
        <w:ind w:left="2885" w:hanging="720"/>
      </w:pPr>
      <w:rPr>
        <w:rFonts w:hint="default"/>
      </w:rPr>
    </w:lvl>
    <w:lvl w:ilvl="1" w:tplc="10090019" w:tentative="1">
      <w:start w:val="1"/>
      <w:numFmt w:val="lowerLetter"/>
      <w:lvlText w:val="%2."/>
      <w:lvlJc w:val="left"/>
      <w:pPr>
        <w:ind w:left="3245" w:hanging="360"/>
      </w:pPr>
    </w:lvl>
    <w:lvl w:ilvl="2" w:tplc="1009001B" w:tentative="1">
      <w:start w:val="1"/>
      <w:numFmt w:val="lowerRoman"/>
      <w:lvlText w:val="%3."/>
      <w:lvlJc w:val="right"/>
      <w:pPr>
        <w:ind w:left="3965" w:hanging="180"/>
      </w:pPr>
    </w:lvl>
    <w:lvl w:ilvl="3" w:tplc="1009000F" w:tentative="1">
      <w:start w:val="1"/>
      <w:numFmt w:val="decimal"/>
      <w:lvlText w:val="%4."/>
      <w:lvlJc w:val="left"/>
      <w:pPr>
        <w:ind w:left="4685" w:hanging="360"/>
      </w:pPr>
    </w:lvl>
    <w:lvl w:ilvl="4" w:tplc="10090019" w:tentative="1">
      <w:start w:val="1"/>
      <w:numFmt w:val="lowerLetter"/>
      <w:lvlText w:val="%5."/>
      <w:lvlJc w:val="left"/>
      <w:pPr>
        <w:ind w:left="5405" w:hanging="360"/>
      </w:pPr>
    </w:lvl>
    <w:lvl w:ilvl="5" w:tplc="1009001B" w:tentative="1">
      <w:start w:val="1"/>
      <w:numFmt w:val="lowerRoman"/>
      <w:lvlText w:val="%6."/>
      <w:lvlJc w:val="right"/>
      <w:pPr>
        <w:ind w:left="6125" w:hanging="180"/>
      </w:pPr>
    </w:lvl>
    <w:lvl w:ilvl="6" w:tplc="1009000F" w:tentative="1">
      <w:start w:val="1"/>
      <w:numFmt w:val="decimal"/>
      <w:lvlText w:val="%7."/>
      <w:lvlJc w:val="left"/>
      <w:pPr>
        <w:ind w:left="6845" w:hanging="360"/>
      </w:pPr>
    </w:lvl>
    <w:lvl w:ilvl="7" w:tplc="10090019" w:tentative="1">
      <w:start w:val="1"/>
      <w:numFmt w:val="lowerLetter"/>
      <w:lvlText w:val="%8."/>
      <w:lvlJc w:val="left"/>
      <w:pPr>
        <w:ind w:left="7565" w:hanging="360"/>
      </w:pPr>
    </w:lvl>
    <w:lvl w:ilvl="8" w:tplc="1009001B" w:tentative="1">
      <w:start w:val="1"/>
      <w:numFmt w:val="lowerRoman"/>
      <w:lvlText w:val="%9."/>
      <w:lvlJc w:val="right"/>
      <w:pPr>
        <w:ind w:left="8285" w:hanging="180"/>
      </w:pPr>
    </w:lvl>
  </w:abstractNum>
  <w:abstractNum w:abstractNumId="3"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F0B"/>
    <w:multiLevelType w:val="hybridMultilevel"/>
    <w:tmpl w:val="4058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2D607B"/>
    <w:multiLevelType w:val="hybridMultilevel"/>
    <w:tmpl w:val="0B1A460C"/>
    <w:lvl w:ilvl="0" w:tplc="715A1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30722"/>
    <w:multiLevelType w:val="hybridMultilevel"/>
    <w:tmpl w:val="EB7228B0"/>
    <w:lvl w:ilvl="0" w:tplc="A8648CA4">
      <w:start w:val="1"/>
      <w:numFmt w:val="decimal"/>
      <w:lvlText w:val="[%1]"/>
      <w:lvlJc w:val="left"/>
      <w:pPr>
        <w:ind w:left="720" w:hanging="36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97558B"/>
    <w:multiLevelType w:val="hybridMultilevel"/>
    <w:tmpl w:val="08BC4D46"/>
    <w:lvl w:ilvl="0" w:tplc="9940D42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572"/>
    <w:multiLevelType w:val="hybridMultilevel"/>
    <w:tmpl w:val="89CA8CDE"/>
    <w:lvl w:ilvl="0" w:tplc="0F685D1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15:restartNumberingAfterBreak="0">
    <w:nsid w:val="2AF70A09"/>
    <w:multiLevelType w:val="hybridMultilevel"/>
    <w:tmpl w:val="86E2F9D8"/>
    <w:lvl w:ilvl="0" w:tplc="059C944E">
      <w:start w:val="1"/>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90AA7"/>
    <w:multiLevelType w:val="hybridMultilevel"/>
    <w:tmpl w:val="64F0B96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943493"/>
    <w:multiLevelType w:val="hybridMultilevel"/>
    <w:tmpl w:val="854057FE"/>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2C25D7"/>
    <w:multiLevelType w:val="hybridMultilevel"/>
    <w:tmpl w:val="CD56FE24"/>
    <w:lvl w:ilvl="0" w:tplc="9940D42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957ED"/>
    <w:multiLevelType w:val="hybridMultilevel"/>
    <w:tmpl w:val="74E63F84"/>
    <w:lvl w:ilvl="0" w:tplc="9940D42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C5E41"/>
    <w:multiLevelType w:val="hybridMultilevel"/>
    <w:tmpl w:val="913E88C0"/>
    <w:lvl w:ilvl="0" w:tplc="EB887BD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71355964"/>
    <w:multiLevelType w:val="hybridMultilevel"/>
    <w:tmpl w:val="A37EB8FC"/>
    <w:lvl w:ilvl="0" w:tplc="0D46B27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7F2352"/>
    <w:multiLevelType w:val="hybridMultilevel"/>
    <w:tmpl w:val="88DE571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9FA4584"/>
    <w:multiLevelType w:val="hybridMultilevel"/>
    <w:tmpl w:val="74E63F84"/>
    <w:lvl w:ilvl="0" w:tplc="9940D420">
      <w:start w:val="1"/>
      <w:numFmt w:val="decimal"/>
      <w:lvlText w:val="[%1]"/>
      <w:lvlJc w:val="left"/>
      <w:pPr>
        <w:ind w:left="720" w:hanging="360"/>
      </w:pPr>
      <w:rPr>
        <w:rFonts w:ascii="Times New Roman" w:hAnsi="Times New Roman"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23067"/>
    <w:multiLevelType w:val="hybridMultilevel"/>
    <w:tmpl w:val="EEE2D4FC"/>
    <w:lvl w:ilvl="0" w:tplc="2E8AA9BA">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3"/>
  </w:num>
  <w:num w:numId="2">
    <w:abstractNumId w:val="19"/>
  </w:num>
  <w:num w:numId="3">
    <w:abstractNumId w:val="5"/>
  </w:num>
  <w:num w:numId="4">
    <w:abstractNumId w:val="0"/>
  </w:num>
  <w:num w:numId="5">
    <w:abstractNumId w:val="22"/>
  </w:num>
  <w:num w:numId="6">
    <w:abstractNumId w:val="3"/>
  </w:num>
  <w:num w:numId="7">
    <w:abstractNumId w:val="4"/>
  </w:num>
  <w:num w:numId="8">
    <w:abstractNumId w:val="1"/>
  </w:num>
  <w:num w:numId="9">
    <w:abstractNumId w:val="16"/>
  </w:num>
  <w:num w:numId="10">
    <w:abstractNumId w:val="12"/>
  </w:num>
  <w:num w:numId="11">
    <w:abstractNumId w:val="21"/>
  </w:num>
  <w:num w:numId="12">
    <w:abstractNumId w:val="7"/>
  </w:num>
  <w:num w:numId="13">
    <w:abstractNumId w:val="9"/>
  </w:num>
  <w:num w:numId="14">
    <w:abstractNumId w:val="25"/>
  </w:num>
  <w:num w:numId="15">
    <w:abstractNumId w:val="17"/>
  </w:num>
  <w:num w:numId="16">
    <w:abstractNumId w:val="10"/>
  </w:num>
  <w:num w:numId="17">
    <w:abstractNumId w:val="8"/>
  </w:num>
  <w:num w:numId="18">
    <w:abstractNumId w:val="6"/>
  </w:num>
  <w:num w:numId="19">
    <w:abstractNumId w:val="18"/>
  </w:num>
  <w:num w:numId="20">
    <w:abstractNumId w:val="14"/>
  </w:num>
  <w:num w:numId="21">
    <w:abstractNumId w:val="24"/>
  </w:num>
  <w:num w:numId="22">
    <w:abstractNumId w:val="15"/>
  </w:num>
  <w:num w:numId="23">
    <w:abstractNumId w:val="23"/>
  </w:num>
  <w:num w:numId="24">
    <w:abstractNumId w:val="20"/>
  </w:num>
  <w:num w:numId="25">
    <w:abstractNumId w:val="11"/>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13389"/>
    <w:rsid w:val="0002101A"/>
    <w:rsid w:val="00022FA5"/>
    <w:rsid w:val="00043C49"/>
    <w:rsid w:val="00051ABF"/>
    <w:rsid w:val="000812FA"/>
    <w:rsid w:val="00081480"/>
    <w:rsid w:val="00086E43"/>
    <w:rsid w:val="00093D0A"/>
    <w:rsid w:val="00096574"/>
    <w:rsid w:val="000A3E74"/>
    <w:rsid w:val="000B09E5"/>
    <w:rsid w:val="000C0C48"/>
    <w:rsid w:val="000C157D"/>
    <w:rsid w:val="000D4F48"/>
    <w:rsid w:val="000F53DB"/>
    <w:rsid w:val="000F5C77"/>
    <w:rsid w:val="0010644E"/>
    <w:rsid w:val="00110754"/>
    <w:rsid w:val="00131AC9"/>
    <w:rsid w:val="0013754F"/>
    <w:rsid w:val="00163859"/>
    <w:rsid w:val="00182532"/>
    <w:rsid w:val="001922F6"/>
    <w:rsid w:val="001A1379"/>
    <w:rsid w:val="001B09FF"/>
    <w:rsid w:val="001E0F8F"/>
    <w:rsid w:val="001F5970"/>
    <w:rsid w:val="001F75D6"/>
    <w:rsid w:val="00203E0D"/>
    <w:rsid w:val="00224183"/>
    <w:rsid w:val="00227B7D"/>
    <w:rsid w:val="00234F63"/>
    <w:rsid w:val="00251A5F"/>
    <w:rsid w:val="00272B5C"/>
    <w:rsid w:val="0028233D"/>
    <w:rsid w:val="0029434C"/>
    <w:rsid w:val="002A2C74"/>
    <w:rsid w:val="002C5E30"/>
    <w:rsid w:val="002E3E33"/>
    <w:rsid w:val="002F11DE"/>
    <w:rsid w:val="003079CA"/>
    <w:rsid w:val="003134E8"/>
    <w:rsid w:val="00321645"/>
    <w:rsid w:val="0032647A"/>
    <w:rsid w:val="00345AB4"/>
    <w:rsid w:val="00365389"/>
    <w:rsid w:val="00370464"/>
    <w:rsid w:val="0037112A"/>
    <w:rsid w:val="00383F1C"/>
    <w:rsid w:val="003A5AD6"/>
    <w:rsid w:val="003B5B15"/>
    <w:rsid w:val="003B6A14"/>
    <w:rsid w:val="003D3E8C"/>
    <w:rsid w:val="003E11EC"/>
    <w:rsid w:val="003E6003"/>
    <w:rsid w:val="003F2B8B"/>
    <w:rsid w:val="003F691C"/>
    <w:rsid w:val="004121D5"/>
    <w:rsid w:val="004209AA"/>
    <w:rsid w:val="004333AA"/>
    <w:rsid w:val="0043656E"/>
    <w:rsid w:val="00437063"/>
    <w:rsid w:val="004537D3"/>
    <w:rsid w:val="00455003"/>
    <w:rsid w:val="00455337"/>
    <w:rsid w:val="004731CC"/>
    <w:rsid w:val="004A40CB"/>
    <w:rsid w:val="004B5D58"/>
    <w:rsid w:val="00500781"/>
    <w:rsid w:val="00501206"/>
    <w:rsid w:val="00501407"/>
    <w:rsid w:val="00505053"/>
    <w:rsid w:val="00506247"/>
    <w:rsid w:val="00511328"/>
    <w:rsid w:val="00533F06"/>
    <w:rsid w:val="005371D3"/>
    <w:rsid w:val="00551896"/>
    <w:rsid w:val="00551B25"/>
    <w:rsid w:val="005846D0"/>
    <w:rsid w:val="00596C8E"/>
    <w:rsid w:val="005A7DD3"/>
    <w:rsid w:val="005B2316"/>
    <w:rsid w:val="005B3323"/>
    <w:rsid w:val="005B5B19"/>
    <w:rsid w:val="005C1929"/>
    <w:rsid w:val="005C2F89"/>
    <w:rsid w:val="005D1888"/>
    <w:rsid w:val="005D1A0D"/>
    <w:rsid w:val="005D309E"/>
    <w:rsid w:val="00616572"/>
    <w:rsid w:val="006359B7"/>
    <w:rsid w:val="00641D15"/>
    <w:rsid w:val="006421C2"/>
    <w:rsid w:val="00653327"/>
    <w:rsid w:val="0065416D"/>
    <w:rsid w:val="0066755D"/>
    <w:rsid w:val="00671046"/>
    <w:rsid w:val="00680549"/>
    <w:rsid w:val="00681EFE"/>
    <w:rsid w:val="00682D14"/>
    <w:rsid w:val="006A67F2"/>
    <w:rsid w:val="006B0449"/>
    <w:rsid w:val="006D28E5"/>
    <w:rsid w:val="006D3CCE"/>
    <w:rsid w:val="006F2464"/>
    <w:rsid w:val="00707EAE"/>
    <w:rsid w:val="0071123F"/>
    <w:rsid w:val="007172DF"/>
    <w:rsid w:val="007404D1"/>
    <w:rsid w:val="00752782"/>
    <w:rsid w:val="00755F32"/>
    <w:rsid w:val="00755F35"/>
    <w:rsid w:val="0076058B"/>
    <w:rsid w:val="0077077B"/>
    <w:rsid w:val="00771BAF"/>
    <w:rsid w:val="00777B6B"/>
    <w:rsid w:val="007B060F"/>
    <w:rsid w:val="007C42C8"/>
    <w:rsid w:val="007D2840"/>
    <w:rsid w:val="007E4421"/>
    <w:rsid w:val="007F2F17"/>
    <w:rsid w:val="007F72D6"/>
    <w:rsid w:val="008046B3"/>
    <w:rsid w:val="008063CA"/>
    <w:rsid w:val="008115CA"/>
    <w:rsid w:val="0081394E"/>
    <w:rsid w:val="00822D1A"/>
    <w:rsid w:val="00852397"/>
    <w:rsid w:val="00861459"/>
    <w:rsid w:val="00866B24"/>
    <w:rsid w:val="00873E09"/>
    <w:rsid w:val="00876E86"/>
    <w:rsid w:val="00877E3D"/>
    <w:rsid w:val="00877F3D"/>
    <w:rsid w:val="00897576"/>
    <w:rsid w:val="008A6D96"/>
    <w:rsid w:val="008B039F"/>
    <w:rsid w:val="008B53D7"/>
    <w:rsid w:val="008C03B4"/>
    <w:rsid w:val="008C09DB"/>
    <w:rsid w:val="008C6CDD"/>
    <w:rsid w:val="008F1463"/>
    <w:rsid w:val="00917BB4"/>
    <w:rsid w:val="00931278"/>
    <w:rsid w:val="00943E79"/>
    <w:rsid w:val="00944C23"/>
    <w:rsid w:val="009621DF"/>
    <w:rsid w:val="00962CBC"/>
    <w:rsid w:val="00966D11"/>
    <w:rsid w:val="00967D4E"/>
    <w:rsid w:val="009708F8"/>
    <w:rsid w:val="00972D9D"/>
    <w:rsid w:val="00974606"/>
    <w:rsid w:val="00990C8F"/>
    <w:rsid w:val="009A0673"/>
    <w:rsid w:val="009B1FD8"/>
    <w:rsid w:val="009C2CC4"/>
    <w:rsid w:val="009C474B"/>
    <w:rsid w:val="009C730C"/>
    <w:rsid w:val="00A03F5B"/>
    <w:rsid w:val="00A06F57"/>
    <w:rsid w:val="00A17FE0"/>
    <w:rsid w:val="00A30DC2"/>
    <w:rsid w:val="00A329D2"/>
    <w:rsid w:val="00A333CB"/>
    <w:rsid w:val="00A46DED"/>
    <w:rsid w:val="00A47380"/>
    <w:rsid w:val="00A82C88"/>
    <w:rsid w:val="00A9194B"/>
    <w:rsid w:val="00A978AE"/>
    <w:rsid w:val="00AA2637"/>
    <w:rsid w:val="00B01613"/>
    <w:rsid w:val="00B02D9E"/>
    <w:rsid w:val="00B04E63"/>
    <w:rsid w:val="00B24146"/>
    <w:rsid w:val="00B512D6"/>
    <w:rsid w:val="00B61DC8"/>
    <w:rsid w:val="00B71F8A"/>
    <w:rsid w:val="00B9344A"/>
    <w:rsid w:val="00B94F8E"/>
    <w:rsid w:val="00BA5C66"/>
    <w:rsid w:val="00BE612B"/>
    <w:rsid w:val="00C20A2C"/>
    <w:rsid w:val="00C247C9"/>
    <w:rsid w:val="00C37FC1"/>
    <w:rsid w:val="00C65DEB"/>
    <w:rsid w:val="00C711A9"/>
    <w:rsid w:val="00C75B09"/>
    <w:rsid w:val="00CA135F"/>
    <w:rsid w:val="00CA49DD"/>
    <w:rsid w:val="00CA7786"/>
    <w:rsid w:val="00CC2417"/>
    <w:rsid w:val="00CF73A9"/>
    <w:rsid w:val="00D15E7F"/>
    <w:rsid w:val="00D17BDA"/>
    <w:rsid w:val="00D25111"/>
    <w:rsid w:val="00D33540"/>
    <w:rsid w:val="00D46CC8"/>
    <w:rsid w:val="00D767FF"/>
    <w:rsid w:val="00D924C5"/>
    <w:rsid w:val="00D92F19"/>
    <w:rsid w:val="00DC1381"/>
    <w:rsid w:val="00DC39CB"/>
    <w:rsid w:val="00DC425D"/>
    <w:rsid w:val="00DE001F"/>
    <w:rsid w:val="00DE7E5D"/>
    <w:rsid w:val="00DF565B"/>
    <w:rsid w:val="00E05330"/>
    <w:rsid w:val="00E16919"/>
    <w:rsid w:val="00E177E7"/>
    <w:rsid w:val="00E23354"/>
    <w:rsid w:val="00E24C01"/>
    <w:rsid w:val="00E27963"/>
    <w:rsid w:val="00E3460E"/>
    <w:rsid w:val="00E46C15"/>
    <w:rsid w:val="00E503A5"/>
    <w:rsid w:val="00E528A5"/>
    <w:rsid w:val="00E57743"/>
    <w:rsid w:val="00E80236"/>
    <w:rsid w:val="00E851AA"/>
    <w:rsid w:val="00E93C73"/>
    <w:rsid w:val="00E97E44"/>
    <w:rsid w:val="00EA15D9"/>
    <w:rsid w:val="00ED6BFF"/>
    <w:rsid w:val="00EE0E37"/>
    <w:rsid w:val="00EE6FE2"/>
    <w:rsid w:val="00F23226"/>
    <w:rsid w:val="00F3413B"/>
    <w:rsid w:val="00F3719D"/>
    <w:rsid w:val="00F546E6"/>
    <w:rsid w:val="00F822EA"/>
    <w:rsid w:val="00FA4F32"/>
    <w:rsid w:val="00FA57F8"/>
    <w:rsid w:val="00FB1D40"/>
    <w:rsid w:val="00FC41A5"/>
    <w:rsid w:val="00FE2078"/>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FF3AD8-E796-4F63-A0C4-78478DD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16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3B53-7CCE-4836-A65C-EF0B67D1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1241</Words>
  <Characters>7077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dc:creator>
  <cp:lastModifiedBy>Shirley Mair</cp:lastModifiedBy>
  <cp:revision>9</cp:revision>
  <cp:lastPrinted>2022-11-14T20:15:00Z</cp:lastPrinted>
  <dcterms:created xsi:type="dcterms:W3CDTF">2022-11-14T18:01:00Z</dcterms:created>
  <dcterms:modified xsi:type="dcterms:W3CDTF">2022-11-14T20:22:00Z</dcterms:modified>
</cp:coreProperties>
</file>