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727" w:rsidRPr="002F2B7D" w:rsidRDefault="004F0BAC" w:rsidP="00366727">
      <w:pPr>
        <w:widowControl/>
        <w:autoSpaceDE/>
        <w:autoSpaceDN/>
        <w:adjustRightInd/>
      </w:pPr>
      <w:r w:rsidRPr="002F2B7D">
        <w:rPr>
          <w:i/>
        </w:rPr>
        <w:t>Betsedea v Norn et al</w:t>
      </w:r>
      <w:r w:rsidRPr="002F2B7D">
        <w:t>, 2022 NWTSC 17</w:t>
      </w:r>
    </w:p>
    <w:p w:rsidR="00DF08A8" w:rsidRPr="00923F35" w:rsidRDefault="00DF08A8" w:rsidP="00DF08A8">
      <w:pPr>
        <w:widowControl/>
        <w:jc w:val="right"/>
        <w:rPr>
          <w:sz w:val="28"/>
          <w:szCs w:val="28"/>
          <w:lang w:val="en-GB"/>
        </w:rPr>
      </w:pPr>
      <w:r w:rsidRPr="00923F35">
        <w:rPr>
          <w:sz w:val="28"/>
          <w:szCs w:val="28"/>
          <w:lang w:val="en-GB"/>
        </w:rPr>
        <w:t xml:space="preserve">Date: </w:t>
      </w:r>
      <w:r>
        <w:rPr>
          <w:sz w:val="28"/>
          <w:szCs w:val="28"/>
          <w:lang w:val="en-GB"/>
        </w:rPr>
        <w:t>202</w:t>
      </w:r>
      <w:r w:rsidR="003D1E64">
        <w:rPr>
          <w:sz w:val="28"/>
          <w:szCs w:val="28"/>
          <w:lang w:val="en-GB"/>
        </w:rPr>
        <w:t>2</w:t>
      </w:r>
      <w:r>
        <w:rPr>
          <w:sz w:val="28"/>
          <w:szCs w:val="28"/>
          <w:lang w:val="en-GB"/>
        </w:rPr>
        <w:t xml:space="preserve"> </w:t>
      </w:r>
      <w:r w:rsidR="00EC58D0">
        <w:rPr>
          <w:sz w:val="28"/>
          <w:szCs w:val="28"/>
          <w:lang w:val="en-GB"/>
        </w:rPr>
        <w:t>08 10</w:t>
      </w:r>
    </w:p>
    <w:p w:rsidR="00DF08A8" w:rsidRPr="00923F35" w:rsidRDefault="00DF08A8" w:rsidP="00EC58D0">
      <w:pPr>
        <w:widowControl/>
        <w:jc w:val="right"/>
        <w:rPr>
          <w:sz w:val="28"/>
          <w:szCs w:val="28"/>
          <w:lang w:val="en-GB"/>
        </w:rPr>
      </w:pPr>
      <w:r w:rsidRPr="00923F35">
        <w:rPr>
          <w:sz w:val="28"/>
          <w:szCs w:val="28"/>
          <w:lang w:val="en-GB"/>
        </w:rPr>
        <w:t>Docket:</w:t>
      </w:r>
      <w:bookmarkStart w:id="0" w:name="a2"/>
      <w:r w:rsidR="00347B03">
        <w:rPr>
          <w:sz w:val="28"/>
          <w:szCs w:val="28"/>
          <w:lang w:val="en-GB"/>
        </w:rPr>
        <w:t xml:space="preserve"> </w:t>
      </w:r>
      <w:bookmarkEnd w:id="0"/>
      <w:r w:rsidR="00EC58D0">
        <w:rPr>
          <w:sz w:val="28"/>
          <w:szCs w:val="28"/>
          <w:lang w:val="en-GB"/>
        </w:rPr>
        <w:t>S-1-FM-2022-000022</w:t>
      </w:r>
    </w:p>
    <w:p w:rsidR="00DF08A8" w:rsidRPr="00923F35" w:rsidRDefault="00DF08A8" w:rsidP="00DF08A8">
      <w:pPr>
        <w:widowControl/>
        <w:rPr>
          <w:sz w:val="28"/>
          <w:szCs w:val="28"/>
          <w:lang w:val="en-GB"/>
        </w:rPr>
      </w:pPr>
    </w:p>
    <w:p w:rsidR="00DF08A8" w:rsidRPr="00923F35" w:rsidRDefault="00DF08A8" w:rsidP="00EC58D0">
      <w:pPr>
        <w:widowControl/>
        <w:tabs>
          <w:tab w:val="center" w:pos="4680"/>
        </w:tabs>
        <w:rPr>
          <w:sz w:val="28"/>
          <w:szCs w:val="28"/>
          <w:lang w:val="en-GB"/>
        </w:rPr>
      </w:pPr>
      <w:r w:rsidRPr="00923F35">
        <w:rPr>
          <w:sz w:val="28"/>
          <w:szCs w:val="28"/>
          <w:lang w:val="en-GB"/>
        </w:rPr>
        <w:tab/>
        <w:t>IN THE SUPREME COURT OF THE NORTHWEST TERRITORIES</w:t>
      </w:r>
    </w:p>
    <w:p w:rsidR="00DF08A8" w:rsidRDefault="00DF08A8" w:rsidP="00DF08A8">
      <w:pPr>
        <w:widowControl/>
        <w:rPr>
          <w:sz w:val="28"/>
          <w:szCs w:val="28"/>
          <w:lang w:val="en-GB"/>
        </w:rPr>
      </w:pPr>
    </w:p>
    <w:p w:rsidR="00EC58D0" w:rsidRPr="00EC58D0" w:rsidRDefault="00EC58D0" w:rsidP="00EC58D0">
      <w:pPr>
        <w:widowControl/>
        <w:rPr>
          <w:sz w:val="28"/>
          <w:szCs w:val="28"/>
          <w:lang w:val="en-GB"/>
        </w:rPr>
      </w:pPr>
      <w:r w:rsidRPr="00EC58D0">
        <w:rPr>
          <w:sz w:val="28"/>
          <w:szCs w:val="28"/>
          <w:lang w:val="en-GB"/>
        </w:rPr>
        <w:t>BETWEEN:</w:t>
      </w:r>
      <w:r w:rsidRPr="00EC58D0">
        <w:rPr>
          <w:sz w:val="28"/>
          <w:szCs w:val="28"/>
          <w:lang w:val="en-GB"/>
        </w:rPr>
        <w:tab/>
      </w:r>
      <w:r w:rsidRPr="00EC58D0">
        <w:rPr>
          <w:sz w:val="28"/>
          <w:szCs w:val="28"/>
          <w:lang w:val="en-GB"/>
        </w:rPr>
        <w:tab/>
      </w:r>
      <w:r w:rsidRPr="00EC58D0">
        <w:rPr>
          <w:sz w:val="28"/>
          <w:szCs w:val="28"/>
          <w:lang w:val="en-GB"/>
        </w:rPr>
        <w:tab/>
      </w:r>
    </w:p>
    <w:p w:rsidR="00EC58D0" w:rsidRPr="00EC58D0" w:rsidRDefault="00EC58D0" w:rsidP="00EC58D0">
      <w:pPr>
        <w:widowControl/>
        <w:jc w:val="center"/>
        <w:rPr>
          <w:sz w:val="28"/>
          <w:szCs w:val="28"/>
          <w:lang w:val="en-GB"/>
        </w:rPr>
      </w:pPr>
      <w:r w:rsidRPr="00EC58D0">
        <w:rPr>
          <w:sz w:val="28"/>
          <w:szCs w:val="28"/>
          <w:lang w:val="en-GB"/>
        </w:rPr>
        <w:t>MARK BETSEDEA</w:t>
      </w:r>
    </w:p>
    <w:p w:rsidR="00EC58D0" w:rsidRDefault="00EC58D0" w:rsidP="00EC58D0">
      <w:pPr>
        <w:widowControl/>
        <w:jc w:val="right"/>
        <w:rPr>
          <w:sz w:val="28"/>
          <w:szCs w:val="28"/>
          <w:lang w:val="en-GB"/>
        </w:rPr>
      </w:pPr>
      <w:r w:rsidRPr="00EC58D0">
        <w:rPr>
          <w:sz w:val="28"/>
          <w:szCs w:val="28"/>
          <w:lang w:val="en-GB"/>
        </w:rPr>
        <w:t>Applicant</w:t>
      </w:r>
    </w:p>
    <w:p w:rsidR="00EC58D0" w:rsidRPr="00EC58D0" w:rsidRDefault="00EC58D0" w:rsidP="00EC58D0">
      <w:pPr>
        <w:widowControl/>
        <w:jc w:val="right"/>
        <w:rPr>
          <w:sz w:val="28"/>
          <w:szCs w:val="28"/>
          <w:lang w:val="en-GB"/>
        </w:rPr>
      </w:pPr>
    </w:p>
    <w:p w:rsidR="00EC58D0" w:rsidRPr="00EC58D0" w:rsidRDefault="00EC58D0" w:rsidP="00EC58D0">
      <w:pPr>
        <w:widowControl/>
        <w:jc w:val="center"/>
        <w:rPr>
          <w:sz w:val="28"/>
          <w:szCs w:val="28"/>
          <w:lang w:val="en-GB"/>
        </w:rPr>
      </w:pPr>
      <w:r w:rsidRPr="00EC58D0">
        <w:rPr>
          <w:sz w:val="28"/>
          <w:szCs w:val="28"/>
          <w:lang w:val="en-GB"/>
        </w:rPr>
        <w:t>- and -</w:t>
      </w:r>
    </w:p>
    <w:p w:rsidR="00EC58D0" w:rsidRPr="00EC58D0" w:rsidRDefault="00EC58D0" w:rsidP="00EC58D0">
      <w:pPr>
        <w:widowControl/>
        <w:rPr>
          <w:sz w:val="28"/>
          <w:szCs w:val="28"/>
          <w:lang w:val="en-GB"/>
        </w:rPr>
      </w:pPr>
    </w:p>
    <w:p w:rsidR="00EC58D0" w:rsidRPr="00EC58D0" w:rsidRDefault="00EC58D0" w:rsidP="00EC58D0">
      <w:pPr>
        <w:widowControl/>
        <w:jc w:val="center"/>
        <w:rPr>
          <w:sz w:val="28"/>
          <w:szCs w:val="28"/>
          <w:lang w:val="en-GB"/>
        </w:rPr>
      </w:pPr>
      <w:r w:rsidRPr="00EC58D0">
        <w:rPr>
          <w:sz w:val="28"/>
          <w:szCs w:val="28"/>
          <w:lang w:val="en-GB"/>
        </w:rPr>
        <w:t>MARTINA NORN</w:t>
      </w:r>
    </w:p>
    <w:p w:rsidR="00EC58D0" w:rsidRDefault="00EC58D0" w:rsidP="00EC58D0">
      <w:pPr>
        <w:widowControl/>
        <w:jc w:val="right"/>
        <w:rPr>
          <w:sz w:val="28"/>
          <w:szCs w:val="28"/>
          <w:lang w:val="en-GB"/>
        </w:rPr>
      </w:pPr>
      <w:r w:rsidRPr="00EC58D0">
        <w:rPr>
          <w:sz w:val="28"/>
          <w:szCs w:val="28"/>
          <w:lang w:val="en-GB"/>
        </w:rPr>
        <w:t>Respondent</w:t>
      </w:r>
    </w:p>
    <w:p w:rsidR="00EC58D0" w:rsidRPr="00EC58D0" w:rsidRDefault="00EC58D0" w:rsidP="00EC58D0">
      <w:pPr>
        <w:widowControl/>
        <w:jc w:val="right"/>
        <w:rPr>
          <w:sz w:val="28"/>
          <w:szCs w:val="28"/>
          <w:lang w:val="en-GB"/>
        </w:rPr>
      </w:pPr>
    </w:p>
    <w:p w:rsidR="00EC58D0" w:rsidRDefault="00EC58D0" w:rsidP="00EC58D0">
      <w:pPr>
        <w:widowControl/>
        <w:jc w:val="center"/>
        <w:rPr>
          <w:sz w:val="28"/>
          <w:szCs w:val="28"/>
          <w:lang w:val="en-GB"/>
        </w:rPr>
      </w:pPr>
      <w:r w:rsidRPr="00EC58D0">
        <w:rPr>
          <w:sz w:val="28"/>
          <w:szCs w:val="28"/>
          <w:lang w:val="en-GB"/>
        </w:rPr>
        <w:t xml:space="preserve">- and </w:t>
      </w:r>
      <w:r>
        <w:rPr>
          <w:sz w:val="28"/>
          <w:szCs w:val="28"/>
          <w:lang w:val="en-GB"/>
        </w:rPr>
        <w:t>–</w:t>
      </w:r>
    </w:p>
    <w:p w:rsidR="00EC58D0" w:rsidRPr="00EC58D0" w:rsidRDefault="00EC58D0" w:rsidP="00EC58D0">
      <w:pPr>
        <w:widowControl/>
        <w:jc w:val="center"/>
        <w:rPr>
          <w:sz w:val="28"/>
          <w:szCs w:val="28"/>
          <w:lang w:val="en-GB"/>
        </w:rPr>
      </w:pPr>
    </w:p>
    <w:p w:rsidR="00EC58D0" w:rsidRPr="00EC58D0" w:rsidRDefault="00EC58D0" w:rsidP="00EC58D0">
      <w:pPr>
        <w:widowControl/>
        <w:rPr>
          <w:sz w:val="28"/>
          <w:szCs w:val="28"/>
          <w:lang w:val="en-GB"/>
        </w:rPr>
      </w:pPr>
    </w:p>
    <w:p w:rsidR="00EC58D0" w:rsidRPr="00EC58D0" w:rsidRDefault="00293356" w:rsidP="00EC58D0">
      <w:pPr>
        <w:widowControl/>
        <w:jc w:val="center"/>
        <w:rPr>
          <w:sz w:val="28"/>
          <w:szCs w:val="28"/>
          <w:lang w:val="en-GB"/>
        </w:rPr>
      </w:pPr>
      <w:r>
        <w:rPr>
          <w:sz w:val="28"/>
          <w:szCs w:val="28"/>
          <w:lang w:val="en-GB"/>
        </w:rPr>
        <w:t xml:space="preserve">PAYTON </w:t>
      </w:r>
      <w:r w:rsidR="002640B5">
        <w:rPr>
          <w:sz w:val="28"/>
          <w:szCs w:val="28"/>
          <w:lang w:val="en-GB"/>
        </w:rPr>
        <w:t>NORN</w:t>
      </w:r>
    </w:p>
    <w:p w:rsidR="00EC58D0" w:rsidRPr="00EC58D0" w:rsidRDefault="00EC58D0" w:rsidP="00EC58D0">
      <w:pPr>
        <w:widowControl/>
        <w:jc w:val="right"/>
        <w:rPr>
          <w:sz w:val="28"/>
          <w:szCs w:val="28"/>
          <w:lang w:val="en-GB"/>
        </w:rPr>
      </w:pPr>
      <w:r w:rsidRPr="00EC58D0">
        <w:rPr>
          <w:sz w:val="28"/>
          <w:szCs w:val="28"/>
          <w:lang w:val="en-GB"/>
        </w:rPr>
        <w:t>Respondent</w:t>
      </w:r>
    </w:p>
    <w:p w:rsidR="00EC58D0" w:rsidRDefault="00EC58D0" w:rsidP="00EC58D0">
      <w:pPr>
        <w:widowControl/>
        <w:rPr>
          <w:sz w:val="28"/>
          <w:szCs w:val="28"/>
          <w:u w:val="single"/>
          <w:lang w:val="en-GB"/>
        </w:rPr>
      </w:pPr>
    </w:p>
    <w:p w:rsidR="00EC58D0" w:rsidRPr="00EC58D0" w:rsidRDefault="00EC58D0" w:rsidP="00EC58D0">
      <w:pPr>
        <w:widowControl/>
        <w:rPr>
          <w:sz w:val="28"/>
          <w:szCs w:val="28"/>
          <w:u w:val="single"/>
          <w:lang w:val="en-GB"/>
        </w:rPr>
      </w:pPr>
    </w:p>
    <w:p w:rsidR="00EC58D0" w:rsidRPr="00EC58D0" w:rsidRDefault="00EC58D0" w:rsidP="00EC58D0">
      <w:pPr>
        <w:widowControl/>
        <w:jc w:val="center"/>
        <w:rPr>
          <w:sz w:val="28"/>
          <w:szCs w:val="28"/>
          <w:u w:val="single"/>
          <w:lang w:val="en-GB"/>
        </w:rPr>
      </w:pPr>
      <w:r w:rsidRPr="00EC58D0">
        <w:rPr>
          <w:sz w:val="28"/>
          <w:szCs w:val="28"/>
          <w:u w:val="single"/>
          <w:lang w:val="en-GB"/>
        </w:rPr>
        <w:t>MEMORANDUM OF JUDGMENT</w:t>
      </w:r>
    </w:p>
    <w:p w:rsidR="00EC58D0" w:rsidRPr="00EC58D0" w:rsidRDefault="00EC58D0" w:rsidP="00EC58D0">
      <w:pPr>
        <w:widowControl/>
        <w:spacing w:after="280"/>
        <w:jc w:val="both"/>
        <w:rPr>
          <w:bCs/>
          <w:sz w:val="28"/>
          <w:szCs w:val="28"/>
          <w:lang w:val="en-CA"/>
        </w:rPr>
      </w:pPr>
    </w:p>
    <w:p w:rsidR="00EC58D0" w:rsidRPr="00EC58D0" w:rsidRDefault="00EC58D0" w:rsidP="00EC58D0">
      <w:pPr>
        <w:widowControl/>
        <w:numPr>
          <w:ilvl w:val="0"/>
          <w:numId w:val="1"/>
        </w:numPr>
        <w:autoSpaceDE/>
        <w:autoSpaceDN/>
        <w:adjustRightInd/>
        <w:spacing w:after="280" w:line="259" w:lineRule="auto"/>
        <w:ind w:left="0" w:firstLine="0"/>
        <w:contextualSpacing/>
        <w:jc w:val="both"/>
        <w:rPr>
          <w:rFonts w:eastAsiaTheme="minorHAnsi"/>
          <w:sz w:val="28"/>
          <w:szCs w:val="28"/>
          <w:lang w:eastAsia="en-US"/>
        </w:rPr>
      </w:pPr>
      <w:r w:rsidRPr="00EC58D0">
        <w:rPr>
          <w:rFonts w:eastAsiaTheme="minorHAnsi"/>
          <w:sz w:val="28"/>
          <w:szCs w:val="28"/>
          <w:lang w:eastAsia="en-US"/>
        </w:rPr>
        <w:t xml:space="preserve">There are two Notice of Motions before the Court:  1) the Applicant Mark Betsedea is applying </w:t>
      </w:r>
      <w:r w:rsidR="00696A2F" w:rsidRPr="002640B5">
        <w:rPr>
          <w:rFonts w:eastAsiaTheme="minorHAnsi"/>
          <w:sz w:val="28"/>
          <w:szCs w:val="28"/>
          <w:lang w:eastAsia="en-US"/>
        </w:rPr>
        <w:t>for</w:t>
      </w:r>
      <w:r w:rsidR="00696A2F">
        <w:rPr>
          <w:rFonts w:eastAsiaTheme="minorHAnsi"/>
          <w:sz w:val="28"/>
          <w:szCs w:val="28"/>
          <w:lang w:eastAsia="en-US"/>
        </w:rPr>
        <w:t xml:space="preserve"> </w:t>
      </w:r>
      <w:r w:rsidRPr="00EC58D0">
        <w:rPr>
          <w:rFonts w:eastAsiaTheme="minorHAnsi"/>
          <w:sz w:val="28"/>
          <w:szCs w:val="28"/>
          <w:lang w:eastAsia="en-US"/>
        </w:rPr>
        <w:t>custody of R.; and 2) the Respondent Payton Norn (aka Magrum)</w:t>
      </w:r>
      <w:r w:rsidRPr="00EC58D0">
        <w:rPr>
          <w:rFonts w:eastAsiaTheme="minorHAnsi"/>
          <w:sz w:val="28"/>
          <w:szCs w:val="28"/>
          <w:vertAlign w:val="superscript"/>
          <w:lang w:eastAsia="en-US"/>
        </w:rPr>
        <w:t xml:space="preserve"> </w:t>
      </w:r>
      <w:r w:rsidRPr="00EC58D0">
        <w:rPr>
          <w:rFonts w:eastAsiaTheme="minorHAnsi"/>
          <w:sz w:val="28"/>
          <w:szCs w:val="28"/>
          <w:vertAlign w:val="superscript"/>
          <w:lang w:eastAsia="en-US"/>
        </w:rPr>
        <w:footnoteReference w:id="1"/>
      </w:r>
      <w:r w:rsidRPr="00EC58D0">
        <w:rPr>
          <w:rFonts w:eastAsiaTheme="minorHAnsi"/>
          <w:sz w:val="28"/>
          <w:szCs w:val="28"/>
          <w:lang w:eastAsia="en-US"/>
        </w:rPr>
        <w:t xml:space="preserve"> is applying for leave to make an application for custody and access to R.  </w:t>
      </w:r>
    </w:p>
    <w:p w:rsidR="00EC58D0" w:rsidRPr="00EC58D0" w:rsidRDefault="00EC58D0" w:rsidP="00EC58D0">
      <w:pPr>
        <w:widowControl/>
        <w:autoSpaceDE/>
        <w:autoSpaceDN/>
        <w:adjustRightInd/>
        <w:spacing w:after="280"/>
        <w:contextualSpacing/>
        <w:jc w:val="both"/>
        <w:rPr>
          <w:rFonts w:eastAsiaTheme="minorHAnsi"/>
          <w:sz w:val="28"/>
          <w:szCs w:val="28"/>
          <w:lang w:eastAsia="en-US"/>
        </w:rPr>
      </w:pPr>
    </w:p>
    <w:p w:rsidR="00EC58D0" w:rsidRDefault="00EC58D0" w:rsidP="00EC58D0">
      <w:pPr>
        <w:widowControl/>
        <w:numPr>
          <w:ilvl w:val="0"/>
          <w:numId w:val="1"/>
        </w:numPr>
        <w:autoSpaceDE/>
        <w:autoSpaceDN/>
        <w:adjustRightInd/>
        <w:spacing w:after="280" w:line="259" w:lineRule="auto"/>
        <w:ind w:left="0" w:firstLine="0"/>
        <w:contextualSpacing/>
        <w:jc w:val="both"/>
        <w:rPr>
          <w:rFonts w:eastAsiaTheme="minorHAnsi"/>
          <w:sz w:val="28"/>
          <w:szCs w:val="28"/>
          <w:lang w:eastAsia="en-US"/>
        </w:rPr>
      </w:pPr>
      <w:r w:rsidRPr="00EC58D0">
        <w:rPr>
          <w:rFonts w:eastAsiaTheme="minorHAnsi"/>
          <w:sz w:val="28"/>
          <w:szCs w:val="28"/>
          <w:lang w:eastAsia="en-US"/>
        </w:rPr>
        <w:t>This decision will deal with Ms. Magrum’s application for leave to apply for custody and access.  Peyton Magrum seeks leave of this Court to make an application for custody and access to her niece, R. who is 4 years old.  She is the sister of the child’s mother, Martina Norn, who is the other Respondent in this proceeding.  Mark Betsedea is the father of the child and is opposed to Ms. Magrum’s application.</w:t>
      </w:r>
    </w:p>
    <w:p w:rsidR="00EC58D0" w:rsidRPr="00EC58D0" w:rsidRDefault="00EC58D0" w:rsidP="00EC58D0">
      <w:pPr>
        <w:widowControl/>
        <w:autoSpaceDE/>
        <w:autoSpaceDN/>
        <w:adjustRightInd/>
        <w:spacing w:after="280" w:line="259" w:lineRule="auto"/>
        <w:contextualSpacing/>
        <w:jc w:val="both"/>
        <w:rPr>
          <w:rFonts w:eastAsiaTheme="minorHAnsi"/>
          <w:sz w:val="28"/>
          <w:szCs w:val="28"/>
          <w:lang w:eastAsia="en-US"/>
        </w:rPr>
      </w:pPr>
    </w:p>
    <w:p w:rsidR="00EC58D0" w:rsidRPr="00EC58D0" w:rsidRDefault="00EC58D0" w:rsidP="00EC58D0">
      <w:pPr>
        <w:widowControl/>
        <w:autoSpaceDE/>
        <w:autoSpaceDN/>
        <w:adjustRightInd/>
        <w:spacing w:after="160" w:line="259" w:lineRule="auto"/>
        <w:ind w:left="720"/>
        <w:contextualSpacing/>
        <w:rPr>
          <w:rFonts w:eastAsiaTheme="minorHAnsi"/>
          <w:sz w:val="28"/>
          <w:szCs w:val="28"/>
          <w:lang w:eastAsia="en-US"/>
        </w:rPr>
      </w:pPr>
    </w:p>
    <w:p w:rsidR="00EC58D0" w:rsidRPr="00EC58D0" w:rsidRDefault="00EC58D0" w:rsidP="00EC58D0">
      <w:pPr>
        <w:widowControl/>
        <w:numPr>
          <w:ilvl w:val="0"/>
          <w:numId w:val="1"/>
        </w:numPr>
        <w:autoSpaceDE/>
        <w:autoSpaceDN/>
        <w:adjustRightInd/>
        <w:spacing w:after="280" w:line="259" w:lineRule="auto"/>
        <w:ind w:left="0" w:firstLine="0"/>
        <w:contextualSpacing/>
        <w:jc w:val="both"/>
        <w:rPr>
          <w:rFonts w:eastAsiaTheme="minorHAnsi"/>
          <w:sz w:val="28"/>
          <w:szCs w:val="28"/>
          <w:lang w:eastAsia="en-US"/>
        </w:rPr>
      </w:pPr>
      <w:r w:rsidRPr="00EC58D0">
        <w:rPr>
          <w:rFonts w:eastAsiaTheme="minorHAnsi"/>
          <w:sz w:val="28"/>
          <w:szCs w:val="28"/>
          <w:lang w:eastAsia="en-US"/>
        </w:rPr>
        <w:lastRenderedPageBreak/>
        <w:t xml:space="preserve">This application is brought pursuant to the </w:t>
      </w:r>
      <w:r w:rsidRPr="00EC58D0">
        <w:rPr>
          <w:rFonts w:eastAsiaTheme="minorHAnsi"/>
          <w:i/>
          <w:sz w:val="28"/>
          <w:szCs w:val="28"/>
          <w:lang w:eastAsia="en-US"/>
        </w:rPr>
        <w:t xml:space="preserve">Children’s Law Act, </w:t>
      </w:r>
      <w:r w:rsidRPr="00EC58D0">
        <w:rPr>
          <w:rFonts w:eastAsiaTheme="minorHAnsi"/>
          <w:sz w:val="28"/>
          <w:szCs w:val="28"/>
          <w:lang w:eastAsia="en-US"/>
        </w:rPr>
        <w:t xml:space="preserve">SNWT 1997, c. 14 (the </w:t>
      </w:r>
      <w:r w:rsidRPr="00EC58D0">
        <w:rPr>
          <w:rFonts w:eastAsiaTheme="minorHAnsi"/>
          <w:i/>
          <w:sz w:val="28"/>
          <w:szCs w:val="28"/>
          <w:lang w:eastAsia="en-US"/>
        </w:rPr>
        <w:t>Act</w:t>
      </w:r>
      <w:r w:rsidRPr="00EC58D0">
        <w:rPr>
          <w:rFonts w:eastAsiaTheme="minorHAnsi"/>
          <w:sz w:val="28"/>
          <w:szCs w:val="28"/>
          <w:lang w:eastAsia="en-US"/>
        </w:rPr>
        <w:t xml:space="preserve">).  Section 20(1) and (2) of the </w:t>
      </w:r>
      <w:r w:rsidRPr="00EC58D0">
        <w:rPr>
          <w:rFonts w:eastAsiaTheme="minorHAnsi"/>
          <w:i/>
          <w:sz w:val="28"/>
          <w:szCs w:val="28"/>
          <w:lang w:eastAsia="en-US"/>
        </w:rPr>
        <w:t>Act</w:t>
      </w:r>
      <w:r w:rsidRPr="00EC58D0">
        <w:rPr>
          <w:rFonts w:eastAsiaTheme="minorHAnsi"/>
          <w:sz w:val="28"/>
          <w:szCs w:val="28"/>
          <w:lang w:eastAsia="en-US"/>
        </w:rPr>
        <w:t xml:space="preserve"> provide:</w:t>
      </w:r>
    </w:p>
    <w:p w:rsidR="00EC58D0" w:rsidRPr="004E1E62" w:rsidRDefault="00EC58D0" w:rsidP="008657AE">
      <w:pPr>
        <w:widowControl/>
        <w:autoSpaceDE/>
        <w:autoSpaceDN/>
        <w:adjustRightInd/>
        <w:spacing w:after="160" w:line="259" w:lineRule="auto"/>
        <w:ind w:left="1134" w:right="1134"/>
        <w:contextualSpacing/>
        <w:rPr>
          <w:rFonts w:eastAsiaTheme="minorHAnsi"/>
          <w:lang w:eastAsia="en-US"/>
        </w:rPr>
      </w:pPr>
    </w:p>
    <w:p w:rsidR="00EC58D0" w:rsidRPr="004E1E62" w:rsidRDefault="00EC58D0" w:rsidP="008657AE">
      <w:pPr>
        <w:widowControl/>
        <w:numPr>
          <w:ilvl w:val="0"/>
          <w:numId w:val="6"/>
        </w:numPr>
        <w:autoSpaceDE/>
        <w:autoSpaceDN/>
        <w:adjustRightInd/>
        <w:spacing w:after="160" w:line="259" w:lineRule="auto"/>
        <w:ind w:left="1134" w:right="1134"/>
        <w:contextualSpacing/>
        <w:jc w:val="both"/>
        <w:rPr>
          <w:rFonts w:eastAsiaTheme="minorHAnsi"/>
          <w:lang w:eastAsia="en-US"/>
        </w:rPr>
      </w:pPr>
      <w:r w:rsidRPr="004E1E62">
        <w:rPr>
          <w:rFonts w:eastAsiaTheme="minorHAnsi"/>
          <w:lang w:eastAsia="en-US"/>
        </w:rPr>
        <w:t>A parent of a child or any other person may apply to a court for an order respecting custody of or access to the child or determining any aspect of the incidents of custody of the child.</w:t>
      </w:r>
    </w:p>
    <w:p w:rsidR="00EC58D0" w:rsidRPr="004E1E62" w:rsidRDefault="00EC58D0" w:rsidP="008657AE">
      <w:pPr>
        <w:widowControl/>
        <w:autoSpaceDE/>
        <w:autoSpaceDN/>
        <w:adjustRightInd/>
        <w:spacing w:after="160" w:line="259" w:lineRule="auto"/>
        <w:ind w:left="1134" w:right="1134"/>
        <w:contextualSpacing/>
        <w:jc w:val="both"/>
        <w:rPr>
          <w:rFonts w:eastAsiaTheme="minorHAnsi"/>
          <w:lang w:eastAsia="en-US"/>
        </w:rPr>
      </w:pPr>
    </w:p>
    <w:p w:rsidR="00EC58D0" w:rsidRPr="004E1E62" w:rsidRDefault="00EC58D0" w:rsidP="008657AE">
      <w:pPr>
        <w:widowControl/>
        <w:numPr>
          <w:ilvl w:val="0"/>
          <w:numId w:val="6"/>
        </w:numPr>
        <w:autoSpaceDE/>
        <w:autoSpaceDN/>
        <w:adjustRightInd/>
        <w:spacing w:after="160" w:line="259" w:lineRule="auto"/>
        <w:ind w:left="1134" w:right="1134"/>
        <w:contextualSpacing/>
        <w:jc w:val="both"/>
        <w:rPr>
          <w:rFonts w:eastAsiaTheme="minorHAnsi"/>
          <w:lang w:eastAsia="en-US"/>
        </w:rPr>
      </w:pPr>
      <w:r w:rsidRPr="004E1E62">
        <w:rPr>
          <w:rFonts w:eastAsiaTheme="minorHAnsi"/>
          <w:lang w:eastAsia="en-US"/>
        </w:rPr>
        <w:t>A person other than a parent may not make an application under subsection (1) for an order respecting custody of a child or determining any aspect of the incidents of custody of the child without leave of the court.</w:t>
      </w:r>
    </w:p>
    <w:p w:rsidR="00EC58D0" w:rsidRPr="00EC58D0" w:rsidRDefault="00EC58D0" w:rsidP="00EC58D0">
      <w:pPr>
        <w:widowControl/>
        <w:autoSpaceDE/>
        <w:autoSpaceDN/>
        <w:adjustRightInd/>
        <w:spacing w:after="160" w:line="259" w:lineRule="auto"/>
        <w:ind w:left="720"/>
        <w:contextualSpacing/>
        <w:rPr>
          <w:rFonts w:eastAsiaTheme="minorHAnsi"/>
          <w:sz w:val="28"/>
          <w:szCs w:val="28"/>
          <w:lang w:eastAsia="en-US"/>
        </w:rPr>
      </w:pPr>
    </w:p>
    <w:p w:rsidR="00EC58D0" w:rsidRPr="00EC58D0" w:rsidRDefault="00EC58D0" w:rsidP="00EC58D0">
      <w:pPr>
        <w:widowControl/>
        <w:numPr>
          <w:ilvl w:val="0"/>
          <w:numId w:val="1"/>
        </w:numPr>
        <w:autoSpaceDE/>
        <w:autoSpaceDN/>
        <w:adjustRightInd/>
        <w:spacing w:after="280" w:line="259" w:lineRule="auto"/>
        <w:ind w:left="0" w:firstLine="0"/>
        <w:contextualSpacing/>
        <w:jc w:val="both"/>
        <w:rPr>
          <w:rFonts w:eastAsiaTheme="minorHAnsi"/>
          <w:sz w:val="28"/>
          <w:szCs w:val="28"/>
          <w:lang w:eastAsia="en-US"/>
        </w:rPr>
      </w:pPr>
      <w:r w:rsidRPr="00EC58D0">
        <w:rPr>
          <w:rFonts w:eastAsiaTheme="minorHAnsi"/>
          <w:sz w:val="28"/>
          <w:szCs w:val="28"/>
          <w:lang w:eastAsia="en-US"/>
        </w:rPr>
        <w:t xml:space="preserve">In previous cases like </w:t>
      </w:r>
      <w:r w:rsidRPr="00EC58D0">
        <w:rPr>
          <w:rFonts w:eastAsiaTheme="minorHAnsi"/>
          <w:i/>
          <w:sz w:val="28"/>
          <w:szCs w:val="28"/>
          <w:lang w:eastAsia="en-US"/>
        </w:rPr>
        <w:t xml:space="preserve">SW v CM, </w:t>
      </w:r>
      <w:r w:rsidR="002640B5">
        <w:rPr>
          <w:rFonts w:eastAsiaTheme="minorHAnsi"/>
          <w:sz w:val="28"/>
          <w:szCs w:val="28"/>
          <w:lang w:eastAsia="en-US"/>
        </w:rPr>
        <w:t xml:space="preserve">2011 NWTSC 21 at para 3, </w:t>
      </w:r>
      <w:r w:rsidRPr="00EC58D0">
        <w:rPr>
          <w:rFonts w:eastAsiaTheme="minorHAnsi"/>
          <w:sz w:val="28"/>
          <w:szCs w:val="28"/>
          <w:lang w:eastAsia="en-US"/>
        </w:rPr>
        <w:t xml:space="preserve">and </w:t>
      </w:r>
      <w:r w:rsidRPr="00EC58D0">
        <w:rPr>
          <w:rFonts w:eastAsiaTheme="minorHAnsi"/>
          <w:i/>
          <w:sz w:val="28"/>
          <w:szCs w:val="28"/>
          <w:lang w:eastAsia="en-US"/>
        </w:rPr>
        <w:t>WL v KDH</w:t>
      </w:r>
      <w:r w:rsidRPr="00EC58D0">
        <w:rPr>
          <w:rFonts w:eastAsiaTheme="minorHAnsi"/>
          <w:sz w:val="28"/>
          <w:szCs w:val="28"/>
          <w:lang w:eastAsia="en-US"/>
        </w:rPr>
        <w:t>, 2007 NWTSC 38 at para. 8, this Court has said, in deciding whether to grant leave under s. 20(2), certain factors should be considered such as: whether the applicant has played a caregiving role to the child for a substantial period of the child’s life; whether the applicant has a parental-like connection to the child in the sense of providing care, nurture and support; and whether the application for custody or access lacks merit or is patently tenuous.</w:t>
      </w:r>
    </w:p>
    <w:p w:rsidR="00EC58D0" w:rsidRPr="00EC58D0" w:rsidRDefault="00EC58D0" w:rsidP="00EC58D0">
      <w:pPr>
        <w:widowControl/>
        <w:autoSpaceDE/>
        <w:autoSpaceDN/>
        <w:adjustRightInd/>
        <w:spacing w:after="280"/>
        <w:contextualSpacing/>
        <w:jc w:val="both"/>
        <w:rPr>
          <w:rFonts w:eastAsiaTheme="minorHAnsi"/>
          <w:sz w:val="28"/>
          <w:szCs w:val="28"/>
          <w:lang w:eastAsia="en-US"/>
        </w:rPr>
      </w:pPr>
    </w:p>
    <w:p w:rsidR="00EC58D0" w:rsidRDefault="00EC58D0" w:rsidP="00EC58D0">
      <w:pPr>
        <w:widowControl/>
        <w:numPr>
          <w:ilvl w:val="0"/>
          <w:numId w:val="1"/>
        </w:numPr>
        <w:autoSpaceDE/>
        <w:autoSpaceDN/>
        <w:adjustRightInd/>
        <w:spacing w:after="280" w:line="259" w:lineRule="auto"/>
        <w:ind w:left="0" w:firstLine="0"/>
        <w:contextualSpacing/>
        <w:jc w:val="both"/>
        <w:rPr>
          <w:rFonts w:eastAsiaTheme="minorHAnsi"/>
          <w:sz w:val="28"/>
          <w:szCs w:val="28"/>
          <w:lang w:eastAsia="en-US"/>
        </w:rPr>
      </w:pPr>
      <w:r w:rsidRPr="00EC58D0">
        <w:rPr>
          <w:rFonts w:eastAsiaTheme="minorHAnsi"/>
          <w:sz w:val="28"/>
          <w:szCs w:val="28"/>
          <w:lang w:eastAsia="en-US"/>
        </w:rPr>
        <w:t xml:space="preserve">In </w:t>
      </w:r>
      <w:r w:rsidRPr="00EC58D0">
        <w:rPr>
          <w:rFonts w:eastAsiaTheme="minorHAnsi"/>
          <w:i/>
          <w:sz w:val="28"/>
          <w:szCs w:val="28"/>
          <w:lang w:eastAsia="en-US"/>
        </w:rPr>
        <w:t xml:space="preserve">SW, </w:t>
      </w:r>
      <w:r w:rsidRPr="00EC58D0">
        <w:rPr>
          <w:rFonts w:eastAsiaTheme="minorHAnsi"/>
          <w:sz w:val="28"/>
          <w:szCs w:val="28"/>
          <w:lang w:eastAsia="en-US"/>
        </w:rPr>
        <w:t>at para 5, the Court went on to state:</w:t>
      </w:r>
    </w:p>
    <w:p w:rsidR="008657AE" w:rsidRPr="00EC58D0" w:rsidRDefault="008657AE" w:rsidP="008657AE">
      <w:pPr>
        <w:widowControl/>
        <w:autoSpaceDE/>
        <w:autoSpaceDN/>
        <w:adjustRightInd/>
        <w:spacing w:after="280" w:line="259" w:lineRule="auto"/>
        <w:contextualSpacing/>
        <w:jc w:val="both"/>
        <w:rPr>
          <w:rFonts w:eastAsiaTheme="minorHAnsi"/>
          <w:sz w:val="28"/>
          <w:szCs w:val="28"/>
          <w:lang w:eastAsia="en-US"/>
        </w:rPr>
      </w:pPr>
    </w:p>
    <w:p w:rsidR="00EC58D0" w:rsidRPr="004E1E62" w:rsidRDefault="00EC58D0" w:rsidP="004E1E62">
      <w:pPr>
        <w:widowControl/>
        <w:autoSpaceDE/>
        <w:autoSpaceDN/>
        <w:adjustRightInd/>
        <w:spacing w:after="160" w:line="259" w:lineRule="auto"/>
        <w:ind w:left="1134" w:right="1134"/>
        <w:jc w:val="both"/>
        <w:rPr>
          <w:rFonts w:eastAsiaTheme="minorHAnsi"/>
          <w:lang w:eastAsia="en-US"/>
        </w:rPr>
      </w:pPr>
      <w:r w:rsidRPr="004E1E62">
        <w:rPr>
          <w:rFonts w:eastAsiaTheme="minorHAnsi"/>
          <w:lang w:eastAsia="en-US"/>
        </w:rPr>
        <w:t xml:space="preserve">The Act does not give anyone who is not a parent of the child rights to custody or access. Anyone other than the parents is thus considered a “legal stranger” to the child. It is generally left to the custodial parent (or parents, if they have joint custody) to decide which legal stranger should have access to the child, even if they may have had access in the past. This is relevant to whether standing should be granted by the court as explained by Sparks J. in </w:t>
      </w:r>
      <w:r w:rsidRPr="002640B5">
        <w:rPr>
          <w:rFonts w:eastAsiaTheme="minorHAnsi"/>
          <w:i/>
          <w:lang w:eastAsia="en-US"/>
        </w:rPr>
        <w:t>Stewart v Macdonell</w:t>
      </w:r>
      <w:r w:rsidRPr="004E1E62">
        <w:rPr>
          <w:rFonts w:eastAsiaTheme="minorHAnsi"/>
          <w:lang w:eastAsia="en-US"/>
        </w:rPr>
        <w:t xml:space="preserve">, [1992] NSJ No. 612 (Fam. Ct.) in comments adopted by Vertes J. in </w:t>
      </w:r>
      <w:r w:rsidRPr="002640B5">
        <w:rPr>
          <w:rFonts w:eastAsiaTheme="minorHAnsi"/>
          <w:i/>
          <w:lang w:eastAsia="en-US"/>
        </w:rPr>
        <w:t>GD v GM</w:t>
      </w:r>
      <w:r w:rsidRPr="004E1E62">
        <w:rPr>
          <w:rFonts w:eastAsiaTheme="minorHAnsi"/>
          <w:lang w:eastAsia="en-US"/>
        </w:rPr>
        <w:t>:</w:t>
      </w:r>
    </w:p>
    <w:p w:rsidR="00EC58D0" w:rsidRPr="004E1E62" w:rsidRDefault="00EC58D0" w:rsidP="004E1E62">
      <w:pPr>
        <w:widowControl/>
        <w:autoSpaceDE/>
        <w:autoSpaceDN/>
        <w:adjustRightInd/>
        <w:spacing w:after="160" w:line="259" w:lineRule="auto"/>
        <w:ind w:left="1134" w:right="1134"/>
        <w:jc w:val="both"/>
        <w:rPr>
          <w:rFonts w:eastAsiaTheme="minorHAnsi"/>
          <w:lang w:eastAsia="en-US"/>
        </w:rPr>
      </w:pPr>
      <w:r w:rsidRPr="004E1E62">
        <w:rPr>
          <w:rFonts w:eastAsiaTheme="minorHAnsi"/>
          <w:lang w:eastAsia="en-US"/>
        </w:rPr>
        <w:t>It seems to me that before standing should be granted by the court, the legal stranger to the child must establish, at the very least, a prima facie case connecting the welfare of the child with continued visits. This may be proved by demonstrating a lengthy and meaningful prior relationship, positive bond with the child and a substantial reason for disregarding the contrary wishes of the custodial parent.</w:t>
      </w:r>
    </w:p>
    <w:p w:rsidR="00EC58D0" w:rsidRPr="00EC58D0" w:rsidRDefault="00EC58D0" w:rsidP="00EC58D0">
      <w:pPr>
        <w:widowControl/>
        <w:autoSpaceDE/>
        <w:autoSpaceDN/>
        <w:adjustRightInd/>
        <w:spacing w:after="160" w:line="259" w:lineRule="auto"/>
        <w:jc w:val="both"/>
        <w:rPr>
          <w:rFonts w:eastAsiaTheme="minorHAnsi"/>
          <w:sz w:val="28"/>
          <w:szCs w:val="28"/>
          <w:lang w:eastAsia="en-US"/>
        </w:rPr>
      </w:pPr>
    </w:p>
    <w:p w:rsidR="00EC58D0" w:rsidRPr="00EC58D0" w:rsidRDefault="00EC58D0" w:rsidP="00EC58D0">
      <w:pPr>
        <w:widowControl/>
        <w:numPr>
          <w:ilvl w:val="0"/>
          <w:numId w:val="1"/>
        </w:numPr>
        <w:autoSpaceDE/>
        <w:autoSpaceDN/>
        <w:adjustRightInd/>
        <w:spacing w:after="280" w:line="259" w:lineRule="auto"/>
        <w:ind w:left="0" w:firstLine="0"/>
        <w:jc w:val="both"/>
        <w:rPr>
          <w:rFonts w:eastAsiaTheme="minorHAnsi"/>
          <w:b/>
          <w:sz w:val="28"/>
          <w:szCs w:val="28"/>
          <w:u w:val="single"/>
          <w:lang w:eastAsia="en-US"/>
        </w:rPr>
      </w:pPr>
      <w:r w:rsidRPr="00EC58D0">
        <w:rPr>
          <w:rFonts w:eastAsiaTheme="minorHAnsi"/>
          <w:sz w:val="28"/>
          <w:szCs w:val="28"/>
          <w:lang w:eastAsia="en-US"/>
        </w:rPr>
        <w:t xml:space="preserve">In this case, no custody order has ever been made.  Mr. Betsedea brought an application in February 2022 seeking custody of R. who, at the time, was in the care </w:t>
      </w:r>
      <w:r w:rsidRPr="00EC58D0">
        <w:rPr>
          <w:rFonts w:eastAsiaTheme="minorHAnsi"/>
          <w:sz w:val="28"/>
          <w:szCs w:val="28"/>
          <w:lang w:eastAsia="en-US"/>
        </w:rPr>
        <w:lastRenderedPageBreak/>
        <w:t xml:space="preserve">of Ms. Magrum.  In response to Mr. Betsedea’s application for custody, Ms. Magrum filed an application seeking leave to apply for custody and access to R.   </w:t>
      </w:r>
    </w:p>
    <w:p w:rsidR="00EC58D0" w:rsidRPr="00EC58D0" w:rsidRDefault="00EC58D0" w:rsidP="00EC58D0">
      <w:pPr>
        <w:widowControl/>
        <w:numPr>
          <w:ilvl w:val="0"/>
          <w:numId w:val="1"/>
        </w:numPr>
        <w:autoSpaceDE/>
        <w:autoSpaceDN/>
        <w:adjustRightInd/>
        <w:spacing w:after="280" w:line="259" w:lineRule="auto"/>
        <w:ind w:left="0" w:firstLine="0"/>
        <w:jc w:val="both"/>
        <w:rPr>
          <w:rFonts w:eastAsiaTheme="minorHAnsi"/>
          <w:b/>
          <w:sz w:val="28"/>
          <w:szCs w:val="28"/>
          <w:u w:val="single"/>
          <w:lang w:eastAsia="en-US"/>
        </w:rPr>
      </w:pPr>
      <w:r w:rsidRPr="00EC58D0">
        <w:rPr>
          <w:rFonts w:eastAsiaTheme="minorHAnsi"/>
          <w:sz w:val="28"/>
          <w:szCs w:val="28"/>
          <w:lang w:eastAsia="en-US"/>
        </w:rPr>
        <w:t>Mr. Betsedea and Ms. Magrum have each filed multiple affidavits so far.  Counsel for Ms. Magrum has also submitted an unsworn affidavit that has not been filed.  That document is not sworn and has not been filed.  It is not properly before the court so I have not considered it.</w:t>
      </w:r>
    </w:p>
    <w:p w:rsidR="00EC58D0" w:rsidRPr="00EC58D0" w:rsidRDefault="00EC58D0" w:rsidP="00EC58D0">
      <w:pPr>
        <w:widowControl/>
        <w:numPr>
          <w:ilvl w:val="0"/>
          <w:numId w:val="1"/>
        </w:numPr>
        <w:autoSpaceDE/>
        <w:autoSpaceDN/>
        <w:adjustRightInd/>
        <w:spacing w:after="280" w:line="259" w:lineRule="auto"/>
        <w:ind w:left="0" w:firstLine="0"/>
        <w:jc w:val="both"/>
        <w:rPr>
          <w:rFonts w:eastAsiaTheme="minorHAnsi"/>
          <w:b/>
          <w:sz w:val="28"/>
          <w:szCs w:val="28"/>
          <w:u w:val="single"/>
          <w:lang w:eastAsia="en-US"/>
        </w:rPr>
      </w:pPr>
      <w:r w:rsidRPr="00EC58D0">
        <w:rPr>
          <w:rFonts w:eastAsiaTheme="minorHAnsi"/>
          <w:sz w:val="28"/>
          <w:szCs w:val="28"/>
          <w:lang w:eastAsia="en-US"/>
        </w:rPr>
        <w:t>Ms. Norn has not filed any affidavits and, aside from a brief telephone appearance, has not participated in these proceedings.  It appears undisputed that she is currently living in Edmonton and is not actively involved in caring for R.</w:t>
      </w:r>
    </w:p>
    <w:p w:rsidR="00EC58D0" w:rsidRPr="00EC58D0" w:rsidRDefault="00EC58D0" w:rsidP="00EC58D0">
      <w:pPr>
        <w:widowControl/>
        <w:numPr>
          <w:ilvl w:val="0"/>
          <w:numId w:val="1"/>
        </w:numPr>
        <w:autoSpaceDE/>
        <w:autoSpaceDN/>
        <w:adjustRightInd/>
        <w:spacing w:after="280" w:line="259" w:lineRule="auto"/>
        <w:ind w:left="0" w:firstLine="0"/>
        <w:jc w:val="both"/>
        <w:rPr>
          <w:rFonts w:eastAsiaTheme="minorHAnsi"/>
          <w:b/>
          <w:sz w:val="28"/>
          <w:szCs w:val="28"/>
          <w:u w:val="single"/>
          <w:lang w:eastAsia="en-US"/>
        </w:rPr>
      </w:pPr>
      <w:r w:rsidRPr="00EC58D0">
        <w:rPr>
          <w:rFonts w:eastAsiaTheme="minorHAnsi"/>
          <w:sz w:val="28"/>
          <w:szCs w:val="28"/>
          <w:lang w:eastAsia="en-US"/>
        </w:rPr>
        <w:t>Some facts are in dispute but there are also areas of agreement; the basic timeline of events can be discerned from the affidavits.</w:t>
      </w:r>
    </w:p>
    <w:p w:rsidR="00EC58D0" w:rsidRPr="00EC58D0" w:rsidRDefault="00EC58D0" w:rsidP="00EC58D0">
      <w:pPr>
        <w:widowControl/>
        <w:numPr>
          <w:ilvl w:val="0"/>
          <w:numId w:val="1"/>
        </w:numPr>
        <w:autoSpaceDE/>
        <w:autoSpaceDN/>
        <w:adjustRightInd/>
        <w:spacing w:after="280" w:line="259" w:lineRule="auto"/>
        <w:ind w:left="0" w:firstLine="0"/>
        <w:jc w:val="both"/>
        <w:rPr>
          <w:rFonts w:eastAsiaTheme="minorHAnsi"/>
          <w:b/>
          <w:sz w:val="28"/>
          <w:szCs w:val="28"/>
          <w:u w:val="single"/>
          <w:lang w:eastAsia="en-US"/>
        </w:rPr>
      </w:pPr>
      <w:r w:rsidRPr="00EC58D0">
        <w:rPr>
          <w:rFonts w:eastAsiaTheme="minorHAnsi"/>
          <w:sz w:val="28"/>
          <w:szCs w:val="28"/>
          <w:lang w:eastAsia="en-US"/>
        </w:rPr>
        <w:t xml:space="preserve">Mr. Betsedea and Ms. Norn were in a relationship and R. was born in April 2018.  The relationship continued until the child was about 1 year old.  After the relationship ended, R. remained with Ms. </w:t>
      </w:r>
      <w:r w:rsidR="002640B5">
        <w:rPr>
          <w:rFonts w:eastAsiaTheme="minorHAnsi"/>
          <w:sz w:val="28"/>
          <w:szCs w:val="28"/>
          <w:lang w:eastAsia="en-US"/>
        </w:rPr>
        <w:t>Norn in Hay River and Mr. Betsedea</w:t>
      </w:r>
      <w:r w:rsidRPr="00EC58D0">
        <w:rPr>
          <w:rFonts w:eastAsiaTheme="minorHAnsi"/>
          <w:sz w:val="28"/>
          <w:szCs w:val="28"/>
          <w:lang w:eastAsia="en-US"/>
        </w:rPr>
        <w:t xml:space="preserve"> had less contact with the child.  The extent and nature of the contact between Mr. Betsedea and R. appears to be an area where the parties differ.</w:t>
      </w:r>
    </w:p>
    <w:p w:rsidR="00EC58D0" w:rsidRPr="00EC58D0" w:rsidRDefault="00EC58D0" w:rsidP="00EC58D0">
      <w:pPr>
        <w:widowControl/>
        <w:numPr>
          <w:ilvl w:val="0"/>
          <w:numId w:val="1"/>
        </w:numPr>
        <w:autoSpaceDE/>
        <w:autoSpaceDN/>
        <w:adjustRightInd/>
        <w:spacing w:after="280" w:line="259" w:lineRule="auto"/>
        <w:ind w:left="0" w:firstLine="0"/>
        <w:jc w:val="both"/>
        <w:rPr>
          <w:rFonts w:eastAsiaTheme="minorHAnsi"/>
          <w:b/>
          <w:sz w:val="28"/>
          <w:szCs w:val="28"/>
          <w:u w:val="single"/>
          <w:lang w:eastAsia="en-US"/>
        </w:rPr>
      </w:pPr>
      <w:r w:rsidRPr="00EC58D0">
        <w:rPr>
          <w:rFonts w:eastAsiaTheme="minorHAnsi"/>
          <w:sz w:val="28"/>
          <w:szCs w:val="28"/>
          <w:lang w:eastAsia="en-US"/>
        </w:rPr>
        <w:t>In the fall of 2019, R. moved to Edmonton with Ms. Norn, Ms. Magrum and several members of her extended maternal family.  Ms. Magrum says that when her sister was R.’s primary caregiver, she and her father helped care for the child.  Eventually, R was primarily cared for by her grandfather with Ms. Magrum’s assistance until his death in October 2021.  When Mr. Norn became ill in Edmonton, Ms. Magrum stepped in as the primary caregiver for the child.  After her father passed away, she continued as the primary caregiver for R and has been primarily responsible for caring for R. since then.</w:t>
      </w:r>
    </w:p>
    <w:p w:rsidR="00EC58D0" w:rsidRPr="00EC58D0" w:rsidRDefault="00EC58D0" w:rsidP="00EC58D0">
      <w:pPr>
        <w:widowControl/>
        <w:numPr>
          <w:ilvl w:val="0"/>
          <w:numId w:val="1"/>
        </w:numPr>
        <w:autoSpaceDE/>
        <w:autoSpaceDN/>
        <w:adjustRightInd/>
        <w:spacing w:after="280" w:line="259" w:lineRule="auto"/>
        <w:ind w:left="0" w:firstLine="0"/>
        <w:jc w:val="both"/>
        <w:rPr>
          <w:rFonts w:eastAsiaTheme="minorHAnsi"/>
          <w:b/>
          <w:sz w:val="28"/>
          <w:szCs w:val="28"/>
          <w:u w:val="single"/>
          <w:lang w:eastAsia="en-US"/>
        </w:rPr>
      </w:pPr>
      <w:r w:rsidRPr="00EC58D0">
        <w:rPr>
          <w:rFonts w:eastAsiaTheme="minorHAnsi"/>
          <w:sz w:val="28"/>
          <w:szCs w:val="28"/>
          <w:lang w:eastAsia="en-US"/>
        </w:rPr>
        <w:t>Ms. Norn has had regular contact with R. but it does not appear from the evidence before me that she has been responsible for caring for the child in the past couple of years.</w:t>
      </w:r>
      <w:r w:rsidR="00696A2F">
        <w:rPr>
          <w:rFonts w:eastAsiaTheme="minorHAnsi"/>
          <w:sz w:val="28"/>
          <w:szCs w:val="28"/>
          <w:lang w:eastAsia="en-US"/>
        </w:rPr>
        <w:t xml:space="preserve"> </w:t>
      </w:r>
      <w:r w:rsidRPr="00EC58D0">
        <w:rPr>
          <w:rFonts w:eastAsiaTheme="minorHAnsi"/>
          <w:sz w:val="28"/>
          <w:szCs w:val="28"/>
          <w:lang w:eastAsia="en-US"/>
        </w:rPr>
        <w:t xml:space="preserve"> Ms. Norn has left R. in the care of her father Jeff Norn and her sister Ms. Magrum.</w:t>
      </w:r>
    </w:p>
    <w:p w:rsidR="00EC58D0" w:rsidRPr="00EC58D0" w:rsidRDefault="00EC58D0" w:rsidP="00EC58D0">
      <w:pPr>
        <w:widowControl/>
        <w:numPr>
          <w:ilvl w:val="0"/>
          <w:numId w:val="1"/>
        </w:numPr>
        <w:autoSpaceDE/>
        <w:autoSpaceDN/>
        <w:adjustRightInd/>
        <w:spacing w:after="280" w:line="259" w:lineRule="auto"/>
        <w:ind w:left="0" w:firstLine="0"/>
        <w:jc w:val="both"/>
        <w:rPr>
          <w:rFonts w:eastAsiaTheme="minorHAnsi"/>
          <w:b/>
          <w:sz w:val="28"/>
          <w:szCs w:val="28"/>
          <w:u w:val="single"/>
          <w:lang w:eastAsia="en-US"/>
        </w:rPr>
      </w:pPr>
      <w:r w:rsidRPr="00EC58D0">
        <w:rPr>
          <w:rFonts w:eastAsiaTheme="minorHAnsi"/>
          <w:sz w:val="28"/>
          <w:szCs w:val="28"/>
          <w:lang w:eastAsia="en-US"/>
        </w:rPr>
        <w:t xml:space="preserve">After Mr. Norn’s death, Ms. Magrum and R. moved back to Hay River in November 2021.  Ms. Norn stayed in Edmonton until February 2022, returning to the Northwest Territories for a period of time before returning to Edmonton.  It </w:t>
      </w:r>
      <w:r w:rsidRPr="00EC58D0">
        <w:rPr>
          <w:rFonts w:eastAsiaTheme="minorHAnsi"/>
          <w:sz w:val="28"/>
          <w:szCs w:val="28"/>
          <w:lang w:eastAsia="en-US"/>
        </w:rPr>
        <w:lastRenderedPageBreak/>
        <w:t>appears that she struggles with addictions issues and is not in a position to care for R. at this time.</w:t>
      </w:r>
    </w:p>
    <w:p w:rsidR="00EC58D0" w:rsidRPr="00EC58D0" w:rsidRDefault="00EC58D0" w:rsidP="00EC58D0">
      <w:pPr>
        <w:widowControl/>
        <w:numPr>
          <w:ilvl w:val="0"/>
          <w:numId w:val="1"/>
        </w:numPr>
        <w:autoSpaceDE/>
        <w:autoSpaceDN/>
        <w:adjustRightInd/>
        <w:spacing w:after="280" w:line="259" w:lineRule="auto"/>
        <w:ind w:left="0" w:firstLine="0"/>
        <w:jc w:val="both"/>
        <w:rPr>
          <w:rFonts w:eastAsiaTheme="minorHAnsi"/>
          <w:b/>
          <w:sz w:val="28"/>
          <w:szCs w:val="28"/>
          <w:u w:val="single"/>
          <w:lang w:eastAsia="en-US"/>
        </w:rPr>
      </w:pPr>
      <w:r w:rsidRPr="00EC58D0">
        <w:rPr>
          <w:rFonts w:eastAsiaTheme="minorHAnsi"/>
          <w:sz w:val="28"/>
          <w:szCs w:val="28"/>
          <w:lang w:eastAsia="en-US"/>
        </w:rPr>
        <w:t xml:space="preserve">Mr. Betsedea currently resides in Fort Simpson.  His contact with R. while the family lived in Edmonton was limited.  He says that he saw R. in July 2019 before she moved to Edmonton.  Following this, he had contact with her by phone and facetime.  After R. moved back to Hay River, he has had access with R. since December 2021, sometimes for extended periods of time.  </w:t>
      </w:r>
    </w:p>
    <w:p w:rsidR="00EC58D0" w:rsidRPr="00EC58D0" w:rsidRDefault="00EC58D0" w:rsidP="00EC58D0">
      <w:pPr>
        <w:widowControl/>
        <w:numPr>
          <w:ilvl w:val="0"/>
          <w:numId w:val="1"/>
        </w:numPr>
        <w:autoSpaceDE/>
        <w:autoSpaceDN/>
        <w:adjustRightInd/>
        <w:spacing w:after="280" w:line="259" w:lineRule="auto"/>
        <w:ind w:left="0" w:firstLine="0"/>
        <w:jc w:val="both"/>
        <w:rPr>
          <w:rFonts w:eastAsiaTheme="minorHAnsi"/>
          <w:b/>
          <w:sz w:val="28"/>
          <w:szCs w:val="28"/>
          <w:u w:val="single"/>
          <w:lang w:eastAsia="en-US"/>
        </w:rPr>
      </w:pPr>
      <w:r w:rsidRPr="00EC58D0">
        <w:rPr>
          <w:rFonts w:eastAsiaTheme="minorHAnsi"/>
          <w:sz w:val="28"/>
          <w:szCs w:val="28"/>
          <w:lang w:eastAsia="en-US"/>
        </w:rPr>
        <w:t>Ms. Magrum filed an application for leave to apply for custody and access over R. among other things on June 29, 2022.  Since about July 17, 2022, R. has remained in Mr. Betsedea’s care as he refused to return her to Ms. Magrum’s care.  Ms. Magrum filed another application on July 20, 2022 again seeking leave as well as the return of the child.</w:t>
      </w:r>
    </w:p>
    <w:p w:rsidR="00EC58D0" w:rsidRPr="00EC58D0" w:rsidRDefault="00EC58D0" w:rsidP="00EC58D0">
      <w:pPr>
        <w:widowControl/>
        <w:numPr>
          <w:ilvl w:val="0"/>
          <w:numId w:val="1"/>
        </w:numPr>
        <w:autoSpaceDE/>
        <w:autoSpaceDN/>
        <w:adjustRightInd/>
        <w:spacing w:after="280" w:line="259" w:lineRule="auto"/>
        <w:ind w:left="0" w:firstLine="0"/>
        <w:jc w:val="both"/>
        <w:rPr>
          <w:rFonts w:eastAsiaTheme="minorHAnsi"/>
          <w:b/>
          <w:sz w:val="28"/>
          <w:szCs w:val="28"/>
          <w:u w:val="single"/>
          <w:lang w:eastAsia="en-US"/>
        </w:rPr>
      </w:pPr>
      <w:r w:rsidRPr="00EC58D0">
        <w:rPr>
          <w:rFonts w:eastAsiaTheme="minorHAnsi"/>
          <w:sz w:val="28"/>
          <w:szCs w:val="28"/>
          <w:lang w:eastAsia="en-US"/>
        </w:rPr>
        <w:t xml:space="preserve">Turning to the factors to be considered, it is clear that Ms. Magrum has played the role of a caregiver to R. for a substantial period of R.’s life.  Ms. Magrum’s evidence is that she has always helped care for R. and has gradually assumed more responsibility in caring for </w:t>
      </w:r>
      <w:r w:rsidRPr="002640B5">
        <w:rPr>
          <w:rFonts w:eastAsiaTheme="minorHAnsi"/>
          <w:sz w:val="28"/>
          <w:szCs w:val="28"/>
          <w:lang w:eastAsia="en-US"/>
        </w:rPr>
        <w:t>her</w:t>
      </w:r>
      <w:r w:rsidR="00293356" w:rsidRPr="002640B5">
        <w:rPr>
          <w:rFonts w:eastAsiaTheme="minorHAnsi"/>
          <w:sz w:val="28"/>
          <w:szCs w:val="28"/>
          <w:lang w:eastAsia="en-US"/>
        </w:rPr>
        <w:t>.</w:t>
      </w:r>
      <w:r w:rsidRPr="00EC58D0">
        <w:rPr>
          <w:rFonts w:eastAsiaTheme="minorHAnsi"/>
          <w:sz w:val="28"/>
          <w:szCs w:val="28"/>
          <w:lang w:eastAsia="en-US"/>
        </w:rPr>
        <w:t xml:space="preserve">  She stepped in as the primary caregiver for R. when her father became ill and has been primarily responsible for R</w:t>
      </w:r>
      <w:r w:rsidR="00293356">
        <w:rPr>
          <w:rFonts w:eastAsiaTheme="minorHAnsi"/>
          <w:sz w:val="28"/>
          <w:szCs w:val="28"/>
          <w:lang w:eastAsia="en-US"/>
        </w:rPr>
        <w:t>.</w:t>
      </w:r>
      <w:r w:rsidRPr="00EC58D0">
        <w:rPr>
          <w:rFonts w:eastAsiaTheme="minorHAnsi"/>
          <w:sz w:val="28"/>
          <w:szCs w:val="28"/>
          <w:lang w:eastAsia="en-US"/>
        </w:rPr>
        <w:t xml:space="preserve"> since his death.  </w:t>
      </w:r>
    </w:p>
    <w:p w:rsidR="00EC58D0" w:rsidRPr="00EC58D0" w:rsidRDefault="00EC58D0" w:rsidP="00EC58D0">
      <w:pPr>
        <w:widowControl/>
        <w:numPr>
          <w:ilvl w:val="0"/>
          <w:numId w:val="1"/>
        </w:numPr>
        <w:autoSpaceDE/>
        <w:autoSpaceDN/>
        <w:adjustRightInd/>
        <w:spacing w:after="280" w:line="259" w:lineRule="auto"/>
        <w:ind w:left="0" w:firstLine="0"/>
        <w:jc w:val="both"/>
        <w:rPr>
          <w:rFonts w:eastAsiaTheme="minorHAnsi"/>
          <w:b/>
          <w:sz w:val="28"/>
          <w:szCs w:val="28"/>
          <w:u w:val="single"/>
          <w:lang w:eastAsia="en-US"/>
        </w:rPr>
      </w:pPr>
      <w:r w:rsidRPr="00EC58D0">
        <w:rPr>
          <w:rFonts w:eastAsiaTheme="minorHAnsi"/>
          <w:sz w:val="28"/>
          <w:szCs w:val="28"/>
          <w:lang w:eastAsia="en-US"/>
        </w:rPr>
        <w:t>Ms. Magrum has also had a parental-like connection to the child in the sense of providing care, nurture and support to R.  R. is only four and Ms. Magrum has had regular and meaningful contact with R. for her entire life.</w:t>
      </w:r>
    </w:p>
    <w:p w:rsidR="00EC58D0" w:rsidRPr="00EC58D0" w:rsidRDefault="00EC58D0" w:rsidP="00EC58D0">
      <w:pPr>
        <w:widowControl/>
        <w:numPr>
          <w:ilvl w:val="0"/>
          <w:numId w:val="1"/>
        </w:numPr>
        <w:autoSpaceDE/>
        <w:autoSpaceDN/>
        <w:adjustRightInd/>
        <w:spacing w:after="280" w:line="259" w:lineRule="auto"/>
        <w:ind w:left="0" w:firstLine="0"/>
        <w:jc w:val="both"/>
        <w:rPr>
          <w:rFonts w:eastAsiaTheme="minorHAnsi"/>
          <w:b/>
          <w:sz w:val="28"/>
          <w:szCs w:val="28"/>
          <w:u w:val="single"/>
          <w:lang w:eastAsia="en-US"/>
        </w:rPr>
      </w:pPr>
      <w:r w:rsidRPr="00EC58D0">
        <w:rPr>
          <w:rFonts w:eastAsiaTheme="minorHAnsi"/>
          <w:sz w:val="28"/>
          <w:szCs w:val="28"/>
          <w:lang w:eastAsia="en-US"/>
        </w:rPr>
        <w:t>Ms. Magrum says that she has ensured that R. feels loved, nurtured, safe and never abandoned.  R. refers to her as momma.  Ms. Magrum has taken on responsibilities that a parent would exercise, she has placed R. in pre-school and ensured that R. has a regular routine.  Ms. Magrum also has the support of her extended family and the child has regular contact with them.  It appears that, on R.’s maternal side, Ms. Magrum is the person who has demonstrated the most parental-like connection to R. and has provided care, nurture and support to the child.</w:t>
      </w:r>
    </w:p>
    <w:p w:rsidR="00EC58D0" w:rsidRPr="00EC58D0" w:rsidRDefault="00EC58D0" w:rsidP="00EC58D0">
      <w:pPr>
        <w:widowControl/>
        <w:numPr>
          <w:ilvl w:val="0"/>
          <w:numId w:val="1"/>
        </w:numPr>
        <w:autoSpaceDE/>
        <w:autoSpaceDN/>
        <w:adjustRightInd/>
        <w:spacing w:after="280" w:line="259" w:lineRule="auto"/>
        <w:ind w:left="0" w:firstLine="0"/>
        <w:jc w:val="both"/>
        <w:rPr>
          <w:rFonts w:eastAsiaTheme="minorHAnsi"/>
          <w:b/>
          <w:sz w:val="28"/>
          <w:szCs w:val="28"/>
          <w:u w:val="single"/>
          <w:lang w:eastAsia="en-US"/>
        </w:rPr>
      </w:pPr>
      <w:r w:rsidRPr="00EC58D0">
        <w:rPr>
          <w:rFonts w:eastAsiaTheme="minorHAnsi"/>
          <w:sz w:val="28"/>
          <w:szCs w:val="28"/>
          <w:lang w:eastAsia="en-US"/>
        </w:rPr>
        <w:t xml:space="preserve">The next issue is whether the application for custody or access is devoid of merit or patently tenuous.  </w:t>
      </w:r>
    </w:p>
    <w:p w:rsidR="00EC58D0" w:rsidRPr="00EC58D0" w:rsidRDefault="00EC58D0" w:rsidP="00EC58D0">
      <w:pPr>
        <w:widowControl/>
        <w:numPr>
          <w:ilvl w:val="0"/>
          <w:numId w:val="1"/>
        </w:numPr>
        <w:autoSpaceDE/>
        <w:autoSpaceDN/>
        <w:adjustRightInd/>
        <w:spacing w:after="280" w:line="259" w:lineRule="auto"/>
        <w:ind w:left="0" w:firstLine="0"/>
        <w:jc w:val="both"/>
        <w:rPr>
          <w:rFonts w:eastAsiaTheme="minorHAnsi"/>
          <w:b/>
          <w:sz w:val="28"/>
          <w:szCs w:val="28"/>
          <w:u w:val="single"/>
          <w:lang w:eastAsia="en-US"/>
        </w:rPr>
      </w:pPr>
      <w:r w:rsidRPr="00EC58D0">
        <w:rPr>
          <w:rFonts w:eastAsiaTheme="minorHAnsi"/>
          <w:sz w:val="28"/>
          <w:szCs w:val="28"/>
          <w:lang w:eastAsia="en-US"/>
        </w:rPr>
        <w:t xml:space="preserve">The arguments of Mr. Betsedea appeared to focus on the merits or possible success of an application for custody.  Counsel for Mr. Betsedea argued that Mr. </w:t>
      </w:r>
      <w:r w:rsidRPr="00EC58D0">
        <w:rPr>
          <w:rFonts w:eastAsiaTheme="minorHAnsi"/>
          <w:sz w:val="28"/>
          <w:szCs w:val="28"/>
          <w:lang w:eastAsia="en-US"/>
        </w:rPr>
        <w:lastRenderedPageBreak/>
        <w:t>Betsedea is R.’s father and he is able and willing to care for the child and that he is in a much better position as a parent than Ms. Magrum who is a legal stranger to the child.  He says that there is no basis in law to say that Ms. Magrum is in a better position to have custody of R. than Mr. Betsedea who is the father of the child.</w:t>
      </w:r>
    </w:p>
    <w:p w:rsidR="00EC58D0" w:rsidRPr="00EC58D0" w:rsidRDefault="00EC58D0" w:rsidP="00EC58D0">
      <w:pPr>
        <w:widowControl/>
        <w:numPr>
          <w:ilvl w:val="0"/>
          <w:numId w:val="1"/>
        </w:numPr>
        <w:autoSpaceDE/>
        <w:autoSpaceDN/>
        <w:adjustRightInd/>
        <w:spacing w:after="280" w:line="259" w:lineRule="auto"/>
        <w:ind w:left="0" w:firstLine="0"/>
        <w:jc w:val="both"/>
        <w:rPr>
          <w:rFonts w:eastAsiaTheme="minorHAnsi"/>
          <w:b/>
          <w:sz w:val="28"/>
          <w:szCs w:val="28"/>
          <w:u w:val="single"/>
          <w:lang w:eastAsia="en-US"/>
        </w:rPr>
      </w:pPr>
      <w:r w:rsidRPr="00EC58D0">
        <w:rPr>
          <w:rFonts w:eastAsiaTheme="minorHAnsi"/>
          <w:sz w:val="28"/>
          <w:szCs w:val="28"/>
          <w:lang w:eastAsia="en-US"/>
        </w:rPr>
        <w:t xml:space="preserve">Counsel for Ms. Magrum pointed out that in </w:t>
      </w:r>
      <w:r w:rsidRPr="00EC58D0">
        <w:rPr>
          <w:rFonts w:eastAsiaTheme="minorHAnsi"/>
          <w:i/>
          <w:sz w:val="28"/>
          <w:szCs w:val="28"/>
          <w:lang w:eastAsia="en-US"/>
        </w:rPr>
        <w:t xml:space="preserve">Kalaserk v Nelson, </w:t>
      </w:r>
      <w:r w:rsidRPr="00EC58D0">
        <w:rPr>
          <w:rFonts w:eastAsiaTheme="minorHAnsi"/>
          <w:sz w:val="28"/>
          <w:szCs w:val="28"/>
          <w:lang w:eastAsia="en-US"/>
        </w:rPr>
        <w:t xml:space="preserve">2005 NWTSC 4, the Court stated that the consideration on applications for custody is the best interests of the child and not on a parent’s right to custody, even where the applicant for custody is not a parent.  A biological connection to the child is a significant factor but it is only one of many factors relevant to the best interests of the particular child.  </w:t>
      </w:r>
    </w:p>
    <w:p w:rsidR="00EC58D0" w:rsidRPr="00EC58D0" w:rsidRDefault="00EC58D0" w:rsidP="00EC58D0">
      <w:pPr>
        <w:widowControl/>
        <w:numPr>
          <w:ilvl w:val="0"/>
          <w:numId w:val="1"/>
        </w:numPr>
        <w:autoSpaceDE/>
        <w:autoSpaceDN/>
        <w:adjustRightInd/>
        <w:spacing w:after="280" w:line="259" w:lineRule="auto"/>
        <w:ind w:left="0" w:firstLine="0"/>
        <w:jc w:val="both"/>
        <w:rPr>
          <w:rFonts w:eastAsiaTheme="minorHAnsi"/>
          <w:b/>
          <w:sz w:val="28"/>
          <w:szCs w:val="28"/>
          <w:u w:val="single"/>
          <w:lang w:eastAsia="en-US"/>
        </w:rPr>
      </w:pPr>
      <w:r w:rsidRPr="00EC58D0">
        <w:rPr>
          <w:rFonts w:eastAsiaTheme="minorHAnsi"/>
          <w:sz w:val="28"/>
          <w:szCs w:val="28"/>
          <w:lang w:eastAsia="en-US"/>
        </w:rPr>
        <w:t xml:space="preserve">The issue is not just whether Mr. Betsedea is willing and able to look after the child properly but what is in R.’s best interests taking into account the considerations set out in the </w:t>
      </w:r>
      <w:r w:rsidRPr="00EC58D0">
        <w:rPr>
          <w:rFonts w:eastAsiaTheme="minorHAnsi"/>
          <w:i/>
          <w:sz w:val="28"/>
          <w:szCs w:val="28"/>
          <w:lang w:eastAsia="en-US"/>
        </w:rPr>
        <w:t xml:space="preserve">Act. </w:t>
      </w:r>
      <w:r w:rsidR="00293356">
        <w:rPr>
          <w:rFonts w:eastAsiaTheme="minorHAnsi"/>
          <w:i/>
          <w:sz w:val="28"/>
          <w:szCs w:val="28"/>
          <w:lang w:eastAsia="en-US"/>
        </w:rPr>
        <w:t xml:space="preserve"> </w:t>
      </w:r>
      <w:r w:rsidRPr="00EC58D0">
        <w:rPr>
          <w:rFonts w:eastAsiaTheme="minorHAnsi"/>
          <w:sz w:val="28"/>
          <w:szCs w:val="28"/>
          <w:lang w:eastAsia="en-US"/>
        </w:rPr>
        <w:t xml:space="preserve">This is reflected in the provisions of the </w:t>
      </w:r>
      <w:r w:rsidRPr="00EC58D0">
        <w:rPr>
          <w:rFonts w:eastAsiaTheme="minorHAnsi"/>
          <w:i/>
          <w:sz w:val="28"/>
          <w:szCs w:val="28"/>
          <w:lang w:eastAsia="en-US"/>
        </w:rPr>
        <w:t xml:space="preserve">Act </w:t>
      </w:r>
      <w:r w:rsidRPr="00EC58D0">
        <w:rPr>
          <w:rFonts w:eastAsiaTheme="minorHAnsi"/>
          <w:sz w:val="28"/>
          <w:szCs w:val="28"/>
          <w:lang w:eastAsia="en-US"/>
        </w:rPr>
        <w:t>which deal with custody and access.  Section 17 states that custody of or access to a child is determined by the best interests of the child.  The importance of the father and mother in the entitlement to custody is addressed in section 18 but section 20 also permits persons other than a parent to apply for custody of or access to a child.  This clearly contemplates that there may be situations where it is in a child’s best interests to be in the custody of or have access to someone who is not a parent.</w:t>
      </w:r>
    </w:p>
    <w:p w:rsidR="00EC58D0" w:rsidRPr="00EC58D0" w:rsidRDefault="00EC58D0" w:rsidP="00EC58D0">
      <w:pPr>
        <w:widowControl/>
        <w:numPr>
          <w:ilvl w:val="0"/>
          <w:numId w:val="1"/>
        </w:numPr>
        <w:autoSpaceDE/>
        <w:autoSpaceDN/>
        <w:adjustRightInd/>
        <w:spacing w:after="280" w:line="259" w:lineRule="auto"/>
        <w:ind w:left="0" w:firstLine="0"/>
        <w:jc w:val="both"/>
        <w:rPr>
          <w:rFonts w:eastAsiaTheme="minorHAnsi"/>
          <w:b/>
          <w:sz w:val="28"/>
          <w:szCs w:val="28"/>
          <w:u w:val="single"/>
          <w:lang w:eastAsia="en-US"/>
        </w:rPr>
      </w:pPr>
      <w:r w:rsidRPr="00EC58D0">
        <w:rPr>
          <w:rFonts w:eastAsiaTheme="minorHAnsi"/>
          <w:sz w:val="28"/>
          <w:szCs w:val="28"/>
          <w:lang w:eastAsia="en-US"/>
        </w:rPr>
        <w:t xml:space="preserve">In </w:t>
      </w:r>
      <w:r w:rsidRPr="00EC58D0">
        <w:rPr>
          <w:rFonts w:eastAsiaTheme="minorHAnsi"/>
          <w:i/>
          <w:sz w:val="28"/>
          <w:szCs w:val="28"/>
          <w:lang w:eastAsia="en-US"/>
        </w:rPr>
        <w:t>Kalaserk</w:t>
      </w:r>
      <w:r w:rsidRPr="00EC58D0">
        <w:rPr>
          <w:rFonts w:eastAsiaTheme="minorHAnsi"/>
          <w:sz w:val="28"/>
          <w:szCs w:val="28"/>
          <w:lang w:eastAsia="en-US"/>
        </w:rPr>
        <w:t>, the issue was the interim custody of a child where the father and the aunt of the child each sought custody of the child.  In that case, Vertes J. was satisfied that, in the circumstances of that case, it was in the child’s best interests to remain with his aunt on an interim basis.</w:t>
      </w:r>
    </w:p>
    <w:p w:rsidR="00EC58D0" w:rsidRPr="00EC58D0" w:rsidRDefault="00EC58D0" w:rsidP="00EC58D0">
      <w:pPr>
        <w:widowControl/>
        <w:numPr>
          <w:ilvl w:val="0"/>
          <w:numId w:val="1"/>
        </w:numPr>
        <w:autoSpaceDE/>
        <w:autoSpaceDN/>
        <w:adjustRightInd/>
        <w:spacing w:after="280" w:line="259" w:lineRule="auto"/>
        <w:ind w:left="0" w:firstLine="0"/>
        <w:jc w:val="both"/>
        <w:rPr>
          <w:rFonts w:eastAsiaTheme="minorHAnsi"/>
          <w:b/>
          <w:sz w:val="28"/>
          <w:szCs w:val="28"/>
          <w:u w:val="single"/>
          <w:lang w:eastAsia="en-US"/>
        </w:rPr>
      </w:pPr>
      <w:r w:rsidRPr="00EC58D0">
        <w:rPr>
          <w:rFonts w:eastAsiaTheme="minorHAnsi"/>
          <w:sz w:val="28"/>
          <w:szCs w:val="28"/>
          <w:lang w:eastAsia="en-US"/>
        </w:rPr>
        <w:t>An application for standing is not the time to resolve the issue of custody or to determi</w:t>
      </w:r>
      <w:r w:rsidR="009E342A">
        <w:rPr>
          <w:rFonts w:eastAsiaTheme="minorHAnsi"/>
          <w:sz w:val="28"/>
          <w:szCs w:val="28"/>
          <w:lang w:eastAsia="en-US"/>
        </w:rPr>
        <w:t>ne whether Ms. Magrum or Mr. Be</w:t>
      </w:r>
      <w:r w:rsidRPr="00EC58D0">
        <w:rPr>
          <w:rFonts w:eastAsiaTheme="minorHAnsi"/>
          <w:sz w:val="28"/>
          <w:szCs w:val="28"/>
          <w:lang w:eastAsia="en-US"/>
        </w:rPr>
        <w:t xml:space="preserve">tsedea has the better claim to custody of R.  Based on Ms. Magrum’s substantial and recent history of being a caregiver to R. and that she has a parental-like connection to R., it cannot be said that her application for custody or access is devoid of merit or patently tenuous.  </w:t>
      </w:r>
    </w:p>
    <w:p w:rsidR="00EC58D0" w:rsidRPr="00EC58D0" w:rsidRDefault="00EC58D0" w:rsidP="00EC58D0">
      <w:pPr>
        <w:widowControl/>
        <w:numPr>
          <w:ilvl w:val="0"/>
          <w:numId w:val="1"/>
        </w:numPr>
        <w:autoSpaceDE/>
        <w:autoSpaceDN/>
        <w:adjustRightInd/>
        <w:spacing w:after="280" w:line="259" w:lineRule="auto"/>
        <w:ind w:left="0" w:firstLine="0"/>
        <w:jc w:val="both"/>
        <w:rPr>
          <w:rFonts w:eastAsiaTheme="minorHAnsi"/>
          <w:b/>
          <w:sz w:val="28"/>
          <w:szCs w:val="28"/>
          <w:u w:val="single"/>
          <w:lang w:eastAsia="en-US"/>
        </w:rPr>
      </w:pPr>
      <w:r w:rsidRPr="00EC58D0">
        <w:rPr>
          <w:rFonts w:eastAsiaTheme="minorHAnsi"/>
          <w:sz w:val="28"/>
          <w:szCs w:val="28"/>
          <w:lang w:eastAsia="en-US"/>
        </w:rPr>
        <w:t xml:space="preserve">Therefore, Ms. Magrum’s application for leave to apply for custody of and access to R. is granted.  This matter should be brought back before the Court as soon as possible so that the issue of interim custody and access can be addressed.  </w:t>
      </w:r>
    </w:p>
    <w:p w:rsidR="00EC58D0" w:rsidRPr="00EC58D0" w:rsidRDefault="00EC58D0" w:rsidP="00EC58D0">
      <w:pPr>
        <w:widowControl/>
        <w:numPr>
          <w:ilvl w:val="0"/>
          <w:numId w:val="1"/>
        </w:numPr>
        <w:autoSpaceDE/>
        <w:autoSpaceDN/>
        <w:adjustRightInd/>
        <w:spacing w:after="280" w:line="259" w:lineRule="auto"/>
        <w:ind w:left="0" w:firstLine="0"/>
        <w:jc w:val="both"/>
        <w:rPr>
          <w:rFonts w:eastAsiaTheme="minorHAnsi"/>
          <w:b/>
          <w:sz w:val="28"/>
          <w:szCs w:val="28"/>
          <w:u w:val="single"/>
          <w:lang w:eastAsia="en-US"/>
        </w:rPr>
      </w:pPr>
      <w:r w:rsidRPr="00EC58D0">
        <w:rPr>
          <w:rFonts w:eastAsiaTheme="minorHAnsi"/>
          <w:sz w:val="28"/>
          <w:szCs w:val="28"/>
          <w:lang w:eastAsia="en-US"/>
        </w:rPr>
        <w:t>This matter will be placed on the next Ch</w:t>
      </w:r>
      <w:r w:rsidR="008F3DB8">
        <w:rPr>
          <w:rFonts w:eastAsiaTheme="minorHAnsi"/>
          <w:sz w:val="28"/>
          <w:szCs w:val="28"/>
          <w:lang w:eastAsia="en-US"/>
        </w:rPr>
        <w:t>ambers docket which is August 18</w:t>
      </w:r>
      <w:r w:rsidRPr="00EC58D0">
        <w:rPr>
          <w:rFonts w:eastAsiaTheme="minorHAnsi"/>
          <w:sz w:val="28"/>
          <w:szCs w:val="28"/>
          <w:lang w:eastAsia="en-US"/>
        </w:rPr>
        <w:t>, 2022.</w:t>
      </w:r>
      <w:bookmarkStart w:id="1" w:name="_GoBack"/>
      <w:bookmarkEnd w:id="1"/>
      <w:r w:rsidRPr="00EC58D0">
        <w:rPr>
          <w:rFonts w:eastAsiaTheme="minorHAnsi"/>
          <w:sz w:val="28"/>
          <w:szCs w:val="28"/>
          <w:lang w:eastAsia="en-US"/>
        </w:rPr>
        <w:t xml:space="preserve">  If the parties are prepared to address interim custody and access at that time, </w:t>
      </w:r>
      <w:r w:rsidRPr="00EC58D0">
        <w:rPr>
          <w:rFonts w:eastAsiaTheme="minorHAnsi"/>
          <w:sz w:val="28"/>
          <w:szCs w:val="28"/>
          <w:lang w:eastAsia="en-US"/>
        </w:rPr>
        <w:lastRenderedPageBreak/>
        <w:t>the matter can proceed then.  If the parties are not available, this matter can be withdrawn and relisted for a Chambers date that is suitable to both parties.</w:t>
      </w:r>
    </w:p>
    <w:p w:rsidR="00EC58D0" w:rsidRPr="00EC58D0" w:rsidRDefault="00EC58D0" w:rsidP="00EC58D0">
      <w:pPr>
        <w:widowControl/>
        <w:numPr>
          <w:ilvl w:val="0"/>
          <w:numId w:val="1"/>
        </w:numPr>
        <w:autoSpaceDE/>
        <w:autoSpaceDN/>
        <w:adjustRightInd/>
        <w:spacing w:after="280" w:line="259" w:lineRule="auto"/>
        <w:ind w:left="0" w:firstLine="0"/>
        <w:jc w:val="both"/>
        <w:rPr>
          <w:rFonts w:eastAsiaTheme="minorHAnsi"/>
          <w:b/>
          <w:sz w:val="28"/>
          <w:szCs w:val="28"/>
          <w:u w:val="single"/>
          <w:lang w:eastAsia="en-US"/>
        </w:rPr>
      </w:pPr>
      <w:r w:rsidRPr="00EC58D0">
        <w:rPr>
          <w:rFonts w:eastAsiaTheme="minorHAnsi"/>
          <w:sz w:val="28"/>
          <w:szCs w:val="28"/>
          <w:lang w:eastAsia="en-US"/>
        </w:rPr>
        <w:t>Ms. Magrum also sought to have the style of cause amended to Payton Magrum to reflect her name.  It does not appear that this is in issue and the style of cause will be amended accordingly.</w:t>
      </w:r>
    </w:p>
    <w:p w:rsidR="00EC58D0" w:rsidRPr="008657AE" w:rsidRDefault="00EC58D0" w:rsidP="00EC58D0">
      <w:pPr>
        <w:widowControl/>
        <w:numPr>
          <w:ilvl w:val="0"/>
          <w:numId w:val="1"/>
        </w:numPr>
        <w:autoSpaceDE/>
        <w:autoSpaceDN/>
        <w:adjustRightInd/>
        <w:spacing w:after="280" w:line="259" w:lineRule="auto"/>
        <w:ind w:left="0" w:firstLine="0"/>
        <w:jc w:val="both"/>
        <w:rPr>
          <w:rFonts w:eastAsiaTheme="minorHAnsi"/>
          <w:b/>
          <w:sz w:val="28"/>
          <w:szCs w:val="28"/>
          <w:u w:val="single"/>
          <w:lang w:eastAsia="en-US"/>
        </w:rPr>
      </w:pPr>
      <w:r w:rsidRPr="00EC58D0">
        <w:rPr>
          <w:rFonts w:eastAsiaTheme="minorHAnsi"/>
          <w:sz w:val="28"/>
          <w:szCs w:val="28"/>
          <w:lang w:eastAsia="en-US"/>
        </w:rPr>
        <w:t xml:space="preserve">Costs will be in </w:t>
      </w:r>
      <w:r w:rsidR="002640B5">
        <w:rPr>
          <w:rFonts w:eastAsiaTheme="minorHAnsi"/>
          <w:sz w:val="28"/>
          <w:szCs w:val="28"/>
          <w:lang w:eastAsia="en-US"/>
        </w:rPr>
        <w:t xml:space="preserve">the cause as no one addressed </w:t>
      </w:r>
      <w:r w:rsidRPr="00EC58D0">
        <w:rPr>
          <w:rFonts w:eastAsiaTheme="minorHAnsi"/>
          <w:sz w:val="28"/>
          <w:szCs w:val="28"/>
          <w:lang w:eastAsia="en-US"/>
        </w:rPr>
        <w:t>costs during the hearing.</w:t>
      </w:r>
    </w:p>
    <w:p w:rsidR="00AD6ABF" w:rsidRDefault="00AD6ABF" w:rsidP="00AD6ABF">
      <w:pPr>
        <w:widowControl/>
        <w:spacing w:after="280"/>
        <w:jc w:val="both"/>
        <w:rPr>
          <w:sz w:val="28"/>
          <w:szCs w:val="28"/>
        </w:rPr>
      </w:pPr>
    </w:p>
    <w:p w:rsidR="004A2BF7" w:rsidRPr="00AD6ABF" w:rsidRDefault="004A2BF7" w:rsidP="00AD6ABF">
      <w:pPr>
        <w:widowControl/>
        <w:spacing w:after="280"/>
        <w:jc w:val="both"/>
        <w:rPr>
          <w:sz w:val="28"/>
          <w:szCs w:val="28"/>
        </w:rPr>
      </w:pPr>
    </w:p>
    <w:p w:rsidR="00AD6ABF" w:rsidRPr="00AD6ABF" w:rsidRDefault="00AD6ABF" w:rsidP="00AD6ABF">
      <w:pPr>
        <w:pStyle w:val="ListParagraph"/>
        <w:tabs>
          <w:tab w:val="left" w:pos="720"/>
          <w:tab w:val="left" w:pos="1440"/>
          <w:tab w:val="left" w:pos="2160"/>
          <w:tab w:val="left" w:pos="2880"/>
          <w:tab w:val="left" w:pos="3600"/>
          <w:tab w:val="left" w:pos="4320"/>
          <w:tab w:val="left" w:pos="5040"/>
          <w:tab w:val="left" w:pos="5760"/>
        </w:tabs>
        <w:rPr>
          <w:sz w:val="28"/>
          <w:szCs w:val="28"/>
          <w:lang w:val="en-CA"/>
        </w:rPr>
      </w:pPr>
      <w:r w:rsidRPr="00AD6ABF">
        <w:rPr>
          <w:sz w:val="28"/>
          <w:szCs w:val="28"/>
        </w:rPr>
        <w:tab/>
      </w:r>
      <w:r w:rsidRPr="00AD6ABF">
        <w:rPr>
          <w:sz w:val="28"/>
          <w:szCs w:val="28"/>
        </w:rPr>
        <w:fldChar w:fldCharType="begin"/>
      </w:r>
      <w:r w:rsidRPr="00AD6ABF">
        <w:rPr>
          <w:sz w:val="28"/>
          <w:szCs w:val="28"/>
          <w:lang w:val="en-CA"/>
        </w:rPr>
        <w:instrText xml:space="preserve"> SEQ CHAPTER \h \r 1</w:instrText>
      </w:r>
      <w:r w:rsidRPr="00AD6ABF">
        <w:rPr>
          <w:sz w:val="28"/>
          <w:szCs w:val="28"/>
        </w:rPr>
        <w:fldChar w:fldCharType="end"/>
      </w:r>
      <w:r w:rsidRPr="00AD6ABF">
        <w:rPr>
          <w:sz w:val="28"/>
          <w:szCs w:val="28"/>
          <w:lang w:val="en-CA"/>
        </w:rPr>
        <w:tab/>
      </w:r>
      <w:r w:rsidRPr="00AD6ABF">
        <w:rPr>
          <w:sz w:val="28"/>
          <w:szCs w:val="28"/>
          <w:lang w:val="en-CA"/>
        </w:rPr>
        <w:tab/>
      </w:r>
      <w:r w:rsidRPr="00AD6ABF">
        <w:rPr>
          <w:sz w:val="28"/>
          <w:szCs w:val="28"/>
          <w:lang w:val="en-CA"/>
        </w:rPr>
        <w:tab/>
      </w:r>
      <w:r w:rsidRPr="00AD6ABF">
        <w:rPr>
          <w:sz w:val="28"/>
          <w:szCs w:val="28"/>
          <w:lang w:val="en-CA"/>
        </w:rPr>
        <w:tab/>
      </w:r>
      <w:r w:rsidRPr="00AD6ABF">
        <w:rPr>
          <w:sz w:val="28"/>
          <w:szCs w:val="28"/>
          <w:lang w:val="en-CA"/>
        </w:rPr>
        <w:tab/>
      </w:r>
      <w:r w:rsidRPr="00AD6ABF">
        <w:rPr>
          <w:sz w:val="28"/>
          <w:szCs w:val="28"/>
          <w:lang w:val="en-CA"/>
        </w:rPr>
        <w:tab/>
      </w:r>
      <w:r w:rsidRPr="00AD6ABF">
        <w:rPr>
          <w:sz w:val="28"/>
          <w:szCs w:val="28"/>
          <w:lang w:val="en-CA"/>
        </w:rPr>
        <w:tab/>
        <w:t>S.H. Smallwood</w:t>
      </w:r>
    </w:p>
    <w:p w:rsidR="00AD6ABF" w:rsidRDefault="00AD6ABF" w:rsidP="00AD6ABF">
      <w:pPr>
        <w:pStyle w:val="ListParagraph"/>
        <w:rPr>
          <w:sz w:val="28"/>
          <w:szCs w:val="28"/>
          <w:lang w:val="en-CA"/>
        </w:rPr>
      </w:pPr>
      <w:r w:rsidRPr="00AD6ABF">
        <w:rPr>
          <w:sz w:val="28"/>
          <w:szCs w:val="28"/>
          <w:lang w:val="en-CA"/>
        </w:rPr>
        <w:tab/>
      </w:r>
      <w:r w:rsidRPr="00AD6ABF">
        <w:rPr>
          <w:sz w:val="28"/>
          <w:szCs w:val="28"/>
          <w:lang w:val="en-CA"/>
        </w:rPr>
        <w:tab/>
      </w:r>
      <w:r w:rsidRPr="00AD6ABF">
        <w:rPr>
          <w:sz w:val="28"/>
          <w:szCs w:val="28"/>
          <w:lang w:val="en-CA"/>
        </w:rPr>
        <w:tab/>
      </w:r>
      <w:r w:rsidRPr="00AD6ABF">
        <w:rPr>
          <w:sz w:val="28"/>
          <w:szCs w:val="28"/>
          <w:lang w:val="en-CA"/>
        </w:rPr>
        <w:tab/>
      </w:r>
      <w:r w:rsidRPr="00AD6ABF">
        <w:rPr>
          <w:sz w:val="28"/>
          <w:szCs w:val="28"/>
          <w:lang w:val="en-CA"/>
        </w:rPr>
        <w:tab/>
      </w:r>
      <w:r w:rsidRPr="00AD6ABF">
        <w:rPr>
          <w:sz w:val="28"/>
          <w:szCs w:val="28"/>
          <w:lang w:val="en-CA"/>
        </w:rPr>
        <w:tab/>
      </w:r>
      <w:r w:rsidRPr="00AD6ABF">
        <w:rPr>
          <w:sz w:val="28"/>
          <w:szCs w:val="28"/>
          <w:lang w:val="en-CA"/>
        </w:rPr>
        <w:tab/>
      </w:r>
      <w:r w:rsidRPr="00AD6ABF">
        <w:rPr>
          <w:sz w:val="28"/>
          <w:szCs w:val="28"/>
          <w:lang w:val="en-CA"/>
        </w:rPr>
        <w:tab/>
        <w:t xml:space="preserve">        J.S.C.</w:t>
      </w:r>
    </w:p>
    <w:p w:rsidR="004A2BF7" w:rsidRPr="00AD6ABF" w:rsidRDefault="004A2BF7" w:rsidP="00AD6ABF">
      <w:pPr>
        <w:pStyle w:val="ListParagraph"/>
        <w:rPr>
          <w:sz w:val="28"/>
          <w:szCs w:val="28"/>
          <w:lang w:val="en-CA"/>
        </w:rPr>
      </w:pPr>
    </w:p>
    <w:p w:rsidR="00AD6ABF" w:rsidRPr="00AD6ABF" w:rsidRDefault="00AD6ABF" w:rsidP="00AD6ABF">
      <w:pPr>
        <w:rPr>
          <w:sz w:val="28"/>
          <w:szCs w:val="28"/>
        </w:rPr>
      </w:pPr>
      <w:r w:rsidRPr="00AD6ABF">
        <w:rPr>
          <w:sz w:val="28"/>
          <w:szCs w:val="28"/>
        </w:rPr>
        <w:t xml:space="preserve">Dated at Yellowknife, NT, this </w:t>
      </w:r>
    </w:p>
    <w:p w:rsidR="00AD6ABF" w:rsidRDefault="008657AE" w:rsidP="00AD6ABF">
      <w:pPr>
        <w:rPr>
          <w:sz w:val="28"/>
          <w:szCs w:val="28"/>
        </w:rPr>
      </w:pPr>
      <w:r>
        <w:rPr>
          <w:sz w:val="28"/>
          <w:szCs w:val="28"/>
        </w:rPr>
        <w:t>10</w:t>
      </w:r>
      <w:r w:rsidRPr="008657AE">
        <w:rPr>
          <w:sz w:val="28"/>
          <w:szCs w:val="28"/>
          <w:vertAlign w:val="superscript"/>
        </w:rPr>
        <w:t>th</w:t>
      </w:r>
      <w:r>
        <w:rPr>
          <w:sz w:val="28"/>
          <w:szCs w:val="28"/>
        </w:rPr>
        <w:t xml:space="preserve"> </w:t>
      </w:r>
      <w:r w:rsidR="00AD6ABF" w:rsidRPr="00AD6ABF">
        <w:rPr>
          <w:sz w:val="28"/>
          <w:szCs w:val="28"/>
        </w:rPr>
        <w:t xml:space="preserve">day of </w:t>
      </w:r>
      <w:r>
        <w:rPr>
          <w:sz w:val="28"/>
          <w:szCs w:val="28"/>
        </w:rPr>
        <w:t>August</w:t>
      </w:r>
      <w:r w:rsidR="00AD6ABF">
        <w:rPr>
          <w:sz w:val="28"/>
          <w:szCs w:val="28"/>
        </w:rPr>
        <w:t>, 2022</w:t>
      </w:r>
    </w:p>
    <w:p w:rsidR="00AD6ABF" w:rsidRPr="00455003" w:rsidRDefault="00AD6ABF" w:rsidP="00AD6ABF">
      <w:pPr>
        <w:rPr>
          <w:sz w:val="28"/>
          <w:szCs w:val="28"/>
        </w:rPr>
      </w:pPr>
    </w:p>
    <w:p w:rsidR="00AD6ABF" w:rsidRDefault="00AD6ABF" w:rsidP="00AD6ABF">
      <w:pPr>
        <w:rPr>
          <w:sz w:val="28"/>
          <w:szCs w:val="28"/>
        </w:rPr>
      </w:pPr>
    </w:p>
    <w:p w:rsidR="00AD6ABF" w:rsidRPr="00AC7E50" w:rsidRDefault="00AD6ABF" w:rsidP="004A2BF7">
      <w:pPr>
        <w:tabs>
          <w:tab w:val="left" w:pos="720"/>
          <w:tab w:val="left" w:pos="1440"/>
          <w:tab w:val="left" w:pos="2160"/>
          <w:tab w:val="left" w:pos="2880"/>
          <w:tab w:val="left" w:pos="3600"/>
        </w:tabs>
        <w:spacing w:line="360" w:lineRule="auto"/>
        <w:jc w:val="both"/>
        <w:rPr>
          <w:sz w:val="28"/>
          <w:szCs w:val="28"/>
        </w:rPr>
      </w:pPr>
    </w:p>
    <w:p w:rsidR="008657AE" w:rsidRDefault="0005363D" w:rsidP="00D177D1">
      <w:pPr>
        <w:spacing w:line="360" w:lineRule="auto"/>
        <w:jc w:val="both"/>
        <w:rPr>
          <w:sz w:val="28"/>
          <w:szCs w:val="28"/>
        </w:rPr>
      </w:pPr>
      <w:r>
        <w:rPr>
          <w:sz w:val="28"/>
          <w:szCs w:val="28"/>
        </w:rPr>
        <w:t>Counsel for the Applicant:</w:t>
      </w:r>
      <w:r>
        <w:rPr>
          <w:sz w:val="28"/>
          <w:szCs w:val="28"/>
        </w:rPr>
        <w:tab/>
      </w:r>
      <w:r w:rsidR="00043617">
        <w:rPr>
          <w:sz w:val="28"/>
          <w:szCs w:val="28"/>
        </w:rPr>
        <w:tab/>
      </w:r>
      <w:r w:rsidR="00043617">
        <w:rPr>
          <w:sz w:val="28"/>
          <w:szCs w:val="28"/>
        </w:rPr>
        <w:tab/>
      </w:r>
      <w:r w:rsidR="00DF365B">
        <w:rPr>
          <w:sz w:val="28"/>
          <w:szCs w:val="28"/>
        </w:rPr>
        <w:t>Idowu Ohioze</w:t>
      </w:r>
    </w:p>
    <w:p w:rsidR="008657AE" w:rsidRDefault="00C2605A" w:rsidP="00D177D1">
      <w:pPr>
        <w:spacing w:line="360" w:lineRule="auto"/>
        <w:jc w:val="both"/>
        <w:rPr>
          <w:sz w:val="28"/>
          <w:szCs w:val="28"/>
        </w:rPr>
      </w:pPr>
      <w:r>
        <w:rPr>
          <w:sz w:val="28"/>
          <w:szCs w:val="28"/>
        </w:rPr>
        <w:t>Self-Represented Respondent:</w:t>
      </w:r>
      <w:r>
        <w:rPr>
          <w:sz w:val="28"/>
          <w:szCs w:val="28"/>
        </w:rPr>
        <w:tab/>
      </w:r>
      <w:r w:rsidR="00043617">
        <w:rPr>
          <w:sz w:val="28"/>
          <w:szCs w:val="28"/>
        </w:rPr>
        <w:tab/>
      </w:r>
      <w:r w:rsidR="00043617">
        <w:rPr>
          <w:sz w:val="28"/>
          <w:szCs w:val="28"/>
        </w:rPr>
        <w:tab/>
        <w:t xml:space="preserve">No One Appearing for Martina Norn </w:t>
      </w:r>
      <w:r w:rsidR="00D54E80">
        <w:rPr>
          <w:sz w:val="28"/>
          <w:szCs w:val="28"/>
        </w:rPr>
        <w:tab/>
      </w:r>
    </w:p>
    <w:p w:rsidR="00AD6ABF" w:rsidRPr="00D177D1" w:rsidRDefault="0005363D" w:rsidP="00D177D1">
      <w:pPr>
        <w:spacing w:line="360" w:lineRule="auto"/>
        <w:jc w:val="both"/>
        <w:rPr>
          <w:sz w:val="28"/>
          <w:szCs w:val="28"/>
        </w:rPr>
        <w:sectPr w:rsidR="00AD6ABF" w:rsidRPr="00D177D1" w:rsidSect="00AD6ABF">
          <w:headerReference w:type="default" r:id="rId8"/>
          <w:headerReference w:type="first" r:id="rId9"/>
          <w:pgSz w:w="12240" w:h="15840"/>
          <w:pgMar w:top="1440" w:right="1440" w:bottom="1440" w:left="1440" w:header="720" w:footer="720" w:gutter="0"/>
          <w:cols w:space="720"/>
          <w:titlePg/>
          <w:docGrid w:linePitch="360"/>
        </w:sectPr>
      </w:pPr>
      <w:r>
        <w:rPr>
          <w:sz w:val="28"/>
          <w:szCs w:val="28"/>
        </w:rPr>
        <w:t>Counse</w:t>
      </w:r>
      <w:r w:rsidR="00293356">
        <w:rPr>
          <w:sz w:val="28"/>
          <w:szCs w:val="28"/>
        </w:rPr>
        <w:t xml:space="preserve">l for the Respondent Payton </w:t>
      </w:r>
      <w:r w:rsidR="002640B5">
        <w:rPr>
          <w:sz w:val="28"/>
          <w:szCs w:val="28"/>
        </w:rPr>
        <w:t>Norn</w:t>
      </w:r>
      <w:r>
        <w:rPr>
          <w:sz w:val="28"/>
          <w:szCs w:val="28"/>
        </w:rPr>
        <w:t>:</w:t>
      </w:r>
      <w:r>
        <w:rPr>
          <w:sz w:val="28"/>
          <w:szCs w:val="28"/>
        </w:rPr>
        <w:tab/>
        <w:t>Tara Gault</w:t>
      </w:r>
    </w:p>
    <w:p w:rsidR="00AD6ABF" w:rsidRPr="00526ED5" w:rsidRDefault="00AD6ABF" w:rsidP="00526ED5">
      <w:pPr>
        <w:rPr>
          <w:sz w:val="28"/>
          <w:szCs w:val="28"/>
        </w:rPr>
      </w:pPr>
    </w:p>
    <w:tbl>
      <w:tblPr>
        <w:tblStyle w:val="TableGrid"/>
        <w:tblpPr w:leftFromText="180" w:rightFromText="180" w:horzAnchor="margin" w:tblpXSpec="right" w:tblpY="510"/>
        <w:tblW w:w="0" w:type="auto"/>
        <w:tblBorders>
          <w:top w:val="none" w:sz="0" w:space="0" w:color="auto"/>
          <w:left w:val="none" w:sz="0" w:space="0" w:color="auto"/>
          <w:right w:val="none" w:sz="0" w:space="0" w:color="auto"/>
        </w:tblBorders>
        <w:tblLook w:val="04A0" w:firstRow="1" w:lastRow="0" w:firstColumn="1" w:lastColumn="0" w:noHBand="0" w:noVBand="1"/>
      </w:tblPr>
      <w:tblGrid>
        <w:gridCol w:w="5994"/>
      </w:tblGrid>
      <w:tr w:rsidR="00AD6ABF" w:rsidRPr="00C4267F" w:rsidTr="00DE797F">
        <w:tc>
          <w:tcPr>
            <w:tcW w:w="5994" w:type="dxa"/>
          </w:tcPr>
          <w:p w:rsidR="00A8669D" w:rsidRPr="00C4267F" w:rsidRDefault="00C2605A" w:rsidP="00C2605A">
            <w:pPr>
              <w:jc w:val="right"/>
              <w:rPr>
                <w:sz w:val="28"/>
                <w:szCs w:val="28"/>
              </w:rPr>
            </w:pPr>
            <w:r>
              <w:rPr>
                <w:sz w:val="28"/>
                <w:szCs w:val="28"/>
              </w:rPr>
              <w:t>S-1-FM-2022-000022</w:t>
            </w:r>
          </w:p>
          <w:p w:rsidR="00AD6ABF" w:rsidRPr="00C4267F" w:rsidRDefault="00AD6ABF" w:rsidP="00DE797F">
            <w:pPr>
              <w:jc w:val="right"/>
              <w:rPr>
                <w:sz w:val="28"/>
                <w:szCs w:val="28"/>
              </w:rPr>
            </w:pPr>
          </w:p>
        </w:tc>
      </w:tr>
      <w:tr w:rsidR="00AD6ABF" w:rsidRPr="00C4267F" w:rsidTr="00DE797F">
        <w:tc>
          <w:tcPr>
            <w:tcW w:w="5994" w:type="dxa"/>
          </w:tcPr>
          <w:p w:rsidR="00AD6ABF" w:rsidRPr="00C4267F" w:rsidRDefault="00AD6ABF" w:rsidP="00DE797F">
            <w:pPr>
              <w:tabs>
                <w:tab w:val="center" w:pos="2784"/>
              </w:tabs>
              <w:jc w:val="center"/>
              <w:rPr>
                <w:b/>
                <w:bCs/>
                <w:sz w:val="28"/>
                <w:szCs w:val="28"/>
                <w:lang w:val="en-GB"/>
              </w:rPr>
            </w:pPr>
          </w:p>
          <w:p w:rsidR="00AD6ABF" w:rsidRPr="00C4267F" w:rsidRDefault="00AD6ABF" w:rsidP="00DE797F">
            <w:pPr>
              <w:tabs>
                <w:tab w:val="center" w:pos="2784"/>
              </w:tabs>
              <w:jc w:val="center"/>
              <w:rPr>
                <w:b/>
                <w:bCs/>
                <w:sz w:val="28"/>
                <w:szCs w:val="28"/>
                <w:lang w:val="en-GB"/>
              </w:rPr>
            </w:pPr>
            <w:r w:rsidRPr="00C4267F">
              <w:rPr>
                <w:b/>
                <w:bCs/>
                <w:sz w:val="28"/>
                <w:szCs w:val="28"/>
                <w:lang w:val="en-GB"/>
              </w:rPr>
              <w:t>IN THE SUPREME COURT OF THE</w:t>
            </w:r>
          </w:p>
          <w:p w:rsidR="00AD6ABF" w:rsidRPr="00C4267F" w:rsidRDefault="00AD6ABF" w:rsidP="00DE797F">
            <w:pPr>
              <w:tabs>
                <w:tab w:val="center" w:pos="2784"/>
                <w:tab w:val="left" w:pos="4740"/>
              </w:tabs>
              <w:jc w:val="center"/>
              <w:rPr>
                <w:b/>
                <w:bCs/>
                <w:sz w:val="28"/>
                <w:szCs w:val="28"/>
                <w:lang w:val="en-GB"/>
              </w:rPr>
            </w:pPr>
            <w:r w:rsidRPr="00C4267F">
              <w:rPr>
                <w:b/>
                <w:bCs/>
                <w:sz w:val="28"/>
                <w:szCs w:val="28"/>
                <w:lang w:val="en-GB"/>
              </w:rPr>
              <w:t>NORTHWEST TERRITORIES</w:t>
            </w:r>
          </w:p>
          <w:p w:rsidR="00AD6ABF" w:rsidRPr="00C4267F" w:rsidRDefault="00AD6ABF" w:rsidP="00DE797F">
            <w:pPr>
              <w:pStyle w:val="NoSpacing"/>
              <w:rPr>
                <w:rFonts w:ascii="Times New Roman" w:hAnsi="Times New Roman" w:cs="Times New Roman"/>
                <w:sz w:val="28"/>
                <w:szCs w:val="28"/>
                <w:lang w:val="en-GB"/>
              </w:rPr>
            </w:pPr>
          </w:p>
        </w:tc>
      </w:tr>
      <w:tr w:rsidR="00AD6ABF" w:rsidRPr="00C4267F" w:rsidTr="00DE797F">
        <w:tc>
          <w:tcPr>
            <w:tcW w:w="5994" w:type="dxa"/>
          </w:tcPr>
          <w:p w:rsidR="00AD6ABF" w:rsidRPr="00C4267F" w:rsidRDefault="00AD6ABF" w:rsidP="00DE797F">
            <w:pPr>
              <w:rPr>
                <w:sz w:val="28"/>
                <w:szCs w:val="28"/>
              </w:rPr>
            </w:pPr>
          </w:p>
          <w:p w:rsidR="00AD6ABF" w:rsidRPr="00C4267F" w:rsidRDefault="00AD6ABF" w:rsidP="00DE797F">
            <w:pPr>
              <w:rPr>
                <w:sz w:val="28"/>
                <w:szCs w:val="28"/>
              </w:rPr>
            </w:pPr>
          </w:p>
          <w:p w:rsidR="00AD6ABF" w:rsidRPr="00C4267F" w:rsidRDefault="00AD6ABF" w:rsidP="00DE797F">
            <w:pPr>
              <w:rPr>
                <w:sz w:val="28"/>
                <w:szCs w:val="28"/>
              </w:rPr>
            </w:pPr>
            <w:r w:rsidRPr="00C4267F">
              <w:rPr>
                <w:sz w:val="28"/>
                <w:szCs w:val="28"/>
              </w:rPr>
              <w:t>BETWEEN</w:t>
            </w:r>
          </w:p>
          <w:p w:rsidR="00AD6ABF" w:rsidRPr="00C4267F" w:rsidRDefault="00AD6ABF" w:rsidP="00DE797F">
            <w:pPr>
              <w:rPr>
                <w:sz w:val="28"/>
                <w:szCs w:val="28"/>
              </w:rPr>
            </w:pPr>
          </w:p>
          <w:p w:rsidR="00AD6ABF" w:rsidRDefault="00C2605A" w:rsidP="00DE797F">
            <w:pPr>
              <w:jc w:val="center"/>
              <w:rPr>
                <w:sz w:val="28"/>
                <w:szCs w:val="28"/>
              </w:rPr>
            </w:pPr>
            <w:r>
              <w:rPr>
                <w:sz w:val="28"/>
                <w:szCs w:val="28"/>
              </w:rPr>
              <w:t>MARK BETSEDEA</w:t>
            </w:r>
          </w:p>
          <w:p w:rsidR="00C2605A" w:rsidRDefault="00C2605A" w:rsidP="00DE797F">
            <w:pPr>
              <w:jc w:val="center"/>
              <w:rPr>
                <w:sz w:val="28"/>
                <w:szCs w:val="28"/>
              </w:rPr>
            </w:pPr>
          </w:p>
          <w:p w:rsidR="00C2605A" w:rsidRPr="00C4267F" w:rsidRDefault="00C2605A" w:rsidP="00C2605A">
            <w:pPr>
              <w:jc w:val="right"/>
              <w:rPr>
                <w:sz w:val="28"/>
                <w:szCs w:val="28"/>
              </w:rPr>
            </w:pPr>
            <w:r>
              <w:rPr>
                <w:sz w:val="28"/>
                <w:szCs w:val="28"/>
              </w:rPr>
              <w:t>Applicant</w:t>
            </w:r>
          </w:p>
          <w:p w:rsidR="00AD6ABF" w:rsidRPr="00C4267F" w:rsidRDefault="00AD6ABF" w:rsidP="00C2605A">
            <w:pPr>
              <w:rPr>
                <w:sz w:val="28"/>
                <w:szCs w:val="28"/>
              </w:rPr>
            </w:pPr>
          </w:p>
          <w:p w:rsidR="00AD6ABF" w:rsidRPr="00C4267F" w:rsidRDefault="00AD6ABF" w:rsidP="00DE797F">
            <w:pPr>
              <w:pStyle w:val="ListParagraph"/>
              <w:ind w:left="0"/>
              <w:jc w:val="center"/>
              <w:rPr>
                <w:sz w:val="28"/>
                <w:szCs w:val="28"/>
              </w:rPr>
            </w:pPr>
            <w:r w:rsidRPr="00C4267F">
              <w:rPr>
                <w:sz w:val="28"/>
                <w:szCs w:val="28"/>
              </w:rPr>
              <w:t xml:space="preserve">  - and –</w:t>
            </w:r>
          </w:p>
          <w:p w:rsidR="00AD6ABF" w:rsidRPr="00C4267F" w:rsidRDefault="00AD6ABF" w:rsidP="00C2605A">
            <w:pPr>
              <w:pStyle w:val="ListParagraph"/>
              <w:ind w:left="0"/>
              <w:rPr>
                <w:sz w:val="28"/>
                <w:szCs w:val="28"/>
              </w:rPr>
            </w:pPr>
          </w:p>
          <w:p w:rsidR="00AD6ABF" w:rsidRPr="00C4267F" w:rsidRDefault="00C2605A" w:rsidP="00DE797F">
            <w:pPr>
              <w:pStyle w:val="ListParagraph"/>
              <w:ind w:left="0"/>
              <w:jc w:val="center"/>
              <w:rPr>
                <w:sz w:val="28"/>
                <w:szCs w:val="28"/>
              </w:rPr>
            </w:pPr>
            <w:r>
              <w:rPr>
                <w:sz w:val="28"/>
                <w:szCs w:val="28"/>
              </w:rPr>
              <w:t>MARTINA NORN</w:t>
            </w:r>
          </w:p>
          <w:p w:rsidR="00AD6ABF" w:rsidRPr="00C4267F" w:rsidRDefault="00AD6ABF" w:rsidP="00DE797F">
            <w:pPr>
              <w:pStyle w:val="ListParagraph"/>
              <w:ind w:left="0"/>
              <w:jc w:val="center"/>
              <w:rPr>
                <w:sz w:val="28"/>
                <w:szCs w:val="28"/>
              </w:rPr>
            </w:pPr>
          </w:p>
          <w:p w:rsidR="00AD6ABF" w:rsidRPr="00C4267F" w:rsidRDefault="00C2605A" w:rsidP="00C2605A">
            <w:pPr>
              <w:tabs>
                <w:tab w:val="left" w:pos="720"/>
                <w:tab w:val="left" w:pos="1452"/>
                <w:tab w:val="left" w:pos="2392"/>
              </w:tabs>
              <w:jc w:val="right"/>
              <w:rPr>
                <w:sz w:val="28"/>
                <w:szCs w:val="28"/>
                <w:lang w:val="en-GB"/>
              </w:rPr>
            </w:pPr>
            <w:r>
              <w:rPr>
                <w:sz w:val="28"/>
                <w:szCs w:val="28"/>
                <w:lang w:val="en-GB"/>
              </w:rPr>
              <w:t>Respondent</w:t>
            </w:r>
          </w:p>
          <w:p w:rsidR="00C2605A" w:rsidRPr="00C4267F" w:rsidRDefault="00C2605A" w:rsidP="00C2605A">
            <w:pPr>
              <w:rPr>
                <w:sz w:val="28"/>
                <w:szCs w:val="28"/>
              </w:rPr>
            </w:pPr>
          </w:p>
          <w:p w:rsidR="00C2605A" w:rsidRPr="00C4267F" w:rsidRDefault="00C2605A" w:rsidP="00C2605A">
            <w:pPr>
              <w:pStyle w:val="ListParagraph"/>
              <w:ind w:left="0"/>
              <w:jc w:val="center"/>
              <w:rPr>
                <w:sz w:val="28"/>
                <w:szCs w:val="28"/>
              </w:rPr>
            </w:pPr>
            <w:r w:rsidRPr="00C4267F">
              <w:rPr>
                <w:sz w:val="28"/>
                <w:szCs w:val="28"/>
              </w:rPr>
              <w:t xml:space="preserve">  - and –</w:t>
            </w:r>
          </w:p>
          <w:p w:rsidR="00C2605A" w:rsidRPr="00C4267F" w:rsidRDefault="00C2605A" w:rsidP="00C2605A">
            <w:pPr>
              <w:pStyle w:val="ListParagraph"/>
              <w:ind w:left="0"/>
              <w:rPr>
                <w:sz w:val="28"/>
                <w:szCs w:val="28"/>
              </w:rPr>
            </w:pPr>
          </w:p>
          <w:p w:rsidR="00AD6ABF" w:rsidRDefault="004B6E9B" w:rsidP="00DE797F">
            <w:pPr>
              <w:tabs>
                <w:tab w:val="left" w:pos="720"/>
                <w:tab w:val="left" w:pos="1452"/>
                <w:tab w:val="left" w:pos="2392"/>
              </w:tabs>
              <w:jc w:val="center"/>
              <w:rPr>
                <w:sz w:val="28"/>
                <w:szCs w:val="28"/>
                <w:lang w:val="en-GB"/>
              </w:rPr>
            </w:pPr>
            <w:r>
              <w:rPr>
                <w:sz w:val="28"/>
                <w:szCs w:val="28"/>
                <w:lang w:val="en-GB"/>
              </w:rPr>
              <w:t xml:space="preserve">PAYTON </w:t>
            </w:r>
            <w:r w:rsidR="002640B5">
              <w:rPr>
                <w:sz w:val="28"/>
                <w:szCs w:val="28"/>
                <w:lang w:val="en-GB"/>
              </w:rPr>
              <w:t>NORN</w:t>
            </w:r>
          </w:p>
          <w:p w:rsidR="00C2605A" w:rsidRDefault="00C2605A" w:rsidP="00DE797F">
            <w:pPr>
              <w:tabs>
                <w:tab w:val="left" w:pos="720"/>
                <w:tab w:val="left" w:pos="1452"/>
                <w:tab w:val="left" w:pos="2392"/>
              </w:tabs>
              <w:jc w:val="center"/>
              <w:rPr>
                <w:sz w:val="28"/>
                <w:szCs w:val="28"/>
                <w:lang w:val="en-GB"/>
              </w:rPr>
            </w:pPr>
          </w:p>
          <w:p w:rsidR="00C2605A" w:rsidRPr="00C4267F" w:rsidRDefault="00C2605A" w:rsidP="00C2605A">
            <w:pPr>
              <w:tabs>
                <w:tab w:val="left" w:pos="720"/>
                <w:tab w:val="left" w:pos="1452"/>
                <w:tab w:val="left" w:pos="2392"/>
              </w:tabs>
              <w:jc w:val="right"/>
              <w:rPr>
                <w:sz w:val="28"/>
                <w:szCs w:val="28"/>
                <w:lang w:val="en-GB"/>
              </w:rPr>
            </w:pPr>
            <w:r>
              <w:rPr>
                <w:sz w:val="28"/>
                <w:szCs w:val="28"/>
                <w:lang w:val="en-GB"/>
              </w:rPr>
              <w:t>Respondent</w:t>
            </w:r>
          </w:p>
          <w:p w:rsidR="00AD6ABF" w:rsidRPr="00C4267F" w:rsidRDefault="00AD6ABF" w:rsidP="00DE797F">
            <w:pPr>
              <w:tabs>
                <w:tab w:val="left" w:pos="720"/>
                <w:tab w:val="left" w:pos="1452"/>
                <w:tab w:val="left" w:pos="2392"/>
              </w:tabs>
              <w:jc w:val="center"/>
              <w:rPr>
                <w:sz w:val="28"/>
                <w:szCs w:val="28"/>
                <w:lang w:val="en-GB"/>
              </w:rPr>
            </w:pPr>
          </w:p>
          <w:p w:rsidR="00AD6ABF" w:rsidRPr="00C4267F" w:rsidRDefault="00AD6ABF" w:rsidP="00DE797F">
            <w:pPr>
              <w:rPr>
                <w:sz w:val="28"/>
                <w:szCs w:val="28"/>
              </w:rPr>
            </w:pPr>
          </w:p>
        </w:tc>
      </w:tr>
      <w:tr w:rsidR="00AD6ABF" w:rsidRPr="00C4267F" w:rsidTr="00DE797F">
        <w:tc>
          <w:tcPr>
            <w:tcW w:w="5994" w:type="dxa"/>
          </w:tcPr>
          <w:p w:rsidR="00AD6ABF" w:rsidRPr="00C4267F" w:rsidRDefault="00AD6ABF" w:rsidP="00DE797F">
            <w:pPr>
              <w:tabs>
                <w:tab w:val="left" w:pos="720"/>
                <w:tab w:val="left" w:pos="1452"/>
                <w:tab w:val="left" w:pos="2392"/>
              </w:tabs>
              <w:jc w:val="center"/>
              <w:rPr>
                <w:sz w:val="28"/>
                <w:szCs w:val="28"/>
                <w:lang w:val="en-GB"/>
              </w:rPr>
            </w:pPr>
          </w:p>
          <w:p w:rsidR="004A2BF7" w:rsidRDefault="00C2605A" w:rsidP="00DE797F">
            <w:pPr>
              <w:pStyle w:val="ListParagraph"/>
              <w:ind w:left="0"/>
              <w:jc w:val="center"/>
              <w:rPr>
                <w:sz w:val="28"/>
                <w:szCs w:val="28"/>
              </w:rPr>
            </w:pPr>
            <w:r>
              <w:rPr>
                <w:sz w:val="28"/>
                <w:szCs w:val="28"/>
              </w:rPr>
              <w:t>MEMORANDUM OF JUDGMENT</w:t>
            </w:r>
            <w:r w:rsidR="004A2BF7">
              <w:rPr>
                <w:sz w:val="28"/>
                <w:szCs w:val="28"/>
              </w:rPr>
              <w:t xml:space="preserve"> </w:t>
            </w:r>
          </w:p>
          <w:p w:rsidR="00D177D1" w:rsidRPr="004A2BF7" w:rsidRDefault="00D177D1" w:rsidP="004A2BF7">
            <w:pPr>
              <w:pStyle w:val="ListParagraph"/>
              <w:ind w:left="0"/>
              <w:jc w:val="center"/>
              <w:rPr>
                <w:sz w:val="28"/>
                <w:szCs w:val="28"/>
              </w:rPr>
            </w:pPr>
          </w:p>
          <w:p w:rsidR="00AD6ABF" w:rsidRPr="00C4267F" w:rsidRDefault="00AD6ABF" w:rsidP="00D177D1">
            <w:pPr>
              <w:tabs>
                <w:tab w:val="left" w:pos="720"/>
                <w:tab w:val="left" w:pos="1452"/>
                <w:tab w:val="left" w:pos="2392"/>
              </w:tabs>
              <w:jc w:val="center"/>
              <w:rPr>
                <w:sz w:val="28"/>
                <w:szCs w:val="28"/>
                <w:lang w:val="en-GB"/>
              </w:rPr>
            </w:pPr>
          </w:p>
        </w:tc>
      </w:tr>
    </w:tbl>
    <w:p w:rsidR="00AD6ABF" w:rsidRPr="00AD6ABF" w:rsidRDefault="00AD6ABF" w:rsidP="0011218E">
      <w:pPr>
        <w:jc w:val="both"/>
        <w:rPr>
          <w:sz w:val="28"/>
          <w:szCs w:val="28"/>
          <w:u w:val="single"/>
        </w:rPr>
      </w:pPr>
    </w:p>
    <w:sectPr w:rsidR="00AD6ABF" w:rsidRPr="00AD6ABF" w:rsidSect="0011218E">
      <w:headerReference w:type="default" r:id="rId10"/>
      <w:pgSz w:w="12240" w:h="15840"/>
      <w:pgMar w:top="1440" w:right="81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A2E" w:rsidRDefault="00432A2E" w:rsidP="00432A2E">
      <w:r>
        <w:separator/>
      </w:r>
    </w:p>
  </w:endnote>
  <w:endnote w:type="continuationSeparator" w:id="0">
    <w:p w:rsidR="00432A2E" w:rsidRDefault="00432A2E" w:rsidP="00432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A2E" w:rsidRDefault="00432A2E" w:rsidP="00432A2E">
      <w:r>
        <w:separator/>
      </w:r>
    </w:p>
  </w:footnote>
  <w:footnote w:type="continuationSeparator" w:id="0">
    <w:p w:rsidR="00432A2E" w:rsidRDefault="00432A2E" w:rsidP="00432A2E">
      <w:r>
        <w:continuationSeparator/>
      </w:r>
    </w:p>
  </w:footnote>
  <w:footnote w:id="1">
    <w:p w:rsidR="00EC58D0" w:rsidRPr="009E342A" w:rsidRDefault="00EC58D0" w:rsidP="00EC58D0">
      <w:pPr>
        <w:pStyle w:val="FootnoteText"/>
        <w:rPr>
          <w:rFonts w:ascii="Times New Roman" w:hAnsi="Times New Roman" w:cs="Times New Roman"/>
          <w:lang w:val="en-US"/>
        </w:rPr>
      </w:pPr>
      <w:r w:rsidRPr="009E342A">
        <w:rPr>
          <w:rStyle w:val="FootnoteReference"/>
          <w:rFonts w:ascii="Times New Roman" w:hAnsi="Times New Roman" w:cs="Times New Roman"/>
        </w:rPr>
        <w:footnoteRef/>
      </w:r>
      <w:r w:rsidRPr="009E342A">
        <w:rPr>
          <w:rFonts w:ascii="Times New Roman" w:hAnsi="Times New Roman" w:cs="Times New Roman"/>
        </w:rPr>
        <w:t xml:space="preserve"> </w:t>
      </w:r>
      <w:r w:rsidRPr="009E342A">
        <w:rPr>
          <w:rFonts w:ascii="Times New Roman" w:hAnsi="Times New Roman" w:cs="Times New Roman"/>
          <w:lang w:val="en-US"/>
        </w:rPr>
        <w:t>For ease of reference and to minimize confusion, the Respondent Payton Norn will be referred to as Payton Magrum (Magrum) in this decision.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ABF" w:rsidRPr="0032647A" w:rsidRDefault="00AD6ABF" w:rsidP="00C4267F">
    <w:pPr>
      <w:pStyle w:val="Header"/>
      <w:tabs>
        <w:tab w:val="left" w:pos="7215"/>
      </w:tabs>
    </w:pPr>
    <w:r>
      <w:tab/>
    </w:r>
    <w:r>
      <w:tab/>
    </w:r>
    <w:r>
      <w:tab/>
    </w:r>
    <w:r w:rsidRPr="0032647A">
      <w:t xml:space="preserve">Page:  </w:t>
    </w:r>
    <w:sdt>
      <w:sdtPr>
        <w:id w:val="-2107647944"/>
        <w:docPartObj>
          <w:docPartGallery w:val="Page Numbers (Top of Page)"/>
          <w:docPartUnique/>
        </w:docPartObj>
      </w:sdtPr>
      <w:sdtEndPr/>
      <w:sdtContent>
        <w:r w:rsidRPr="0032647A">
          <w:fldChar w:fldCharType="begin"/>
        </w:r>
        <w:r w:rsidRPr="0032647A">
          <w:instrText xml:space="preserve"> PAGE   \* MERGEFORMAT </w:instrText>
        </w:r>
        <w:r w:rsidRPr="0032647A">
          <w:fldChar w:fldCharType="separate"/>
        </w:r>
        <w:r w:rsidR="008F3DB8">
          <w:rPr>
            <w:noProof/>
          </w:rPr>
          <w:t>6</w:t>
        </w:r>
        <w:r w:rsidRPr="0032647A">
          <w:rPr>
            <w:noProof/>
          </w:rPr>
          <w:fldChar w:fldCharType="end"/>
        </w:r>
      </w:sdtContent>
    </w:sdt>
  </w:p>
  <w:p w:rsidR="00AD6ABF" w:rsidRDefault="00AD6A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ABF" w:rsidRDefault="00AD6ABF">
    <w:pPr>
      <w:pStyle w:val="Header"/>
      <w:jc w:val="right"/>
    </w:pPr>
  </w:p>
  <w:p w:rsidR="00AD6ABF" w:rsidRDefault="00AD6ABF" w:rsidP="005B5B19">
    <w:pPr>
      <w:pStyle w:val="Header"/>
      <w:tabs>
        <w:tab w:val="clear" w:pos="46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691014"/>
      <w:docPartObj>
        <w:docPartGallery w:val="Page Numbers (Top of Page)"/>
        <w:docPartUnique/>
      </w:docPartObj>
    </w:sdtPr>
    <w:sdtEndPr>
      <w:rPr>
        <w:noProof/>
      </w:rPr>
    </w:sdtEndPr>
    <w:sdtContent>
      <w:p w:rsidR="00AD6ABF" w:rsidRDefault="00AD6ABF">
        <w:pPr>
          <w:pStyle w:val="Header"/>
          <w:jc w:val="right"/>
        </w:pPr>
        <w:r>
          <w:t xml:space="preserve">Page:  </w:t>
        </w:r>
        <w:r>
          <w:fldChar w:fldCharType="begin"/>
        </w:r>
        <w:r>
          <w:instrText xml:space="preserve"> PAGE   \* MERGEFORMAT </w:instrText>
        </w:r>
        <w:r>
          <w:fldChar w:fldCharType="separate"/>
        </w:r>
        <w:r>
          <w:rPr>
            <w:noProof/>
          </w:rPr>
          <w:t>4</w:t>
        </w:r>
        <w:r>
          <w:rPr>
            <w:noProof/>
          </w:rPr>
          <w:fldChar w:fldCharType="end"/>
        </w:r>
      </w:p>
    </w:sdtContent>
  </w:sdt>
  <w:p w:rsidR="00432A2E" w:rsidRDefault="00432A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272EB"/>
    <w:multiLevelType w:val="hybridMultilevel"/>
    <w:tmpl w:val="AB64BB58"/>
    <w:lvl w:ilvl="0" w:tplc="BAEC72CA">
      <w:start w:val="1"/>
      <w:numFmt w:val="lowerLetter"/>
      <w:lvlText w:val="(%1)"/>
      <w:lvlJc w:val="left"/>
      <w:pPr>
        <w:ind w:left="1440" w:hanging="360"/>
      </w:pPr>
      <w:rPr>
        <w:rFonts w:hint="default"/>
        <w:i/>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206D2CBC"/>
    <w:multiLevelType w:val="hybridMultilevel"/>
    <w:tmpl w:val="0898F21A"/>
    <w:lvl w:ilvl="0" w:tplc="DE504002">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43A30043"/>
    <w:multiLevelType w:val="hybridMultilevel"/>
    <w:tmpl w:val="3D681E2C"/>
    <w:lvl w:ilvl="0" w:tplc="D40ECE92">
      <w:start w:val="1"/>
      <w:numFmt w:val="decimal"/>
      <w:lvlText w:val="[%1]"/>
      <w:lvlJc w:val="left"/>
      <w:pPr>
        <w:ind w:left="720" w:hanging="360"/>
      </w:pPr>
      <w:rPr>
        <w:rFonts w:ascii="Times New Roman" w:hAnsi="Times New Roman" w:hint="default"/>
        <w:b w:val="0"/>
        <w:i w:val="0"/>
        <w:sz w:val="28"/>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71E419A"/>
    <w:multiLevelType w:val="hybridMultilevel"/>
    <w:tmpl w:val="4508C774"/>
    <w:lvl w:ilvl="0" w:tplc="249E38C0">
      <w:start w:val="1"/>
      <w:numFmt w:val="lowerLetter"/>
      <w:lvlText w:val="(%1)"/>
      <w:lvlJc w:val="left"/>
      <w:pPr>
        <w:ind w:left="1440" w:hanging="360"/>
      </w:pPr>
      <w:rPr>
        <w:rFonts w:hint="default"/>
        <w:i/>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67A90418"/>
    <w:multiLevelType w:val="hybridMultilevel"/>
    <w:tmpl w:val="F3BE5EFC"/>
    <w:lvl w:ilvl="0" w:tplc="6C44C35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7EF727E0"/>
    <w:multiLevelType w:val="hybridMultilevel"/>
    <w:tmpl w:val="7AD81868"/>
    <w:lvl w:ilvl="0" w:tplc="1226C028">
      <w:start w:val="2"/>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8A8"/>
    <w:rsid w:val="00034AE7"/>
    <w:rsid w:val="00043617"/>
    <w:rsid w:val="00053012"/>
    <w:rsid w:val="0005363D"/>
    <w:rsid w:val="00071541"/>
    <w:rsid w:val="00074656"/>
    <w:rsid w:val="000C34B4"/>
    <w:rsid w:val="000F3ECA"/>
    <w:rsid w:val="0011218E"/>
    <w:rsid w:val="00121EE5"/>
    <w:rsid w:val="00133D01"/>
    <w:rsid w:val="001455E4"/>
    <w:rsid w:val="001561CC"/>
    <w:rsid w:val="00196840"/>
    <w:rsid w:val="001E0217"/>
    <w:rsid w:val="00214CA6"/>
    <w:rsid w:val="00261339"/>
    <w:rsid w:val="002640B5"/>
    <w:rsid w:val="00293356"/>
    <w:rsid w:val="002F2B7D"/>
    <w:rsid w:val="00343C7A"/>
    <w:rsid w:val="00347B03"/>
    <w:rsid w:val="00352F2B"/>
    <w:rsid w:val="00357F04"/>
    <w:rsid w:val="00366727"/>
    <w:rsid w:val="003D1E64"/>
    <w:rsid w:val="003D3675"/>
    <w:rsid w:val="00432A2E"/>
    <w:rsid w:val="004403F5"/>
    <w:rsid w:val="004A2BF7"/>
    <w:rsid w:val="004B6E9B"/>
    <w:rsid w:val="004C204D"/>
    <w:rsid w:val="004D2082"/>
    <w:rsid w:val="004E1E62"/>
    <w:rsid w:val="004E72DD"/>
    <w:rsid w:val="004F0BAC"/>
    <w:rsid w:val="004F4651"/>
    <w:rsid w:val="004F736C"/>
    <w:rsid w:val="00524D78"/>
    <w:rsid w:val="00526ED5"/>
    <w:rsid w:val="00534946"/>
    <w:rsid w:val="00555508"/>
    <w:rsid w:val="005C4D1E"/>
    <w:rsid w:val="00601F68"/>
    <w:rsid w:val="006030B1"/>
    <w:rsid w:val="00604262"/>
    <w:rsid w:val="00604D79"/>
    <w:rsid w:val="006415F5"/>
    <w:rsid w:val="00687386"/>
    <w:rsid w:val="00690F90"/>
    <w:rsid w:val="00696A2F"/>
    <w:rsid w:val="006A410B"/>
    <w:rsid w:val="00706692"/>
    <w:rsid w:val="007251A7"/>
    <w:rsid w:val="007402FE"/>
    <w:rsid w:val="007414A2"/>
    <w:rsid w:val="00756B6A"/>
    <w:rsid w:val="00775778"/>
    <w:rsid w:val="00795495"/>
    <w:rsid w:val="007D36A6"/>
    <w:rsid w:val="007F2D38"/>
    <w:rsid w:val="00813B2C"/>
    <w:rsid w:val="00824254"/>
    <w:rsid w:val="00843BCD"/>
    <w:rsid w:val="00856B53"/>
    <w:rsid w:val="008657AE"/>
    <w:rsid w:val="008A2BE1"/>
    <w:rsid w:val="008B3783"/>
    <w:rsid w:val="008F3DB8"/>
    <w:rsid w:val="00901307"/>
    <w:rsid w:val="00916E3E"/>
    <w:rsid w:val="00954664"/>
    <w:rsid w:val="009769A8"/>
    <w:rsid w:val="009C1D3E"/>
    <w:rsid w:val="009E342A"/>
    <w:rsid w:val="00A51D77"/>
    <w:rsid w:val="00A57F22"/>
    <w:rsid w:val="00A75E10"/>
    <w:rsid w:val="00A86158"/>
    <w:rsid w:val="00A8669D"/>
    <w:rsid w:val="00AB2FA6"/>
    <w:rsid w:val="00AB71F3"/>
    <w:rsid w:val="00AD0047"/>
    <w:rsid w:val="00AD6ABF"/>
    <w:rsid w:val="00AF3D5F"/>
    <w:rsid w:val="00AF67F1"/>
    <w:rsid w:val="00B0022A"/>
    <w:rsid w:val="00B21A44"/>
    <w:rsid w:val="00B25591"/>
    <w:rsid w:val="00B54983"/>
    <w:rsid w:val="00B7220A"/>
    <w:rsid w:val="00BB3588"/>
    <w:rsid w:val="00BF2E02"/>
    <w:rsid w:val="00C2605A"/>
    <w:rsid w:val="00C421F6"/>
    <w:rsid w:val="00C52097"/>
    <w:rsid w:val="00C86DD3"/>
    <w:rsid w:val="00D02976"/>
    <w:rsid w:val="00D177D1"/>
    <w:rsid w:val="00D21935"/>
    <w:rsid w:val="00D43DA3"/>
    <w:rsid w:val="00D54E80"/>
    <w:rsid w:val="00D76191"/>
    <w:rsid w:val="00DB55B1"/>
    <w:rsid w:val="00DF08A8"/>
    <w:rsid w:val="00DF365B"/>
    <w:rsid w:val="00E019B8"/>
    <w:rsid w:val="00E3151D"/>
    <w:rsid w:val="00EA6A6B"/>
    <w:rsid w:val="00EC58D0"/>
    <w:rsid w:val="00F224AD"/>
    <w:rsid w:val="00F25A01"/>
    <w:rsid w:val="00F672D8"/>
    <w:rsid w:val="00FC3D88"/>
    <w:rsid w:val="00FD3826"/>
    <w:rsid w:val="00FE0742"/>
    <w:rsid w:val="00FE65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FAE3D-D1E4-4B16-B0E3-4FAC66BEB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05A"/>
    <w:pPr>
      <w:widowControl w:val="0"/>
      <w:autoSpaceDE w:val="0"/>
      <w:autoSpaceDN w:val="0"/>
      <w:adjustRightInd w:val="0"/>
      <w:spacing w:after="0" w:line="240" w:lineRule="auto"/>
    </w:pPr>
    <w:rPr>
      <w:rFonts w:ascii="Times New Roman" w:eastAsiaTheme="minorEastAsia" w:hAnsi="Times New Roman" w:cs="Times New Roman"/>
      <w:sz w:val="24"/>
      <w:szCs w:val="24"/>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04D"/>
    <w:pPr>
      <w:ind w:left="720"/>
      <w:contextualSpacing/>
    </w:pPr>
  </w:style>
  <w:style w:type="paragraph" w:styleId="BalloonText">
    <w:name w:val="Balloon Text"/>
    <w:basedOn w:val="Normal"/>
    <w:link w:val="BalloonTextChar"/>
    <w:uiPriority w:val="99"/>
    <w:semiHidden/>
    <w:unhideWhenUsed/>
    <w:rsid w:val="004403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3F5"/>
    <w:rPr>
      <w:rFonts w:ascii="Segoe UI" w:eastAsiaTheme="minorEastAsia" w:hAnsi="Segoe UI" w:cs="Segoe UI"/>
      <w:sz w:val="18"/>
      <w:szCs w:val="18"/>
      <w:lang w:val="en-US" w:eastAsia="en-CA"/>
    </w:rPr>
  </w:style>
  <w:style w:type="paragraph" w:styleId="Header">
    <w:name w:val="header"/>
    <w:basedOn w:val="Normal"/>
    <w:link w:val="HeaderChar"/>
    <w:uiPriority w:val="99"/>
    <w:unhideWhenUsed/>
    <w:rsid w:val="00432A2E"/>
    <w:pPr>
      <w:tabs>
        <w:tab w:val="center" w:pos="4680"/>
        <w:tab w:val="right" w:pos="9360"/>
      </w:tabs>
    </w:pPr>
  </w:style>
  <w:style w:type="character" w:customStyle="1" w:styleId="HeaderChar">
    <w:name w:val="Header Char"/>
    <w:basedOn w:val="DefaultParagraphFont"/>
    <w:link w:val="Header"/>
    <w:uiPriority w:val="99"/>
    <w:rsid w:val="00432A2E"/>
    <w:rPr>
      <w:rFonts w:ascii="Times New Roman" w:eastAsiaTheme="minorEastAsia" w:hAnsi="Times New Roman" w:cs="Times New Roman"/>
      <w:sz w:val="24"/>
      <w:szCs w:val="24"/>
      <w:lang w:val="en-US" w:eastAsia="en-CA"/>
    </w:rPr>
  </w:style>
  <w:style w:type="paragraph" w:styleId="Footer">
    <w:name w:val="footer"/>
    <w:basedOn w:val="Normal"/>
    <w:link w:val="FooterChar"/>
    <w:uiPriority w:val="99"/>
    <w:unhideWhenUsed/>
    <w:rsid w:val="00432A2E"/>
    <w:pPr>
      <w:tabs>
        <w:tab w:val="center" w:pos="4680"/>
        <w:tab w:val="right" w:pos="9360"/>
      </w:tabs>
    </w:pPr>
  </w:style>
  <w:style w:type="character" w:customStyle="1" w:styleId="FooterChar">
    <w:name w:val="Footer Char"/>
    <w:basedOn w:val="DefaultParagraphFont"/>
    <w:link w:val="Footer"/>
    <w:uiPriority w:val="99"/>
    <w:rsid w:val="00432A2E"/>
    <w:rPr>
      <w:rFonts w:ascii="Times New Roman" w:eastAsiaTheme="minorEastAsia" w:hAnsi="Times New Roman" w:cs="Times New Roman"/>
      <w:sz w:val="24"/>
      <w:szCs w:val="24"/>
      <w:lang w:val="en-US" w:eastAsia="en-CA"/>
    </w:rPr>
  </w:style>
  <w:style w:type="paragraph" w:styleId="NoSpacing">
    <w:name w:val="No Spacing"/>
    <w:uiPriority w:val="1"/>
    <w:qFormat/>
    <w:rsid w:val="00AD6ABF"/>
    <w:pPr>
      <w:spacing w:after="0" w:line="240" w:lineRule="auto"/>
      <w:jc w:val="both"/>
    </w:pPr>
    <w:rPr>
      <w:rFonts w:ascii="Arial" w:hAnsi="Arial"/>
      <w:sz w:val="22"/>
      <w:lang w:val="en-US"/>
    </w:rPr>
  </w:style>
  <w:style w:type="table" w:styleId="TableGrid">
    <w:name w:val="Table Grid"/>
    <w:basedOn w:val="TableNormal"/>
    <w:uiPriority w:val="59"/>
    <w:rsid w:val="00AD6ABF"/>
    <w:pPr>
      <w:spacing w:after="0" w:line="240" w:lineRule="auto"/>
    </w:pPr>
    <w:rPr>
      <w:sz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47B03"/>
    <w:rPr>
      <w:color w:val="0563C1" w:themeColor="hyperlink"/>
      <w:u w:val="single"/>
    </w:rPr>
  </w:style>
  <w:style w:type="paragraph" w:styleId="FootnoteText">
    <w:name w:val="footnote text"/>
    <w:basedOn w:val="Normal"/>
    <w:link w:val="FootnoteTextChar"/>
    <w:uiPriority w:val="99"/>
    <w:semiHidden/>
    <w:unhideWhenUsed/>
    <w:rsid w:val="00EC58D0"/>
    <w:pPr>
      <w:widowControl/>
      <w:autoSpaceDE/>
      <w:autoSpaceDN/>
      <w:adjustRightInd/>
    </w:pPr>
    <w:rPr>
      <w:rFonts w:asciiTheme="minorHAnsi" w:eastAsiaTheme="minorHAnsi" w:hAnsiTheme="minorHAnsi" w:cstheme="minorBidi"/>
      <w:sz w:val="20"/>
      <w:szCs w:val="20"/>
      <w:lang w:val="en-GB" w:eastAsia="en-US"/>
    </w:rPr>
  </w:style>
  <w:style w:type="character" w:customStyle="1" w:styleId="FootnoteTextChar">
    <w:name w:val="Footnote Text Char"/>
    <w:basedOn w:val="DefaultParagraphFont"/>
    <w:link w:val="FootnoteText"/>
    <w:uiPriority w:val="99"/>
    <w:semiHidden/>
    <w:rsid w:val="00EC58D0"/>
    <w:rPr>
      <w:sz w:val="20"/>
      <w:szCs w:val="20"/>
      <w:lang w:val="en-GB"/>
    </w:rPr>
  </w:style>
  <w:style w:type="character" w:styleId="FootnoteReference">
    <w:name w:val="footnote reference"/>
    <w:basedOn w:val="DefaultParagraphFont"/>
    <w:uiPriority w:val="99"/>
    <w:semiHidden/>
    <w:unhideWhenUsed/>
    <w:rsid w:val="00EC58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61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2787A-C7FC-45A9-B5E3-C1E01EB2D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1680</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Smallwood</dc:creator>
  <cp:keywords/>
  <dc:description/>
  <cp:lastModifiedBy>Tami Martin</cp:lastModifiedBy>
  <cp:revision>2</cp:revision>
  <cp:lastPrinted>2022-08-10T19:23:00Z</cp:lastPrinted>
  <dcterms:created xsi:type="dcterms:W3CDTF">2022-08-10T22:19:00Z</dcterms:created>
  <dcterms:modified xsi:type="dcterms:W3CDTF">2022-08-10T22:19:00Z</dcterms:modified>
</cp:coreProperties>
</file>