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BD15A" w14:textId="35D8AF11" w:rsidR="00B94F8E" w:rsidRDefault="00E83C12" w:rsidP="0086002B">
      <w:pPr>
        <w:spacing w:after="0" w:line="240" w:lineRule="auto"/>
        <w:rPr>
          <w:rFonts w:ascii="Times New Roman" w:hAnsi="Times New Roman" w:cs="Times New Roman"/>
          <w:sz w:val="24"/>
          <w:szCs w:val="24"/>
        </w:rPr>
      </w:pPr>
      <w:r w:rsidRPr="009C4183">
        <w:rPr>
          <w:rFonts w:ascii="Times New Roman" w:hAnsi="Times New Roman" w:cs="Times New Roman"/>
          <w:i/>
          <w:sz w:val="24"/>
          <w:szCs w:val="24"/>
        </w:rPr>
        <w:t xml:space="preserve">McKinnon v Law Society of the NWT, </w:t>
      </w:r>
      <w:r w:rsidRPr="009C4183">
        <w:rPr>
          <w:rFonts w:ascii="Times New Roman" w:hAnsi="Times New Roman" w:cs="Times New Roman"/>
          <w:sz w:val="24"/>
          <w:szCs w:val="24"/>
        </w:rPr>
        <w:t>2022 NWTSC 14</w:t>
      </w:r>
    </w:p>
    <w:p w14:paraId="55F5B12B" w14:textId="77777777" w:rsidR="00836386" w:rsidRPr="009C4183" w:rsidRDefault="00836386" w:rsidP="0086002B">
      <w:pPr>
        <w:spacing w:after="0" w:line="240" w:lineRule="auto"/>
        <w:rPr>
          <w:rFonts w:ascii="Times New Roman" w:hAnsi="Times New Roman" w:cs="Times New Roman"/>
          <w:sz w:val="24"/>
          <w:szCs w:val="24"/>
        </w:rPr>
      </w:pPr>
    </w:p>
    <w:p w14:paraId="2E9B50B9" w14:textId="237CD3ED" w:rsidR="00B94F8E" w:rsidRPr="00B94F8E" w:rsidRDefault="001922F6" w:rsidP="0086002B">
      <w:pPr>
        <w:spacing w:after="0" w:line="240" w:lineRule="auto"/>
        <w:jc w:val="right"/>
        <w:rPr>
          <w:rFonts w:ascii="Times New Roman" w:hAnsi="Times New Roman" w:cs="Times New Roman"/>
          <w:sz w:val="28"/>
          <w:szCs w:val="28"/>
        </w:rPr>
      </w:pPr>
      <w:r w:rsidRPr="00B94F8E">
        <w:rPr>
          <w:rFonts w:ascii="Times New Roman" w:hAnsi="Times New Roman" w:cs="Times New Roman"/>
          <w:sz w:val="28"/>
          <w:szCs w:val="28"/>
        </w:rPr>
        <w:fldChar w:fldCharType="begin"/>
      </w:r>
      <w:r w:rsidR="00B94F8E" w:rsidRPr="00B94F8E">
        <w:rPr>
          <w:rFonts w:ascii="Times New Roman" w:hAnsi="Times New Roman" w:cs="Times New Roman"/>
          <w:sz w:val="28"/>
          <w:szCs w:val="28"/>
        </w:rPr>
        <w:instrText xml:space="preserve"> SEQ CHAPTER \h \r 1</w:instrText>
      </w:r>
      <w:r w:rsidRPr="00B94F8E">
        <w:rPr>
          <w:rFonts w:ascii="Times New Roman" w:hAnsi="Times New Roman" w:cs="Times New Roman"/>
          <w:sz w:val="28"/>
          <w:szCs w:val="28"/>
        </w:rPr>
        <w:fldChar w:fldCharType="end"/>
      </w:r>
      <w:r w:rsidR="00B94F8E" w:rsidRPr="00B94F8E">
        <w:rPr>
          <w:rFonts w:ascii="Times New Roman" w:hAnsi="Times New Roman" w:cs="Times New Roman"/>
          <w:sz w:val="28"/>
          <w:szCs w:val="28"/>
        </w:rPr>
        <w:t xml:space="preserve">Date: </w:t>
      </w:r>
      <w:bookmarkStart w:id="0" w:name="1"/>
      <w:bookmarkEnd w:id="0"/>
      <w:r w:rsidR="00B94F8E" w:rsidRPr="00B94F8E">
        <w:rPr>
          <w:rFonts w:ascii="Times New Roman" w:hAnsi="Times New Roman" w:cs="Times New Roman"/>
          <w:sz w:val="28"/>
          <w:szCs w:val="28"/>
        </w:rPr>
        <w:t xml:space="preserve"> </w:t>
      </w:r>
      <w:r w:rsidR="00E83C12">
        <w:rPr>
          <w:rFonts w:ascii="Times New Roman" w:hAnsi="Times New Roman" w:cs="Times New Roman"/>
          <w:sz w:val="28"/>
          <w:szCs w:val="28"/>
        </w:rPr>
        <w:t>2022 07 13</w:t>
      </w:r>
    </w:p>
    <w:p w14:paraId="177499AF" w14:textId="00278394" w:rsidR="00B94F8E" w:rsidRDefault="001922F6" w:rsidP="0086002B">
      <w:pPr>
        <w:spacing w:after="0" w:line="240" w:lineRule="auto"/>
        <w:jc w:val="right"/>
        <w:rPr>
          <w:rFonts w:ascii="Times New Roman" w:hAnsi="Times New Roman" w:cs="Times New Roman"/>
          <w:sz w:val="28"/>
          <w:szCs w:val="28"/>
        </w:rPr>
      </w:pPr>
      <w:r w:rsidRPr="00B94F8E">
        <w:rPr>
          <w:rFonts w:ascii="Times New Roman" w:hAnsi="Times New Roman" w:cs="Times New Roman"/>
          <w:sz w:val="28"/>
          <w:szCs w:val="28"/>
        </w:rPr>
        <w:fldChar w:fldCharType="begin"/>
      </w:r>
      <w:r w:rsidR="00B94F8E" w:rsidRPr="00B94F8E">
        <w:rPr>
          <w:rFonts w:ascii="Times New Roman" w:hAnsi="Times New Roman" w:cs="Times New Roman"/>
          <w:sz w:val="28"/>
          <w:szCs w:val="28"/>
        </w:rPr>
        <w:instrText xml:space="preserve"> SEQ CHAPTER \h \r 1</w:instrText>
      </w:r>
      <w:r w:rsidRPr="00B94F8E">
        <w:rPr>
          <w:rFonts w:ascii="Times New Roman" w:hAnsi="Times New Roman" w:cs="Times New Roman"/>
          <w:sz w:val="28"/>
          <w:szCs w:val="28"/>
        </w:rPr>
        <w:fldChar w:fldCharType="end"/>
      </w:r>
      <w:r w:rsidR="00B94F8E" w:rsidRPr="00B94F8E">
        <w:rPr>
          <w:rFonts w:ascii="Times New Roman" w:hAnsi="Times New Roman" w:cs="Times New Roman"/>
          <w:sz w:val="28"/>
          <w:szCs w:val="28"/>
        </w:rPr>
        <w:t xml:space="preserve">Docket: </w:t>
      </w:r>
      <w:bookmarkStart w:id="1" w:name="2"/>
      <w:bookmarkEnd w:id="1"/>
      <w:r w:rsidR="00B94F8E">
        <w:rPr>
          <w:rFonts w:ascii="Times New Roman" w:hAnsi="Times New Roman" w:cs="Times New Roman"/>
          <w:sz w:val="28"/>
          <w:szCs w:val="28"/>
        </w:rPr>
        <w:t xml:space="preserve"> </w:t>
      </w:r>
      <w:r w:rsidR="00E83C12">
        <w:rPr>
          <w:rFonts w:ascii="Times New Roman" w:hAnsi="Times New Roman" w:cs="Times New Roman"/>
          <w:sz w:val="28"/>
          <w:szCs w:val="28"/>
        </w:rPr>
        <w:t>S-1-CV-2021 000251</w:t>
      </w:r>
    </w:p>
    <w:p w14:paraId="6F388532" w14:textId="77777777" w:rsidR="00B94F8E" w:rsidRDefault="00B94F8E" w:rsidP="0086002B">
      <w:pPr>
        <w:spacing w:after="0" w:line="240" w:lineRule="auto"/>
        <w:jc w:val="right"/>
        <w:rPr>
          <w:rFonts w:ascii="Times New Roman" w:hAnsi="Times New Roman" w:cs="Times New Roman"/>
          <w:sz w:val="28"/>
          <w:szCs w:val="28"/>
        </w:rPr>
      </w:pPr>
    </w:p>
    <w:p w14:paraId="665AB8F6" w14:textId="77777777" w:rsidR="00B94F8E" w:rsidRDefault="00B94F8E" w:rsidP="0086002B">
      <w:pPr>
        <w:spacing w:after="0" w:line="240" w:lineRule="auto"/>
        <w:jc w:val="right"/>
        <w:rPr>
          <w:rFonts w:ascii="Times New Roman" w:hAnsi="Times New Roman" w:cs="Times New Roman"/>
          <w:sz w:val="28"/>
          <w:szCs w:val="28"/>
        </w:rPr>
      </w:pPr>
    </w:p>
    <w:p w14:paraId="4176A17D" w14:textId="77777777" w:rsidR="00784254" w:rsidRDefault="00784254" w:rsidP="0086002B">
      <w:pPr>
        <w:spacing w:line="240" w:lineRule="auto"/>
        <w:jc w:val="center"/>
        <w:rPr>
          <w:rFonts w:ascii="Times New Roman" w:hAnsi="Times New Roman" w:cs="Times New Roman"/>
          <w:sz w:val="28"/>
          <w:szCs w:val="28"/>
        </w:rPr>
      </w:pPr>
      <w:r>
        <w:rPr>
          <w:rFonts w:ascii="Times New Roman" w:hAnsi="Times New Roman" w:cs="Times New Roman"/>
          <w:sz w:val="28"/>
          <w:szCs w:val="28"/>
        </w:rPr>
        <w:t>IN THE SUPREME COURT OF THE NORTHWEST TERRITORIES</w:t>
      </w:r>
    </w:p>
    <w:p w14:paraId="0C8F44D5" w14:textId="4D3259EA" w:rsidR="009C4183" w:rsidRPr="009F40D1" w:rsidRDefault="009F40D1" w:rsidP="0086002B">
      <w:pPr>
        <w:spacing w:line="240" w:lineRule="auto"/>
        <w:jc w:val="center"/>
        <w:rPr>
          <w:rFonts w:ascii="Times New Roman" w:hAnsi="Times New Roman" w:cs="Times New Roman"/>
          <w:sz w:val="28"/>
          <w:szCs w:val="28"/>
        </w:rPr>
      </w:pPr>
      <w:r>
        <w:rPr>
          <w:rFonts w:ascii="Times New Roman" w:hAnsi="Times New Roman" w:cs="Times New Roman"/>
          <w:sz w:val="28"/>
          <w:szCs w:val="28"/>
        </w:rPr>
        <w:t>In The Matter of t</w:t>
      </w:r>
      <w:r w:rsidRPr="009F40D1">
        <w:rPr>
          <w:rFonts w:ascii="Times New Roman" w:hAnsi="Times New Roman" w:cs="Times New Roman"/>
          <w:sz w:val="28"/>
          <w:szCs w:val="28"/>
        </w:rPr>
        <w:t xml:space="preserve">he </w:t>
      </w:r>
      <w:r w:rsidRPr="00675EB4">
        <w:rPr>
          <w:rFonts w:ascii="Times New Roman" w:hAnsi="Times New Roman" w:cs="Times New Roman"/>
          <w:i/>
          <w:sz w:val="28"/>
          <w:szCs w:val="28"/>
        </w:rPr>
        <w:t>Legal Professional Act</w:t>
      </w:r>
      <w:r w:rsidR="009C4183" w:rsidRPr="009F40D1">
        <w:rPr>
          <w:rFonts w:ascii="Times New Roman" w:hAnsi="Times New Roman" w:cs="Times New Roman"/>
          <w:sz w:val="28"/>
          <w:szCs w:val="28"/>
        </w:rPr>
        <w:t>, Sections 22, 23 and</w:t>
      </w:r>
      <w:r>
        <w:rPr>
          <w:rFonts w:ascii="Times New Roman" w:hAnsi="Times New Roman" w:cs="Times New Roman"/>
          <w:sz w:val="28"/>
          <w:szCs w:val="28"/>
        </w:rPr>
        <w:t xml:space="preserve"> </w:t>
      </w:r>
      <w:r w:rsidR="009C4183" w:rsidRPr="009F40D1">
        <w:rPr>
          <w:rFonts w:ascii="Times New Roman" w:hAnsi="Times New Roman" w:cs="Times New Roman"/>
          <w:sz w:val="28"/>
          <w:szCs w:val="28"/>
        </w:rPr>
        <w:t>24,</w:t>
      </w:r>
    </w:p>
    <w:p w14:paraId="3B28C7A9" w14:textId="3166BAAE" w:rsidR="009C4183" w:rsidRPr="009F40D1" w:rsidRDefault="009F40D1" w:rsidP="008600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And In The Matter of a Decision of the Law Society of t</w:t>
      </w:r>
      <w:r w:rsidRPr="009F40D1">
        <w:rPr>
          <w:rFonts w:ascii="Times New Roman" w:hAnsi="Times New Roman" w:cs="Times New Roman"/>
          <w:sz w:val="28"/>
          <w:szCs w:val="28"/>
        </w:rPr>
        <w:t>he</w:t>
      </w:r>
    </w:p>
    <w:p w14:paraId="26806727" w14:textId="16457057" w:rsidR="009C4183" w:rsidRPr="009F40D1" w:rsidRDefault="009F40D1" w:rsidP="008600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Northwest Territories d</w:t>
      </w:r>
      <w:r w:rsidRPr="009F40D1">
        <w:rPr>
          <w:rFonts w:ascii="Times New Roman" w:hAnsi="Times New Roman" w:cs="Times New Roman"/>
          <w:sz w:val="28"/>
          <w:szCs w:val="28"/>
        </w:rPr>
        <w:t xml:space="preserve">ated </w:t>
      </w:r>
      <w:r>
        <w:rPr>
          <w:rFonts w:ascii="Times New Roman" w:hAnsi="Times New Roman" w:cs="Times New Roman"/>
          <w:sz w:val="28"/>
          <w:szCs w:val="28"/>
        </w:rPr>
        <w:t>September 3, 2021</w:t>
      </w:r>
    </w:p>
    <w:p w14:paraId="3E1B8101" w14:textId="0ACEA748" w:rsidR="005155E1" w:rsidRPr="005155E1" w:rsidRDefault="005155E1" w:rsidP="0086002B">
      <w:pPr>
        <w:spacing w:line="240" w:lineRule="auto"/>
        <w:rPr>
          <w:rFonts w:ascii="Times New Roman" w:hAnsi="Times New Roman" w:cs="Times New Roman"/>
          <w:sz w:val="28"/>
          <w:szCs w:val="28"/>
        </w:rPr>
      </w:pPr>
    </w:p>
    <w:p w14:paraId="404D0BCF" w14:textId="098FC501" w:rsidR="00E074CE" w:rsidRPr="00506689" w:rsidRDefault="005155E1" w:rsidP="0086002B">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ADAM MCKINNON</w:t>
      </w:r>
    </w:p>
    <w:p w14:paraId="66CAE12F" w14:textId="77777777" w:rsidR="00E074CE" w:rsidRPr="00506689" w:rsidRDefault="00E074CE" w:rsidP="0086002B">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Applicant</w:t>
      </w:r>
    </w:p>
    <w:p w14:paraId="102DB1E0" w14:textId="77777777" w:rsidR="00E074CE" w:rsidRPr="00506689" w:rsidRDefault="00E074CE" w:rsidP="0086002B">
      <w:pPr>
        <w:spacing w:line="240" w:lineRule="auto"/>
        <w:jc w:val="center"/>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-and-</w:t>
      </w:r>
    </w:p>
    <w:p w14:paraId="440DA422" w14:textId="77777777" w:rsidR="00E074CE" w:rsidRDefault="00E074CE" w:rsidP="0086002B">
      <w:pPr>
        <w:spacing w:line="240" w:lineRule="auto"/>
        <w:jc w:val="center"/>
        <w:rPr>
          <w:rFonts w:ascii="Times New Roman" w:hAnsi="Times New Roman" w:cs="Times New Roman"/>
          <w:color w:val="000000" w:themeColor="text1"/>
          <w:sz w:val="28"/>
          <w:szCs w:val="28"/>
        </w:rPr>
      </w:pPr>
    </w:p>
    <w:p w14:paraId="18AA5F4A" w14:textId="50D58CDB" w:rsidR="005155E1" w:rsidRDefault="005155E1" w:rsidP="0086002B">
      <w:pPr>
        <w:pStyle w:val="Party-UsedinTable"/>
        <w:spacing w:after="0"/>
        <w:jc w:val="center"/>
        <w:rPr>
          <w:sz w:val="28"/>
          <w:szCs w:val="28"/>
        </w:rPr>
      </w:pPr>
      <w:r w:rsidRPr="005155E1">
        <w:rPr>
          <w:sz w:val="28"/>
          <w:szCs w:val="28"/>
        </w:rPr>
        <w:t>LAW SOCIETY OF THE NORTHWEST TERRITORIES</w:t>
      </w:r>
    </w:p>
    <w:p w14:paraId="06EF87D5" w14:textId="77777777" w:rsidR="00E83C12" w:rsidRPr="005155E1" w:rsidRDefault="00E83C12" w:rsidP="0086002B">
      <w:pPr>
        <w:pStyle w:val="Party-UsedinTable"/>
        <w:spacing w:after="0"/>
        <w:jc w:val="center"/>
        <w:rPr>
          <w:sz w:val="28"/>
          <w:szCs w:val="28"/>
        </w:rPr>
      </w:pPr>
    </w:p>
    <w:p w14:paraId="77ECF05B" w14:textId="77777777" w:rsidR="00E074CE" w:rsidRPr="00506689" w:rsidRDefault="00E074CE" w:rsidP="0086002B">
      <w:pPr>
        <w:spacing w:line="240" w:lineRule="auto"/>
        <w:ind w:left="720" w:firstLine="7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Respondent</w:t>
      </w:r>
    </w:p>
    <w:p w14:paraId="57CDD655" w14:textId="77777777" w:rsidR="00784254" w:rsidRDefault="00784254" w:rsidP="0086002B">
      <w:pPr>
        <w:spacing w:line="240" w:lineRule="auto"/>
        <w:jc w:val="center"/>
        <w:rPr>
          <w:rFonts w:ascii="Times New Roman" w:hAnsi="Times New Roman" w:cs="Times New Roman"/>
          <w:sz w:val="28"/>
          <w:szCs w:val="28"/>
        </w:rPr>
      </w:pPr>
    </w:p>
    <w:p w14:paraId="0EA45DB6" w14:textId="76068554" w:rsidR="00784254" w:rsidRPr="00E83C12" w:rsidRDefault="00E83C12" w:rsidP="0086002B">
      <w:pPr>
        <w:spacing w:line="240" w:lineRule="auto"/>
        <w:jc w:val="center"/>
        <w:rPr>
          <w:rFonts w:ascii="Times New Roman" w:hAnsi="Times New Roman" w:cs="Times New Roman"/>
          <w:b/>
          <w:sz w:val="28"/>
          <w:szCs w:val="28"/>
          <w:u w:val="single"/>
        </w:rPr>
      </w:pPr>
      <w:r w:rsidRPr="00E83C12">
        <w:rPr>
          <w:rFonts w:ascii="Times New Roman" w:hAnsi="Times New Roman" w:cs="Times New Roman"/>
          <w:b/>
          <w:sz w:val="28"/>
          <w:szCs w:val="28"/>
          <w:u w:val="single"/>
        </w:rPr>
        <w:t>RULING ON APPLICATION FOR JUDICIAL REVIEW</w:t>
      </w:r>
    </w:p>
    <w:p w14:paraId="52ABD8FF" w14:textId="77777777" w:rsidR="003D3E8C" w:rsidRPr="00E83C12" w:rsidRDefault="003D3E8C" w:rsidP="0086002B">
      <w:pPr>
        <w:pStyle w:val="ListParagraph"/>
        <w:spacing w:after="0" w:line="240" w:lineRule="auto"/>
        <w:ind w:left="0"/>
        <w:jc w:val="center"/>
        <w:rPr>
          <w:rFonts w:ascii="Times New Roman" w:hAnsi="Times New Roman" w:cs="Times New Roman"/>
          <w:b/>
          <w:sz w:val="28"/>
          <w:szCs w:val="28"/>
        </w:rPr>
      </w:pPr>
    </w:p>
    <w:p w14:paraId="7B524397" w14:textId="77777777" w:rsidR="00820FF5" w:rsidRDefault="00820FF5" w:rsidP="0086002B">
      <w:pPr>
        <w:pStyle w:val="ListParagraph"/>
        <w:tabs>
          <w:tab w:val="left" w:pos="1134"/>
        </w:tabs>
        <w:spacing w:after="0" w:line="240" w:lineRule="auto"/>
        <w:ind w:left="0"/>
        <w:jc w:val="both"/>
        <w:rPr>
          <w:rFonts w:ascii="Times New Roman" w:hAnsi="Times New Roman" w:cs="Times New Roman"/>
          <w:b/>
          <w:bCs/>
          <w:sz w:val="28"/>
          <w:szCs w:val="28"/>
          <w:u w:val="single"/>
        </w:rPr>
      </w:pPr>
      <w:r w:rsidRPr="00820FF5">
        <w:rPr>
          <w:rFonts w:ascii="Times New Roman" w:hAnsi="Times New Roman" w:cs="Times New Roman"/>
          <w:b/>
          <w:bCs/>
          <w:sz w:val="28"/>
          <w:szCs w:val="28"/>
          <w:u w:val="single"/>
        </w:rPr>
        <w:t>Introduction</w:t>
      </w:r>
    </w:p>
    <w:p w14:paraId="200A41B4" w14:textId="77777777" w:rsidR="00143314" w:rsidRDefault="00143314" w:rsidP="0086002B">
      <w:pPr>
        <w:pStyle w:val="ListParagraph"/>
        <w:tabs>
          <w:tab w:val="left" w:pos="1134"/>
        </w:tabs>
        <w:spacing w:after="0" w:line="240" w:lineRule="auto"/>
        <w:ind w:left="0"/>
        <w:jc w:val="both"/>
        <w:rPr>
          <w:rFonts w:ascii="Times New Roman" w:hAnsi="Times New Roman" w:cs="Times New Roman"/>
          <w:b/>
          <w:bCs/>
          <w:sz w:val="28"/>
          <w:szCs w:val="28"/>
          <w:u w:val="single"/>
        </w:rPr>
      </w:pPr>
    </w:p>
    <w:p w14:paraId="49901041" w14:textId="0EEC6292" w:rsidR="00820FF5" w:rsidRPr="003B2FA2" w:rsidRDefault="0043285A" w:rsidP="0086002B">
      <w:pPr>
        <w:pStyle w:val="ListParagraph"/>
        <w:spacing w:after="240" w:line="240" w:lineRule="auto"/>
        <w:ind w:left="0"/>
        <w:contextualSpacing w:val="0"/>
        <w:jc w:val="both"/>
        <w:rPr>
          <w:rFonts w:ascii="Times New Roman" w:eastAsiaTheme="minorEastAsia" w:hAnsi="Times New Roman" w:cs="Times New Roman"/>
          <w:sz w:val="28"/>
          <w:szCs w:val="28"/>
          <w:lang w:eastAsia="en-CA"/>
        </w:rPr>
      </w:pPr>
      <w:r>
        <w:rPr>
          <w:rFonts w:ascii="Times New Roman" w:hAnsi="Times New Roman" w:cs="Times New Roman"/>
          <w:sz w:val="28"/>
          <w:szCs w:val="28"/>
        </w:rPr>
        <w:t>[1]</w:t>
      </w:r>
      <w:r>
        <w:rPr>
          <w:rFonts w:ascii="Times New Roman" w:hAnsi="Times New Roman" w:cs="Times New Roman"/>
          <w:sz w:val="28"/>
          <w:szCs w:val="28"/>
        </w:rPr>
        <w:tab/>
      </w:r>
      <w:r w:rsidR="00820FF5" w:rsidRPr="003B2FA2">
        <w:rPr>
          <w:rFonts w:ascii="Times New Roman" w:eastAsiaTheme="minorEastAsia" w:hAnsi="Times New Roman" w:cs="Times New Roman"/>
          <w:sz w:val="28"/>
          <w:szCs w:val="28"/>
          <w:lang w:eastAsia="en-CA"/>
        </w:rPr>
        <w:t xml:space="preserve">This Application for judicial review arises out of a family law proceeding in which the Applicant, Adam McKinnon (“the Applicant”), alleged improper conduct on the part of legal counsel for his former partner, Michelle Lavoie (“Ms. Lavoie”), and counsel assigned by the Office of the Children’s Lawyer (“OCL”). </w:t>
      </w:r>
    </w:p>
    <w:p w14:paraId="586D988C" w14:textId="77777777" w:rsidR="00820FF5" w:rsidRDefault="00820FF5" w:rsidP="0086002B">
      <w:pPr>
        <w:pStyle w:val="ListParagraph"/>
        <w:spacing w:after="240" w:line="240" w:lineRule="auto"/>
        <w:ind w:left="0"/>
        <w:contextualSpacing w:val="0"/>
        <w:jc w:val="both"/>
        <w:rPr>
          <w:rFonts w:ascii="Times New Roman" w:hAnsi="Times New Roman" w:cs="Times New Roman"/>
          <w:sz w:val="28"/>
          <w:szCs w:val="28"/>
        </w:rPr>
      </w:pPr>
      <w:r w:rsidRPr="003B2FA2">
        <w:rPr>
          <w:rFonts w:ascii="Times New Roman" w:eastAsiaTheme="minorEastAsia" w:hAnsi="Times New Roman" w:cs="Times New Roman"/>
          <w:sz w:val="28"/>
          <w:szCs w:val="28"/>
          <w:lang w:eastAsia="en-CA"/>
        </w:rPr>
        <w:t>[2]</w:t>
      </w:r>
      <w:r w:rsidRPr="003B2FA2">
        <w:rPr>
          <w:rFonts w:ascii="Times New Roman" w:eastAsiaTheme="minorEastAsia" w:hAnsi="Times New Roman" w:cs="Times New Roman"/>
          <w:sz w:val="28"/>
          <w:szCs w:val="28"/>
          <w:lang w:eastAsia="en-CA"/>
        </w:rPr>
        <w:tab/>
        <w:t>Specifically, the Applicant seeks judicial review of the September 3, 2021, decision (the “Decision”) of the Chair of the Discipline Committee of the Law Society of the Northwest Territories (the “Law Society”) to dismiss his complaints against opposing counsel, Keelen Simpson (“Ms. Simpson”), and OCL counsel, Ken Kinnear (“Mr. Kinnear</w:t>
      </w:r>
      <w:r w:rsidRPr="00820FF5">
        <w:rPr>
          <w:rFonts w:ascii="Times New Roman" w:hAnsi="Times New Roman" w:cs="Times New Roman"/>
          <w:sz w:val="28"/>
          <w:szCs w:val="28"/>
        </w:rPr>
        <w:t>”).</w:t>
      </w:r>
    </w:p>
    <w:p w14:paraId="1CA40513" w14:textId="77777777" w:rsidR="00FF6C14" w:rsidRDefault="00FF6C14" w:rsidP="0086002B">
      <w:pPr>
        <w:tabs>
          <w:tab w:val="left" w:pos="1134"/>
        </w:tabs>
        <w:spacing w:after="0" w:line="240" w:lineRule="auto"/>
        <w:jc w:val="both"/>
        <w:rPr>
          <w:rFonts w:ascii="Times New Roman" w:hAnsi="Times New Roman" w:cs="Times New Roman"/>
          <w:b/>
          <w:bCs/>
          <w:sz w:val="28"/>
          <w:szCs w:val="28"/>
          <w:u w:val="single"/>
        </w:rPr>
      </w:pPr>
    </w:p>
    <w:p w14:paraId="27108A82" w14:textId="77777777" w:rsidR="00A03101" w:rsidRDefault="00A03101" w:rsidP="0086002B">
      <w:pPr>
        <w:tabs>
          <w:tab w:val="left" w:pos="1134"/>
        </w:tabs>
        <w:spacing w:after="0" w:line="240" w:lineRule="auto"/>
        <w:jc w:val="both"/>
        <w:rPr>
          <w:rFonts w:ascii="Times New Roman" w:hAnsi="Times New Roman" w:cs="Times New Roman"/>
          <w:b/>
          <w:bCs/>
          <w:sz w:val="28"/>
          <w:szCs w:val="28"/>
          <w:u w:val="single"/>
        </w:rPr>
      </w:pPr>
    </w:p>
    <w:p w14:paraId="409E660F" w14:textId="77777777" w:rsidR="00A03101" w:rsidRDefault="00A03101" w:rsidP="0086002B">
      <w:pPr>
        <w:tabs>
          <w:tab w:val="left" w:pos="1134"/>
        </w:tabs>
        <w:spacing w:after="0" w:line="240" w:lineRule="auto"/>
        <w:jc w:val="both"/>
        <w:rPr>
          <w:rFonts w:ascii="Times New Roman" w:hAnsi="Times New Roman" w:cs="Times New Roman"/>
          <w:b/>
          <w:bCs/>
          <w:sz w:val="28"/>
          <w:szCs w:val="28"/>
          <w:u w:val="single"/>
        </w:rPr>
      </w:pPr>
    </w:p>
    <w:p w14:paraId="3D478884" w14:textId="77777777" w:rsidR="00820FF5" w:rsidRDefault="00820FF5" w:rsidP="0086002B">
      <w:pPr>
        <w:tabs>
          <w:tab w:val="left" w:pos="1134"/>
        </w:tabs>
        <w:spacing w:after="0" w:line="240" w:lineRule="auto"/>
        <w:jc w:val="both"/>
        <w:rPr>
          <w:rFonts w:ascii="Times New Roman" w:hAnsi="Times New Roman" w:cs="Times New Roman"/>
          <w:b/>
          <w:bCs/>
          <w:sz w:val="28"/>
          <w:szCs w:val="28"/>
          <w:u w:val="single"/>
        </w:rPr>
      </w:pPr>
      <w:r w:rsidRPr="00820FF5">
        <w:rPr>
          <w:rFonts w:ascii="Times New Roman" w:hAnsi="Times New Roman" w:cs="Times New Roman"/>
          <w:b/>
          <w:bCs/>
          <w:sz w:val="28"/>
          <w:szCs w:val="28"/>
          <w:u w:val="single"/>
        </w:rPr>
        <w:lastRenderedPageBreak/>
        <w:t xml:space="preserve">The Complaint against Ms. Simpson </w:t>
      </w:r>
    </w:p>
    <w:p w14:paraId="781C2511" w14:textId="77777777" w:rsidR="0027701D" w:rsidRPr="00820FF5" w:rsidRDefault="0027701D" w:rsidP="0086002B">
      <w:pPr>
        <w:tabs>
          <w:tab w:val="left" w:pos="1134"/>
        </w:tabs>
        <w:spacing w:after="0" w:line="240" w:lineRule="auto"/>
        <w:jc w:val="both"/>
        <w:rPr>
          <w:rFonts w:ascii="Times New Roman" w:hAnsi="Times New Roman" w:cs="Times New Roman"/>
          <w:b/>
          <w:bCs/>
          <w:sz w:val="28"/>
          <w:szCs w:val="28"/>
          <w:u w:val="single"/>
        </w:rPr>
      </w:pPr>
    </w:p>
    <w:p w14:paraId="0A406DBB" w14:textId="77777777" w:rsidR="00820FF5" w:rsidRDefault="00820FF5" w:rsidP="000D0D51">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[3]</w:t>
      </w:r>
      <w:r w:rsidRPr="00820FF5">
        <w:rPr>
          <w:rFonts w:ascii="Times New Roman" w:hAnsi="Times New Roman" w:cs="Times New Roman"/>
          <w:sz w:val="28"/>
          <w:szCs w:val="28"/>
        </w:rPr>
        <w:tab/>
        <w:t>The Applicant alleged in his May 21, 2021, complaint</w:t>
      </w:r>
      <w:r w:rsidRPr="00820FF5">
        <w:rPr>
          <w:rStyle w:val="FootnoteReference"/>
          <w:rFonts w:cs="Times New Roman"/>
          <w:szCs w:val="28"/>
        </w:rPr>
        <w:footnoteReference w:id="1"/>
      </w:r>
      <w:r w:rsidRPr="00820FF5">
        <w:rPr>
          <w:rFonts w:ascii="Times New Roman" w:hAnsi="Times New Roman" w:cs="Times New Roman"/>
          <w:sz w:val="28"/>
          <w:szCs w:val="28"/>
        </w:rPr>
        <w:t xml:space="preserve"> against Ms. Simpson that she:</w:t>
      </w:r>
    </w:p>
    <w:p w14:paraId="64BE5A6D" w14:textId="77777777" w:rsidR="00820FF5" w:rsidRPr="00820FF5" w:rsidRDefault="00820FF5" w:rsidP="00502D7E">
      <w:pPr>
        <w:pStyle w:val="ListParagraph"/>
        <w:numPr>
          <w:ilvl w:val="1"/>
          <w:numId w:val="12"/>
        </w:numPr>
        <w:tabs>
          <w:tab w:val="left" w:pos="1134"/>
        </w:tabs>
        <w:spacing w:after="0" w:line="360" w:lineRule="auto"/>
        <w:ind w:left="2268" w:hanging="567"/>
        <w:jc w:val="both"/>
        <w:rPr>
          <w:rFonts w:ascii="Times New Roman" w:hAnsi="Times New Roman" w:cs="Times New Roman"/>
          <w:sz w:val="28"/>
          <w:szCs w:val="28"/>
        </w:rPr>
      </w:pPr>
      <w:r w:rsidRPr="00820FF5">
        <w:rPr>
          <w:rFonts w:ascii="Times New Roman" w:hAnsi="Times New Roman" w:cs="Times New Roman"/>
          <w:sz w:val="28"/>
          <w:szCs w:val="28"/>
        </w:rPr>
        <w:t>Failed to communicate;</w:t>
      </w:r>
    </w:p>
    <w:p w14:paraId="759FE9FA" w14:textId="77777777" w:rsidR="00820FF5" w:rsidRPr="00820FF5" w:rsidRDefault="00820FF5" w:rsidP="00502D7E">
      <w:pPr>
        <w:pStyle w:val="ListParagraph"/>
        <w:numPr>
          <w:ilvl w:val="1"/>
          <w:numId w:val="12"/>
        </w:numPr>
        <w:tabs>
          <w:tab w:val="left" w:pos="1134"/>
        </w:tabs>
        <w:spacing w:after="0" w:line="360" w:lineRule="auto"/>
        <w:ind w:left="2268" w:hanging="567"/>
        <w:jc w:val="both"/>
        <w:rPr>
          <w:rFonts w:ascii="Times New Roman" w:hAnsi="Times New Roman" w:cs="Times New Roman"/>
          <w:sz w:val="28"/>
          <w:szCs w:val="28"/>
        </w:rPr>
      </w:pPr>
      <w:r w:rsidRPr="00820FF5">
        <w:rPr>
          <w:rFonts w:ascii="Times New Roman" w:hAnsi="Times New Roman" w:cs="Times New Roman"/>
          <w:sz w:val="28"/>
          <w:szCs w:val="28"/>
        </w:rPr>
        <w:t>Gave bad legal advice;</w:t>
      </w:r>
    </w:p>
    <w:p w14:paraId="12E0089F" w14:textId="77777777" w:rsidR="00820FF5" w:rsidRPr="00820FF5" w:rsidRDefault="00820FF5" w:rsidP="00502D7E">
      <w:pPr>
        <w:pStyle w:val="ListParagraph"/>
        <w:numPr>
          <w:ilvl w:val="1"/>
          <w:numId w:val="12"/>
        </w:numPr>
        <w:tabs>
          <w:tab w:val="left" w:pos="1134"/>
        </w:tabs>
        <w:spacing w:after="0" w:line="360" w:lineRule="auto"/>
        <w:ind w:left="2268" w:hanging="567"/>
        <w:jc w:val="both"/>
        <w:rPr>
          <w:rFonts w:ascii="Times New Roman" w:hAnsi="Times New Roman" w:cs="Times New Roman"/>
          <w:sz w:val="28"/>
          <w:szCs w:val="28"/>
        </w:rPr>
      </w:pPr>
      <w:r w:rsidRPr="00820FF5">
        <w:rPr>
          <w:rFonts w:ascii="Times New Roman" w:hAnsi="Times New Roman" w:cs="Times New Roman"/>
          <w:sz w:val="28"/>
          <w:szCs w:val="28"/>
        </w:rPr>
        <w:t>Made mistakes that caused Mr. McKinnon to lose money;</w:t>
      </w:r>
    </w:p>
    <w:p w14:paraId="37B76559" w14:textId="77777777" w:rsidR="00820FF5" w:rsidRPr="00820FF5" w:rsidRDefault="00820FF5" w:rsidP="00502D7E">
      <w:pPr>
        <w:pStyle w:val="ListParagraph"/>
        <w:numPr>
          <w:ilvl w:val="1"/>
          <w:numId w:val="12"/>
        </w:numPr>
        <w:tabs>
          <w:tab w:val="left" w:pos="1134"/>
        </w:tabs>
        <w:spacing w:after="0" w:line="360" w:lineRule="auto"/>
        <w:ind w:left="2268" w:hanging="567"/>
        <w:jc w:val="both"/>
        <w:rPr>
          <w:rFonts w:ascii="Times New Roman" w:hAnsi="Times New Roman" w:cs="Times New Roman"/>
          <w:sz w:val="28"/>
          <w:szCs w:val="28"/>
        </w:rPr>
      </w:pPr>
      <w:r w:rsidRPr="00820FF5">
        <w:rPr>
          <w:rFonts w:ascii="Times New Roman" w:hAnsi="Times New Roman" w:cs="Times New Roman"/>
          <w:sz w:val="28"/>
          <w:szCs w:val="28"/>
        </w:rPr>
        <w:t>Provided inadequate representation;</w:t>
      </w:r>
    </w:p>
    <w:p w14:paraId="11B7D9E8" w14:textId="77777777" w:rsidR="00820FF5" w:rsidRPr="00820FF5" w:rsidRDefault="00820FF5" w:rsidP="00502D7E">
      <w:pPr>
        <w:pStyle w:val="ListParagraph"/>
        <w:numPr>
          <w:ilvl w:val="1"/>
          <w:numId w:val="12"/>
        </w:numPr>
        <w:tabs>
          <w:tab w:val="left" w:pos="1134"/>
        </w:tabs>
        <w:spacing w:after="0" w:line="360" w:lineRule="auto"/>
        <w:ind w:left="2268" w:hanging="567"/>
        <w:jc w:val="both"/>
        <w:rPr>
          <w:rFonts w:ascii="Times New Roman" w:hAnsi="Times New Roman" w:cs="Times New Roman"/>
          <w:sz w:val="28"/>
          <w:szCs w:val="28"/>
        </w:rPr>
      </w:pPr>
      <w:r w:rsidRPr="00820FF5">
        <w:rPr>
          <w:rFonts w:ascii="Times New Roman" w:hAnsi="Times New Roman" w:cs="Times New Roman"/>
          <w:sz w:val="28"/>
          <w:szCs w:val="28"/>
        </w:rPr>
        <w:t>Provided inadequate/wrong advice;</w:t>
      </w:r>
    </w:p>
    <w:p w14:paraId="552F5333" w14:textId="77777777" w:rsidR="00820FF5" w:rsidRPr="00820FF5" w:rsidRDefault="00820FF5" w:rsidP="00502D7E">
      <w:pPr>
        <w:pStyle w:val="ListParagraph"/>
        <w:numPr>
          <w:ilvl w:val="1"/>
          <w:numId w:val="12"/>
        </w:numPr>
        <w:tabs>
          <w:tab w:val="left" w:pos="1134"/>
        </w:tabs>
        <w:spacing w:after="0" w:line="360" w:lineRule="auto"/>
        <w:ind w:left="2268" w:hanging="567"/>
        <w:jc w:val="both"/>
        <w:rPr>
          <w:rFonts w:ascii="Times New Roman" w:hAnsi="Times New Roman" w:cs="Times New Roman"/>
          <w:sz w:val="28"/>
          <w:szCs w:val="28"/>
        </w:rPr>
      </w:pPr>
      <w:r w:rsidRPr="00820FF5">
        <w:rPr>
          <w:rFonts w:ascii="Times New Roman" w:hAnsi="Times New Roman" w:cs="Times New Roman"/>
          <w:sz w:val="28"/>
          <w:szCs w:val="28"/>
        </w:rPr>
        <w:t>Misused the Court system;</w:t>
      </w:r>
    </w:p>
    <w:p w14:paraId="1397B508" w14:textId="77777777" w:rsidR="00820FF5" w:rsidRPr="00820FF5" w:rsidRDefault="00820FF5" w:rsidP="00502D7E">
      <w:pPr>
        <w:pStyle w:val="ListParagraph"/>
        <w:numPr>
          <w:ilvl w:val="1"/>
          <w:numId w:val="12"/>
        </w:numPr>
        <w:tabs>
          <w:tab w:val="left" w:pos="1134"/>
        </w:tabs>
        <w:spacing w:after="0" w:line="360" w:lineRule="auto"/>
        <w:ind w:left="2268" w:hanging="567"/>
        <w:jc w:val="both"/>
        <w:rPr>
          <w:rFonts w:ascii="Times New Roman" w:hAnsi="Times New Roman" w:cs="Times New Roman"/>
          <w:sz w:val="28"/>
          <w:szCs w:val="28"/>
        </w:rPr>
      </w:pPr>
      <w:r w:rsidRPr="00820FF5">
        <w:rPr>
          <w:rFonts w:ascii="Times New Roman" w:hAnsi="Times New Roman" w:cs="Times New Roman"/>
          <w:sz w:val="28"/>
          <w:szCs w:val="28"/>
        </w:rPr>
        <w:t>Failed to serve him;</w:t>
      </w:r>
    </w:p>
    <w:p w14:paraId="3E089DCB" w14:textId="77777777" w:rsidR="00820FF5" w:rsidRPr="00820FF5" w:rsidRDefault="00820FF5" w:rsidP="00502D7E">
      <w:pPr>
        <w:pStyle w:val="ListParagraph"/>
        <w:numPr>
          <w:ilvl w:val="1"/>
          <w:numId w:val="12"/>
        </w:numPr>
        <w:tabs>
          <w:tab w:val="left" w:pos="1134"/>
        </w:tabs>
        <w:spacing w:after="0" w:line="360" w:lineRule="auto"/>
        <w:ind w:left="2268" w:hanging="567"/>
        <w:jc w:val="both"/>
        <w:rPr>
          <w:rFonts w:ascii="Times New Roman" w:hAnsi="Times New Roman" w:cs="Times New Roman"/>
          <w:sz w:val="28"/>
          <w:szCs w:val="28"/>
        </w:rPr>
      </w:pPr>
      <w:r w:rsidRPr="00820FF5">
        <w:rPr>
          <w:rFonts w:ascii="Times New Roman" w:hAnsi="Times New Roman" w:cs="Times New Roman"/>
          <w:sz w:val="28"/>
          <w:szCs w:val="28"/>
        </w:rPr>
        <w:t>Deceived the Court, and</w:t>
      </w:r>
    </w:p>
    <w:p w14:paraId="6B9A3CD3" w14:textId="77777777" w:rsidR="00820FF5" w:rsidRDefault="00820FF5" w:rsidP="00502D7E">
      <w:pPr>
        <w:pStyle w:val="ListParagraph"/>
        <w:numPr>
          <w:ilvl w:val="1"/>
          <w:numId w:val="12"/>
        </w:numPr>
        <w:tabs>
          <w:tab w:val="left" w:pos="1134"/>
        </w:tabs>
        <w:spacing w:after="0" w:line="360" w:lineRule="auto"/>
        <w:ind w:left="2268" w:hanging="567"/>
        <w:jc w:val="both"/>
        <w:rPr>
          <w:rFonts w:ascii="Times New Roman" w:hAnsi="Times New Roman" w:cs="Times New Roman"/>
          <w:sz w:val="28"/>
          <w:szCs w:val="28"/>
        </w:rPr>
      </w:pPr>
      <w:r w:rsidRPr="00820FF5">
        <w:rPr>
          <w:rFonts w:ascii="Times New Roman" w:hAnsi="Times New Roman" w:cs="Times New Roman"/>
          <w:sz w:val="28"/>
          <w:szCs w:val="28"/>
        </w:rPr>
        <w:t>Caused damage to a family and then walked away.</w:t>
      </w:r>
      <w:r w:rsidRPr="00820FF5">
        <w:rPr>
          <w:rStyle w:val="FootnoteReference"/>
          <w:rFonts w:cs="Times New Roman"/>
          <w:szCs w:val="28"/>
        </w:rPr>
        <w:footnoteReference w:id="2"/>
      </w:r>
    </w:p>
    <w:p w14:paraId="45A72ED9" w14:textId="77777777" w:rsidR="00D50CF6" w:rsidRDefault="00D50CF6" w:rsidP="00D50CF6">
      <w:pPr>
        <w:pStyle w:val="ListParagraph"/>
        <w:tabs>
          <w:tab w:val="left" w:pos="1134"/>
        </w:tabs>
        <w:spacing w:after="0" w:line="360" w:lineRule="auto"/>
        <w:ind w:left="2268"/>
        <w:jc w:val="both"/>
        <w:rPr>
          <w:rFonts w:ascii="Times New Roman" w:hAnsi="Times New Roman" w:cs="Times New Roman"/>
          <w:sz w:val="28"/>
          <w:szCs w:val="28"/>
        </w:rPr>
      </w:pPr>
    </w:p>
    <w:p w14:paraId="36BAF6A3"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[4]</w:t>
      </w:r>
      <w:r w:rsidRPr="00820FF5">
        <w:rPr>
          <w:rFonts w:ascii="Times New Roman" w:hAnsi="Times New Roman" w:cs="Times New Roman"/>
          <w:sz w:val="28"/>
          <w:szCs w:val="28"/>
        </w:rPr>
        <w:tab/>
        <w:t>To reiterate, Ms. Simpson was not the Applicant’s lawyer.</w:t>
      </w:r>
    </w:p>
    <w:p w14:paraId="3D949458" w14:textId="77777777" w:rsidR="00820FF5" w:rsidRPr="00820FF5" w:rsidRDefault="00820FF5" w:rsidP="0086002B">
      <w:pPr>
        <w:pStyle w:val="ListParagraph"/>
        <w:spacing w:after="0" w:line="240" w:lineRule="auto"/>
        <w:ind w:left="0"/>
        <w:jc w:val="both"/>
        <w:rPr>
          <w:rFonts w:ascii="Times New Roman" w:hAnsi="Times New Roman" w:cs="Times New Roman"/>
          <w:sz w:val="28"/>
          <w:szCs w:val="28"/>
        </w:rPr>
      </w:pPr>
    </w:p>
    <w:p w14:paraId="080BD89A" w14:textId="77777777"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[5]</w:t>
      </w:r>
      <w:r w:rsidRPr="00820FF5">
        <w:rPr>
          <w:rFonts w:ascii="Times New Roman" w:hAnsi="Times New Roman" w:cs="Times New Roman"/>
          <w:sz w:val="28"/>
          <w:szCs w:val="28"/>
        </w:rPr>
        <w:tab/>
        <w:t>Between April 2, 2019, and July 23, 2020, Ms. Simpson represented Ms. Lavoie in a matter involving the custody, access and child support of the child, Kohlton Edward McKinnon (“Kohlton”).</w:t>
      </w:r>
      <w:r w:rsidRPr="00820FF5">
        <w:rPr>
          <w:rStyle w:val="FootnoteReference"/>
          <w:rFonts w:cs="Times New Roman"/>
          <w:szCs w:val="28"/>
        </w:rPr>
        <w:footnoteReference w:id="3"/>
      </w:r>
      <w:r w:rsidRPr="00820FF5">
        <w:rPr>
          <w:rFonts w:ascii="Times New Roman" w:hAnsi="Times New Roman" w:cs="Times New Roman"/>
          <w:sz w:val="28"/>
          <w:szCs w:val="28"/>
        </w:rPr>
        <w:t xml:space="preserve">  </w:t>
      </w:r>
    </w:p>
    <w:p w14:paraId="2B98F6C0" w14:textId="77777777" w:rsidR="0027701D" w:rsidRPr="00820FF5" w:rsidRDefault="0027701D" w:rsidP="0086002B">
      <w:pPr>
        <w:pStyle w:val="ListParagraph"/>
        <w:tabs>
          <w:tab w:val="left" w:pos="1134"/>
        </w:tabs>
        <w:spacing w:after="0" w:line="240" w:lineRule="auto"/>
        <w:ind w:left="0"/>
        <w:jc w:val="both"/>
        <w:rPr>
          <w:rFonts w:ascii="Times New Roman" w:hAnsi="Times New Roman" w:cs="Times New Roman"/>
          <w:sz w:val="28"/>
          <w:szCs w:val="28"/>
        </w:rPr>
      </w:pPr>
    </w:p>
    <w:p w14:paraId="67BC15D7" w14:textId="6765DF0F"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[6]</w:t>
      </w:r>
      <w:r w:rsidRPr="00820FF5">
        <w:rPr>
          <w:rFonts w:ascii="Times New Roman" w:hAnsi="Times New Roman" w:cs="Times New Roman"/>
          <w:sz w:val="28"/>
          <w:szCs w:val="28"/>
        </w:rPr>
        <w:tab/>
        <w:t>During a court appearance on August 8, 2019, the Applicant requested overnight access with Kohlton.</w:t>
      </w:r>
      <w:r w:rsidRPr="00820FF5">
        <w:rPr>
          <w:rStyle w:val="FootnoteReference"/>
          <w:rFonts w:cs="Times New Roman"/>
          <w:szCs w:val="28"/>
        </w:rPr>
        <w:footnoteReference w:id="4"/>
      </w:r>
      <w:r w:rsidRPr="00820FF5">
        <w:rPr>
          <w:rFonts w:ascii="Times New Roman" w:hAnsi="Times New Roman" w:cs="Times New Roman"/>
          <w:sz w:val="28"/>
          <w:szCs w:val="28"/>
        </w:rPr>
        <w:t xml:space="preserve">  </w:t>
      </w:r>
    </w:p>
    <w:p w14:paraId="4A2B3B15" w14:textId="77777777" w:rsidR="00820FF5" w:rsidRPr="00820FF5" w:rsidRDefault="00820FF5" w:rsidP="0086002B">
      <w:pPr>
        <w:pStyle w:val="ListParagraph"/>
        <w:tabs>
          <w:tab w:val="left" w:pos="1134"/>
        </w:tabs>
        <w:spacing w:after="0" w:line="240" w:lineRule="auto"/>
        <w:ind w:left="0"/>
        <w:jc w:val="both"/>
        <w:rPr>
          <w:rFonts w:ascii="Times New Roman" w:hAnsi="Times New Roman" w:cs="Times New Roman"/>
          <w:sz w:val="28"/>
          <w:szCs w:val="28"/>
        </w:rPr>
      </w:pPr>
    </w:p>
    <w:p w14:paraId="359EC2D5" w14:textId="76109581"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[7]</w:t>
      </w:r>
      <w:r w:rsidRPr="00820FF5">
        <w:rPr>
          <w:rFonts w:ascii="Times New Roman" w:hAnsi="Times New Roman" w:cs="Times New Roman"/>
          <w:sz w:val="28"/>
          <w:szCs w:val="28"/>
        </w:rPr>
        <w:tab/>
        <w:t>In response to the Applicant’s request for overnight access, Ms. Lavoie swore an Affidavit dated August 12, 2019 (the “Lavoie Affidavit”).</w:t>
      </w:r>
      <w:r w:rsidRPr="00820FF5">
        <w:rPr>
          <w:rStyle w:val="FootnoteReference"/>
          <w:rFonts w:cs="Times New Roman"/>
          <w:szCs w:val="28"/>
        </w:rPr>
        <w:footnoteReference w:id="5"/>
      </w:r>
      <w:r w:rsidRPr="00820FF5">
        <w:rPr>
          <w:rFonts w:ascii="Times New Roman" w:hAnsi="Times New Roman" w:cs="Times New Roman"/>
          <w:sz w:val="28"/>
          <w:szCs w:val="28"/>
        </w:rPr>
        <w:t xml:space="preserve">  </w:t>
      </w:r>
    </w:p>
    <w:p w14:paraId="4CC1E626" w14:textId="77777777" w:rsidR="00D50CF6" w:rsidRDefault="00D50CF6" w:rsidP="0086002B">
      <w:pPr>
        <w:pStyle w:val="ListParagraph"/>
        <w:spacing w:after="0" w:line="240" w:lineRule="auto"/>
        <w:ind w:left="0"/>
        <w:contextualSpacing w:val="0"/>
        <w:jc w:val="both"/>
        <w:rPr>
          <w:rFonts w:ascii="Times New Roman" w:hAnsi="Times New Roman" w:cs="Times New Roman"/>
          <w:sz w:val="28"/>
          <w:szCs w:val="28"/>
        </w:rPr>
      </w:pPr>
    </w:p>
    <w:p w14:paraId="286967B4" w14:textId="5A7B89A6" w:rsidR="00820FF5" w:rsidRDefault="00820FF5" w:rsidP="0086002B">
      <w:pPr>
        <w:pStyle w:val="ListParagraph"/>
        <w:spacing w:after="24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[8]</w:t>
      </w:r>
      <w:r w:rsidRPr="00820FF5">
        <w:rPr>
          <w:rFonts w:ascii="Times New Roman" w:hAnsi="Times New Roman" w:cs="Times New Roman"/>
          <w:sz w:val="28"/>
          <w:szCs w:val="28"/>
        </w:rPr>
        <w:tab/>
        <w:t>Ms. Simpson asked her assistant to serve the Applicant with the Lavoie Affidavit by email.</w:t>
      </w:r>
      <w:r w:rsidRPr="00820FF5">
        <w:rPr>
          <w:rStyle w:val="FootnoteReference"/>
          <w:rFonts w:cs="Times New Roman"/>
          <w:szCs w:val="28"/>
        </w:rPr>
        <w:footnoteReference w:id="6"/>
      </w:r>
      <w:r w:rsidRPr="00820FF5">
        <w:rPr>
          <w:rFonts w:ascii="Times New Roman" w:hAnsi="Times New Roman" w:cs="Times New Roman"/>
          <w:sz w:val="28"/>
          <w:szCs w:val="28"/>
        </w:rPr>
        <w:t xml:space="preserve">  </w:t>
      </w:r>
    </w:p>
    <w:p w14:paraId="45561E7F" w14:textId="0918EE03" w:rsidR="00820FF5" w:rsidRDefault="00820FF5" w:rsidP="0086002B">
      <w:pPr>
        <w:pStyle w:val="ListParagraph"/>
        <w:spacing w:after="24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lastRenderedPageBreak/>
        <w:t>[9]</w:t>
      </w:r>
      <w:r w:rsidRPr="00820FF5">
        <w:rPr>
          <w:rFonts w:ascii="Times New Roman" w:hAnsi="Times New Roman" w:cs="Times New Roman"/>
          <w:sz w:val="28"/>
          <w:szCs w:val="28"/>
        </w:rPr>
        <w:tab/>
        <w:t>On August 14, 2019, Ms. Simpson’s assistant swore and filed an Affidavit of Service indicating that she had served the Lavoie Affidavit on the Applicant by email.</w:t>
      </w:r>
      <w:r w:rsidRPr="00395047">
        <w:rPr>
          <w:rFonts w:ascii="Times New Roman" w:hAnsi="Times New Roman" w:cs="Times New Roman"/>
          <w:sz w:val="28"/>
          <w:szCs w:val="28"/>
          <w:vertAlign w:val="superscript"/>
        </w:rPr>
        <w:footnoteReference w:id="7"/>
      </w:r>
      <w:r w:rsidRPr="00395047">
        <w:rPr>
          <w:rFonts w:ascii="Times New Roman" w:hAnsi="Times New Roman" w:cs="Times New Roman"/>
          <w:sz w:val="28"/>
          <w:szCs w:val="28"/>
          <w:vertAlign w:val="superscript"/>
        </w:rPr>
        <w:t xml:space="preserve">  </w:t>
      </w:r>
    </w:p>
    <w:p w14:paraId="0B6F26D9" w14:textId="053D31C5" w:rsidR="00820FF5" w:rsidRPr="003B2FA2"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[10]</w:t>
      </w:r>
      <w:r w:rsidRPr="00820FF5">
        <w:rPr>
          <w:rFonts w:ascii="Times New Roman" w:hAnsi="Times New Roman" w:cs="Times New Roman"/>
          <w:sz w:val="28"/>
          <w:szCs w:val="28"/>
        </w:rPr>
        <w:tab/>
        <w:t>Thereafter, Ms. Simpson stated that the Affidavit of Service did not indicate that the Applicant received the email.</w:t>
      </w:r>
      <w:r w:rsidRPr="00395047">
        <w:rPr>
          <w:rFonts w:ascii="Times New Roman" w:hAnsi="Times New Roman" w:cs="Times New Roman"/>
          <w:sz w:val="28"/>
          <w:szCs w:val="28"/>
          <w:vertAlign w:val="superscript"/>
        </w:rPr>
        <w:footnoteReference w:id="8"/>
      </w:r>
      <w:r w:rsidRPr="00395047">
        <w:rPr>
          <w:rFonts w:ascii="Times New Roman" w:hAnsi="Times New Roman" w:cs="Times New Roman"/>
          <w:sz w:val="28"/>
          <w:szCs w:val="28"/>
          <w:vertAlign w:val="superscript"/>
        </w:rPr>
        <w:t xml:space="preserve"> </w:t>
      </w:r>
      <w:r w:rsidRPr="00395047">
        <w:rPr>
          <w:rFonts w:ascii="Times New Roman" w:hAnsi="Times New Roman" w:cs="Times New Roman"/>
          <w:sz w:val="28"/>
          <w:szCs w:val="28"/>
        </w:rPr>
        <w:t xml:space="preserve"> </w:t>
      </w:r>
    </w:p>
    <w:p w14:paraId="17AAF303"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17679100" w14:textId="7DEA5A47" w:rsidR="00820FF5" w:rsidRPr="003B2FA2"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[11]</w:t>
      </w:r>
      <w:r w:rsidRPr="00820FF5">
        <w:rPr>
          <w:rFonts w:ascii="Times New Roman" w:hAnsi="Times New Roman" w:cs="Times New Roman"/>
          <w:sz w:val="28"/>
          <w:szCs w:val="28"/>
        </w:rPr>
        <w:tab/>
        <w:t>The Applicant contended that the email went into his junk email folder, and that he was not aware of the Lavoie Affidavit until September 6, 2019.</w:t>
      </w:r>
      <w:r w:rsidRPr="00395047">
        <w:rPr>
          <w:rFonts w:ascii="Times New Roman" w:hAnsi="Times New Roman" w:cs="Times New Roman"/>
          <w:sz w:val="28"/>
          <w:szCs w:val="28"/>
          <w:vertAlign w:val="superscript"/>
        </w:rPr>
        <w:footnoteReference w:id="9"/>
      </w:r>
      <w:r w:rsidRPr="00820FF5">
        <w:rPr>
          <w:rFonts w:ascii="Times New Roman" w:hAnsi="Times New Roman" w:cs="Times New Roman"/>
          <w:sz w:val="28"/>
          <w:szCs w:val="28"/>
        </w:rPr>
        <w:t xml:space="preserve"> </w:t>
      </w:r>
      <w:r w:rsidRPr="003B2FA2">
        <w:rPr>
          <w:rFonts w:ascii="Times New Roman" w:hAnsi="Times New Roman" w:cs="Times New Roman"/>
          <w:sz w:val="28"/>
          <w:szCs w:val="28"/>
        </w:rPr>
        <w:t xml:space="preserve"> </w:t>
      </w:r>
    </w:p>
    <w:p w14:paraId="22965E50"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7B325E4D" w14:textId="7DACFB1A"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[12]</w:t>
      </w:r>
      <w:r w:rsidRPr="00820FF5">
        <w:rPr>
          <w:rFonts w:ascii="Times New Roman" w:hAnsi="Times New Roman" w:cs="Times New Roman"/>
          <w:sz w:val="28"/>
          <w:szCs w:val="28"/>
        </w:rPr>
        <w:tab/>
        <w:t>On August 15, 2019, the Applicant and Ms. Simpson appeared in court, where an order was issued with respect to overnight access.</w:t>
      </w:r>
      <w:r w:rsidRPr="00395047">
        <w:rPr>
          <w:rFonts w:ascii="Times New Roman" w:hAnsi="Times New Roman" w:cs="Times New Roman"/>
          <w:sz w:val="28"/>
          <w:szCs w:val="28"/>
          <w:vertAlign w:val="superscript"/>
        </w:rPr>
        <w:footnoteReference w:id="10"/>
      </w:r>
      <w:r w:rsidRPr="00395047">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7029FEB1"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767437F8" w14:textId="0A8EBCD3" w:rsidR="00820FF5" w:rsidRPr="003B2FA2"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[13]</w:t>
      </w:r>
      <w:r w:rsidRPr="00820FF5">
        <w:rPr>
          <w:rFonts w:ascii="Times New Roman" w:hAnsi="Times New Roman" w:cs="Times New Roman"/>
          <w:sz w:val="28"/>
          <w:szCs w:val="28"/>
        </w:rPr>
        <w:tab/>
        <w:t>Following their August 15, 2019, court appearance, Ms. Simpson provided the Applicant with a hard copy of the Lavoie Affidavit, along with hard copies of other documents previously filed and provided to the Applicant by email.</w:t>
      </w:r>
      <w:r w:rsidRPr="00395047">
        <w:rPr>
          <w:rFonts w:ascii="Times New Roman" w:hAnsi="Times New Roman" w:cs="Times New Roman"/>
          <w:sz w:val="28"/>
          <w:szCs w:val="28"/>
          <w:vertAlign w:val="superscript"/>
        </w:rPr>
        <w:footnoteReference w:id="11"/>
      </w:r>
      <w:r w:rsidRPr="003B2FA2">
        <w:rPr>
          <w:rFonts w:ascii="Times New Roman" w:hAnsi="Times New Roman" w:cs="Times New Roman"/>
          <w:sz w:val="28"/>
          <w:szCs w:val="28"/>
        </w:rPr>
        <w:t xml:space="preserve">  </w:t>
      </w:r>
    </w:p>
    <w:p w14:paraId="20EEA450"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467B99F1" w14:textId="2F7226CF" w:rsidR="00820FF5" w:rsidRPr="006E5EE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[14]</w:t>
      </w:r>
      <w:r w:rsidRPr="00820FF5">
        <w:rPr>
          <w:rFonts w:ascii="Times New Roman" w:hAnsi="Times New Roman" w:cs="Times New Roman"/>
          <w:sz w:val="28"/>
          <w:szCs w:val="28"/>
        </w:rPr>
        <w:tab/>
        <w:t>During the Applicant’s and Ms. Simpson’s court appearance on September 11, 2019, the Applicant did not raise the issue of the service of the Lavoie Affidavit</w:t>
      </w:r>
      <w:r w:rsidRPr="006E5EE5">
        <w:rPr>
          <w:rFonts w:ascii="Times New Roman" w:hAnsi="Times New Roman" w:cs="Times New Roman"/>
          <w:sz w:val="28"/>
          <w:szCs w:val="28"/>
        </w:rPr>
        <w:t>.</w:t>
      </w:r>
      <w:r w:rsidRPr="006E5EE5">
        <w:rPr>
          <w:rFonts w:ascii="Times New Roman" w:hAnsi="Times New Roman" w:cs="Times New Roman"/>
          <w:sz w:val="28"/>
          <w:szCs w:val="28"/>
          <w:vertAlign w:val="superscript"/>
        </w:rPr>
        <w:footnoteReference w:id="12"/>
      </w:r>
      <w:r w:rsidR="006E5EE5">
        <w:rPr>
          <w:rFonts w:ascii="Times New Roman" w:hAnsi="Times New Roman" w:cs="Times New Roman"/>
          <w:sz w:val="28"/>
          <w:szCs w:val="28"/>
        </w:rPr>
        <w:t xml:space="preserve"> </w:t>
      </w:r>
    </w:p>
    <w:p w14:paraId="186F6D2A"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7DD26609" w14:textId="37BCA01F"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[15]</w:t>
      </w:r>
      <w:r w:rsidRPr="00820FF5">
        <w:rPr>
          <w:rFonts w:ascii="Times New Roman" w:hAnsi="Times New Roman" w:cs="Times New Roman"/>
          <w:sz w:val="28"/>
          <w:szCs w:val="28"/>
        </w:rPr>
        <w:tab/>
        <w:t>During the Applicant’s and Ms. Simpson’s court appearance on September 20, 2019, Ms. Simpson advised the Court regarding service of the Lavoie Affidavit and received a direction from the presiding Justice that a confirmation of receipt should accompany any further service by email on the Applicant.</w:t>
      </w:r>
      <w:r w:rsidRPr="006E5EE5">
        <w:rPr>
          <w:rFonts w:ascii="Times New Roman" w:hAnsi="Times New Roman" w:cs="Times New Roman"/>
          <w:sz w:val="28"/>
          <w:szCs w:val="28"/>
          <w:vertAlign w:val="superscript"/>
        </w:rPr>
        <w:footnoteReference w:id="13"/>
      </w:r>
      <w:r w:rsidRPr="006E5EE5">
        <w:rPr>
          <w:rFonts w:ascii="Times New Roman" w:hAnsi="Times New Roman" w:cs="Times New Roman"/>
          <w:sz w:val="28"/>
          <w:szCs w:val="28"/>
          <w:vertAlign w:val="superscript"/>
        </w:rPr>
        <w:t xml:space="preserve">  </w:t>
      </w:r>
    </w:p>
    <w:p w14:paraId="5A578CF8" w14:textId="77777777" w:rsidR="0027701D" w:rsidRPr="0027701D" w:rsidRDefault="0027701D" w:rsidP="0086002B">
      <w:pPr>
        <w:pStyle w:val="ListParagraph"/>
        <w:spacing w:after="0" w:line="240" w:lineRule="auto"/>
        <w:ind w:left="0"/>
        <w:contextualSpacing w:val="0"/>
        <w:jc w:val="both"/>
        <w:rPr>
          <w:rFonts w:ascii="Times New Roman" w:hAnsi="Times New Roman" w:cs="Times New Roman"/>
          <w:sz w:val="28"/>
          <w:szCs w:val="28"/>
        </w:rPr>
      </w:pPr>
    </w:p>
    <w:p w14:paraId="7665695E" w14:textId="77867F66" w:rsidR="00820FF5" w:rsidRPr="00820FF5" w:rsidRDefault="00820FF5" w:rsidP="0086002B">
      <w:pPr>
        <w:pStyle w:val="Heading2"/>
        <w:spacing w:after="0"/>
        <w:jc w:val="both"/>
        <w:rPr>
          <w:rFonts w:cs="Times New Roman"/>
          <w:sz w:val="28"/>
        </w:rPr>
      </w:pPr>
      <w:r w:rsidRPr="00820FF5">
        <w:rPr>
          <w:rFonts w:cs="Times New Roman"/>
          <w:sz w:val="28"/>
        </w:rPr>
        <w:t>The Complaint against Mr. Kinnear</w:t>
      </w:r>
    </w:p>
    <w:p w14:paraId="2B883AC1" w14:textId="77777777" w:rsidR="00820FF5" w:rsidRPr="00820FF5" w:rsidRDefault="00820FF5" w:rsidP="0086002B">
      <w:pPr>
        <w:pStyle w:val="ListParagraph"/>
        <w:tabs>
          <w:tab w:val="left" w:pos="1134"/>
        </w:tabs>
        <w:spacing w:after="0" w:line="240" w:lineRule="auto"/>
        <w:ind w:left="0"/>
        <w:jc w:val="both"/>
        <w:rPr>
          <w:rFonts w:ascii="Times New Roman" w:hAnsi="Times New Roman" w:cs="Times New Roman"/>
          <w:sz w:val="28"/>
          <w:szCs w:val="28"/>
        </w:rPr>
      </w:pPr>
    </w:p>
    <w:p w14:paraId="2442BE7B"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[16]</w:t>
      </w:r>
      <w:r w:rsidRPr="00820FF5">
        <w:rPr>
          <w:rFonts w:ascii="Times New Roman" w:hAnsi="Times New Roman" w:cs="Times New Roman"/>
          <w:sz w:val="28"/>
          <w:szCs w:val="28"/>
        </w:rPr>
        <w:tab/>
        <w:t>The Applicant alleged in his June 2, 2021, complaint against Mr. Kinnear</w:t>
      </w:r>
      <w:r w:rsidRPr="00820FF5">
        <w:rPr>
          <w:rStyle w:val="FootnoteReference"/>
          <w:rFonts w:cs="Times New Roman"/>
          <w:szCs w:val="28"/>
        </w:rPr>
        <w:footnoteReference w:id="14"/>
      </w:r>
      <w:r w:rsidRPr="00820FF5">
        <w:rPr>
          <w:rFonts w:ascii="Times New Roman" w:hAnsi="Times New Roman" w:cs="Times New Roman"/>
          <w:sz w:val="28"/>
          <w:szCs w:val="28"/>
        </w:rPr>
        <w:t xml:space="preserve"> that he:</w:t>
      </w:r>
    </w:p>
    <w:p w14:paraId="15469CA1" w14:textId="77777777" w:rsidR="00820FF5" w:rsidRPr="00820FF5" w:rsidRDefault="00820FF5" w:rsidP="00675EB4">
      <w:pPr>
        <w:pStyle w:val="ListParagraph"/>
        <w:numPr>
          <w:ilvl w:val="0"/>
          <w:numId w:val="14"/>
        </w:numPr>
        <w:tabs>
          <w:tab w:val="left" w:pos="1134"/>
        </w:tabs>
        <w:spacing w:after="0" w:line="360" w:lineRule="auto"/>
        <w:jc w:val="both"/>
        <w:rPr>
          <w:rFonts w:ascii="Times New Roman" w:hAnsi="Times New Roman" w:cs="Times New Roman"/>
          <w:sz w:val="28"/>
          <w:szCs w:val="28"/>
        </w:rPr>
      </w:pPr>
      <w:r w:rsidRPr="00820FF5">
        <w:rPr>
          <w:rFonts w:ascii="Times New Roman" w:hAnsi="Times New Roman" w:cs="Times New Roman"/>
          <w:sz w:val="28"/>
          <w:szCs w:val="28"/>
        </w:rPr>
        <w:t>Failed to complete work;</w:t>
      </w:r>
    </w:p>
    <w:p w14:paraId="50F38E6D" w14:textId="77777777" w:rsidR="00820FF5" w:rsidRDefault="00820FF5" w:rsidP="00675EB4">
      <w:pPr>
        <w:pStyle w:val="ListParagraph"/>
        <w:numPr>
          <w:ilvl w:val="0"/>
          <w:numId w:val="14"/>
        </w:numPr>
        <w:tabs>
          <w:tab w:val="left" w:pos="1134"/>
        </w:tabs>
        <w:spacing w:after="0" w:line="360" w:lineRule="auto"/>
        <w:jc w:val="both"/>
        <w:rPr>
          <w:rFonts w:ascii="Times New Roman" w:hAnsi="Times New Roman" w:cs="Times New Roman"/>
          <w:sz w:val="28"/>
          <w:szCs w:val="28"/>
        </w:rPr>
      </w:pPr>
      <w:r w:rsidRPr="00820FF5">
        <w:rPr>
          <w:rFonts w:ascii="Times New Roman" w:hAnsi="Times New Roman" w:cs="Times New Roman"/>
          <w:sz w:val="28"/>
          <w:szCs w:val="28"/>
        </w:rPr>
        <w:t>Provided inadequate representation;</w:t>
      </w:r>
    </w:p>
    <w:p w14:paraId="7266B10A" w14:textId="77777777" w:rsidR="00A03101" w:rsidRPr="00A03101" w:rsidRDefault="00A03101" w:rsidP="00A03101">
      <w:pPr>
        <w:tabs>
          <w:tab w:val="left" w:pos="1134"/>
        </w:tabs>
        <w:spacing w:after="0" w:line="360" w:lineRule="auto"/>
        <w:jc w:val="both"/>
        <w:rPr>
          <w:rFonts w:ascii="Times New Roman" w:hAnsi="Times New Roman" w:cs="Times New Roman"/>
          <w:sz w:val="28"/>
          <w:szCs w:val="28"/>
        </w:rPr>
      </w:pPr>
    </w:p>
    <w:p w14:paraId="2AABBF72" w14:textId="77777777" w:rsidR="00820FF5" w:rsidRPr="00820FF5" w:rsidRDefault="00820FF5" w:rsidP="00675EB4">
      <w:pPr>
        <w:pStyle w:val="ListParagraph"/>
        <w:numPr>
          <w:ilvl w:val="0"/>
          <w:numId w:val="14"/>
        </w:numPr>
        <w:tabs>
          <w:tab w:val="left" w:pos="1134"/>
        </w:tabs>
        <w:spacing w:after="0" w:line="360" w:lineRule="auto"/>
        <w:jc w:val="both"/>
        <w:rPr>
          <w:rFonts w:ascii="Times New Roman" w:hAnsi="Times New Roman" w:cs="Times New Roman"/>
          <w:sz w:val="28"/>
          <w:szCs w:val="28"/>
        </w:rPr>
      </w:pPr>
      <w:r w:rsidRPr="00820FF5">
        <w:rPr>
          <w:rFonts w:ascii="Times New Roman" w:hAnsi="Times New Roman" w:cs="Times New Roman"/>
          <w:sz w:val="28"/>
          <w:szCs w:val="28"/>
        </w:rPr>
        <w:lastRenderedPageBreak/>
        <w:t>Provided inadequate/wrong advice;</w:t>
      </w:r>
    </w:p>
    <w:p w14:paraId="19DC35B5" w14:textId="77777777" w:rsidR="00820FF5" w:rsidRPr="00820FF5" w:rsidRDefault="00820FF5" w:rsidP="00675EB4">
      <w:pPr>
        <w:pStyle w:val="ListParagraph"/>
        <w:numPr>
          <w:ilvl w:val="0"/>
          <w:numId w:val="14"/>
        </w:numPr>
        <w:tabs>
          <w:tab w:val="left" w:pos="1134"/>
        </w:tabs>
        <w:spacing w:after="0" w:line="360" w:lineRule="auto"/>
        <w:jc w:val="both"/>
        <w:rPr>
          <w:rFonts w:ascii="Times New Roman" w:hAnsi="Times New Roman" w:cs="Times New Roman"/>
          <w:sz w:val="28"/>
          <w:szCs w:val="28"/>
        </w:rPr>
      </w:pPr>
      <w:r w:rsidRPr="00820FF5">
        <w:rPr>
          <w:rFonts w:ascii="Times New Roman" w:hAnsi="Times New Roman" w:cs="Times New Roman"/>
          <w:sz w:val="28"/>
          <w:szCs w:val="28"/>
        </w:rPr>
        <w:t xml:space="preserve"> Misused the Court system; and </w:t>
      </w:r>
    </w:p>
    <w:p w14:paraId="30052A8F" w14:textId="77777777" w:rsidR="00820FF5" w:rsidRDefault="00820FF5" w:rsidP="00675EB4">
      <w:pPr>
        <w:pStyle w:val="ListParagraph"/>
        <w:numPr>
          <w:ilvl w:val="0"/>
          <w:numId w:val="14"/>
        </w:numPr>
        <w:tabs>
          <w:tab w:val="left" w:pos="1134"/>
        </w:tabs>
        <w:spacing w:after="0" w:line="360" w:lineRule="auto"/>
        <w:jc w:val="both"/>
        <w:rPr>
          <w:rFonts w:ascii="Times New Roman" w:hAnsi="Times New Roman" w:cs="Times New Roman"/>
          <w:sz w:val="28"/>
          <w:szCs w:val="28"/>
        </w:rPr>
      </w:pPr>
      <w:r w:rsidRPr="00820FF5">
        <w:rPr>
          <w:rFonts w:ascii="Times New Roman" w:hAnsi="Times New Roman" w:cs="Times New Roman"/>
          <w:sz w:val="28"/>
          <w:szCs w:val="28"/>
        </w:rPr>
        <w:t>Spoke to a case not yet in his purview.</w:t>
      </w:r>
      <w:r w:rsidRPr="00820FF5">
        <w:rPr>
          <w:rStyle w:val="FootnoteReference"/>
          <w:rFonts w:cs="Times New Roman"/>
          <w:b/>
          <w:bCs/>
          <w:szCs w:val="28"/>
        </w:rPr>
        <w:footnoteReference w:id="15"/>
      </w:r>
    </w:p>
    <w:p w14:paraId="66BD419D"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[17]</w:t>
      </w:r>
      <w:r w:rsidRPr="00820FF5">
        <w:rPr>
          <w:rFonts w:ascii="Times New Roman" w:hAnsi="Times New Roman" w:cs="Times New Roman"/>
          <w:sz w:val="28"/>
          <w:szCs w:val="28"/>
        </w:rPr>
        <w:tab/>
        <w:t>Again, at all material times, Mr. Kinnear was acting on behalf of the OCL for the Northwest Territories.</w:t>
      </w:r>
      <w:r w:rsidRPr="006E5EE5">
        <w:rPr>
          <w:rFonts w:ascii="Times New Roman" w:hAnsi="Times New Roman" w:cs="Times New Roman"/>
          <w:sz w:val="28"/>
          <w:szCs w:val="28"/>
          <w:vertAlign w:val="superscript"/>
        </w:rPr>
        <w:footnoteReference w:id="16"/>
      </w:r>
      <w:r w:rsidRPr="00820FF5">
        <w:rPr>
          <w:rFonts w:ascii="Times New Roman" w:hAnsi="Times New Roman" w:cs="Times New Roman"/>
          <w:sz w:val="28"/>
          <w:szCs w:val="28"/>
        </w:rPr>
        <w:t xml:space="preserve">  </w:t>
      </w:r>
    </w:p>
    <w:p w14:paraId="4861F1D8" w14:textId="77777777"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43B843D4" w14:textId="0BA15C63"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[18]</w:t>
      </w:r>
      <w:r w:rsidRPr="00820FF5">
        <w:rPr>
          <w:rFonts w:ascii="Times New Roman" w:hAnsi="Times New Roman" w:cs="Times New Roman"/>
          <w:sz w:val="28"/>
          <w:szCs w:val="28"/>
        </w:rPr>
        <w:tab/>
        <w:t>By email dated August 8, 2019, and in reply to an inquiry, Mr. Kinnear advised the Applicant and Ms. Lavoie that the OCL could assist with representing Kohlton.</w:t>
      </w:r>
      <w:r w:rsidRPr="00E96205">
        <w:rPr>
          <w:rFonts w:ascii="Times New Roman" w:hAnsi="Times New Roman" w:cs="Times New Roman"/>
          <w:sz w:val="28"/>
          <w:szCs w:val="28"/>
          <w:vertAlign w:val="superscript"/>
        </w:rPr>
        <w:footnoteReference w:id="17"/>
      </w:r>
      <w:r w:rsidRPr="00820FF5">
        <w:rPr>
          <w:rFonts w:ascii="Times New Roman" w:hAnsi="Times New Roman" w:cs="Times New Roman"/>
          <w:sz w:val="28"/>
          <w:szCs w:val="28"/>
        </w:rPr>
        <w:t xml:space="preserve">  </w:t>
      </w:r>
    </w:p>
    <w:p w14:paraId="0F0EE5C0"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4990A009"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[19]</w:t>
      </w:r>
      <w:r w:rsidRPr="00820FF5">
        <w:rPr>
          <w:rFonts w:ascii="Times New Roman" w:hAnsi="Times New Roman" w:cs="Times New Roman"/>
          <w:sz w:val="28"/>
          <w:szCs w:val="28"/>
        </w:rPr>
        <w:tab/>
        <w:t>By email dated August 14, 2019, the Applicant withdrew his request to appoint the OCL to represent Kohlton.</w:t>
      </w:r>
      <w:r w:rsidRPr="00E96205">
        <w:rPr>
          <w:rFonts w:ascii="Times New Roman" w:hAnsi="Times New Roman" w:cs="Times New Roman"/>
          <w:sz w:val="28"/>
          <w:szCs w:val="28"/>
          <w:vertAlign w:val="superscript"/>
        </w:rPr>
        <w:footnoteReference w:id="18"/>
      </w:r>
      <w:r w:rsidRPr="00820FF5">
        <w:rPr>
          <w:rFonts w:ascii="Times New Roman" w:hAnsi="Times New Roman" w:cs="Times New Roman"/>
          <w:sz w:val="28"/>
          <w:szCs w:val="28"/>
        </w:rPr>
        <w:t xml:space="preserve">  </w:t>
      </w:r>
    </w:p>
    <w:p w14:paraId="4C585654"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73F4C548"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[20]</w:t>
      </w:r>
      <w:r w:rsidRPr="00820FF5">
        <w:rPr>
          <w:rFonts w:ascii="Times New Roman" w:hAnsi="Times New Roman" w:cs="Times New Roman"/>
          <w:sz w:val="28"/>
          <w:szCs w:val="28"/>
        </w:rPr>
        <w:tab/>
        <w:t>By email dated September 16, 2019, the Applicant again sought appointment of the OCL to represent Kohlton.</w:t>
      </w:r>
      <w:r w:rsidRPr="00E96205">
        <w:rPr>
          <w:rFonts w:ascii="Times New Roman" w:hAnsi="Times New Roman" w:cs="Times New Roman"/>
          <w:sz w:val="28"/>
          <w:szCs w:val="28"/>
          <w:vertAlign w:val="superscript"/>
        </w:rPr>
        <w:footnoteReference w:id="19"/>
      </w:r>
      <w:r w:rsidRPr="00E96205">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10414329"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32BA33DE"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[21]</w:t>
      </w:r>
      <w:r w:rsidRPr="00820FF5">
        <w:rPr>
          <w:rFonts w:ascii="Times New Roman" w:hAnsi="Times New Roman" w:cs="Times New Roman"/>
          <w:sz w:val="28"/>
          <w:szCs w:val="28"/>
        </w:rPr>
        <w:tab/>
        <w:t>By email dated October 21, 2019, the Applicant withdrew his request to appoint the OCL as Kohlton’s lawyer.</w:t>
      </w:r>
      <w:r w:rsidRPr="00E96205">
        <w:rPr>
          <w:rFonts w:ascii="Times New Roman" w:hAnsi="Times New Roman" w:cs="Times New Roman"/>
          <w:sz w:val="28"/>
          <w:szCs w:val="28"/>
          <w:vertAlign w:val="superscript"/>
        </w:rPr>
        <w:footnoteReference w:id="20"/>
      </w:r>
      <w:r w:rsidRPr="00E96205">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2C64996D"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2A5EB2E8"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[22]</w:t>
      </w:r>
      <w:r w:rsidRPr="00820FF5">
        <w:rPr>
          <w:rFonts w:ascii="Times New Roman" w:hAnsi="Times New Roman" w:cs="Times New Roman"/>
          <w:sz w:val="28"/>
          <w:szCs w:val="28"/>
        </w:rPr>
        <w:tab/>
        <w:t>On December 3, 2020, the Applicant brought a motion seeking appointment of the OCL before Shaner J.</w:t>
      </w:r>
      <w:r w:rsidRPr="00E96205">
        <w:rPr>
          <w:rFonts w:ascii="Times New Roman" w:hAnsi="Times New Roman" w:cs="Times New Roman"/>
          <w:sz w:val="28"/>
          <w:szCs w:val="28"/>
          <w:vertAlign w:val="superscript"/>
        </w:rPr>
        <w:footnoteReference w:id="21"/>
      </w:r>
      <w:r w:rsidRPr="00E96205">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0E022CA0"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0476AE66" w14:textId="668435BF"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[23]</w:t>
      </w:r>
      <w:r w:rsidRPr="00820FF5">
        <w:rPr>
          <w:rFonts w:ascii="Times New Roman" w:hAnsi="Times New Roman" w:cs="Times New Roman"/>
          <w:sz w:val="28"/>
          <w:szCs w:val="28"/>
        </w:rPr>
        <w:tab/>
        <w:t>Shaner J. suggested that Mr. Kinnear hold a teleconference with the Applicant and Ms. Lavoie to discuss the appointment of the OCL as Kohlton’s lawyer and to potentially reach an agreement on how the Applicant and Ms. Lavoie wished to proceed.</w:t>
      </w:r>
      <w:r w:rsidRPr="00E96205">
        <w:rPr>
          <w:rFonts w:ascii="Times New Roman" w:hAnsi="Times New Roman" w:cs="Times New Roman"/>
          <w:sz w:val="28"/>
          <w:szCs w:val="28"/>
          <w:vertAlign w:val="superscript"/>
        </w:rPr>
        <w:footnoteReference w:id="22"/>
      </w:r>
      <w:r w:rsidRPr="00E96205">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7ED2D0B3" w14:textId="77777777" w:rsidR="003129DD" w:rsidRDefault="003129DD" w:rsidP="0086002B">
      <w:pPr>
        <w:pStyle w:val="ListParagraph"/>
        <w:spacing w:after="0" w:line="240" w:lineRule="auto"/>
        <w:ind w:left="0"/>
        <w:contextualSpacing w:val="0"/>
        <w:jc w:val="both"/>
        <w:rPr>
          <w:rFonts w:ascii="Times New Roman" w:hAnsi="Times New Roman" w:cs="Times New Roman"/>
          <w:sz w:val="28"/>
          <w:szCs w:val="28"/>
        </w:rPr>
      </w:pPr>
    </w:p>
    <w:p w14:paraId="0FB6E1CB"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[24]</w:t>
      </w:r>
      <w:r w:rsidRPr="00820FF5">
        <w:rPr>
          <w:rFonts w:ascii="Times New Roman" w:hAnsi="Times New Roman" w:cs="Times New Roman"/>
          <w:sz w:val="28"/>
          <w:szCs w:val="28"/>
        </w:rPr>
        <w:tab/>
        <w:t>On December 17, 2020, the Applicant, Ms. Lavoie, and Mr. Kinnear appeared again before Shaner J. on the Applicant’s motion seeking the appointment of the OCL.</w:t>
      </w:r>
      <w:r w:rsidRPr="00E96205">
        <w:rPr>
          <w:rFonts w:ascii="Times New Roman" w:hAnsi="Times New Roman" w:cs="Times New Roman"/>
          <w:sz w:val="28"/>
          <w:szCs w:val="28"/>
          <w:vertAlign w:val="superscript"/>
        </w:rPr>
        <w:footnoteReference w:id="23"/>
      </w:r>
      <w:r w:rsidRPr="00E96205">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7600E895"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1BE7930B" w14:textId="39BD1C04"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[25]</w:t>
      </w:r>
      <w:r w:rsidRPr="00820FF5">
        <w:rPr>
          <w:rFonts w:ascii="Times New Roman" w:hAnsi="Times New Roman" w:cs="Times New Roman"/>
          <w:sz w:val="28"/>
          <w:szCs w:val="28"/>
        </w:rPr>
        <w:tab/>
        <w:t>During the appearance, Mr. Kinnear advised Shaner J. that:</w:t>
      </w:r>
    </w:p>
    <w:p w14:paraId="4B9B1211" w14:textId="77777777" w:rsidR="009C4183" w:rsidRPr="00820FF5" w:rsidRDefault="009C4183" w:rsidP="00964ED0">
      <w:pPr>
        <w:pStyle w:val="ListParagraph"/>
        <w:spacing w:after="0" w:line="240" w:lineRule="auto"/>
        <w:ind w:left="0"/>
        <w:contextualSpacing w:val="0"/>
        <w:jc w:val="both"/>
        <w:rPr>
          <w:rFonts w:ascii="Times New Roman" w:hAnsi="Times New Roman" w:cs="Times New Roman"/>
          <w:sz w:val="28"/>
          <w:szCs w:val="28"/>
        </w:rPr>
      </w:pPr>
    </w:p>
    <w:p w14:paraId="2702408C" w14:textId="77777777" w:rsidR="00820FF5" w:rsidRDefault="00820FF5" w:rsidP="0086002B">
      <w:pPr>
        <w:pStyle w:val="ListParagraph"/>
        <w:numPr>
          <w:ilvl w:val="0"/>
          <w:numId w:val="15"/>
        </w:numPr>
        <w:tabs>
          <w:tab w:val="left" w:pos="1134"/>
        </w:tabs>
        <w:spacing w:line="240" w:lineRule="auto"/>
        <w:jc w:val="both"/>
        <w:rPr>
          <w:rFonts w:ascii="Times New Roman" w:hAnsi="Times New Roman" w:cs="Times New Roman"/>
          <w:sz w:val="28"/>
          <w:szCs w:val="28"/>
        </w:rPr>
      </w:pPr>
      <w:r w:rsidRPr="00820FF5">
        <w:rPr>
          <w:rFonts w:ascii="Times New Roman" w:hAnsi="Times New Roman" w:cs="Times New Roman"/>
          <w:sz w:val="28"/>
          <w:szCs w:val="28"/>
        </w:rPr>
        <w:t>The Applicant had withdrawn his request to have the OCL appointed, and that this was the second time that he had withdrawn his request to have the OCL appointed;</w:t>
      </w:r>
    </w:p>
    <w:p w14:paraId="7288ACB4" w14:textId="77777777" w:rsidR="00675EB4" w:rsidRDefault="00675EB4" w:rsidP="00675EB4">
      <w:pPr>
        <w:pStyle w:val="ListParagraph"/>
        <w:tabs>
          <w:tab w:val="left" w:pos="1134"/>
        </w:tabs>
        <w:spacing w:line="240" w:lineRule="auto"/>
        <w:ind w:left="1494"/>
        <w:jc w:val="both"/>
        <w:rPr>
          <w:rFonts w:ascii="Times New Roman" w:hAnsi="Times New Roman" w:cs="Times New Roman"/>
          <w:sz w:val="28"/>
          <w:szCs w:val="28"/>
        </w:rPr>
      </w:pPr>
    </w:p>
    <w:p w14:paraId="005668A2" w14:textId="238B0BF8" w:rsidR="00675EB4" w:rsidRDefault="00820FF5" w:rsidP="00964ED0">
      <w:pPr>
        <w:pStyle w:val="ListParagraph"/>
        <w:numPr>
          <w:ilvl w:val="0"/>
          <w:numId w:val="15"/>
        </w:numPr>
        <w:tabs>
          <w:tab w:val="left" w:pos="1134"/>
        </w:tabs>
        <w:spacing w:after="0" w:line="240" w:lineRule="auto"/>
        <w:jc w:val="both"/>
        <w:rPr>
          <w:rFonts w:ascii="Times New Roman" w:hAnsi="Times New Roman" w:cs="Times New Roman"/>
          <w:sz w:val="28"/>
          <w:szCs w:val="28"/>
        </w:rPr>
      </w:pPr>
      <w:r w:rsidRPr="00820FF5">
        <w:rPr>
          <w:rFonts w:ascii="Times New Roman" w:hAnsi="Times New Roman" w:cs="Times New Roman"/>
          <w:sz w:val="28"/>
          <w:szCs w:val="28"/>
        </w:rPr>
        <w:t>The matter between the Applicant and Ms. Lavoie was one of high conflict; and</w:t>
      </w:r>
    </w:p>
    <w:p w14:paraId="2C9CC20F" w14:textId="77777777" w:rsidR="00675EB4" w:rsidRPr="00675EB4" w:rsidRDefault="00675EB4" w:rsidP="00964ED0">
      <w:pPr>
        <w:pStyle w:val="ListParagraph"/>
        <w:spacing w:after="0"/>
        <w:rPr>
          <w:rFonts w:ascii="Times New Roman" w:hAnsi="Times New Roman" w:cs="Times New Roman"/>
          <w:sz w:val="28"/>
          <w:szCs w:val="28"/>
        </w:rPr>
      </w:pPr>
    </w:p>
    <w:p w14:paraId="042B3912" w14:textId="27996376" w:rsidR="00820FF5" w:rsidRPr="00820FF5" w:rsidRDefault="00820FF5" w:rsidP="0086002B">
      <w:pPr>
        <w:pStyle w:val="ListParagraph"/>
        <w:numPr>
          <w:ilvl w:val="0"/>
          <w:numId w:val="15"/>
        </w:numPr>
        <w:tabs>
          <w:tab w:val="left" w:pos="1134"/>
        </w:tabs>
        <w:spacing w:line="240" w:lineRule="auto"/>
        <w:jc w:val="both"/>
        <w:rPr>
          <w:rFonts w:ascii="Times New Roman" w:hAnsi="Times New Roman" w:cs="Times New Roman"/>
          <w:bCs/>
          <w:sz w:val="28"/>
          <w:szCs w:val="28"/>
        </w:rPr>
      </w:pPr>
      <w:r w:rsidRPr="00820FF5">
        <w:rPr>
          <w:rFonts w:ascii="Times New Roman" w:hAnsi="Times New Roman" w:cs="Times New Roman"/>
          <w:sz w:val="28"/>
          <w:szCs w:val="28"/>
        </w:rPr>
        <w:t>The OCL wished to remain neutral and therefore would not take a position on whether it would be in Kohlton’s best interests to have separate legal counsel appointed.</w:t>
      </w:r>
      <w:r w:rsidRPr="00820FF5">
        <w:rPr>
          <w:rStyle w:val="FootnoteReference"/>
          <w:rFonts w:cs="Times New Roman"/>
          <w:bCs/>
          <w:szCs w:val="28"/>
        </w:rPr>
        <w:footnoteReference w:id="24"/>
      </w:r>
    </w:p>
    <w:p w14:paraId="42895AD7" w14:textId="77777777" w:rsidR="00820FF5" w:rsidRPr="00820FF5" w:rsidRDefault="00820FF5" w:rsidP="0086002B">
      <w:pPr>
        <w:pStyle w:val="ListParagraph"/>
        <w:tabs>
          <w:tab w:val="left" w:pos="1134"/>
        </w:tabs>
        <w:spacing w:line="240" w:lineRule="auto"/>
        <w:ind w:left="1494"/>
        <w:jc w:val="both"/>
        <w:rPr>
          <w:rFonts w:ascii="Times New Roman" w:hAnsi="Times New Roman" w:cs="Times New Roman"/>
          <w:bCs/>
          <w:sz w:val="28"/>
          <w:szCs w:val="28"/>
        </w:rPr>
      </w:pPr>
    </w:p>
    <w:p w14:paraId="09392BE1"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[26]</w:t>
      </w:r>
      <w:r w:rsidRPr="00820FF5">
        <w:rPr>
          <w:rFonts w:ascii="Times New Roman" w:hAnsi="Times New Roman" w:cs="Times New Roman"/>
          <w:sz w:val="28"/>
          <w:szCs w:val="28"/>
        </w:rPr>
        <w:tab/>
        <w:t>Shaner J. dismissed the Applicant’s motion and designated him as a vexatious litigant.</w:t>
      </w:r>
      <w:r w:rsidRPr="00E96205">
        <w:rPr>
          <w:rFonts w:ascii="Times New Roman" w:hAnsi="Times New Roman" w:cs="Times New Roman"/>
          <w:sz w:val="28"/>
          <w:szCs w:val="28"/>
          <w:vertAlign w:val="superscript"/>
        </w:rPr>
        <w:footnoteReference w:id="25"/>
      </w:r>
      <w:r w:rsidRPr="00E96205">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7154FD06"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647BC869" w14:textId="7626FE5F" w:rsidR="00820FF5" w:rsidRPr="0086002B" w:rsidRDefault="00820FF5" w:rsidP="0086002B">
      <w:pPr>
        <w:pStyle w:val="ListParagraph"/>
        <w:spacing w:after="0" w:line="240" w:lineRule="auto"/>
        <w:ind w:left="0"/>
        <w:contextualSpacing w:val="0"/>
        <w:jc w:val="both"/>
        <w:rPr>
          <w:rFonts w:ascii="Times New Roman" w:hAnsi="Times New Roman" w:cs="Times New Roman"/>
          <w:b/>
          <w:sz w:val="28"/>
          <w:szCs w:val="28"/>
          <w:u w:val="single"/>
        </w:rPr>
      </w:pPr>
      <w:r w:rsidRPr="0086002B">
        <w:rPr>
          <w:rFonts w:ascii="Times New Roman" w:hAnsi="Times New Roman" w:cs="Times New Roman"/>
          <w:b/>
          <w:sz w:val="28"/>
          <w:szCs w:val="28"/>
          <w:u w:val="single"/>
        </w:rPr>
        <w:t>Investigation of the Complaints</w:t>
      </w:r>
    </w:p>
    <w:p w14:paraId="7BC46072" w14:textId="77777777" w:rsidR="00820FF5" w:rsidRPr="0086002B" w:rsidRDefault="00820FF5" w:rsidP="0086002B">
      <w:pPr>
        <w:pStyle w:val="ListParagraph"/>
        <w:spacing w:after="0" w:line="240" w:lineRule="auto"/>
        <w:ind w:left="0"/>
        <w:contextualSpacing w:val="0"/>
        <w:jc w:val="both"/>
        <w:rPr>
          <w:rFonts w:ascii="Times New Roman" w:hAnsi="Times New Roman" w:cs="Times New Roman"/>
          <w:b/>
          <w:sz w:val="28"/>
          <w:szCs w:val="28"/>
          <w:u w:val="single"/>
        </w:rPr>
      </w:pPr>
    </w:p>
    <w:p w14:paraId="37B502BB"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[27]</w:t>
      </w:r>
      <w:r w:rsidRPr="00820FF5">
        <w:rPr>
          <w:rFonts w:ascii="Times New Roman" w:hAnsi="Times New Roman" w:cs="Times New Roman"/>
          <w:sz w:val="28"/>
          <w:szCs w:val="28"/>
        </w:rPr>
        <w:tab/>
        <w:t>On June 7, 2021, the Chair of the Discipline Committee, Glen Rutland (“Mr. Rutland”), appointed W. Donald Goodfellow, Q.C. (the “Investigator”) to investigate the Applicant’s complaints.</w:t>
      </w:r>
      <w:r w:rsidRPr="00E96205">
        <w:rPr>
          <w:rFonts w:ascii="Times New Roman" w:hAnsi="Times New Roman" w:cs="Times New Roman"/>
          <w:sz w:val="28"/>
          <w:szCs w:val="28"/>
          <w:vertAlign w:val="superscript"/>
        </w:rPr>
        <w:footnoteReference w:id="26"/>
      </w:r>
      <w:r w:rsidRPr="00820FF5">
        <w:rPr>
          <w:rFonts w:ascii="Times New Roman" w:hAnsi="Times New Roman" w:cs="Times New Roman"/>
          <w:sz w:val="28"/>
          <w:szCs w:val="28"/>
        </w:rPr>
        <w:t xml:space="preserve"> </w:t>
      </w:r>
      <w:r w:rsidRPr="003B2FA2">
        <w:rPr>
          <w:rFonts w:ascii="Times New Roman" w:hAnsi="Times New Roman" w:cs="Times New Roman"/>
          <w:sz w:val="28"/>
          <w:szCs w:val="28"/>
        </w:rPr>
        <w:t xml:space="preserve"> </w:t>
      </w:r>
    </w:p>
    <w:p w14:paraId="4BF47900" w14:textId="77777777"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65492E89" w14:textId="414695FA"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[28]</w:t>
      </w:r>
      <w:r w:rsidRPr="00820FF5">
        <w:rPr>
          <w:rFonts w:ascii="Times New Roman" w:hAnsi="Times New Roman" w:cs="Times New Roman"/>
          <w:sz w:val="28"/>
          <w:szCs w:val="28"/>
        </w:rPr>
        <w:tab/>
        <w:t>By letters dated June 9, 2021, Mr. Rutland provided Ms. Simpson and Mr. Kinnear with copies of the Applicant’s complaints and requested their respective responses within 14 days.</w:t>
      </w:r>
      <w:r w:rsidRPr="00B348FA">
        <w:rPr>
          <w:rFonts w:ascii="Times New Roman" w:hAnsi="Times New Roman" w:cs="Times New Roman"/>
          <w:sz w:val="28"/>
          <w:szCs w:val="28"/>
          <w:vertAlign w:val="superscript"/>
        </w:rPr>
        <w:footnoteReference w:id="27"/>
      </w:r>
      <w:r w:rsidRPr="00B348FA">
        <w:rPr>
          <w:sz w:val="28"/>
          <w:szCs w:val="28"/>
          <w:vertAlign w:val="superscript"/>
        </w:rPr>
        <w:t xml:space="preserve"> </w:t>
      </w:r>
      <w:r w:rsidRPr="00820FF5">
        <w:rPr>
          <w:rFonts w:ascii="Times New Roman" w:hAnsi="Times New Roman" w:cs="Times New Roman"/>
          <w:sz w:val="28"/>
          <w:szCs w:val="28"/>
        </w:rPr>
        <w:t xml:space="preserve"> </w:t>
      </w:r>
    </w:p>
    <w:p w14:paraId="438B1EF4"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4B2F40AB" w14:textId="77777777"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[29]</w:t>
      </w:r>
      <w:r w:rsidRPr="00820FF5">
        <w:rPr>
          <w:rFonts w:ascii="Times New Roman" w:hAnsi="Times New Roman" w:cs="Times New Roman"/>
          <w:sz w:val="28"/>
          <w:szCs w:val="28"/>
        </w:rPr>
        <w:tab/>
        <w:t>By email dated June 10, 2021, Mr. Kinnear provided his response to the Executive Director of the Law Society, Glenn Tait (“Mr. Tait”).</w:t>
      </w:r>
      <w:r w:rsidRPr="00B348FA">
        <w:rPr>
          <w:rFonts w:ascii="Times New Roman" w:hAnsi="Times New Roman" w:cs="Times New Roman"/>
          <w:sz w:val="28"/>
          <w:szCs w:val="28"/>
          <w:vertAlign w:val="superscript"/>
        </w:rPr>
        <w:footnoteReference w:id="28"/>
      </w:r>
      <w:r w:rsidRPr="00B348FA">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623ECB56" w14:textId="77777777" w:rsidR="00A03101" w:rsidRDefault="00A03101" w:rsidP="0086002B">
      <w:pPr>
        <w:pStyle w:val="ListParagraph"/>
        <w:spacing w:after="0" w:line="240" w:lineRule="auto"/>
        <w:ind w:left="0"/>
        <w:contextualSpacing w:val="0"/>
        <w:jc w:val="both"/>
        <w:rPr>
          <w:rFonts w:ascii="Times New Roman" w:hAnsi="Times New Roman" w:cs="Times New Roman"/>
          <w:sz w:val="28"/>
          <w:szCs w:val="28"/>
        </w:rPr>
      </w:pPr>
    </w:p>
    <w:p w14:paraId="5B214584" w14:textId="77777777"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[30]</w:t>
      </w:r>
      <w:r w:rsidRPr="00820FF5">
        <w:rPr>
          <w:rFonts w:ascii="Times New Roman" w:hAnsi="Times New Roman" w:cs="Times New Roman"/>
          <w:sz w:val="28"/>
          <w:szCs w:val="28"/>
        </w:rPr>
        <w:tab/>
        <w:t>By email dated June 17, 2021, Ms. Simpson provided her response to the Investigator.</w:t>
      </w:r>
      <w:r w:rsidRPr="00B348FA">
        <w:rPr>
          <w:rFonts w:ascii="Times New Roman" w:hAnsi="Times New Roman" w:cs="Times New Roman"/>
          <w:sz w:val="28"/>
          <w:szCs w:val="28"/>
          <w:vertAlign w:val="superscript"/>
        </w:rPr>
        <w:footnoteReference w:id="29"/>
      </w:r>
      <w:r w:rsidRPr="00B348FA">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345BA7B0" w14:textId="77777777" w:rsidR="00A03101" w:rsidRDefault="00A03101" w:rsidP="0086002B">
      <w:pPr>
        <w:pStyle w:val="ListParagraph"/>
        <w:spacing w:after="0" w:line="240" w:lineRule="auto"/>
        <w:ind w:left="0"/>
        <w:contextualSpacing w:val="0"/>
        <w:jc w:val="both"/>
        <w:rPr>
          <w:rFonts w:ascii="Times New Roman" w:hAnsi="Times New Roman" w:cs="Times New Roman"/>
          <w:sz w:val="28"/>
          <w:szCs w:val="28"/>
        </w:rPr>
      </w:pPr>
    </w:p>
    <w:p w14:paraId="69AABCFF" w14:textId="0EE95DF8"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lastRenderedPageBreak/>
        <w:t>[31]</w:t>
      </w:r>
      <w:r w:rsidRPr="00820FF5">
        <w:rPr>
          <w:rFonts w:ascii="Times New Roman" w:hAnsi="Times New Roman" w:cs="Times New Roman"/>
          <w:sz w:val="28"/>
          <w:szCs w:val="28"/>
        </w:rPr>
        <w:tab/>
        <w:t>By letter dated June 28, 2021, the Investigator provided Ms. Simpson’s and Mr. Kinnear’s responses to the Applicant and provided the Applicant an opportunity to respond by July 15, 2021.</w:t>
      </w:r>
      <w:r w:rsidRPr="00B348FA">
        <w:rPr>
          <w:rFonts w:ascii="Times New Roman" w:hAnsi="Times New Roman" w:cs="Times New Roman"/>
          <w:sz w:val="28"/>
          <w:szCs w:val="28"/>
          <w:vertAlign w:val="superscript"/>
        </w:rPr>
        <w:footnoteReference w:id="30"/>
      </w:r>
      <w:r w:rsidRPr="00820FF5">
        <w:rPr>
          <w:rFonts w:ascii="Times New Roman" w:hAnsi="Times New Roman" w:cs="Times New Roman"/>
          <w:sz w:val="28"/>
          <w:szCs w:val="28"/>
        </w:rPr>
        <w:t xml:space="preserve">  </w:t>
      </w:r>
    </w:p>
    <w:p w14:paraId="56217966"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5D3B1412" w14:textId="77777777"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[32]</w:t>
      </w:r>
      <w:r w:rsidRPr="00820FF5">
        <w:rPr>
          <w:rFonts w:ascii="Times New Roman" w:hAnsi="Times New Roman" w:cs="Times New Roman"/>
          <w:sz w:val="28"/>
          <w:szCs w:val="28"/>
        </w:rPr>
        <w:tab/>
        <w:t>By email dated July 14, 2021, to Mr. Tait and the Investigator, the Applicant replied to Mr. Kinnear’s response.</w:t>
      </w:r>
      <w:r w:rsidRPr="00B348FA">
        <w:rPr>
          <w:rFonts w:ascii="Times New Roman" w:hAnsi="Times New Roman" w:cs="Times New Roman"/>
          <w:sz w:val="28"/>
          <w:szCs w:val="28"/>
          <w:vertAlign w:val="superscript"/>
        </w:rPr>
        <w:footnoteReference w:id="31"/>
      </w:r>
      <w:r w:rsidRPr="00B348FA">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3B616C90" w14:textId="77777777" w:rsidR="0086002B" w:rsidRPr="00820FF5" w:rsidRDefault="0086002B" w:rsidP="0086002B">
      <w:pPr>
        <w:pStyle w:val="ListParagraph"/>
        <w:spacing w:after="0" w:line="240" w:lineRule="auto"/>
        <w:ind w:left="0"/>
        <w:contextualSpacing w:val="0"/>
        <w:jc w:val="both"/>
        <w:rPr>
          <w:rFonts w:ascii="Times New Roman" w:hAnsi="Times New Roman" w:cs="Times New Roman"/>
          <w:sz w:val="28"/>
          <w:szCs w:val="28"/>
        </w:rPr>
      </w:pPr>
    </w:p>
    <w:p w14:paraId="7EB2483F"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[33]</w:t>
      </w:r>
      <w:r w:rsidRPr="00820FF5">
        <w:rPr>
          <w:rFonts w:ascii="Times New Roman" w:hAnsi="Times New Roman" w:cs="Times New Roman"/>
          <w:sz w:val="28"/>
          <w:szCs w:val="28"/>
        </w:rPr>
        <w:tab/>
        <w:t>By email dated July 15, 2021, the Applicant advised the Investigator that he would require until Monday, July 19, 2021, to submit his response to Ms. Simpson’s material.</w:t>
      </w:r>
      <w:r w:rsidRPr="00B348FA">
        <w:rPr>
          <w:rFonts w:ascii="Times New Roman" w:hAnsi="Times New Roman" w:cs="Times New Roman"/>
          <w:sz w:val="28"/>
          <w:szCs w:val="28"/>
          <w:vertAlign w:val="superscript"/>
        </w:rPr>
        <w:footnoteReference w:id="32"/>
      </w:r>
      <w:r w:rsidRPr="00820FF5">
        <w:rPr>
          <w:rFonts w:ascii="Times New Roman" w:hAnsi="Times New Roman" w:cs="Times New Roman"/>
          <w:sz w:val="28"/>
          <w:szCs w:val="28"/>
        </w:rPr>
        <w:t xml:space="preserve">  </w:t>
      </w:r>
    </w:p>
    <w:p w14:paraId="188AA0BC"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19450BEA"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[34]</w:t>
      </w:r>
      <w:r w:rsidRPr="00820FF5">
        <w:rPr>
          <w:rFonts w:ascii="Times New Roman" w:hAnsi="Times New Roman" w:cs="Times New Roman"/>
          <w:sz w:val="28"/>
          <w:szCs w:val="28"/>
        </w:rPr>
        <w:tab/>
        <w:t>By email dated July 19, 2021, to Mr. Tait and the Investigator, the Applicant replied to Ms. Simpson’s response.</w:t>
      </w:r>
      <w:r w:rsidRPr="00B348FA">
        <w:rPr>
          <w:rFonts w:ascii="Times New Roman" w:hAnsi="Times New Roman" w:cs="Times New Roman"/>
          <w:sz w:val="28"/>
          <w:szCs w:val="28"/>
          <w:vertAlign w:val="superscript"/>
        </w:rPr>
        <w:footnoteReference w:id="33"/>
      </w:r>
      <w:r w:rsidRPr="00B348FA">
        <w:rPr>
          <w:rFonts w:ascii="Times New Roman" w:hAnsi="Times New Roman" w:cs="Times New Roman"/>
          <w:sz w:val="28"/>
          <w:szCs w:val="28"/>
          <w:vertAlign w:val="superscript"/>
        </w:rPr>
        <w:t xml:space="preserve"> </w:t>
      </w:r>
    </w:p>
    <w:p w14:paraId="08E6CBA8"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191F8FA0"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[35]</w:t>
      </w:r>
      <w:r w:rsidRPr="00820FF5">
        <w:rPr>
          <w:rFonts w:ascii="Times New Roman" w:hAnsi="Times New Roman" w:cs="Times New Roman"/>
          <w:sz w:val="28"/>
          <w:szCs w:val="28"/>
        </w:rPr>
        <w:tab/>
        <w:t>By emails dated July 22 and 23, 2021, the Applicant provided additional information to the Investigator regarding Ms. Simpson’s alleged misconduct.</w:t>
      </w:r>
      <w:r w:rsidRPr="00B348FA">
        <w:rPr>
          <w:rFonts w:ascii="Times New Roman" w:hAnsi="Times New Roman" w:cs="Times New Roman"/>
          <w:sz w:val="28"/>
          <w:szCs w:val="28"/>
          <w:vertAlign w:val="superscript"/>
        </w:rPr>
        <w:footnoteReference w:id="34"/>
      </w:r>
      <w:r w:rsidRPr="00820FF5">
        <w:rPr>
          <w:rFonts w:ascii="Times New Roman" w:hAnsi="Times New Roman" w:cs="Times New Roman"/>
          <w:sz w:val="28"/>
          <w:szCs w:val="28"/>
        </w:rPr>
        <w:t xml:space="preserve">  </w:t>
      </w:r>
    </w:p>
    <w:p w14:paraId="6AD5AB50"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221A1320"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[36]</w:t>
      </w:r>
      <w:r w:rsidRPr="00820FF5">
        <w:rPr>
          <w:rFonts w:ascii="Times New Roman" w:hAnsi="Times New Roman" w:cs="Times New Roman"/>
          <w:sz w:val="28"/>
          <w:szCs w:val="28"/>
        </w:rPr>
        <w:tab/>
        <w:t>By letter dated August 18, 2021, the Investigator sent his report to Mr. Rutland.</w:t>
      </w:r>
      <w:r w:rsidRPr="00B348FA">
        <w:rPr>
          <w:rFonts w:ascii="Times New Roman" w:hAnsi="Times New Roman" w:cs="Times New Roman"/>
          <w:sz w:val="28"/>
          <w:szCs w:val="28"/>
          <w:vertAlign w:val="superscript"/>
        </w:rPr>
        <w:footnoteReference w:id="35"/>
      </w:r>
      <w:r w:rsidRPr="003B2FA2">
        <w:rPr>
          <w:rFonts w:ascii="Times New Roman" w:hAnsi="Times New Roman" w:cs="Times New Roman"/>
          <w:sz w:val="28"/>
          <w:szCs w:val="28"/>
        </w:rPr>
        <w:t xml:space="preserve"> </w:t>
      </w:r>
    </w:p>
    <w:p w14:paraId="5D5C7E3A"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40635B79"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[37]</w:t>
      </w:r>
      <w:r w:rsidRPr="00820FF5">
        <w:rPr>
          <w:rFonts w:ascii="Times New Roman" w:hAnsi="Times New Roman" w:cs="Times New Roman"/>
          <w:sz w:val="28"/>
          <w:szCs w:val="28"/>
        </w:rPr>
        <w:tab/>
        <w:t>By email dated August 20, 2021, Mr. Tait sent the Investigator’s draft report to a lay member of the Discipline Committee, Dennis Marchiori (“Mr. Marchiori”) to review.</w:t>
      </w:r>
      <w:r w:rsidRPr="00B348FA">
        <w:rPr>
          <w:rFonts w:ascii="Times New Roman" w:hAnsi="Times New Roman" w:cs="Times New Roman"/>
          <w:sz w:val="28"/>
          <w:szCs w:val="28"/>
          <w:vertAlign w:val="superscript"/>
        </w:rPr>
        <w:footnoteReference w:id="36"/>
      </w:r>
      <w:r w:rsidRPr="00B348FA">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3EB91A15"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5E2A6B66" w14:textId="77777777" w:rsidR="00820FF5" w:rsidRPr="003B2FA2"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[38]</w:t>
      </w:r>
      <w:r w:rsidRPr="00820FF5">
        <w:rPr>
          <w:rFonts w:ascii="Times New Roman" w:hAnsi="Times New Roman" w:cs="Times New Roman"/>
          <w:sz w:val="28"/>
          <w:szCs w:val="28"/>
        </w:rPr>
        <w:tab/>
        <w:t>Thereafter, Mr. Rutland wrote to the Applicant by letter dated September 3, 2021, advising that:</w:t>
      </w:r>
    </w:p>
    <w:p w14:paraId="1C6704BE" w14:textId="77777777" w:rsidR="00820FF5" w:rsidRPr="00820FF5" w:rsidRDefault="00820FF5" w:rsidP="0086002B">
      <w:pPr>
        <w:tabs>
          <w:tab w:val="left" w:pos="1134"/>
        </w:tabs>
        <w:spacing w:after="0" w:line="240" w:lineRule="auto"/>
        <w:jc w:val="both"/>
        <w:rPr>
          <w:rFonts w:ascii="Times New Roman" w:hAnsi="Times New Roman" w:cs="Times New Roman"/>
          <w:sz w:val="28"/>
          <w:szCs w:val="28"/>
        </w:rPr>
      </w:pPr>
    </w:p>
    <w:p w14:paraId="15593EB8" w14:textId="1BC7D743" w:rsidR="00820FF5" w:rsidRDefault="00820FF5" w:rsidP="0086002B">
      <w:pPr>
        <w:pStyle w:val="ListParagraph"/>
        <w:numPr>
          <w:ilvl w:val="0"/>
          <w:numId w:val="16"/>
        </w:numPr>
        <w:tabs>
          <w:tab w:val="left" w:pos="1134"/>
        </w:tabs>
        <w:spacing w:after="0" w:line="240" w:lineRule="auto"/>
        <w:jc w:val="both"/>
        <w:rPr>
          <w:rFonts w:ascii="Times New Roman" w:hAnsi="Times New Roman" w:cs="Times New Roman"/>
          <w:sz w:val="28"/>
          <w:szCs w:val="28"/>
        </w:rPr>
      </w:pPr>
      <w:r w:rsidRPr="00820FF5">
        <w:rPr>
          <w:rFonts w:ascii="Times New Roman" w:hAnsi="Times New Roman" w:cs="Times New Roman"/>
          <w:sz w:val="28"/>
          <w:szCs w:val="28"/>
        </w:rPr>
        <w:t>The Investigator found no reasonable prospect of conviction in relation to any of the allegations against Ms. Simpson or Mr. Kinnear;</w:t>
      </w:r>
    </w:p>
    <w:p w14:paraId="56401308" w14:textId="77777777" w:rsidR="00FF6C14" w:rsidRDefault="00FF6C14" w:rsidP="00FF6C14">
      <w:pPr>
        <w:pStyle w:val="ListParagraph"/>
        <w:tabs>
          <w:tab w:val="left" w:pos="1134"/>
        </w:tabs>
        <w:spacing w:after="0" w:line="240" w:lineRule="auto"/>
        <w:ind w:left="1800"/>
        <w:jc w:val="both"/>
        <w:rPr>
          <w:rFonts w:ascii="Times New Roman" w:hAnsi="Times New Roman" w:cs="Times New Roman"/>
          <w:sz w:val="28"/>
          <w:szCs w:val="28"/>
        </w:rPr>
      </w:pPr>
    </w:p>
    <w:p w14:paraId="3EE6D407" w14:textId="0B622AC5" w:rsidR="00FF6C14" w:rsidRDefault="00820FF5" w:rsidP="00FF6C14">
      <w:pPr>
        <w:pStyle w:val="ListParagraph"/>
        <w:numPr>
          <w:ilvl w:val="0"/>
          <w:numId w:val="16"/>
        </w:numPr>
        <w:tabs>
          <w:tab w:val="left" w:pos="1134"/>
        </w:tabs>
        <w:spacing w:line="240" w:lineRule="auto"/>
        <w:jc w:val="both"/>
        <w:rPr>
          <w:rFonts w:ascii="Times New Roman" w:hAnsi="Times New Roman" w:cs="Times New Roman"/>
          <w:sz w:val="28"/>
          <w:szCs w:val="28"/>
        </w:rPr>
      </w:pPr>
      <w:r w:rsidRPr="00820FF5">
        <w:rPr>
          <w:rFonts w:ascii="Times New Roman" w:hAnsi="Times New Roman" w:cs="Times New Roman"/>
          <w:sz w:val="28"/>
          <w:szCs w:val="28"/>
        </w:rPr>
        <w:t xml:space="preserve">The Investigator’s report was reviewed by a lay member of the Discipline Committee, who agreed with the conclusions reach by the Investigator; </w:t>
      </w:r>
    </w:p>
    <w:p w14:paraId="15B9AB6E" w14:textId="56F1E875" w:rsidR="00675EB4" w:rsidRDefault="00820FF5" w:rsidP="00675EB4">
      <w:pPr>
        <w:pStyle w:val="ListParagraph"/>
        <w:numPr>
          <w:ilvl w:val="0"/>
          <w:numId w:val="16"/>
        </w:numPr>
        <w:tabs>
          <w:tab w:val="left" w:pos="1134"/>
        </w:tabs>
        <w:spacing w:line="240" w:lineRule="auto"/>
        <w:jc w:val="both"/>
        <w:rPr>
          <w:rFonts w:ascii="Times New Roman" w:hAnsi="Times New Roman" w:cs="Times New Roman"/>
          <w:sz w:val="28"/>
          <w:szCs w:val="28"/>
        </w:rPr>
      </w:pPr>
      <w:r w:rsidRPr="00820FF5">
        <w:rPr>
          <w:rFonts w:ascii="Times New Roman" w:hAnsi="Times New Roman" w:cs="Times New Roman"/>
          <w:sz w:val="28"/>
          <w:szCs w:val="28"/>
        </w:rPr>
        <w:lastRenderedPageBreak/>
        <w:t xml:space="preserve">The Chair accepted the report and conclusions of the Investigator; and </w:t>
      </w:r>
    </w:p>
    <w:p w14:paraId="6D28B527" w14:textId="77777777" w:rsidR="00675EB4" w:rsidRPr="00675EB4" w:rsidRDefault="00675EB4" w:rsidP="00675EB4">
      <w:pPr>
        <w:pStyle w:val="ListParagraph"/>
        <w:rPr>
          <w:rFonts w:ascii="Times New Roman" w:hAnsi="Times New Roman" w:cs="Times New Roman"/>
          <w:sz w:val="28"/>
          <w:szCs w:val="28"/>
        </w:rPr>
      </w:pPr>
    </w:p>
    <w:p w14:paraId="42654BC0" w14:textId="6CB12754" w:rsidR="00820FF5" w:rsidRPr="00820FF5" w:rsidRDefault="00820FF5" w:rsidP="0086002B">
      <w:pPr>
        <w:pStyle w:val="ListParagraph"/>
        <w:numPr>
          <w:ilvl w:val="0"/>
          <w:numId w:val="16"/>
        </w:numPr>
        <w:tabs>
          <w:tab w:val="left" w:pos="1134"/>
        </w:tabs>
        <w:spacing w:line="240" w:lineRule="auto"/>
        <w:jc w:val="both"/>
        <w:rPr>
          <w:rFonts w:ascii="Times New Roman" w:hAnsi="Times New Roman" w:cs="Times New Roman"/>
          <w:sz w:val="28"/>
          <w:szCs w:val="28"/>
        </w:rPr>
      </w:pPr>
      <w:r w:rsidRPr="00820FF5">
        <w:rPr>
          <w:rFonts w:ascii="Times New Roman" w:hAnsi="Times New Roman" w:cs="Times New Roman"/>
          <w:sz w:val="28"/>
          <w:szCs w:val="28"/>
        </w:rPr>
        <w:t>As a result, there would be no further action taken with respect to the complaints.</w:t>
      </w:r>
      <w:r w:rsidRPr="00820FF5">
        <w:rPr>
          <w:rStyle w:val="FootnoteReference"/>
          <w:rFonts w:cs="Times New Roman"/>
          <w:szCs w:val="28"/>
        </w:rPr>
        <w:footnoteReference w:id="37"/>
      </w:r>
    </w:p>
    <w:p w14:paraId="025CB8FF" w14:textId="77777777" w:rsidR="00820FF5" w:rsidRDefault="00820FF5" w:rsidP="0086002B">
      <w:pPr>
        <w:pStyle w:val="ListParagraph"/>
        <w:tabs>
          <w:tab w:val="left" w:pos="1134"/>
        </w:tabs>
        <w:spacing w:line="240" w:lineRule="auto"/>
        <w:ind w:left="0"/>
        <w:jc w:val="both"/>
        <w:rPr>
          <w:rFonts w:ascii="Times New Roman" w:hAnsi="Times New Roman" w:cs="Times New Roman"/>
          <w:sz w:val="28"/>
          <w:szCs w:val="28"/>
        </w:rPr>
      </w:pPr>
    </w:p>
    <w:p w14:paraId="04D48344" w14:textId="78E8499B" w:rsidR="00820FF5" w:rsidRPr="003B2FA2" w:rsidRDefault="00820FF5" w:rsidP="0086002B">
      <w:pPr>
        <w:pStyle w:val="ListParagraph"/>
        <w:spacing w:after="24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[39]</w:t>
      </w:r>
      <w:r w:rsidRPr="00820FF5">
        <w:rPr>
          <w:rFonts w:ascii="Times New Roman" w:hAnsi="Times New Roman" w:cs="Times New Roman"/>
          <w:sz w:val="28"/>
          <w:szCs w:val="28"/>
        </w:rPr>
        <w:tab/>
        <w:t>The information considered by the Investigator in reaching his conclusion that there was no reasonable prospect of conviction is set out in his report dated August 31, 2021.</w:t>
      </w:r>
      <w:r w:rsidRPr="00B348FA">
        <w:rPr>
          <w:rFonts w:ascii="Times New Roman" w:hAnsi="Times New Roman" w:cs="Times New Roman"/>
          <w:sz w:val="28"/>
          <w:szCs w:val="28"/>
          <w:vertAlign w:val="superscript"/>
        </w:rPr>
        <w:footnoteReference w:id="38"/>
      </w:r>
      <w:r w:rsidRPr="00820FF5">
        <w:rPr>
          <w:rFonts w:ascii="Times New Roman" w:hAnsi="Times New Roman" w:cs="Times New Roman"/>
          <w:sz w:val="28"/>
          <w:szCs w:val="28"/>
        </w:rPr>
        <w:t xml:space="preserve">  </w:t>
      </w:r>
    </w:p>
    <w:p w14:paraId="44418BB8" w14:textId="3A31C184"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[40]</w:t>
      </w:r>
      <w:r w:rsidRPr="00820FF5">
        <w:rPr>
          <w:rFonts w:ascii="Times New Roman" w:hAnsi="Times New Roman" w:cs="Times New Roman"/>
          <w:sz w:val="28"/>
          <w:szCs w:val="28"/>
        </w:rPr>
        <w:tab/>
        <w:t>By email dated September 6, 2021, the Applicant provided to Mr. Tait a multiple page response to the Investigator’s Report.</w:t>
      </w:r>
      <w:r w:rsidRPr="00B348FA">
        <w:rPr>
          <w:rFonts w:ascii="Times New Roman" w:hAnsi="Times New Roman" w:cs="Times New Roman"/>
          <w:sz w:val="28"/>
          <w:szCs w:val="28"/>
          <w:vertAlign w:val="superscript"/>
        </w:rPr>
        <w:footnoteReference w:id="39"/>
      </w:r>
      <w:r w:rsidRPr="00B348FA">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2199F55A"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2A663991"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[41]</w:t>
      </w:r>
      <w:r w:rsidRPr="00820FF5">
        <w:rPr>
          <w:rFonts w:ascii="Times New Roman" w:hAnsi="Times New Roman" w:cs="Times New Roman"/>
          <w:sz w:val="28"/>
          <w:szCs w:val="28"/>
        </w:rPr>
        <w:tab/>
        <w:t>By email dated September 10, 2021, the Applicant provided a nine-page addendum to his response to the Law Society.</w:t>
      </w:r>
      <w:r w:rsidRPr="00B348FA">
        <w:rPr>
          <w:rFonts w:ascii="Times New Roman" w:hAnsi="Times New Roman" w:cs="Times New Roman"/>
          <w:sz w:val="28"/>
          <w:szCs w:val="28"/>
          <w:vertAlign w:val="superscript"/>
        </w:rPr>
        <w:footnoteReference w:id="40"/>
      </w:r>
      <w:r w:rsidRPr="00820FF5">
        <w:rPr>
          <w:rFonts w:ascii="Times New Roman" w:hAnsi="Times New Roman" w:cs="Times New Roman"/>
          <w:sz w:val="28"/>
          <w:szCs w:val="28"/>
        </w:rPr>
        <w:t xml:space="preserve">  </w:t>
      </w:r>
    </w:p>
    <w:p w14:paraId="2EBB282C"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5D00F82C"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[42]</w:t>
      </w:r>
      <w:r w:rsidRPr="00820FF5">
        <w:rPr>
          <w:rFonts w:ascii="Times New Roman" w:hAnsi="Times New Roman" w:cs="Times New Roman"/>
          <w:sz w:val="28"/>
          <w:szCs w:val="28"/>
        </w:rPr>
        <w:tab/>
        <w:t>By email dated September 14, 2021, the Applicant wrote to Mr. Tait alleging that there was a conflict of interest in Paul Andrew reviewing the Investigator’s report as a lay member.</w:t>
      </w:r>
      <w:r w:rsidRPr="00B348FA">
        <w:rPr>
          <w:rFonts w:ascii="Times New Roman" w:hAnsi="Times New Roman" w:cs="Times New Roman"/>
          <w:sz w:val="28"/>
          <w:szCs w:val="28"/>
          <w:vertAlign w:val="superscript"/>
        </w:rPr>
        <w:footnoteReference w:id="41"/>
      </w:r>
      <w:r w:rsidRPr="00B348FA">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093DA82C"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1D6960F3"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[43]</w:t>
      </w:r>
      <w:r w:rsidRPr="00820FF5">
        <w:rPr>
          <w:rFonts w:ascii="Times New Roman" w:hAnsi="Times New Roman" w:cs="Times New Roman"/>
          <w:sz w:val="28"/>
          <w:szCs w:val="28"/>
        </w:rPr>
        <w:tab/>
        <w:t>To recall, the public member of the Discipline Committee who reviewed the Investigator’s report was Mr. Marchiori.</w:t>
      </w:r>
      <w:r w:rsidRPr="00B348FA">
        <w:rPr>
          <w:rFonts w:ascii="Times New Roman" w:hAnsi="Times New Roman" w:cs="Times New Roman"/>
          <w:sz w:val="28"/>
          <w:szCs w:val="28"/>
          <w:vertAlign w:val="superscript"/>
        </w:rPr>
        <w:footnoteReference w:id="42"/>
      </w:r>
      <w:r w:rsidRPr="00820FF5">
        <w:rPr>
          <w:rFonts w:ascii="Times New Roman" w:hAnsi="Times New Roman" w:cs="Times New Roman"/>
          <w:sz w:val="28"/>
          <w:szCs w:val="28"/>
        </w:rPr>
        <w:t xml:space="preserve">  </w:t>
      </w:r>
    </w:p>
    <w:p w14:paraId="6EB91042"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4CB1A6D7"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[44]</w:t>
      </w:r>
      <w:r w:rsidRPr="00820FF5">
        <w:rPr>
          <w:rFonts w:ascii="Times New Roman" w:hAnsi="Times New Roman" w:cs="Times New Roman"/>
          <w:sz w:val="28"/>
          <w:szCs w:val="28"/>
        </w:rPr>
        <w:tab/>
        <w:t>By email dated October 4, 2021, the Applicant filed and served the Law Society with an Originating Notice of Appeal with respect to the decision of Mr. Rutland, along with an affidavit sworn by him on October 4, 2021.</w:t>
      </w:r>
      <w:r w:rsidRPr="00B348FA">
        <w:rPr>
          <w:rFonts w:ascii="Times New Roman" w:hAnsi="Times New Roman" w:cs="Times New Roman"/>
          <w:sz w:val="28"/>
          <w:szCs w:val="28"/>
          <w:vertAlign w:val="superscript"/>
        </w:rPr>
        <w:footnoteReference w:id="43"/>
      </w:r>
      <w:r w:rsidRPr="00B348FA">
        <w:rPr>
          <w:rFonts w:ascii="Times New Roman" w:hAnsi="Times New Roman" w:cs="Times New Roman"/>
          <w:sz w:val="28"/>
          <w:szCs w:val="28"/>
          <w:vertAlign w:val="superscript"/>
        </w:rPr>
        <w:t xml:space="preserve"> </w:t>
      </w:r>
      <w:r w:rsidRPr="00820FF5">
        <w:rPr>
          <w:rFonts w:ascii="Times New Roman" w:hAnsi="Times New Roman" w:cs="Times New Roman"/>
          <w:sz w:val="28"/>
          <w:szCs w:val="28"/>
        </w:rPr>
        <w:t xml:space="preserve"> </w:t>
      </w:r>
    </w:p>
    <w:p w14:paraId="565A717A"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66C03A52"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[45]</w:t>
      </w:r>
      <w:r w:rsidRPr="00820FF5">
        <w:rPr>
          <w:rFonts w:ascii="Times New Roman" w:hAnsi="Times New Roman" w:cs="Times New Roman"/>
          <w:sz w:val="28"/>
          <w:szCs w:val="28"/>
        </w:rPr>
        <w:tab/>
        <w:t>On December 17, 2021, the Applicant and counsel for the Law Society appeared before me at a pre-hearing conference in advance of this judicial review.</w:t>
      </w:r>
    </w:p>
    <w:p w14:paraId="778A564B"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111D7AC7"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[46]</w:t>
      </w:r>
      <w:r w:rsidRPr="00820FF5">
        <w:rPr>
          <w:rFonts w:ascii="Times New Roman" w:hAnsi="Times New Roman" w:cs="Times New Roman"/>
          <w:sz w:val="28"/>
          <w:szCs w:val="28"/>
        </w:rPr>
        <w:tab/>
        <w:t xml:space="preserve">I ordered, </w:t>
      </w:r>
      <w:r w:rsidRPr="003B2FA2">
        <w:rPr>
          <w:rFonts w:ascii="Times New Roman" w:hAnsi="Times New Roman" w:cs="Times New Roman"/>
          <w:sz w:val="28"/>
          <w:szCs w:val="28"/>
        </w:rPr>
        <w:t>inter alia</w:t>
      </w:r>
      <w:r w:rsidRPr="00820FF5">
        <w:rPr>
          <w:rFonts w:ascii="Times New Roman" w:hAnsi="Times New Roman" w:cs="Times New Roman"/>
          <w:sz w:val="28"/>
          <w:szCs w:val="28"/>
        </w:rPr>
        <w:t>, that the Applicant was entitled to file and serve a Supplemental Certified Record by January 18, 2022.</w:t>
      </w:r>
    </w:p>
    <w:p w14:paraId="32FBDDC4"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037767E5" w14:textId="77777777"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[47]</w:t>
      </w:r>
      <w:r w:rsidRPr="00820FF5">
        <w:rPr>
          <w:rFonts w:ascii="Times New Roman" w:hAnsi="Times New Roman" w:cs="Times New Roman"/>
          <w:sz w:val="28"/>
          <w:szCs w:val="28"/>
        </w:rPr>
        <w:tab/>
        <w:t>On January 18, 2022, the Applicant filed and served counsel for the Law Society with the Supplemental Certified Record.</w:t>
      </w:r>
    </w:p>
    <w:p w14:paraId="09AEAED0" w14:textId="77777777" w:rsidR="003129DD" w:rsidRDefault="003129DD" w:rsidP="0086002B">
      <w:pPr>
        <w:pStyle w:val="ListParagraph"/>
        <w:spacing w:after="0" w:line="240" w:lineRule="auto"/>
        <w:ind w:left="0"/>
        <w:contextualSpacing w:val="0"/>
        <w:jc w:val="both"/>
        <w:rPr>
          <w:rFonts w:ascii="Times New Roman" w:hAnsi="Times New Roman" w:cs="Times New Roman"/>
          <w:sz w:val="28"/>
          <w:szCs w:val="28"/>
        </w:rPr>
      </w:pPr>
    </w:p>
    <w:p w14:paraId="30E26AAC"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[48]</w:t>
      </w:r>
      <w:r w:rsidRPr="00820FF5">
        <w:rPr>
          <w:rFonts w:ascii="Times New Roman" w:hAnsi="Times New Roman" w:cs="Times New Roman"/>
          <w:sz w:val="28"/>
          <w:szCs w:val="28"/>
        </w:rPr>
        <w:tab/>
        <w:t xml:space="preserve">There is no quarrel that the Supplemental Certified Record contained 23 pages of records that were not put before the Investigator as they were created after the decision to dismiss the complaints that are the subject of this judicial review. </w:t>
      </w:r>
    </w:p>
    <w:p w14:paraId="7923070C" w14:textId="77777777" w:rsidR="00820FF5" w:rsidRPr="00820FF5" w:rsidRDefault="00820FF5" w:rsidP="00675EB4">
      <w:pPr>
        <w:pStyle w:val="ListParagraph"/>
        <w:spacing w:after="0" w:line="240" w:lineRule="auto"/>
        <w:ind w:left="0"/>
        <w:contextualSpacing w:val="0"/>
        <w:jc w:val="both"/>
        <w:rPr>
          <w:rFonts w:ascii="Times New Roman" w:hAnsi="Times New Roman" w:cs="Times New Roman"/>
          <w:sz w:val="28"/>
          <w:szCs w:val="28"/>
        </w:rPr>
      </w:pPr>
    </w:p>
    <w:p w14:paraId="4FD24AE6"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[49]</w:t>
      </w:r>
      <w:r w:rsidRPr="00820FF5">
        <w:rPr>
          <w:rFonts w:ascii="Times New Roman" w:hAnsi="Times New Roman" w:cs="Times New Roman"/>
          <w:sz w:val="28"/>
          <w:szCs w:val="28"/>
        </w:rPr>
        <w:tab/>
        <w:t>Further, the Applicant filed written submissions on March 1, 2022 (titled “Trial Brief of the Applicant”) in which he made assertions that were not consistent with the Certified Record or the Supplemental Certified Record.</w:t>
      </w:r>
    </w:p>
    <w:p w14:paraId="519036FD"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249A7528"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[50]</w:t>
      </w:r>
      <w:r w:rsidRPr="00820FF5">
        <w:rPr>
          <w:rFonts w:ascii="Times New Roman" w:hAnsi="Times New Roman" w:cs="Times New Roman"/>
          <w:sz w:val="28"/>
          <w:szCs w:val="28"/>
        </w:rPr>
        <w:tab/>
        <w:t xml:space="preserve">At paragraph 9 of his “Trial Brief”, the Applicant states that the Law Society was provided with the Clerk’s notes, the transcripts of the Court appearances on August 8 and 15, 2019 and the affidavits of Ms. Lavoie and Ms. Simpson’s legal assistant, which is not supported by the Certified Record or the Supplemental Certified Record.  </w:t>
      </w:r>
    </w:p>
    <w:p w14:paraId="548D52ED"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4CB32E4E" w14:textId="77777777"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[51]</w:t>
      </w:r>
      <w:r w:rsidRPr="00820FF5">
        <w:rPr>
          <w:rFonts w:ascii="Times New Roman" w:hAnsi="Times New Roman" w:cs="Times New Roman"/>
          <w:sz w:val="28"/>
          <w:szCs w:val="28"/>
        </w:rPr>
        <w:tab/>
        <w:t>The written submissions filed by the Applicant on December 16, 2021 (titled “Factum of the Applicant”) focus on alleged errors in judgment of the Law Society in dismissing the complaints against Ms. Simpson and Mr. Kinnear, which implies that the Applicant assumes he has standing to seek judicial review on the merits of the decision of the Law Society to dismiss the complaints.</w:t>
      </w:r>
    </w:p>
    <w:p w14:paraId="3A28696E" w14:textId="77777777" w:rsidR="0086002B" w:rsidRPr="00820FF5" w:rsidRDefault="0086002B" w:rsidP="0086002B">
      <w:pPr>
        <w:pStyle w:val="ListParagraph"/>
        <w:spacing w:after="0" w:line="240" w:lineRule="auto"/>
        <w:ind w:left="0"/>
        <w:contextualSpacing w:val="0"/>
        <w:jc w:val="both"/>
        <w:rPr>
          <w:rFonts w:ascii="Times New Roman" w:hAnsi="Times New Roman" w:cs="Times New Roman"/>
          <w:sz w:val="28"/>
          <w:szCs w:val="28"/>
        </w:rPr>
      </w:pPr>
    </w:p>
    <w:p w14:paraId="6C6C4104" w14:textId="10771FB5" w:rsidR="00820FF5" w:rsidRPr="00820FF5" w:rsidRDefault="00820FF5" w:rsidP="0086002B">
      <w:pPr>
        <w:spacing w:after="0" w:line="240" w:lineRule="auto"/>
        <w:jc w:val="both"/>
        <w:rPr>
          <w:rFonts w:ascii="Times New Roman" w:eastAsiaTheme="majorEastAsia" w:hAnsi="Times New Roman" w:cs="Times New Roman"/>
          <w:color w:val="000000" w:themeColor="text1"/>
          <w:sz w:val="28"/>
          <w:szCs w:val="28"/>
        </w:rPr>
      </w:pPr>
      <w:r w:rsidRPr="00820FF5">
        <w:rPr>
          <w:rFonts w:ascii="Times New Roman" w:hAnsi="Times New Roman" w:cs="Times New Roman"/>
          <w:b/>
          <w:bCs/>
          <w:sz w:val="28"/>
          <w:szCs w:val="28"/>
          <w:u w:val="single"/>
        </w:rPr>
        <w:t>Issues</w:t>
      </w:r>
    </w:p>
    <w:p w14:paraId="10072487" w14:textId="77777777" w:rsidR="00820FF5" w:rsidRPr="00820FF5" w:rsidRDefault="00820FF5" w:rsidP="0086002B">
      <w:pPr>
        <w:pStyle w:val="ListParagraph"/>
        <w:tabs>
          <w:tab w:val="left" w:pos="1134"/>
        </w:tabs>
        <w:spacing w:after="0" w:line="240" w:lineRule="auto"/>
        <w:ind w:left="0"/>
        <w:jc w:val="both"/>
        <w:rPr>
          <w:rFonts w:ascii="Times New Roman" w:hAnsi="Times New Roman" w:cs="Times New Roman"/>
          <w:sz w:val="28"/>
          <w:szCs w:val="28"/>
        </w:rPr>
      </w:pPr>
    </w:p>
    <w:p w14:paraId="7D10FC12" w14:textId="77777777"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[52]</w:t>
      </w:r>
      <w:r w:rsidRPr="00820FF5">
        <w:rPr>
          <w:rFonts w:ascii="Times New Roman" w:hAnsi="Times New Roman" w:cs="Times New Roman"/>
          <w:sz w:val="28"/>
          <w:szCs w:val="28"/>
        </w:rPr>
        <w:tab/>
        <w:t>The issues to be determined on this Application for judicial review are:</w:t>
      </w:r>
    </w:p>
    <w:p w14:paraId="5832A337" w14:textId="77777777" w:rsidR="003E49AF" w:rsidRPr="00820FF5" w:rsidRDefault="003E49AF" w:rsidP="0086002B">
      <w:pPr>
        <w:pStyle w:val="ListParagraph"/>
        <w:tabs>
          <w:tab w:val="left" w:pos="1134"/>
        </w:tabs>
        <w:spacing w:after="0" w:line="240" w:lineRule="auto"/>
        <w:ind w:left="0"/>
        <w:jc w:val="both"/>
        <w:rPr>
          <w:rFonts w:ascii="Times New Roman" w:hAnsi="Times New Roman" w:cs="Times New Roman"/>
          <w:sz w:val="28"/>
          <w:szCs w:val="28"/>
        </w:rPr>
      </w:pPr>
    </w:p>
    <w:p w14:paraId="22EFD035" w14:textId="77777777" w:rsidR="00820FF5" w:rsidRDefault="00820FF5" w:rsidP="0086002B">
      <w:pPr>
        <w:pStyle w:val="ListParagraph"/>
        <w:numPr>
          <w:ilvl w:val="0"/>
          <w:numId w:val="17"/>
        </w:numPr>
        <w:tabs>
          <w:tab w:val="left" w:pos="1134"/>
        </w:tabs>
        <w:spacing w:after="0" w:line="240" w:lineRule="auto"/>
        <w:jc w:val="both"/>
        <w:rPr>
          <w:rFonts w:ascii="Times New Roman" w:hAnsi="Times New Roman" w:cs="Times New Roman"/>
          <w:sz w:val="28"/>
          <w:szCs w:val="28"/>
        </w:rPr>
      </w:pPr>
      <w:r w:rsidRPr="00820FF5">
        <w:rPr>
          <w:rFonts w:ascii="Times New Roman" w:hAnsi="Times New Roman" w:cs="Times New Roman"/>
          <w:sz w:val="28"/>
          <w:szCs w:val="28"/>
        </w:rPr>
        <w:t>Whether the Applicant should be allowed to rely on his affidavit dated October 4, 2021, or any portion of it?</w:t>
      </w:r>
    </w:p>
    <w:p w14:paraId="6A7AFDEF" w14:textId="77777777" w:rsidR="00675EB4" w:rsidRDefault="00675EB4" w:rsidP="00675EB4">
      <w:pPr>
        <w:pStyle w:val="ListParagraph"/>
        <w:tabs>
          <w:tab w:val="left" w:pos="1134"/>
        </w:tabs>
        <w:spacing w:after="0" w:line="240" w:lineRule="auto"/>
        <w:ind w:left="1854"/>
        <w:jc w:val="both"/>
        <w:rPr>
          <w:rFonts w:ascii="Times New Roman" w:hAnsi="Times New Roman" w:cs="Times New Roman"/>
          <w:sz w:val="28"/>
          <w:szCs w:val="28"/>
        </w:rPr>
      </w:pPr>
    </w:p>
    <w:p w14:paraId="46586317" w14:textId="77777777" w:rsidR="00820FF5" w:rsidRDefault="00820FF5" w:rsidP="0086002B">
      <w:pPr>
        <w:pStyle w:val="ListParagraph"/>
        <w:numPr>
          <w:ilvl w:val="0"/>
          <w:numId w:val="17"/>
        </w:numPr>
        <w:tabs>
          <w:tab w:val="left" w:pos="1134"/>
        </w:tabs>
        <w:spacing w:after="0" w:line="240" w:lineRule="auto"/>
        <w:jc w:val="both"/>
        <w:rPr>
          <w:rFonts w:ascii="Times New Roman" w:hAnsi="Times New Roman" w:cs="Times New Roman"/>
          <w:sz w:val="28"/>
          <w:szCs w:val="28"/>
        </w:rPr>
      </w:pPr>
      <w:r w:rsidRPr="00820FF5">
        <w:rPr>
          <w:rFonts w:ascii="Times New Roman" w:hAnsi="Times New Roman" w:cs="Times New Roman"/>
          <w:sz w:val="28"/>
          <w:szCs w:val="28"/>
        </w:rPr>
        <w:t>Whether the Applicant has standing to seek judicial review in the circumstances?</w:t>
      </w:r>
    </w:p>
    <w:p w14:paraId="61D3B69F" w14:textId="77777777" w:rsidR="00675EB4" w:rsidRPr="00675EB4" w:rsidRDefault="00675EB4" w:rsidP="00675EB4">
      <w:pPr>
        <w:pStyle w:val="ListParagraph"/>
        <w:rPr>
          <w:rFonts w:ascii="Times New Roman" w:hAnsi="Times New Roman" w:cs="Times New Roman"/>
          <w:sz w:val="28"/>
          <w:szCs w:val="28"/>
        </w:rPr>
      </w:pPr>
    </w:p>
    <w:p w14:paraId="3B013CAE" w14:textId="77777777" w:rsidR="00820FF5" w:rsidRDefault="00820FF5" w:rsidP="0086002B">
      <w:pPr>
        <w:pStyle w:val="ListParagraph"/>
        <w:numPr>
          <w:ilvl w:val="0"/>
          <w:numId w:val="17"/>
        </w:numPr>
        <w:tabs>
          <w:tab w:val="left" w:pos="1134"/>
        </w:tabs>
        <w:spacing w:after="0" w:line="240" w:lineRule="auto"/>
        <w:jc w:val="both"/>
        <w:rPr>
          <w:rFonts w:ascii="Times New Roman" w:hAnsi="Times New Roman" w:cs="Times New Roman"/>
          <w:sz w:val="28"/>
          <w:szCs w:val="28"/>
        </w:rPr>
      </w:pPr>
      <w:r w:rsidRPr="00820FF5">
        <w:rPr>
          <w:rFonts w:ascii="Times New Roman" w:hAnsi="Times New Roman" w:cs="Times New Roman"/>
          <w:sz w:val="28"/>
          <w:szCs w:val="28"/>
        </w:rPr>
        <w:t xml:space="preserve">What is the standard of review for the issue(s) on which the Applicant has standing? </w:t>
      </w:r>
    </w:p>
    <w:p w14:paraId="0A5091C5" w14:textId="77777777" w:rsidR="00675EB4" w:rsidRPr="00675EB4" w:rsidRDefault="00675EB4" w:rsidP="00675EB4">
      <w:pPr>
        <w:pStyle w:val="ListParagraph"/>
        <w:rPr>
          <w:rFonts w:ascii="Times New Roman" w:hAnsi="Times New Roman" w:cs="Times New Roman"/>
          <w:sz w:val="28"/>
          <w:szCs w:val="28"/>
        </w:rPr>
      </w:pPr>
    </w:p>
    <w:p w14:paraId="108035E1" w14:textId="305D512F" w:rsidR="00820FF5" w:rsidRDefault="00820FF5" w:rsidP="00EE703A">
      <w:pPr>
        <w:pStyle w:val="ListParagraph"/>
        <w:numPr>
          <w:ilvl w:val="0"/>
          <w:numId w:val="17"/>
        </w:numPr>
        <w:tabs>
          <w:tab w:val="left" w:pos="1134"/>
        </w:tabs>
        <w:spacing w:after="0" w:line="240" w:lineRule="auto"/>
        <w:jc w:val="both"/>
        <w:rPr>
          <w:rFonts w:ascii="Times New Roman" w:hAnsi="Times New Roman" w:cs="Times New Roman"/>
          <w:sz w:val="28"/>
          <w:szCs w:val="28"/>
        </w:rPr>
      </w:pPr>
      <w:r w:rsidRPr="00675EB4">
        <w:rPr>
          <w:rFonts w:ascii="Times New Roman" w:hAnsi="Times New Roman" w:cs="Times New Roman"/>
          <w:sz w:val="28"/>
          <w:szCs w:val="28"/>
        </w:rPr>
        <w:t>Was the Law Society process conducted in an unfair manner?</w:t>
      </w:r>
    </w:p>
    <w:p w14:paraId="30CF4124" w14:textId="77777777" w:rsidR="00675EB4" w:rsidRPr="00675EB4" w:rsidRDefault="00675EB4" w:rsidP="00675EB4">
      <w:pPr>
        <w:pStyle w:val="ListParagraph"/>
        <w:rPr>
          <w:rFonts w:ascii="Times New Roman" w:hAnsi="Times New Roman" w:cs="Times New Roman"/>
          <w:sz w:val="28"/>
          <w:szCs w:val="28"/>
        </w:rPr>
      </w:pPr>
    </w:p>
    <w:p w14:paraId="34B9ABDC" w14:textId="379F82A9" w:rsidR="00820FF5" w:rsidRPr="00675EB4" w:rsidRDefault="00820FF5" w:rsidP="00FA4899">
      <w:pPr>
        <w:pStyle w:val="ListParagraph"/>
        <w:numPr>
          <w:ilvl w:val="0"/>
          <w:numId w:val="17"/>
        </w:numPr>
        <w:tabs>
          <w:tab w:val="left" w:pos="1134"/>
        </w:tabs>
        <w:spacing w:after="0" w:line="240" w:lineRule="auto"/>
        <w:jc w:val="both"/>
        <w:rPr>
          <w:rFonts w:ascii="Times New Roman" w:hAnsi="Times New Roman" w:cs="Times New Roman"/>
          <w:sz w:val="28"/>
          <w:szCs w:val="28"/>
        </w:rPr>
      </w:pPr>
      <w:r w:rsidRPr="00675EB4">
        <w:rPr>
          <w:rFonts w:ascii="Times New Roman" w:hAnsi="Times New Roman" w:cs="Times New Roman"/>
          <w:sz w:val="28"/>
          <w:szCs w:val="28"/>
        </w:rPr>
        <w:t>Has the Applicant demonstrated entitlement for the relief sought?</w:t>
      </w:r>
    </w:p>
    <w:p w14:paraId="5202EE4A" w14:textId="77777777" w:rsidR="00820FF5" w:rsidRDefault="00820FF5" w:rsidP="0086002B">
      <w:pPr>
        <w:pStyle w:val="ListParagraph"/>
        <w:spacing w:after="0" w:line="240" w:lineRule="auto"/>
        <w:ind w:left="0"/>
        <w:jc w:val="both"/>
        <w:rPr>
          <w:rFonts w:ascii="Times New Roman" w:hAnsi="Times New Roman" w:cs="Times New Roman"/>
          <w:sz w:val="28"/>
          <w:szCs w:val="28"/>
        </w:rPr>
      </w:pPr>
    </w:p>
    <w:p w14:paraId="789D4F38" w14:textId="77777777" w:rsidR="003129DD" w:rsidRDefault="003129DD" w:rsidP="0086002B">
      <w:pPr>
        <w:pStyle w:val="ListParagraph"/>
        <w:spacing w:after="0" w:line="240" w:lineRule="auto"/>
        <w:ind w:left="0"/>
        <w:jc w:val="both"/>
        <w:rPr>
          <w:rFonts w:ascii="Times New Roman" w:hAnsi="Times New Roman" w:cs="Times New Roman"/>
          <w:sz w:val="28"/>
          <w:szCs w:val="28"/>
        </w:rPr>
      </w:pPr>
    </w:p>
    <w:p w14:paraId="45F522A3" w14:textId="77777777" w:rsidR="003129DD" w:rsidRDefault="003129DD" w:rsidP="0086002B">
      <w:pPr>
        <w:pStyle w:val="ListParagraph"/>
        <w:spacing w:after="0" w:line="240" w:lineRule="auto"/>
        <w:ind w:left="0"/>
        <w:jc w:val="both"/>
        <w:rPr>
          <w:rFonts w:ascii="Times New Roman" w:hAnsi="Times New Roman" w:cs="Times New Roman"/>
          <w:sz w:val="28"/>
          <w:szCs w:val="28"/>
        </w:rPr>
      </w:pPr>
    </w:p>
    <w:p w14:paraId="683E9477" w14:textId="77777777" w:rsidR="003129DD" w:rsidRDefault="003129DD" w:rsidP="0086002B">
      <w:pPr>
        <w:pStyle w:val="ListParagraph"/>
        <w:spacing w:after="0" w:line="240" w:lineRule="auto"/>
        <w:ind w:left="0"/>
        <w:jc w:val="both"/>
        <w:rPr>
          <w:rFonts w:ascii="Times New Roman" w:hAnsi="Times New Roman" w:cs="Times New Roman"/>
          <w:sz w:val="28"/>
          <w:szCs w:val="28"/>
        </w:rPr>
      </w:pPr>
    </w:p>
    <w:p w14:paraId="43D27D7C" w14:textId="77777777" w:rsidR="003129DD" w:rsidRDefault="003129DD" w:rsidP="0086002B">
      <w:pPr>
        <w:pStyle w:val="ListParagraph"/>
        <w:spacing w:after="0" w:line="240" w:lineRule="auto"/>
        <w:ind w:left="0"/>
        <w:jc w:val="both"/>
        <w:rPr>
          <w:rFonts w:ascii="Times New Roman" w:hAnsi="Times New Roman" w:cs="Times New Roman"/>
          <w:sz w:val="28"/>
          <w:szCs w:val="28"/>
        </w:rPr>
      </w:pPr>
    </w:p>
    <w:p w14:paraId="7D24D93B" w14:textId="77777777" w:rsidR="003129DD" w:rsidRPr="00820FF5" w:rsidRDefault="003129DD" w:rsidP="0086002B">
      <w:pPr>
        <w:pStyle w:val="ListParagraph"/>
        <w:spacing w:after="0" w:line="240" w:lineRule="auto"/>
        <w:ind w:left="0"/>
        <w:jc w:val="both"/>
        <w:rPr>
          <w:rFonts w:ascii="Times New Roman" w:hAnsi="Times New Roman" w:cs="Times New Roman"/>
          <w:sz w:val="28"/>
          <w:szCs w:val="28"/>
        </w:rPr>
      </w:pPr>
    </w:p>
    <w:p w14:paraId="1F4CE697" w14:textId="77777777" w:rsidR="00820FF5" w:rsidRPr="00820FF5" w:rsidRDefault="00820FF5" w:rsidP="0086002B">
      <w:pPr>
        <w:spacing w:after="0" w:line="240" w:lineRule="auto"/>
        <w:jc w:val="both"/>
        <w:rPr>
          <w:rFonts w:ascii="Times New Roman" w:hAnsi="Times New Roman" w:cs="Times New Roman"/>
          <w:sz w:val="28"/>
          <w:szCs w:val="28"/>
        </w:rPr>
      </w:pPr>
      <w:bookmarkStart w:id="3" w:name="_Toc97730244"/>
      <w:r w:rsidRPr="00820FF5">
        <w:rPr>
          <w:rFonts w:ascii="Times New Roman" w:hAnsi="Times New Roman" w:cs="Times New Roman"/>
          <w:b/>
          <w:bCs/>
          <w:sz w:val="28"/>
          <w:szCs w:val="28"/>
          <w:u w:val="single"/>
        </w:rPr>
        <w:t>Analysis and Conclusions</w:t>
      </w:r>
    </w:p>
    <w:p w14:paraId="2ABD8FB9" w14:textId="77777777" w:rsidR="00820FF5" w:rsidRPr="00820FF5" w:rsidRDefault="00820FF5" w:rsidP="0086002B">
      <w:pPr>
        <w:pStyle w:val="ListParagraph"/>
        <w:spacing w:after="0" w:line="240" w:lineRule="auto"/>
        <w:ind w:left="0"/>
        <w:jc w:val="both"/>
        <w:outlineLvl w:val="1"/>
        <w:rPr>
          <w:rFonts w:ascii="Times New Roman" w:hAnsi="Times New Roman" w:cs="Times New Roman"/>
          <w:b/>
          <w:bCs/>
          <w:i/>
          <w:iCs/>
          <w:sz w:val="28"/>
          <w:szCs w:val="28"/>
        </w:rPr>
      </w:pPr>
    </w:p>
    <w:p w14:paraId="453F6D9F" w14:textId="4F04A6CE" w:rsidR="00820FF5" w:rsidRDefault="00820FF5" w:rsidP="0086002B">
      <w:pPr>
        <w:pStyle w:val="ListParagraph"/>
        <w:spacing w:after="0" w:line="240" w:lineRule="auto"/>
        <w:ind w:left="0"/>
        <w:jc w:val="both"/>
        <w:outlineLvl w:val="1"/>
        <w:rPr>
          <w:rFonts w:ascii="Times New Roman" w:hAnsi="Times New Roman" w:cs="Times New Roman"/>
          <w:b/>
          <w:bCs/>
          <w:i/>
          <w:iCs/>
          <w:sz w:val="28"/>
          <w:szCs w:val="28"/>
        </w:rPr>
      </w:pPr>
      <w:r w:rsidRPr="00820FF5">
        <w:rPr>
          <w:rFonts w:ascii="Times New Roman" w:hAnsi="Times New Roman" w:cs="Times New Roman"/>
          <w:b/>
          <w:bCs/>
          <w:i/>
          <w:iCs/>
          <w:sz w:val="28"/>
          <w:szCs w:val="28"/>
        </w:rPr>
        <w:t xml:space="preserve">Admissibility of the October 4, 2021, affidavit </w:t>
      </w:r>
      <w:bookmarkEnd w:id="3"/>
    </w:p>
    <w:p w14:paraId="1A5DA6CD" w14:textId="77777777" w:rsidR="007E638B" w:rsidRDefault="007E638B" w:rsidP="0086002B">
      <w:pPr>
        <w:pStyle w:val="ListParagraph"/>
        <w:spacing w:after="0" w:line="240" w:lineRule="auto"/>
        <w:ind w:left="0"/>
        <w:jc w:val="both"/>
        <w:outlineLvl w:val="1"/>
        <w:rPr>
          <w:rFonts w:ascii="Times New Roman" w:hAnsi="Times New Roman" w:cs="Times New Roman"/>
          <w:b/>
          <w:bCs/>
          <w:i/>
          <w:iCs/>
          <w:sz w:val="28"/>
          <w:szCs w:val="28"/>
        </w:rPr>
      </w:pPr>
    </w:p>
    <w:p w14:paraId="6BF4CFF0"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[53]</w:t>
      </w:r>
      <w:r w:rsidRPr="00820FF5">
        <w:rPr>
          <w:rFonts w:ascii="Times New Roman" w:hAnsi="Times New Roman" w:cs="Times New Roman"/>
          <w:sz w:val="28"/>
          <w:szCs w:val="28"/>
        </w:rPr>
        <w:tab/>
        <w:t xml:space="preserve">Affidavit evidence is generally not admissible in an application for judicial review. </w:t>
      </w:r>
    </w:p>
    <w:p w14:paraId="29DA17BC"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2ECD505A" w14:textId="34E5DC28" w:rsidR="00820FF5" w:rsidRPr="00347F97" w:rsidRDefault="00820FF5" w:rsidP="00964ED0">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[54]</w:t>
      </w:r>
      <w:r w:rsidRPr="00820FF5">
        <w:rPr>
          <w:rFonts w:ascii="Times New Roman" w:hAnsi="Times New Roman" w:cs="Times New Roman"/>
          <w:sz w:val="28"/>
          <w:szCs w:val="28"/>
        </w:rPr>
        <w:tab/>
        <w:t xml:space="preserve">Slatter J. of the Alberta Court of Queen’s Bench (as he then was) set out the basis for this exclusionary rule in </w:t>
      </w:r>
      <w:r w:rsidRPr="00C936F8">
        <w:rPr>
          <w:rFonts w:ascii="Times New Roman" w:hAnsi="Times New Roman" w:cs="Times New Roman"/>
          <w:i/>
          <w:sz w:val="28"/>
          <w:szCs w:val="28"/>
        </w:rPr>
        <w:t>Alberta Li</w:t>
      </w:r>
      <w:r w:rsidR="00C936F8">
        <w:rPr>
          <w:rFonts w:ascii="Times New Roman" w:hAnsi="Times New Roman" w:cs="Times New Roman"/>
          <w:i/>
          <w:sz w:val="28"/>
          <w:szCs w:val="28"/>
        </w:rPr>
        <w:t>quor Store Assn. v</w:t>
      </w:r>
      <w:r w:rsidRPr="00C936F8">
        <w:rPr>
          <w:rFonts w:ascii="Times New Roman" w:hAnsi="Times New Roman" w:cs="Times New Roman"/>
          <w:i/>
          <w:sz w:val="28"/>
          <w:szCs w:val="28"/>
        </w:rPr>
        <w:t xml:space="preserve"> Alberta</w:t>
      </w:r>
      <w:r w:rsidRPr="003B2FA2">
        <w:rPr>
          <w:rFonts w:ascii="Times New Roman" w:hAnsi="Times New Roman" w:cs="Times New Roman"/>
          <w:sz w:val="28"/>
          <w:szCs w:val="28"/>
        </w:rPr>
        <w:t xml:space="preserve"> </w:t>
      </w:r>
      <w:r w:rsidRPr="00C936F8">
        <w:rPr>
          <w:rFonts w:ascii="Times New Roman" w:hAnsi="Times New Roman" w:cs="Times New Roman"/>
          <w:i/>
          <w:sz w:val="28"/>
          <w:szCs w:val="28"/>
        </w:rPr>
        <w:t xml:space="preserve">(Gaming and Liquor Commission), </w:t>
      </w:r>
      <w:r w:rsidRPr="00347F97">
        <w:rPr>
          <w:rFonts w:ascii="Times New Roman" w:hAnsi="Times New Roman" w:cs="Times New Roman"/>
          <w:sz w:val="28"/>
          <w:szCs w:val="28"/>
        </w:rPr>
        <w:t>[2006] A.J. No 1597; 2006 ABQB 904 at paragraph 42:</w:t>
      </w:r>
    </w:p>
    <w:p w14:paraId="15906A5C" w14:textId="77777777" w:rsidR="00820FF5" w:rsidRPr="00347F97" w:rsidRDefault="00820FF5" w:rsidP="00964ED0">
      <w:pPr>
        <w:pStyle w:val="ListParagraph"/>
        <w:spacing w:after="0" w:line="240" w:lineRule="auto"/>
        <w:ind w:left="0"/>
        <w:contextualSpacing w:val="0"/>
        <w:jc w:val="both"/>
        <w:rPr>
          <w:rFonts w:ascii="Times New Roman" w:hAnsi="Times New Roman" w:cs="Times New Roman"/>
          <w:sz w:val="28"/>
          <w:szCs w:val="28"/>
        </w:rPr>
      </w:pPr>
    </w:p>
    <w:p w14:paraId="604D00D8" w14:textId="77777777" w:rsidR="00820FF5" w:rsidRDefault="00820FF5" w:rsidP="00C936F8">
      <w:pPr>
        <w:spacing w:after="0" w:line="240" w:lineRule="auto"/>
        <w:ind w:left="1701" w:right="566"/>
        <w:jc w:val="both"/>
        <w:rPr>
          <w:rFonts w:ascii="Times New Roman" w:hAnsi="Times New Roman" w:cs="Times New Roman"/>
          <w:sz w:val="24"/>
          <w:szCs w:val="24"/>
        </w:rPr>
      </w:pPr>
      <w:r w:rsidRPr="003E49AF">
        <w:rPr>
          <w:rFonts w:ascii="Times New Roman" w:hAnsi="Times New Roman" w:cs="Times New Roman"/>
          <w:sz w:val="24"/>
          <w:szCs w:val="24"/>
        </w:rPr>
        <w:t xml:space="preserve">As a general rule, however, evidence that was not before the tribunal </w:t>
      </w:r>
      <w:r w:rsidRPr="003E49AF">
        <w:rPr>
          <w:rFonts w:ascii="Times New Roman" w:hAnsi="Times New Roman" w:cs="Times New Roman"/>
          <w:sz w:val="24"/>
          <w:szCs w:val="24"/>
          <w:u w:val="single"/>
        </w:rPr>
        <w:t>and that relates to the merits of the decision is not permitted on judicial review</w:t>
      </w:r>
      <w:r w:rsidRPr="003E49AF">
        <w:rPr>
          <w:rFonts w:ascii="Times New Roman" w:hAnsi="Times New Roman" w:cs="Times New Roman"/>
          <w:sz w:val="24"/>
          <w:szCs w:val="24"/>
        </w:rPr>
        <w:t>.  The law is summarized in S. Blake, Administrative Law in Canada, (4th ed.), at pg. 198:</w:t>
      </w:r>
    </w:p>
    <w:p w14:paraId="055FD856" w14:textId="77777777" w:rsidR="00C936F8" w:rsidRPr="003E49AF" w:rsidRDefault="00C936F8" w:rsidP="00C936F8">
      <w:pPr>
        <w:spacing w:after="0" w:line="240" w:lineRule="auto"/>
        <w:ind w:left="1701" w:right="566"/>
        <w:jc w:val="both"/>
        <w:rPr>
          <w:rFonts w:ascii="Times New Roman" w:hAnsi="Times New Roman" w:cs="Times New Roman"/>
          <w:sz w:val="24"/>
          <w:szCs w:val="24"/>
        </w:rPr>
      </w:pPr>
    </w:p>
    <w:p w14:paraId="05264BDE" w14:textId="77777777" w:rsidR="00820FF5" w:rsidRPr="003E49AF" w:rsidRDefault="00820FF5" w:rsidP="00C936F8">
      <w:pPr>
        <w:spacing w:after="0" w:line="240" w:lineRule="auto"/>
        <w:ind w:left="1701" w:right="566"/>
        <w:jc w:val="both"/>
        <w:rPr>
          <w:rFonts w:ascii="Times New Roman" w:hAnsi="Times New Roman" w:cs="Times New Roman"/>
          <w:sz w:val="24"/>
          <w:szCs w:val="24"/>
        </w:rPr>
      </w:pPr>
    </w:p>
    <w:p w14:paraId="29393E9E" w14:textId="77777777" w:rsidR="00820FF5" w:rsidRPr="003E49AF" w:rsidRDefault="00820FF5" w:rsidP="0086002B">
      <w:pPr>
        <w:pStyle w:val="ListParagraph"/>
        <w:spacing w:line="240" w:lineRule="auto"/>
        <w:ind w:left="2268" w:right="1133"/>
        <w:jc w:val="both"/>
        <w:rPr>
          <w:rFonts w:ascii="Times New Roman" w:hAnsi="Times New Roman" w:cs="Times New Roman"/>
          <w:i/>
          <w:iCs/>
          <w:sz w:val="24"/>
          <w:szCs w:val="24"/>
        </w:rPr>
      </w:pPr>
      <w:r w:rsidRPr="003E49AF">
        <w:rPr>
          <w:rFonts w:ascii="Times New Roman" w:hAnsi="Times New Roman" w:cs="Times New Roman"/>
          <w:iCs/>
          <w:sz w:val="24"/>
          <w:szCs w:val="24"/>
        </w:rPr>
        <w:t xml:space="preserve">Only material that was considered by the tribunal in coming to its decision is relevant on judicial review.  </w:t>
      </w:r>
      <w:r w:rsidRPr="003E49AF">
        <w:rPr>
          <w:rFonts w:ascii="Times New Roman" w:hAnsi="Times New Roman" w:cs="Times New Roman"/>
          <w:iCs/>
          <w:sz w:val="24"/>
          <w:szCs w:val="24"/>
          <w:u w:val="single"/>
        </w:rPr>
        <w:t>It is not the role of the court to decide the matter anew</w:t>
      </w:r>
      <w:r w:rsidRPr="003E49AF">
        <w:rPr>
          <w:rFonts w:ascii="Times New Roman" w:hAnsi="Times New Roman" w:cs="Times New Roman"/>
          <w:iCs/>
          <w:sz w:val="24"/>
          <w:szCs w:val="24"/>
        </w:rPr>
        <w:t xml:space="preserve">.  The court simply conducts a review of the tribunal decision.  For this reason, the only evidence that is admissible before the court is the record that was before the tribunal.  Evidence that was not before the tribunal is not admissible without leave of the court.  If the issue to be decided on the application involves a question of law, or concerns the tribunal's statutory authority, the court will refuse leave to file additional evidence.  </w:t>
      </w:r>
      <w:r w:rsidRPr="003E49AF">
        <w:rPr>
          <w:rFonts w:ascii="Times New Roman" w:hAnsi="Times New Roman" w:cs="Times New Roman"/>
          <w:iCs/>
          <w:sz w:val="24"/>
          <w:szCs w:val="24"/>
          <w:u w:val="single"/>
        </w:rPr>
        <w:t>Evidence challenging the wisdom of the decision is not admissible.  The tribunal's findings of fact may not be challenged with evidence that was not put before the tribunal.  Fresh evidence, discovered since the tribunal made its decision, is not admissible on judicial review</w:t>
      </w:r>
      <w:r w:rsidRPr="003E49AF">
        <w:rPr>
          <w:rFonts w:ascii="Times New Roman" w:hAnsi="Times New Roman" w:cs="Times New Roman"/>
          <w:iCs/>
          <w:sz w:val="24"/>
          <w:szCs w:val="24"/>
        </w:rPr>
        <w:t>. ...</w:t>
      </w:r>
      <w:r w:rsidRPr="00820FF5">
        <w:rPr>
          <w:rFonts w:ascii="Times New Roman" w:hAnsi="Times New Roman" w:cs="Times New Roman"/>
          <w:i/>
          <w:iCs/>
          <w:sz w:val="28"/>
          <w:szCs w:val="28"/>
        </w:rPr>
        <w:t xml:space="preserve"> </w:t>
      </w:r>
      <w:r w:rsidRPr="003E49AF">
        <w:rPr>
          <w:rFonts w:ascii="Times New Roman" w:hAnsi="Times New Roman" w:cs="Times New Roman"/>
          <w:sz w:val="24"/>
          <w:szCs w:val="24"/>
        </w:rPr>
        <w:t>[Emphasis added]</w:t>
      </w:r>
    </w:p>
    <w:p w14:paraId="14240B5E" w14:textId="77777777" w:rsidR="00820FF5" w:rsidRPr="003E49AF" w:rsidRDefault="00820FF5" w:rsidP="0086002B">
      <w:pPr>
        <w:pStyle w:val="ListParagraph"/>
        <w:spacing w:line="240" w:lineRule="auto"/>
        <w:ind w:left="0"/>
        <w:jc w:val="both"/>
        <w:rPr>
          <w:rFonts w:ascii="Times New Roman" w:hAnsi="Times New Roman" w:cs="Times New Roman"/>
          <w:sz w:val="24"/>
          <w:szCs w:val="24"/>
        </w:rPr>
      </w:pPr>
    </w:p>
    <w:p w14:paraId="45D4D211"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[55]</w:t>
      </w:r>
      <w:r w:rsidRPr="00820FF5">
        <w:rPr>
          <w:rFonts w:ascii="Times New Roman" w:hAnsi="Times New Roman" w:cs="Times New Roman"/>
          <w:sz w:val="28"/>
          <w:szCs w:val="28"/>
        </w:rPr>
        <w:tab/>
        <w:t>Slatter J. noted at para. 43 that in an application for judicial review, the role of the Court is to conduct a review based on the applicable standard of review and that new evidence relating to the merits of the decision is irrelevant:</w:t>
      </w:r>
    </w:p>
    <w:p w14:paraId="108BA381" w14:textId="77777777" w:rsidR="00820FF5" w:rsidRPr="00820FF5" w:rsidRDefault="00820FF5" w:rsidP="0086002B">
      <w:pPr>
        <w:pStyle w:val="ListParagraph"/>
        <w:tabs>
          <w:tab w:val="left" w:pos="1134"/>
        </w:tabs>
        <w:spacing w:after="0" w:line="240" w:lineRule="auto"/>
        <w:ind w:left="0"/>
        <w:jc w:val="both"/>
        <w:rPr>
          <w:rFonts w:ascii="Times New Roman" w:hAnsi="Times New Roman" w:cs="Times New Roman"/>
          <w:sz w:val="28"/>
          <w:szCs w:val="28"/>
        </w:rPr>
      </w:pPr>
    </w:p>
    <w:p w14:paraId="580C50B9" w14:textId="77777777" w:rsidR="00820FF5" w:rsidRPr="003E49AF" w:rsidRDefault="00820FF5" w:rsidP="0086002B">
      <w:pPr>
        <w:spacing w:after="0" w:line="240" w:lineRule="auto"/>
        <w:ind w:left="1701" w:right="546"/>
        <w:jc w:val="both"/>
        <w:rPr>
          <w:rFonts w:ascii="Times New Roman" w:hAnsi="Times New Roman" w:cs="Times New Roman"/>
          <w:sz w:val="24"/>
          <w:szCs w:val="24"/>
        </w:rPr>
      </w:pPr>
      <w:r w:rsidRPr="003E49AF">
        <w:rPr>
          <w:rFonts w:ascii="Times New Roman" w:hAnsi="Times New Roman" w:cs="Times New Roman"/>
          <w:sz w:val="24"/>
          <w:szCs w:val="24"/>
        </w:rPr>
        <w:t>Any tribunal or court can only work with the evidence before it, and a decision may well prove to be reasonable, even though it can arguably be shown to be factually flawed.  It follows that new evidence relating to the merits of the decision will seldom be admissible, as it is irrelevant to the issues before the court on judicial review.</w:t>
      </w:r>
    </w:p>
    <w:p w14:paraId="6B81A045" w14:textId="77777777" w:rsidR="00820FF5" w:rsidRDefault="00820FF5" w:rsidP="0086002B">
      <w:pPr>
        <w:pStyle w:val="ListParagraph"/>
        <w:spacing w:after="0" w:line="240" w:lineRule="auto"/>
        <w:ind w:left="0"/>
        <w:jc w:val="both"/>
        <w:rPr>
          <w:rFonts w:ascii="Times New Roman" w:hAnsi="Times New Roman" w:cs="Times New Roman"/>
          <w:sz w:val="28"/>
          <w:szCs w:val="28"/>
        </w:rPr>
      </w:pPr>
    </w:p>
    <w:p w14:paraId="4B7408AA" w14:textId="77777777" w:rsidR="003129DD" w:rsidRPr="00820FF5" w:rsidRDefault="003129DD" w:rsidP="0086002B">
      <w:pPr>
        <w:pStyle w:val="ListParagraph"/>
        <w:spacing w:after="0" w:line="240" w:lineRule="auto"/>
        <w:ind w:left="0"/>
        <w:jc w:val="both"/>
        <w:rPr>
          <w:rFonts w:ascii="Times New Roman" w:hAnsi="Times New Roman" w:cs="Times New Roman"/>
          <w:sz w:val="28"/>
          <w:szCs w:val="28"/>
        </w:rPr>
      </w:pPr>
    </w:p>
    <w:p w14:paraId="66EE79D0" w14:textId="77777777"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lastRenderedPageBreak/>
        <w:t>[56]</w:t>
      </w:r>
      <w:r w:rsidRPr="00820FF5">
        <w:rPr>
          <w:rFonts w:ascii="Times New Roman" w:hAnsi="Times New Roman" w:cs="Times New Roman"/>
          <w:sz w:val="28"/>
          <w:szCs w:val="28"/>
        </w:rPr>
        <w:tab/>
        <w:t>Slatter J.  then pointed out, in para. 46, that “</w:t>
      </w:r>
      <w:r w:rsidRPr="003B2FA2">
        <w:rPr>
          <w:rFonts w:ascii="Times New Roman" w:hAnsi="Times New Roman" w:cs="Times New Roman"/>
          <w:sz w:val="28"/>
          <w:szCs w:val="28"/>
        </w:rPr>
        <w:t>the applicants are not entitled to turn the judicial review application into a trial de novo on the merits of the issue before the tribunal</w:t>
      </w:r>
      <w:r w:rsidRPr="00820FF5">
        <w:rPr>
          <w:rFonts w:ascii="Times New Roman" w:hAnsi="Times New Roman" w:cs="Times New Roman"/>
          <w:sz w:val="28"/>
          <w:szCs w:val="28"/>
        </w:rPr>
        <w:t>”.</w:t>
      </w:r>
    </w:p>
    <w:p w14:paraId="15D4C916" w14:textId="77777777" w:rsidR="007E638B" w:rsidRDefault="007E638B" w:rsidP="0086002B">
      <w:pPr>
        <w:pStyle w:val="ListParagraph"/>
        <w:spacing w:after="0" w:line="240" w:lineRule="auto"/>
        <w:ind w:left="0"/>
        <w:contextualSpacing w:val="0"/>
        <w:jc w:val="both"/>
        <w:rPr>
          <w:rFonts w:ascii="Times New Roman" w:hAnsi="Times New Roman" w:cs="Times New Roman"/>
          <w:sz w:val="28"/>
          <w:szCs w:val="28"/>
        </w:rPr>
      </w:pPr>
    </w:p>
    <w:p w14:paraId="2FF61334"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[57]</w:t>
      </w:r>
      <w:r w:rsidRPr="00820FF5">
        <w:rPr>
          <w:rFonts w:ascii="Times New Roman" w:hAnsi="Times New Roman" w:cs="Times New Roman"/>
          <w:sz w:val="28"/>
          <w:szCs w:val="28"/>
        </w:rPr>
        <w:tab/>
        <w:t>The Alberta Court of Queen’s Bench in another case ruled additional affidavits tendered by the applicant in a judicial review application to be inadmissible, with those rulings being upheld by the Alberta Court of Appeal (whose members also sit as members of the Court of Appeal for the Northwest Territories).</w:t>
      </w:r>
    </w:p>
    <w:p w14:paraId="0E4B88BC" w14:textId="77777777" w:rsidR="00820FF5" w:rsidRPr="003B2FA2"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02C95BC8" w14:textId="188DF45D" w:rsidR="00820FF5" w:rsidRPr="00C936F8" w:rsidRDefault="00820FF5" w:rsidP="0086002B">
      <w:pPr>
        <w:pStyle w:val="ListParagraph"/>
        <w:spacing w:after="24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[58]</w:t>
      </w:r>
      <w:r w:rsidRPr="00820FF5">
        <w:rPr>
          <w:rFonts w:ascii="Times New Roman" w:hAnsi="Times New Roman" w:cs="Times New Roman"/>
          <w:sz w:val="28"/>
          <w:szCs w:val="28"/>
        </w:rPr>
        <w:tab/>
        <w:t xml:space="preserve">Specifically, in </w:t>
      </w:r>
      <w:r w:rsidR="00C936F8">
        <w:rPr>
          <w:rFonts w:ascii="Times New Roman" w:hAnsi="Times New Roman" w:cs="Times New Roman"/>
          <w:i/>
          <w:sz w:val="28"/>
          <w:szCs w:val="28"/>
        </w:rPr>
        <w:t>Tran v</w:t>
      </w:r>
      <w:r w:rsidRPr="00C936F8">
        <w:rPr>
          <w:rFonts w:ascii="Times New Roman" w:hAnsi="Times New Roman" w:cs="Times New Roman"/>
          <w:i/>
          <w:sz w:val="28"/>
          <w:szCs w:val="28"/>
        </w:rPr>
        <w:t xml:space="preserve"> College of Physicians and Surgeons, </w:t>
      </w:r>
      <w:r w:rsidRPr="00C936F8">
        <w:rPr>
          <w:rFonts w:ascii="Times New Roman" w:hAnsi="Times New Roman" w:cs="Times New Roman"/>
          <w:sz w:val="28"/>
          <w:szCs w:val="28"/>
        </w:rPr>
        <w:t>2017 ABQB 337; Alta. L.R. (6th) 310, at para. 27, the court said:</w:t>
      </w:r>
    </w:p>
    <w:p w14:paraId="0E058626" w14:textId="77777777" w:rsidR="00820FF5" w:rsidRPr="003E49AF" w:rsidRDefault="00820FF5" w:rsidP="0086002B">
      <w:pPr>
        <w:autoSpaceDE w:val="0"/>
        <w:autoSpaceDN w:val="0"/>
        <w:adjustRightInd w:val="0"/>
        <w:spacing w:line="240" w:lineRule="auto"/>
        <w:ind w:left="1701" w:right="566"/>
        <w:jc w:val="both"/>
        <w:rPr>
          <w:rFonts w:ascii="Times New Roman" w:hAnsi="Times New Roman" w:cs="Times New Roman"/>
          <w:sz w:val="24"/>
          <w:szCs w:val="24"/>
        </w:rPr>
      </w:pPr>
      <w:r w:rsidRPr="003E49AF">
        <w:rPr>
          <w:rFonts w:ascii="Times New Roman" w:hAnsi="Times New Roman" w:cs="Times New Roman"/>
          <w:sz w:val="24"/>
          <w:szCs w:val="24"/>
        </w:rPr>
        <w:t>The Applicant’s Affidavit attempts to alter or supplement the record before the Committee, as it reiterates concerns she expressed to the Complaints Director and the Committee. The Affidavit also includes argument regarding the sufficiency of the Committee’s reasons. Both of these aspects of the Affidavit are improper, and I place no weight on this 'evidence'.</w:t>
      </w:r>
    </w:p>
    <w:p w14:paraId="3B7B7B2E" w14:textId="61B882CA" w:rsidR="00820FF5" w:rsidRPr="003B2FA2"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[59]</w:t>
      </w:r>
      <w:r w:rsidRPr="00820FF5">
        <w:rPr>
          <w:rFonts w:ascii="Times New Roman" w:hAnsi="Times New Roman" w:cs="Times New Roman"/>
          <w:sz w:val="28"/>
          <w:szCs w:val="28"/>
        </w:rPr>
        <w:tab/>
        <w:t>The rules of evidence apply to applications for judicial review and as such affidavits should not contain argument or lay opinion</w:t>
      </w:r>
      <w:r w:rsidRPr="003B2FA2">
        <w:rPr>
          <w:rFonts w:ascii="Times New Roman" w:hAnsi="Times New Roman" w:cs="Times New Roman"/>
          <w:sz w:val="28"/>
          <w:szCs w:val="28"/>
        </w:rPr>
        <w:t xml:space="preserve">:  </w:t>
      </w:r>
      <w:r w:rsidR="00C936F8">
        <w:rPr>
          <w:rFonts w:ascii="Times New Roman" w:hAnsi="Times New Roman" w:cs="Times New Roman"/>
          <w:i/>
          <w:sz w:val="28"/>
          <w:szCs w:val="28"/>
        </w:rPr>
        <w:t>Sahaluk v</w:t>
      </w:r>
      <w:r w:rsidRPr="00C936F8">
        <w:rPr>
          <w:rFonts w:ascii="Times New Roman" w:hAnsi="Times New Roman" w:cs="Times New Roman"/>
          <w:i/>
          <w:sz w:val="28"/>
          <w:szCs w:val="28"/>
        </w:rPr>
        <w:t xml:space="preserve"> Alberta</w:t>
      </w:r>
      <w:r w:rsidRPr="003B2FA2">
        <w:rPr>
          <w:rFonts w:ascii="Times New Roman" w:hAnsi="Times New Roman" w:cs="Times New Roman"/>
          <w:sz w:val="28"/>
          <w:szCs w:val="28"/>
        </w:rPr>
        <w:t xml:space="preserve"> (</w:t>
      </w:r>
      <w:r w:rsidRPr="00C936F8">
        <w:rPr>
          <w:rFonts w:ascii="Times New Roman" w:hAnsi="Times New Roman" w:cs="Times New Roman"/>
          <w:i/>
          <w:sz w:val="28"/>
          <w:szCs w:val="28"/>
        </w:rPr>
        <w:t>Transportation Safety Board</w:t>
      </w:r>
      <w:r w:rsidRPr="003B2FA2">
        <w:rPr>
          <w:rFonts w:ascii="Times New Roman" w:hAnsi="Times New Roman" w:cs="Times New Roman"/>
          <w:sz w:val="28"/>
          <w:szCs w:val="28"/>
        </w:rPr>
        <w:t xml:space="preserve">), </w:t>
      </w:r>
      <w:r w:rsidRPr="00820FF5">
        <w:rPr>
          <w:rFonts w:ascii="Times New Roman" w:hAnsi="Times New Roman" w:cs="Times New Roman"/>
          <w:sz w:val="28"/>
          <w:szCs w:val="28"/>
        </w:rPr>
        <w:t>[2013] ABQB at paras. 35 and 36.</w:t>
      </w:r>
      <w:r w:rsidRPr="003B2FA2">
        <w:rPr>
          <w:rFonts w:ascii="Times New Roman" w:hAnsi="Times New Roman" w:cs="Times New Roman"/>
          <w:sz w:val="28"/>
          <w:szCs w:val="28"/>
        </w:rPr>
        <w:t xml:space="preserve"> </w:t>
      </w:r>
    </w:p>
    <w:p w14:paraId="080E4F98" w14:textId="77777777"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7F8223A7" w14:textId="219FBC7A"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[60]</w:t>
      </w:r>
      <w:r w:rsidRPr="00820FF5">
        <w:rPr>
          <w:rFonts w:ascii="Times New Roman" w:hAnsi="Times New Roman" w:cs="Times New Roman"/>
          <w:sz w:val="28"/>
          <w:szCs w:val="28"/>
        </w:rPr>
        <w:tab/>
        <w:t xml:space="preserve">In my view, the October 4, 2021, affidavit is nothing more than the Applicant’s re-interpretation of the evidence in the Certified Record along with his lay opinion of the investigation into his complaints and the Investigator’s assessment of the evidence gathered during the investigation. </w:t>
      </w:r>
    </w:p>
    <w:p w14:paraId="3E9ECAFC"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6CDDEF33"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[61]</w:t>
      </w:r>
      <w:r w:rsidRPr="00820FF5">
        <w:rPr>
          <w:rFonts w:ascii="Times New Roman" w:hAnsi="Times New Roman" w:cs="Times New Roman"/>
          <w:sz w:val="28"/>
          <w:szCs w:val="28"/>
        </w:rPr>
        <w:tab/>
        <w:t xml:space="preserve">For these and other oral reasons provided at the outset of the appeal, the October 4, 2021, affidavit is inadmissible. </w:t>
      </w:r>
    </w:p>
    <w:p w14:paraId="192E6693" w14:textId="77777777" w:rsidR="00820FF5" w:rsidRPr="003B2FA2" w:rsidRDefault="00820FF5" w:rsidP="0086002B">
      <w:pPr>
        <w:pStyle w:val="ListParagraph"/>
        <w:spacing w:after="0" w:line="240" w:lineRule="auto"/>
        <w:ind w:left="0"/>
        <w:contextualSpacing w:val="0"/>
        <w:jc w:val="both"/>
        <w:rPr>
          <w:rFonts w:ascii="Times New Roman" w:hAnsi="Times New Roman" w:cs="Times New Roman"/>
          <w:sz w:val="28"/>
          <w:szCs w:val="28"/>
        </w:rPr>
      </w:pPr>
      <w:bookmarkStart w:id="4" w:name="_Toc97730245"/>
    </w:p>
    <w:p w14:paraId="2421D05F" w14:textId="1AE2B315" w:rsidR="00820FF5" w:rsidRPr="0086002B" w:rsidRDefault="00820FF5" w:rsidP="0086002B">
      <w:pPr>
        <w:pStyle w:val="ListParagraph"/>
        <w:spacing w:after="0" w:line="240" w:lineRule="auto"/>
        <w:ind w:left="0"/>
        <w:contextualSpacing w:val="0"/>
        <w:jc w:val="both"/>
        <w:rPr>
          <w:rFonts w:ascii="Times New Roman" w:hAnsi="Times New Roman" w:cs="Times New Roman"/>
          <w:b/>
          <w:i/>
          <w:sz w:val="28"/>
          <w:szCs w:val="28"/>
        </w:rPr>
      </w:pPr>
      <w:r w:rsidRPr="0086002B">
        <w:rPr>
          <w:rFonts w:ascii="Times New Roman" w:hAnsi="Times New Roman" w:cs="Times New Roman"/>
          <w:b/>
          <w:i/>
          <w:sz w:val="28"/>
          <w:szCs w:val="28"/>
        </w:rPr>
        <w:t>Standing</w:t>
      </w:r>
      <w:bookmarkEnd w:id="4"/>
    </w:p>
    <w:p w14:paraId="4043A47A"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7E09BF99"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[62]</w:t>
      </w:r>
      <w:r w:rsidRPr="00820FF5">
        <w:rPr>
          <w:rFonts w:ascii="Times New Roman" w:hAnsi="Times New Roman" w:cs="Times New Roman"/>
          <w:sz w:val="28"/>
          <w:szCs w:val="28"/>
        </w:rPr>
        <w:tab/>
        <w:t xml:space="preserve">The Alberta Court of Appeal in </w:t>
      </w:r>
      <w:r w:rsidRPr="00C936F8">
        <w:rPr>
          <w:rFonts w:ascii="Times New Roman" w:hAnsi="Times New Roman" w:cs="Times New Roman"/>
          <w:i/>
          <w:sz w:val="28"/>
          <w:szCs w:val="28"/>
        </w:rPr>
        <w:t>Friends of the Old Man River Society v Association of Professional Engineers, Geologists and Geophysicists of Alberta,</w:t>
      </w:r>
      <w:r w:rsidRPr="00820FF5">
        <w:rPr>
          <w:rFonts w:ascii="Times New Roman" w:hAnsi="Times New Roman" w:cs="Times New Roman"/>
          <w:sz w:val="28"/>
          <w:szCs w:val="28"/>
        </w:rPr>
        <w:t xml:space="preserve"> </w:t>
      </w:r>
      <w:r w:rsidRPr="003B2FA2">
        <w:rPr>
          <w:rFonts w:ascii="Times New Roman" w:hAnsi="Times New Roman" w:cs="Times New Roman"/>
          <w:sz w:val="28"/>
          <w:szCs w:val="28"/>
        </w:rPr>
        <w:t>[2001] ABCA 159 at para.41</w:t>
      </w:r>
      <w:r w:rsidRPr="00820FF5">
        <w:rPr>
          <w:rFonts w:ascii="Times New Roman" w:hAnsi="Times New Roman" w:cs="Times New Roman"/>
          <w:sz w:val="28"/>
          <w:szCs w:val="28"/>
        </w:rPr>
        <w:t>, considered the issue of standing of a complainant in the context of a complaint against engineers:</w:t>
      </w:r>
    </w:p>
    <w:p w14:paraId="57084445"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732FF649" w14:textId="77777777" w:rsidR="00820FF5" w:rsidRPr="003E49AF" w:rsidRDefault="00820FF5" w:rsidP="0086002B">
      <w:pPr>
        <w:spacing w:after="0" w:line="240" w:lineRule="auto"/>
        <w:ind w:left="1701" w:right="546"/>
        <w:jc w:val="both"/>
        <w:rPr>
          <w:rFonts w:ascii="Times New Roman" w:hAnsi="Times New Roman" w:cs="Times New Roman"/>
          <w:sz w:val="24"/>
          <w:szCs w:val="24"/>
        </w:rPr>
      </w:pPr>
      <w:r w:rsidRPr="003E49AF">
        <w:rPr>
          <w:rFonts w:ascii="Times New Roman" w:hAnsi="Times New Roman" w:cs="Times New Roman"/>
          <w:sz w:val="24"/>
          <w:szCs w:val="24"/>
        </w:rPr>
        <w:t xml:space="preserve">The Act makes it clear that the disciplinary process is a matter between the Association and the individual member whose conduct has been questioned. The Act is directed solely to the Association and its members; the rights, duties and responsibilities contained in the Act relate only to them. Under the investigative process contained in Part 5, a complainant is not made a party either to the investigation or the disciplinary process itself. The only parties are the Association and the member whose conduct </w:t>
      </w:r>
      <w:r w:rsidRPr="003E49AF">
        <w:rPr>
          <w:rFonts w:ascii="Times New Roman" w:hAnsi="Times New Roman" w:cs="Times New Roman"/>
          <w:sz w:val="24"/>
          <w:szCs w:val="24"/>
        </w:rPr>
        <w:lastRenderedPageBreak/>
        <w:t>is under investigation. Council’s decision to terminate the investigation of the Engineers could have no detrimental impact on either FOR or Opron. It did not affect their personal or economic rights or obligations. They have no more interest in the conduct of the Engineers than any other member of the public. There is no lis inter partes between FOR and Opron, on the one hand, and the Association or the Engineers, on the other. Judicial review is not available in these circumstances.</w:t>
      </w:r>
    </w:p>
    <w:p w14:paraId="12084BF4" w14:textId="77777777" w:rsidR="00820FF5" w:rsidRPr="00820FF5" w:rsidRDefault="00820FF5" w:rsidP="0086002B">
      <w:pPr>
        <w:pStyle w:val="ListParagraph"/>
        <w:spacing w:after="0" w:line="240" w:lineRule="auto"/>
        <w:ind w:left="0"/>
        <w:jc w:val="both"/>
        <w:rPr>
          <w:rFonts w:ascii="Times New Roman" w:hAnsi="Times New Roman" w:cs="Times New Roman"/>
          <w:sz w:val="28"/>
          <w:szCs w:val="28"/>
        </w:rPr>
      </w:pPr>
    </w:p>
    <w:p w14:paraId="095862EB" w14:textId="5528383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[63]</w:t>
      </w:r>
      <w:r w:rsidRPr="00820FF5">
        <w:rPr>
          <w:rFonts w:ascii="Times New Roman" w:hAnsi="Times New Roman" w:cs="Times New Roman"/>
          <w:i/>
          <w:iCs/>
          <w:sz w:val="28"/>
          <w:szCs w:val="28"/>
        </w:rPr>
        <w:tab/>
        <w:t>Old Man River, supra,</w:t>
      </w:r>
      <w:r w:rsidRPr="00820FF5">
        <w:rPr>
          <w:rFonts w:ascii="Times New Roman" w:hAnsi="Times New Roman" w:cs="Times New Roman"/>
          <w:sz w:val="28"/>
          <w:szCs w:val="28"/>
        </w:rPr>
        <w:t xml:space="preserve"> was cited with approval by this Court in </w:t>
      </w:r>
      <w:r w:rsidRPr="00820FF5">
        <w:rPr>
          <w:rFonts w:ascii="Times New Roman" w:hAnsi="Times New Roman" w:cs="Times New Roman"/>
          <w:i/>
          <w:iCs/>
          <w:sz w:val="28"/>
          <w:szCs w:val="28"/>
        </w:rPr>
        <w:t>Del Valle</w:t>
      </w:r>
      <w:r w:rsidR="00C936F8">
        <w:rPr>
          <w:rFonts w:ascii="Times New Roman" w:hAnsi="Times New Roman" w:cs="Times New Roman"/>
          <w:i/>
          <w:iCs/>
          <w:sz w:val="28"/>
          <w:szCs w:val="28"/>
        </w:rPr>
        <w:t xml:space="preserve"> v</w:t>
      </w:r>
      <w:r w:rsidRPr="00820FF5">
        <w:rPr>
          <w:rFonts w:ascii="Times New Roman" w:hAnsi="Times New Roman" w:cs="Times New Roman"/>
          <w:i/>
          <w:iCs/>
          <w:sz w:val="28"/>
          <w:szCs w:val="28"/>
        </w:rPr>
        <w:t xml:space="preserve"> Law Society</w:t>
      </w:r>
      <w:r w:rsidRPr="00820FF5">
        <w:rPr>
          <w:rFonts w:ascii="Times New Roman" w:hAnsi="Times New Roman" w:cs="Times New Roman"/>
          <w:sz w:val="28"/>
          <w:szCs w:val="28"/>
        </w:rPr>
        <w:t xml:space="preserve">, </w:t>
      </w:r>
      <w:r w:rsidRPr="00C936F8">
        <w:rPr>
          <w:rFonts w:ascii="Times New Roman" w:hAnsi="Times New Roman" w:cs="Times New Roman"/>
          <w:iCs/>
          <w:sz w:val="28"/>
          <w:szCs w:val="28"/>
        </w:rPr>
        <w:t>[2017] NWTJ No. 29; 2017 NWTSC 29, at para. 31</w:t>
      </w:r>
      <w:r w:rsidRPr="00C936F8">
        <w:rPr>
          <w:rFonts w:ascii="Times New Roman" w:hAnsi="Times New Roman" w:cs="Times New Roman"/>
          <w:sz w:val="28"/>
          <w:szCs w:val="28"/>
        </w:rPr>
        <w:t>,</w:t>
      </w:r>
      <w:r w:rsidRPr="00820FF5">
        <w:rPr>
          <w:rFonts w:ascii="Times New Roman" w:hAnsi="Times New Roman" w:cs="Times New Roman"/>
          <w:sz w:val="28"/>
          <w:szCs w:val="28"/>
        </w:rPr>
        <w:t xml:space="preserve"> where it held that a person who has submitted a complaint to the Law Society of the Northwest Territories has the right to procedural fairness on judicial review, but not a right to “appeal” by seeking judicial review of the merits of the investigation and decision to dismiss.</w:t>
      </w:r>
    </w:p>
    <w:p w14:paraId="1ED7897F" w14:textId="77777777" w:rsidR="00820FF5" w:rsidRPr="00820FF5" w:rsidRDefault="00820FF5" w:rsidP="0086002B">
      <w:pPr>
        <w:pStyle w:val="ListParagraph"/>
        <w:tabs>
          <w:tab w:val="left" w:pos="1134"/>
        </w:tabs>
        <w:spacing w:after="0" w:line="240" w:lineRule="auto"/>
        <w:ind w:left="0"/>
        <w:jc w:val="both"/>
        <w:rPr>
          <w:rFonts w:ascii="Times New Roman" w:hAnsi="Times New Roman" w:cs="Times New Roman"/>
          <w:sz w:val="28"/>
          <w:szCs w:val="28"/>
        </w:rPr>
      </w:pPr>
    </w:p>
    <w:p w14:paraId="4DC2827C"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[64]</w:t>
      </w:r>
      <w:r w:rsidRPr="00820FF5">
        <w:rPr>
          <w:rFonts w:ascii="Times New Roman" w:hAnsi="Times New Roman" w:cs="Times New Roman"/>
          <w:sz w:val="28"/>
          <w:szCs w:val="28"/>
        </w:rPr>
        <w:tab/>
        <w:t xml:space="preserve">The limited standing of an individual seeking judicial review of a dismissed complaint made to a professional regulatory body was confirmed by the Alberta Court of Appeal in </w:t>
      </w:r>
      <w:r w:rsidRPr="00502D7E">
        <w:rPr>
          <w:rFonts w:ascii="Times New Roman" w:hAnsi="Times New Roman" w:cs="Times New Roman"/>
          <w:i/>
          <w:sz w:val="28"/>
          <w:szCs w:val="28"/>
        </w:rPr>
        <w:t>Tran, supra</w:t>
      </w:r>
      <w:r w:rsidRPr="00820FF5">
        <w:rPr>
          <w:rFonts w:ascii="Times New Roman" w:hAnsi="Times New Roman" w:cs="Times New Roman"/>
          <w:sz w:val="28"/>
          <w:szCs w:val="28"/>
        </w:rPr>
        <w:t>, at para. 5.</w:t>
      </w:r>
    </w:p>
    <w:p w14:paraId="3A14B579"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4782C869"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[65]</w:t>
      </w:r>
      <w:r w:rsidRPr="00820FF5">
        <w:rPr>
          <w:rFonts w:ascii="Times New Roman" w:hAnsi="Times New Roman" w:cs="Times New Roman"/>
          <w:sz w:val="28"/>
          <w:szCs w:val="28"/>
        </w:rPr>
        <w:tab/>
        <w:t>In my view, there is no juridical basis for the Applicant to appeal by seeking judicial review of the merits of the investigation and the Law Society’s decision to dismiss his complaints against Ms. Simpson and Mr. Kinnear.  Rather, the Applicant’s limited standing pertains to challenging the fairness of the process afforded him in investigating and dismissing his complaints.</w:t>
      </w:r>
    </w:p>
    <w:p w14:paraId="7F4F3BBB" w14:textId="77777777" w:rsidR="00820FF5" w:rsidRPr="00820FF5" w:rsidRDefault="00820FF5" w:rsidP="0086002B">
      <w:pPr>
        <w:pStyle w:val="ListParagraph"/>
        <w:tabs>
          <w:tab w:val="left" w:pos="1134"/>
        </w:tabs>
        <w:spacing w:after="0" w:line="240" w:lineRule="auto"/>
        <w:ind w:left="0"/>
        <w:jc w:val="both"/>
        <w:rPr>
          <w:rFonts w:ascii="Times New Roman" w:hAnsi="Times New Roman" w:cs="Times New Roman"/>
          <w:sz w:val="28"/>
          <w:szCs w:val="28"/>
        </w:rPr>
      </w:pPr>
    </w:p>
    <w:p w14:paraId="1DB3821A" w14:textId="56C62F05" w:rsidR="00820FF5" w:rsidRPr="00820FF5" w:rsidRDefault="00820FF5" w:rsidP="0086002B">
      <w:pPr>
        <w:pStyle w:val="ListParagraph"/>
        <w:spacing w:after="0" w:line="240" w:lineRule="auto"/>
        <w:ind w:left="0"/>
        <w:jc w:val="both"/>
        <w:outlineLvl w:val="1"/>
        <w:rPr>
          <w:rFonts w:ascii="Times New Roman" w:hAnsi="Times New Roman" w:cs="Times New Roman"/>
          <w:b/>
          <w:bCs/>
          <w:i/>
          <w:iCs/>
          <w:sz w:val="28"/>
          <w:szCs w:val="28"/>
        </w:rPr>
      </w:pPr>
      <w:bookmarkStart w:id="5" w:name="_Toc97730246"/>
      <w:r w:rsidRPr="00820FF5">
        <w:rPr>
          <w:rFonts w:ascii="Times New Roman" w:hAnsi="Times New Roman" w:cs="Times New Roman"/>
          <w:b/>
          <w:bCs/>
          <w:i/>
          <w:iCs/>
          <w:sz w:val="28"/>
          <w:szCs w:val="28"/>
        </w:rPr>
        <w:t>Standard of Review</w:t>
      </w:r>
      <w:bookmarkEnd w:id="5"/>
    </w:p>
    <w:p w14:paraId="0A92DB04" w14:textId="77777777" w:rsidR="00820FF5" w:rsidRPr="00820FF5" w:rsidRDefault="00820FF5" w:rsidP="0086002B">
      <w:pPr>
        <w:pStyle w:val="ListParagraph"/>
        <w:spacing w:after="0" w:line="240" w:lineRule="auto"/>
        <w:ind w:left="0"/>
        <w:jc w:val="both"/>
        <w:rPr>
          <w:rFonts w:ascii="Times New Roman" w:hAnsi="Times New Roman" w:cs="Times New Roman"/>
          <w:sz w:val="28"/>
          <w:szCs w:val="28"/>
        </w:rPr>
      </w:pPr>
    </w:p>
    <w:p w14:paraId="3EE8EB70" w14:textId="683E800E"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[66]</w:t>
      </w:r>
      <w:r w:rsidRPr="00820FF5">
        <w:rPr>
          <w:rFonts w:ascii="Times New Roman" w:hAnsi="Times New Roman" w:cs="Times New Roman"/>
          <w:sz w:val="28"/>
          <w:szCs w:val="28"/>
        </w:rPr>
        <w:tab/>
        <w:t xml:space="preserve">The Applicant argues that the Supreme Court of Canada decision in </w:t>
      </w:r>
      <w:bookmarkStart w:id="6" w:name="_Hlk96603027"/>
      <w:r w:rsidRPr="00502D7E">
        <w:rPr>
          <w:rFonts w:ascii="Times New Roman" w:hAnsi="Times New Roman" w:cs="Times New Roman"/>
          <w:i/>
          <w:sz w:val="28"/>
          <w:szCs w:val="28"/>
        </w:rPr>
        <w:t>Canada (Minister of Citizenship and Immigration) v Vavilov</w:t>
      </w:r>
      <w:r w:rsidRPr="003B2FA2">
        <w:rPr>
          <w:rFonts w:ascii="Times New Roman" w:hAnsi="Times New Roman" w:cs="Times New Roman"/>
          <w:sz w:val="28"/>
          <w:szCs w:val="28"/>
        </w:rPr>
        <w:t>, [2019] SCJ No. 65</w:t>
      </w:r>
      <w:r w:rsidRPr="00820FF5">
        <w:rPr>
          <w:rFonts w:ascii="Times New Roman" w:hAnsi="Times New Roman" w:cs="Times New Roman"/>
          <w:sz w:val="28"/>
          <w:szCs w:val="28"/>
        </w:rPr>
        <w:t xml:space="preserve"> </w:t>
      </w:r>
      <w:bookmarkEnd w:id="6"/>
      <w:r w:rsidRPr="00820FF5">
        <w:rPr>
          <w:rFonts w:ascii="Times New Roman" w:hAnsi="Times New Roman" w:cs="Times New Roman"/>
          <w:sz w:val="28"/>
          <w:szCs w:val="28"/>
        </w:rPr>
        <w:t>applies and as such the standard of review to apply is reasonableness.</w:t>
      </w:r>
    </w:p>
    <w:p w14:paraId="089D105E"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0C89901D"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[67]</w:t>
      </w:r>
      <w:r w:rsidRPr="00820FF5">
        <w:rPr>
          <w:rFonts w:ascii="Times New Roman" w:hAnsi="Times New Roman" w:cs="Times New Roman"/>
          <w:sz w:val="28"/>
          <w:szCs w:val="28"/>
        </w:rPr>
        <w:tab/>
        <w:t xml:space="preserve">The Respondent contends that the Applicant’s argument fails; however, to address the directions of the Court at para. 77 of </w:t>
      </w:r>
      <w:r w:rsidRPr="00502D7E">
        <w:rPr>
          <w:rFonts w:ascii="Times New Roman" w:hAnsi="Times New Roman" w:cs="Times New Roman"/>
          <w:i/>
          <w:sz w:val="28"/>
          <w:szCs w:val="28"/>
        </w:rPr>
        <w:t>Vavilov</w:t>
      </w:r>
      <w:r w:rsidRPr="003B2FA2">
        <w:rPr>
          <w:rFonts w:ascii="Times New Roman" w:hAnsi="Times New Roman" w:cs="Times New Roman"/>
          <w:sz w:val="28"/>
          <w:szCs w:val="28"/>
        </w:rPr>
        <w:t xml:space="preserve">, </w:t>
      </w:r>
      <w:r w:rsidRPr="00820FF5">
        <w:rPr>
          <w:rFonts w:ascii="Times New Roman" w:hAnsi="Times New Roman" w:cs="Times New Roman"/>
          <w:sz w:val="28"/>
          <w:szCs w:val="28"/>
        </w:rPr>
        <w:t xml:space="preserve">where it said: </w:t>
      </w:r>
    </w:p>
    <w:p w14:paraId="146A5139" w14:textId="77777777" w:rsidR="00820FF5" w:rsidRPr="00820FF5" w:rsidRDefault="00820FF5" w:rsidP="0086002B">
      <w:pPr>
        <w:pStyle w:val="ListParagraph"/>
        <w:tabs>
          <w:tab w:val="left" w:pos="1134"/>
        </w:tabs>
        <w:spacing w:after="0" w:line="240" w:lineRule="auto"/>
        <w:ind w:left="0"/>
        <w:jc w:val="both"/>
        <w:rPr>
          <w:rFonts w:ascii="Times New Roman" w:hAnsi="Times New Roman" w:cs="Times New Roman"/>
          <w:sz w:val="28"/>
          <w:szCs w:val="28"/>
        </w:rPr>
      </w:pPr>
    </w:p>
    <w:p w14:paraId="4DBAC362" w14:textId="0F99FD51" w:rsidR="00820FF5" w:rsidRDefault="00820FF5" w:rsidP="0086002B">
      <w:pPr>
        <w:tabs>
          <w:tab w:val="left" w:pos="1134"/>
        </w:tabs>
        <w:spacing w:after="0" w:line="240" w:lineRule="auto"/>
        <w:ind w:left="1710" w:right="571"/>
        <w:jc w:val="both"/>
        <w:rPr>
          <w:rFonts w:ascii="Times New Roman" w:hAnsi="Times New Roman" w:cs="Times New Roman"/>
          <w:iCs/>
          <w:sz w:val="24"/>
          <w:szCs w:val="24"/>
          <w:lang w:val="en-US"/>
        </w:rPr>
      </w:pPr>
      <w:r w:rsidRPr="003E49AF">
        <w:rPr>
          <w:rFonts w:ascii="Times New Roman" w:hAnsi="Times New Roman" w:cs="Times New Roman"/>
          <w:iCs/>
          <w:sz w:val="24"/>
          <w:szCs w:val="24"/>
          <w:lang w:val="en-US"/>
        </w:rPr>
        <w:t xml:space="preserve">Where a particular administrative decision-making context gives rise to a duty of procedural fairness, the specific procedural requirements that the duty imposes are determined with reference to all of the circumstances: </w:t>
      </w:r>
      <w:r w:rsidRPr="00675EB4">
        <w:rPr>
          <w:rFonts w:ascii="Times New Roman" w:hAnsi="Times New Roman" w:cs="Times New Roman"/>
          <w:i/>
          <w:iCs/>
          <w:sz w:val="24"/>
          <w:szCs w:val="24"/>
          <w:lang w:val="en-US"/>
        </w:rPr>
        <w:t>Baker</w:t>
      </w:r>
      <w:r w:rsidRPr="003E49AF">
        <w:rPr>
          <w:rFonts w:ascii="Times New Roman" w:hAnsi="Times New Roman" w:cs="Times New Roman"/>
          <w:iCs/>
          <w:sz w:val="24"/>
          <w:szCs w:val="24"/>
          <w:lang w:val="en-US"/>
        </w:rPr>
        <w:t xml:space="preserve">, at para. 21. In </w:t>
      </w:r>
      <w:r w:rsidRPr="00675EB4">
        <w:rPr>
          <w:rFonts w:ascii="Times New Roman" w:hAnsi="Times New Roman" w:cs="Times New Roman"/>
          <w:i/>
          <w:iCs/>
          <w:sz w:val="24"/>
          <w:szCs w:val="24"/>
          <w:lang w:val="en-US"/>
        </w:rPr>
        <w:t>Baker,</w:t>
      </w:r>
      <w:r w:rsidRPr="003E49AF">
        <w:rPr>
          <w:rFonts w:ascii="Times New Roman" w:hAnsi="Times New Roman" w:cs="Times New Roman"/>
          <w:iCs/>
          <w:sz w:val="24"/>
          <w:szCs w:val="24"/>
          <w:lang w:val="en-US"/>
        </w:rPr>
        <w:t xml:space="preserve"> this Court set out a non-exhaustive list of factors that inform the content of the duty of procedural fairness in a particular case, one aspect of which is whether written reasons are required. Those factors include: (1) the nature of the decision being made and the process followed in making it; (2) the nature of the statutory scheme; (3) the importance of the decision to the individual or individuals affected; (4) the legitimate expectations of the person challenging the decision; and (5) the choices of procedure made by the administrative </w:t>
      </w:r>
      <w:r w:rsidRPr="003E49AF">
        <w:rPr>
          <w:rFonts w:ascii="Times New Roman" w:hAnsi="Times New Roman" w:cs="Times New Roman"/>
          <w:iCs/>
          <w:sz w:val="24"/>
          <w:szCs w:val="24"/>
          <w:lang w:val="en-US"/>
        </w:rPr>
        <w:lastRenderedPageBreak/>
        <w:t xml:space="preserve">decision maker itself: </w:t>
      </w:r>
      <w:r w:rsidRPr="00675EB4">
        <w:rPr>
          <w:rFonts w:ascii="Times New Roman" w:hAnsi="Times New Roman" w:cs="Times New Roman"/>
          <w:i/>
          <w:iCs/>
          <w:sz w:val="24"/>
          <w:szCs w:val="24"/>
          <w:lang w:val="en-US"/>
        </w:rPr>
        <w:t>Baker</w:t>
      </w:r>
      <w:r w:rsidRPr="003E49AF">
        <w:rPr>
          <w:rFonts w:ascii="Times New Roman" w:hAnsi="Times New Roman" w:cs="Times New Roman"/>
          <w:iCs/>
          <w:sz w:val="24"/>
          <w:szCs w:val="24"/>
          <w:lang w:val="en-US"/>
        </w:rPr>
        <w:t xml:space="preserve">, at paras. 23-27; see also </w:t>
      </w:r>
      <w:r w:rsidRPr="00675EB4">
        <w:rPr>
          <w:rFonts w:ascii="Times New Roman" w:hAnsi="Times New Roman" w:cs="Times New Roman"/>
          <w:i/>
          <w:iCs/>
          <w:sz w:val="24"/>
          <w:szCs w:val="24"/>
          <w:lang w:val="en-US"/>
        </w:rPr>
        <w:t>Congrégation des</w:t>
      </w:r>
      <w:r w:rsidRPr="003E49AF">
        <w:rPr>
          <w:rFonts w:ascii="Times New Roman" w:hAnsi="Times New Roman" w:cs="Times New Roman"/>
          <w:iCs/>
          <w:sz w:val="24"/>
          <w:szCs w:val="24"/>
          <w:lang w:val="en-US"/>
        </w:rPr>
        <w:t xml:space="preserve"> </w:t>
      </w:r>
      <w:r w:rsidRPr="00675EB4">
        <w:rPr>
          <w:rFonts w:ascii="Times New Roman" w:hAnsi="Times New Roman" w:cs="Times New Roman"/>
          <w:i/>
          <w:iCs/>
          <w:sz w:val="24"/>
          <w:szCs w:val="24"/>
          <w:lang w:val="en-US"/>
        </w:rPr>
        <w:t>témoins de Jé</w:t>
      </w:r>
      <w:r w:rsidR="00675EB4">
        <w:rPr>
          <w:rFonts w:ascii="Times New Roman" w:hAnsi="Times New Roman" w:cs="Times New Roman"/>
          <w:i/>
          <w:iCs/>
          <w:sz w:val="24"/>
          <w:szCs w:val="24"/>
          <w:lang w:val="en-US"/>
        </w:rPr>
        <w:t>hovah de St-Jérôme-Lafontaine v</w:t>
      </w:r>
      <w:r w:rsidRPr="00675EB4">
        <w:rPr>
          <w:rFonts w:ascii="Times New Roman" w:hAnsi="Times New Roman" w:cs="Times New Roman"/>
          <w:i/>
          <w:iCs/>
          <w:sz w:val="24"/>
          <w:szCs w:val="24"/>
          <w:lang w:val="en-US"/>
        </w:rPr>
        <w:t xml:space="preserve"> Lafontaine (Village),</w:t>
      </w:r>
      <w:r w:rsidRPr="003E49AF">
        <w:rPr>
          <w:rFonts w:ascii="Times New Roman" w:hAnsi="Times New Roman" w:cs="Times New Roman"/>
          <w:iCs/>
          <w:sz w:val="24"/>
          <w:szCs w:val="24"/>
          <w:lang w:val="en-US"/>
        </w:rPr>
        <w:t xml:space="preserve"> 2004 SCC 48, [2004] 2 S.C.R. 650, at para. 5.</w:t>
      </w:r>
    </w:p>
    <w:p w14:paraId="465190BD" w14:textId="77777777" w:rsidR="00A03101" w:rsidRDefault="00A03101" w:rsidP="0086002B">
      <w:pPr>
        <w:tabs>
          <w:tab w:val="left" w:pos="1134"/>
        </w:tabs>
        <w:spacing w:after="0" w:line="240" w:lineRule="auto"/>
        <w:ind w:left="1710" w:right="571"/>
        <w:jc w:val="both"/>
        <w:rPr>
          <w:rFonts w:ascii="Times New Roman" w:hAnsi="Times New Roman" w:cs="Times New Roman"/>
          <w:iCs/>
          <w:sz w:val="24"/>
          <w:szCs w:val="24"/>
          <w:lang w:val="en-US"/>
        </w:rPr>
      </w:pPr>
    </w:p>
    <w:p w14:paraId="73AF4275" w14:textId="77777777" w:rsidR="00820FF5" w:rsidRPr="00820FF5" w:rsidRDefault="00820FF5" w:rsidP="00964ED0">
      <w:pPr>
        <w:pStyle w:val="ListParagraph"/>
        <w:spacing w:after="0" w:line="240" w:lineRule="auto"/>
        <w:ind w:left="0"/>
        <w:contextualSpacing w:val="0"/>
        <w:jc w:val="both"/>
        <w:rPr>
          <w:rFonts w:ascii="Times New Roman" w:hAnsi="Times New Roman" w:cs="Times New Roman"/>
          <w:b/>
          <w:i/>
          <w:sz w:val="28"/>
          <w:szCs w:val="28"/>
        </w:rPr>
      </w:pPr>
      <w:r w:rsidRPr="00820FF5">
        <w:rPr>
          <w:rFonts w:ascii="Times New Roman" w:hAnsi="Times New Roman" w:cs="Times New Roman"/>
          <w:sz w:val="28"/>
          <w:szCs w:val="28"/>
        </w:rPr>
        <w:t>[68]</w:t>
      </w:r>
      <w:r w:rsidRPr="00820FF5">
        <w:rPr>
          <w:rFonts w:ascii="Times New Roman" w:hAnsi="Times New Roman" w:cs="Times New Roman"/>
          <w:sz w:val="28"/>
          <w:szCs w:val="28"/>
        </w:rPr>
        <w:tab/>
        <w:t xml:space="preserve">The Alberta Court of Appeal held that the level of procedural fairness owed to a person who makes a complaint is at the low end of the spectrum of fairness:  </w:t>
      </w:r>
      <w:r w:rsidRPr="00820FF5">
        <w:rPr>
          <w:rFonts w:ascii="Times New Roman" w:hAnsi="Times New Roman" w:cs="Times New Roman"/>
          <w:bCs/>
          <w:i/>
          <w:sz w:val="28"/>
          <w:szCs w:val="28"/>
        </w:rPr>
        <w:t xml:space="preserve">Tran, supra, </w:t>
      </w:r>
      <w:r w:rsidRPr="00502D7E">
        <w:rPr>
          <w:rFonts w:ascii="Times New Roman" w:hAnsi="Times New Roman" w:cs="Times New Roman"/>
          <w:bCs/>
          <w:sz w:val="28"/>
          <w:szCs w:val="28"/>
        </w:rPr>
        <w:t>at paras. 6 and 9</w:t>
      </w:r>
      <w:r w:rsidRPr="00820FF5">
        <w:rPr>
          <w:rFonts w:ascii="Times New Roman" w:hAnsi="Times New Roman" w:cs="Times New Roman"/>
          <w:bCs/>
          <w:i/>
          <w:sz w:val="28"/>
          <w:szCs w:val="28"/>
        </w:rPr>
        <w:t>.</w:t>
      </w:r>
      <w:r w:rsidRPr="00820FF5">
        <w:rPr>
          <w:rFonts w:ascii="Times New Roman" w:hAnsi="Times New Roman" w:cs="Times New Roman"/>
          <w:b/>
          <w:i/>
          <w:sz w:val="28"/>
          <w:szCs w:val="28"/>
        </w:rPr>
        <w:t xml:space="preserve"> </w:t>
      </w:r>
    </w:p>
    <w:p w14:paraId="25957D03" w14:textId="77777777" w:rsidR="00820FF5" w:rsidRPr="00820FF5" w:rsidRDefault="00820FF5" w:rsidP="00964ED0">
      <w:pPr>
        <w:pStyle w:val="ListParagraph"/>
        <w:spacing w:after="0" w:line="240" w:lineRule="auto"/>
        <w:ind w:left="0"/>
        <w:jc w:val="both"/>
        <w:rPr>
          <w:rFonts w:ascii="Times New Roman" w:hAnsi="Times New Roman" w:cs="Times New Roman"/>
          <w:sz w:val="28"/>
          <w:szCs w:val="28"/>
        </w:rPr>
      </w:pPr>
    </w:p>
    <w:p w14:paraId="72E9B554"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[69]</w:t>
      </w:r>
      <w:r w:rsidRPr="00820FF5">
        <w:rPr>
          <w:rFonts w:ascii="Times New Roman" w:hAnsi="Times New Roman" w:cs="Times New Roman"/>
          <w:sz w:val="28"/>
          <w:szCs w:val="28"/>
        </w:rPr>
        <w:tab/>
        <w:t xml:space="preserve">Accordingly, the Respondent argues that the review to be undertaken by this Court is to be limited to whether or not the process afforded the Applicant was procedurally fair given the circumstances of a complaint against members of the Law Society of the Northwest Territories under the </w:t>
      </w:r>
      <w:r w:rsidRPr="00502D7E">
        <w:rPr>
          <w:rFonts w:ascii="Times New Roman" w:hAnsi="Times New Roman" w:cs="Times New Roman"/>
          <w:i/>
          <w:sz w:val="28"/>
          <w:szCs w:val="28"/>
        </w:rPr>
        <w:t>Legal Profession Act</w:t>
      </w:r>
      <w:r w:rsidRPr="00820FF5">
        <w:rPr>
          <w:rFonts w:ascii="Times New Roman" w:hAnsi="Times New Roman" w:cs="Times New Roman"/>
          <w:sz w:val="28"/>
          <w:szCs w:val="28"/>
        </w:rPr>
        <w:t xml:space="preserve">.  I agree. </w:t>
      </w:r>
    </w:p>
    <w:p w14:paraId="0ADE3E2C"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0B03CBC5"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[70]</w:t>
      </w:r>
      <w:r w:rsidRPr="00820FF5">
        <w:rPr>
          <w:rFonts w:ascii="Times New Roman" w:hAnsi="Times New Roman" w:cs="Times New Roman"/>
          <w:sz w:val="28"/>
          <w:szCs w:val="28"/>
        </w:rPr>
        <w:tab/>
        <w:t xml:space="preserve">The Certified Record discloses that the Applicant was served with notice of the investigation.  Further, he was afforded an opportunity to participate in the investigation process, including the opportunity to respond to the information provided by the investigated members to the Investigator. </w:t>
      </w:r>
    </w:p>
    <w:p w14:paraId="2BACF75F" w14:textId="77777777" w:rsidR="00820FF5" w:rsidRPr="00820FF5" w:rsidRDefault="00820FF5" w:rsidP="0086002B">
      <w:pPr>
        <w:pStyle w:val="ListParagraph"/>
        <w:spacing w:after="0" w:line="240" w:lineRule="auto"/>
        <w:ind w:left="0"/>
        <w:contextualSpacing w:val="0"/>
        <w:jc w:val="both"/>
        <w:rPr>
          <w:rFonts w:ascii="Times New Roman" w:hAnsi="Times New Roman" w:cs="Times New Roman"/>
          <w:sz w:val="28"/>
          <w:szCs w:val="28"/>
        </w:rPr>
      </w:pPr>
    </w:p>
    <w:p w14:paraId="259AB0D5" w14:textId="293E902E" w:rsidR="00820FF5" w:rsidRDefault="00820FF5" w:rsidP="0086002B">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[71]</w:t>
      </w:r>
      <w:r w:rsidRPr="00820FF5">
        <w:rPr>
          <w:rFonts w:ascii="Times New Roman" w:hAnsi="Times New Roman" w:cs="Times New Roman"/>
          <w:sz w:val="28"/>
          <w:szCs w:val="28"/>
        </w:rPr>
        <w:tab/>
        <w:t xml:space="preserve">In </w:t>
      </w:r>
      <w:r w:rsidR="00502D7E">
        <w:rPr>
          <w:rFonts w:ascii="Times New Roman" w:hAnsi="Times New Roman" w:cs="Times New Roman"/>
          <w:i/>
          <w:sz w:val="28"/>
          <w:szCs w:val="28"/>
        </w:rPr>
        <w:t>M.H. v</w:t>
      </w:r>
      <w:r w:rsidRPr="00502D7E">
        <w:rPr>
          <w:rFonts w:ascii="Times New Roman" w:hAnsi="Times New Roman" w:cs="Times New Roman"/>
          <w:i/>
          <w:sz w:val="28"/>
          <w:szCs w:val="28"/>
        </w:rPr>
        <w:t xml:space="preserve"> College of Physicians and Surgeons of Alberta</w:t>
      </w:r>
      <w:r w:rsidRPr="00820FF5">
        <w:rPr>
          <w:rFonts w:ascii="Times New Roman" w:hAnsi="Times New Roman" w:cs="Times New Roman"/>
          <w:sz w:val="28"/>
          <w:szCs w:val="28"/>
        </w:rPr>
        <w:t xml:space="preserve">, [2006] </w:t>
      </w:r>
      <w:r w:rsidRPr="003B2FA2">
        <w:rPr>
          <w:rFonts w:ascii="Times New Roman" w:hAnsi="Times New Roman" w:cs="Times New Roman"/>
          <w:sz w:val="28"/>
          <w:szCs w:val="28"/>
        </w:rPr>
        <w:t>No. 668; ABQB 395, at para. 45,</w:t>
      </w:r>
      <w:r w:rsidRPr="00820FF5">
        <w:rPr>
          <w:rFonts w:ascii="Times New Roman" w:hAnsi="Times New Roman" w:cs="Times New Roman"/>
          <w:sz w:val="28"/>
          <w:szCs w:val="28"/>
        </w:rPr>
        <w:t xml:space="preserve"> the Alberta Court of Queen’s Bench dealt with a complainant that was dismissed by the Discipline Chair and upheld by the Council of the College of Physicians and Surgeons of Alberta.  In that decision, Coutu J. said: </w:t>
      </w:r>
    </w:p>
    <w:p w14:paraId="04896A1E" w14:textId="77777777" w:rsidR="0086002B" w:rsidRPr="00820FF5" w:rsidRDefault="0086002B" w:rsidP="0086002B">
      <w:pPr>
        <w:pStyle w:val="ListParagraph"/>
        <w:spacing w:after="0" w:line="240" w:lineRule="auto"/>
        <w:ind w:left="0"/>
        <w:contextualSpacing w:val="0"/>
        <w:jc w:val="both"/>
        <w:rPr>
          <w:rFonts w:ascii="Times New Roman" w:hAnsi="Times New Roman" w:cs="Times New Roman"/>
          <w:sz w:val="28"/>
          <w:szCs w:val="28"/>
        </w:rPr>
      </w:pPr>
    </w:p>
    <w:p w14:paraId="29B8D9FE" w14:textId="77777777" w:rsidR="00820FF5" w:rsidRPr="00FF1781" w:rsidRDefault="00820FF5" w:rsidP="0086002B">
      <w:pPr>
        <w:autoSpaceDE w:val="0"/>
        <w:autoSpaceDN w:val="0"/>
        <w:adjustRightInd w:val="0"/>
        <w:spacing w:after="0" w:line="240" w:lineRule="auto"/>
        <w:ind w:left="1701" w:right="566"/>
        <w:jc w:val="both"/>
        <w:rPr>
          <w:rFonts w:ascii="Times New Roman" w:hAnsi="Times New Roman" w:cs="Times New Roman"/>
          <w:b/>
          <w:bCs/>
          <w:iCs/>
          <w:sz w:val="24"/>
          <w:szCs w:val="24"/>
        </w:rPr>
      </w:pPr>
      <w:r w:rsidRPr="00FF1781">
        <w:rPr>
          <w:rFonts w:ascii="Times New Roman" w:hAnsi="Times New Roman" w:cs="Times New Roman"/>
          <w:sz w:val="24"/>
          <w:szCs w:val="24"/>
        </w:rPr>
        <w:t>In conclusion, the duty of fairness owed to M.H. was at the lower end of the spectrum.  In my view, the College took the complaint seriously and took appropriate steps to investigate.  The Council extended to M.H. a full opportunity to participate in the process, extending to her an opportunity to make submissions that does not appear to be strictly required under the statute.  In my view, the Council has more than met the duty of fairness.</w:t>
      </w:r>
      <w:r w:rsidRPr="00FF1781">
        <w:rPr>
          <w:rStyle w:val="FootnoteReference"/>
          <w:rFonts w:cs="Times New Roman"/>
          <w:b/>
          <w:bCs/>
          <w:iCs/>
          <w:sz w:val="24"/>
          <w:szCs w:val="24"/>
        </w:rPr>
        <w:footnoteReference w:id="44"/>
      </w:r>
    </w:p>
    <w:p w14:paraId="338FAA5C" w14:textId="77777777" w:rsidR="00820FF5" w:rsidRPr="00820FF5" w:rsidRDefault="00820FF5" w:rsidP="0086002B">
      <w:pPr>
        <w:pStyle w:val="ListParagraph"/>
        <w:spacing w:after="0" w:line="240" w:lineRule="auto"/>
        <w:ind w:left="0"/>
        <w:jc w:val="both"/>
        <w:rPr>
          <w:rFonts w:ascii="Times New Roman" w:hAnsi="Times New Roman" w:cs="Times New Roman"/>
          <w:sz w:val="28"/>
          <w:szCs w:val="28"/>
        </w:rPr>
      </w:pPr>
    </w:p>
    <w:p w14:paraId="29875108" w14:textId="272F9316" w:rsidR="00820FF5" w:rsidRPr="00820FF5" w:rsidRDefault="000D0D51" w:rsidP="000D0D51">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[72</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Contrary to the Applicant’s assertion that the Investigator did not consider “the entire complaint or all allegations”, in my view, the Investigator reviewed the Applicant’s extensive materials in addition to the lawyers’ responses, namely:</w:t>
      </w:r>
    </w:p>
    <w:p w14:paraId="473C6FEE" w14:textId="77777777" w:rsidR="00820FF5" w:rsidRPr="00820FF5" w:rsidRDefault="00820FF5" w:rsidP="0086002B">
      <w:pPr>
        <w:pStyle w:val="ListParagraph"/>
        <w:tabs>
          <w:tab w:val="left" w:pos="1134"/>
        </w:tabs>
        <w:spacing w:after="0" w:line="240" w:lineRule="auto"/>
        <w:ind w:left="0"/>
        <w:jc w:val="both"/>
        <w:rPr>
          <w:rFonts w:ascii="Times New Roman" w:hAnsi="Times New Roman" w:cs="Times New Roman"/>
          <w:sz w:val="28"/>
          <w:szCs w:val="28"/>
        </w:rPr>
      </w:pPr>
    </w:p>
    <w:p w14:paraId="749ED6FF" w14:textId="77777777" w:rsidR="00820FF5" w:rsidRDefault="00820FF5" w:rsidP="0086002B">
      <w:pPr>
        <w:pStyle w:val="ListParagraph"/>
        <w:numPr>
          <w:ilvl w:val="0"/>
          <w:numId w:val="13"/>
        </w:numPr>
        <w:tabs>
          <w:tab w:val="left" w:pos="1134"/>
        </w:tabs>
        <w:spacing w:after="0" w:line="240" w:lineRule="auto"/>
        <w:jc w:val="both"/>
        <w:rPr>
          <w:rFonts w:ascii="Times New Roman" w:hAnsi="Times New Roman" w:cs="Times New Roman"/>
          <w:sz w:val="28"/>
          <w:szCs w:val="28"/>
        </w:rPr>
      </w:pPr>
      <w:r w:rsidRPr="00820FF5">
        <w:rPr>
          <w:rFonts w:ascii="Times New Roman" w:hAnsi="Times New Roman" w:cs="Times New Roman"/>
          <w:sz w:val="28"/>
          <w:szCs w:val="28"/>
        </w:rPr>
        <w:t xml:space="preserve">The Applicant’s complaints against Ms. Simpson and Mr. Kinnear; </w:t>
      </w:r>
    </w:p>
    <w:p w14:paraId="78833890" w14:textId="77777777" w:rsidR="00675EB4" w:rsidRPr="00820FF5" w:rsidRDefault="00675EB4" w:rsidP="00675EB4">
      <w:pPr>
        <w:pStyle w:val="ListParagraph"/>
        <w:tabs>
          <w:tab w:val="left" w:pos="1134"/>
        </w:tabs>
        <w:spacing w:after="0" w:line="240" w:lineRule="auto"/>
        <w:ind w:left="1800"/>
        <w:jc w:val="both"/>
        <w:rPr>
          <w:rFonts w:ascii="Times New Roman" w:hAnsi="Times New Roman" w:cs="Times New Roman"/>
          <w:sz w:val="28"/>
          <w:szCs w:val="28"/>
        </w:rPr>
      </w:pPr>
    </w:p>
    <w:p w14:paraId="0CAAF72A" w14:textId="77777777" w:rsidR="00820FF5" w:rsidRDefault="00820FF5" w:rsidP="0086002B">
      <w:pPr>
        <w:pStyle w:val="ListParagraph"/>
        <w:numPr>
          <w:ilvl w:val="0"/>
          <w:numId w:val="13"/>
        </w:numPr>
        <w:tabs>
          <w:tab w:val="left" w:pos="1134"/>
        </w:tabs>
        <w:spacing w:after="0" w:line="240" w:lineRule="auto"/>
        <w:jc w:val="both"/>
        <w:rPr>
          <w:rFonts w:ascii="Times New Roman" w:hAnsi="Times New Roman" w:cs="Times New Roman"/>
          <w:sz w:val="28"/>
          <w:szCs w:val="28"/>
        </w:rPr>
      </w:pPr>
      <w:r w:rsidRPr="00820FF5">
        <w:rPr>
          <w:rFonts w:ascii="Times New Roman" w:hAnsi="Times New Roman" w:cs="Times New Roman"/>
          <w:sz w:val="28"/>
          <w:szCs w:val="28"/>
        </w:rPr>
        <w:t xml:space="preserve">The record of proceedings in the family law matter between Ms. Lavoie and the Applicant; </w:t>
      </w:r>
    </w:p>
    <w:p w14:paraId="5CE559B5" w14:textId="77777777" w:rsidR="00675EB4" w:rsidRPr="00675EB4" w:rsidRDefault="00675EB4" w:rsidP="00675EB4">
      <w:pPr>
        <w:pStyle w:val="ListParagraph"/>
        <w:spacing w:after="0"/>
        <w:rPr>
          <w:rFonts w:ascii="Times New Roman" w:hAnsi="Times New Roman" w:cs="Times New Roman"/>
          <w:sz w:val="28"/>
          <w:szCs w:val="28"/>
        </w:rPr>
      </w:pPr>
    </w:p>
    <w:p w14:paraId="15D8C9EC" w14:textId="77777777" w:rsidR="00820FF5" w:rsidRDefault="00820FF5" w:rsidP="0086002B">
      <w:pPr>
        <w:pStyle w:val="ListParagraph"/>
        <w:numPr>
          <w:ilvl w:val="0"/>
          <w:numId w:val="13"/>
        </w:numPr>
        <w:tabs>
          <w:tab w:val="left" w:pos="1134"/>
        </w:tabs>
        <w:spacing w:after="0" w:line="240" w:lineRule="auto"/>
        <w:jc w:val="both"/>
        <w:rPr>
          <w:rFonts w:ascii="Times New Roman" w:hAnsi="Times New Roman" w:cs="Times New Roman"/>
          <w:sz w:val="28"/>
          <w:szCs w:val="28"/>
        </w:rPr>
      </w:pPr>
      <w:r w:rsidRPr="00820FF5">
        <w:rPr>
          <w:rFonts w:ascii="Times New Roman" w:hAnsi="Times New Roman" w:cs="Times New Roman"/>
          <w:sz w:val="28"/>
          <w:szCs w:val="28"/>
        </w:rPr>
        <w:t xml:space="preserve">The Applicant’s motions in that matter; and </w:t>
      </w:r>
    </w:p>
    <w:p w14:paraId="68A3DDCE" w14:textId="77777777" w:rsidR="007E638B" w:rsidRPr="007E638B" w:rsidRDefault="007E638B" w:rsidP="007E638B">
      <w:pPr>
        <w:pStyle w:val="ListParagraph"/>
        <w:rPr>
          <w:rFonts w:ascii="Times New Roman" w:hAnsi="Times New Roman" w:cs="Times New Roman"/>
          <w:sz w:val="28"/>
          <w:szCs w:val="28"/>
        </w:rPr>
      </w:pPr>
    </w:p>
    <w:p w14:paraId="024D402E" w14:textId="77777777" w:rsidR="007E638B" w:rsidRDefault="007E638B" w:rsidP="007E638B">
      <w:pPr>
        <w:tabs>
          <w:tab w:val="left" w:pos="1134"/>
        </w:tabs>
        <w:spacing w:after="0" w:line="240" w:lineRule="auto"/>
        <w:jc w:val="both"/>
        <w:rPr>
          <w:rFonts w:ascii="Times New Roman" w:hAnsi="Times New Roman" w:cs="Times New Roman"/>
          <w:sz w:val="28"/>
          <w:szCs w:val="28"/>
        </w:rPr>
      </w:pPr>
    </w:p>
    <w:p w14:paraId="38C71709" w14:textId="77777777" w:rsidR="00820FF5" w:rsidRPr="00820FF5" w:rsidRDefault="00820FF5" w:rsidP="0086002B">
      <w:pPr>
        <w:pStyle w:val="ListParagraph"/>
        <w:numPr>
          <w:ilvl w:val="0"/>
          <w:numId w:val="13"/>
        </w:numPr>
        <w:tabs>
          <w:tab w:val="left" w:pos="1134"/>
        </w:tabs>
        <w:spacing w:after="0" w:line="240" w:lineRule="auto"/>
        <w:jc w:val="both"/>
        <w:rPr>
          <w:rFonts w:ascii="Times New Roman" w:hAnsi="Times New Roman" w:cs="Times New Roman"/>
          <w:sz w:val="28"/>
          <w:szCs w:val="28"/>
        </w:rPr>
      </w:pPr>
      <w:bookmarkStart w:id="7" w:name="_GoBack"/>
      <w:bookmarkEnd w:id="7"/>
      <w:r w:rsidRPr="00820FF5">
        <w:rPr>
          <w:rFonts w:ascii="Times New Roman" w:hAnsi="Times New Roman" w:cs="Times New Roman"/>
          <w:sz w:val="28"/>
          <w:szCs w:val="28"/>
        </w:rPr>
        <w:t xml:space="preserve">The Applicant’s responses to Ms. Simpson’s and Mr. Kinnear’s materials. </w:t>
      </w:r>
    </w:p>
    <w:p w14:paraId="48CB85DE" w14:textId="77777777" w:rsidR="00820FF5" w:rsidRPr="00820FF5" w:rsidRDefault="00820FF5" w:rsidP="0086002B">
      <w:pPr>
        <w:pStyle w:val="ListParagraph"/>
        <w:spacing w:line="240" w:lineRule="auto"/>
        <w:ind w:left="0"/>
        <w:jc w:val="both"/>
        <w:rPr>
          <w:rFonts w:ascii="Times New Roman" w:hAnsi="Times New Roman" w:cs="Times New Roman"/>
          <w:sz w:val="28"/>
          <w:szCs w:val="28"/>
        </w:rPr>
      </w:pPr>
    </w:p>
    <w:p w14:paraId="42DB6812" w14:textId="602DF9B8" w:rsidR="00820FF5" w:rsidRPr="00820FF5" w:rsidRDefault="000D0D51" w:rsidP="00675EB4">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[73</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 xml:space="preserve">In the circumstances, I fail to see how the Investigator did not consider the Applicant’s complaints and allegations fully or that the Investigator did not have an open mind. </w:t>
      </w:r>
      <w:r w:rsidR="00502D7E">
        <w:rPr>
          <w:rFonts w:ascii="Times New Roman" w:hAnsi="Times New Roman" w:cs="Times New Roman"/>
          <w:sz w:val="28"/>
          <w:szCs w:val="28"/>
        </w:rPr>
        <w:t xml:space="preserve"> </w:t>
      </w:r>
      <w:r w:rsidR="00820FF5" w:rsidRPr="00820FF5">
        <w:rPr>
          <w:rFonts w:ascii="Times New Roman" w:hAnsi="Times New Roman" w:cs="Times New Roman"/>
          <w:sz w:val="28"/>
          <w:szCs w:val="28"/>
        </w:rPr>
        <w:t>In my view, the Investigator took the complaints seriously and took appropriate steps to investigate.</w:t>
      </w:r>
      <w:r w:rsidR="00820FF5" w:rsidRPr="00820FF5">
        <w:rPr>
          <w:rFonts w:ascii="Times New Roman" w:hAnsi="Times New Roman" w:cs="Times New Roman"/>
          <w:i/>
          <w:sz w:val="28"/>
          <w:szCs w:val="28"/>
        </w:rPr>
        <w:t xml:space="preserve">  </w:t>
      </w:r>
    </w:p>
    <w:p w14:paraId="76344CE2" w14:textId="77777777" w:rsidR="00820FF5" w:rsidRPr="00820FF5" w:rsidRDefault="00820FF5" w:rsidP="0086002B">
      <w:pPr>
        <w:pStyle w:val="ListParagraph"/>
        <w:spacing w:line="240" w:lineRule="auto"/>
        <w:ind w:left="0"/>
        <w:jc w:val="both"/>
        <w:rPr>
          <w:rFonts w:ascii="Times New Roman" w:hAnsi="Times New Roman" w:cs="Times New Roman"/>
          <w:sz w:val="28"/>
          <w:szCs w:val="28"/>
        </w:rPr>
      </w:pPr>
    </w:p>
    <w:p w14:paraId="4F766BD8" w14:textId="05870A96" w:rsidR="00820FF5" w:rsidRPr="00820FF5" w:rsidRDefault="000D0D51" w:rsidP="0086002B">
      <w:pPr>
        <w:pStyle w:val="ListParagraph"/>
        <w:spacing w:after="24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[74</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 xml:space="preserve">In </w:t>
      </w:r>
      <w:r w:rsidR="00820FF5" w:rsidRPr="00820FF5">
        <w:rPr>
          <w:rFonts w:ascii="Times New Roman" w:hAnsi="Times New Roman" w:cs="Times New Roman"/>
          <w:i/>
          <w:iCs/>
          <w:sz w:val="28"/>
          <w:szCs w:val="28"/>
        </w:rPr>
        <w:t>Tran</w:t>
      </w:r>
      <w:r w:rsidR="00820FF5" w:rsidRPr="00820FF5">
        <w:rPr>
          <w:rFonts w:ascii="Times New Roman" w:hAnsi="Times New Roman" w:cs="Times New Roman"/>
          <w:sz w:val="28"/>
          <w:szCs w:val="28"/>
        </w:rPr>
        <w:t xml:space="preserve">, </w:t>
      </w:r>
      <w:r w:rsidR="00820FF5" w:rsidRPr="00820FF5">
        <w:rPr>
          <w:rFonts w:ascii="Times New Roman" w:hAnsi="Times New Roman" w:cs="Times New Roman"/>
          <w:i/>
          <w:iCs/>
          <w:sz w:val="28"/>
          <w:szCs w:val="28"/>
        </w:rPr>
        <w:t>supra</w:t>
      </w:r>
      <w:r w:rsidR="00820FF5" w:rsidRPr="00820FF5">
        <w:rPr>
          <w:rFonts w:ascii="Times New Roman" w:hAnsi="Times New Roman" w:cs="Times New Roman"/>
          <w:sz w:val="28"/>
          <w:szCs w:val="28"/>
        </w:rPr>
        <w:t xml:space="preserve">, the court said: </w:t>
      </w:r>
    </w:p>
    <w:p w14:paraId="554814F5" w14:textId="77777777" w:rsidR="00820FF5" w:rsidRPr="00FF1781" w:rsidRDefault="00820FF5" w:rsidP="0086002B">
      <w:pPr>
        <w:autoSpaceDE w:val="0"/>
        <w:autoSpaceDN w:val="0"/>
        <w:adjustRightInd w:val="0"/>
        <w:spacing w:after="0" w:line="240" w:lineRule="auto"/>
        <w:ind w:left="1701" w:right="566"/>
        <w:jc w:val="both"/>
        <w:rPr>
          <w:rFonts w:ascii="Times New Roman" w:hAnsi="Times New Roman" w:cs="Times New Roman"/>
          <w:sz w:val="24"/>
          <w:szCs w:val="24"/>
        </w:rPr>
      </w:pPr>
      <w:r w:rsidRPr="00FF1781">
        <w:rPr>
          <w:rFonts w:ascii="Times New Roman" w:hAnsi="Times New Roman" w:cs="Times New Roman"/>
          <w:sz w:val="24"/>
          <w:szCs w:val="24"/>
        </w:rPr>
        <w:t>…the record in this case demonstrates that the Applicant’s complaint was taken seriously and was subject to a proper investigation. The Committee was not required to refer the matter to a full hearing, notwithstanding a conflict between the Applicant’s statement and other evidence (the physician’s response and hospital records). The Committee was entitled to consider the information before it and determine that there was 'insufficient or no evidence of unprofessional conduct'.</w:t>
      </w:r>
      <w:r w:rsidRPr="00FF1781">
        <w:rPr>
          <w:rStyle w:val="FootnoteReference"/>
          <w:rFonts w:cs="Times New Roman"/>
          <w:sz w:val="24"/>
          <w:szCs w:val="24"/>
        </w:rPr>
        <w:footnoteReference w:id="45"/>
      </w:r>
    </w:p>
    <w:p w14:paraId="4958EBC5" w14:textId="77777777" w:rsidR="00820FF5" w:rsidRPr="00FF1781" w:rsidRDefault="00820FF5" w:rsidP="0086002B">
      <w:pPr>
        <w:pStyle w:val="ListParagraph"/>
        <w:spacing w:after="0" w:line="240" w:lineRule="auto"/>
        <w:ind w:left="0"/>
        <w:jc w:val="both"/>
        <w:rPr>
          <w:rFonts w:ascii="Times New Roman" w:hAnsi="Times New Roman" w:cs="Times New Roman"/>
          <w:sz w:val="24"/>
          <w:szCs w:val="24"/>
        </w:rPr>
      </w:pPr>
    </w:p>
    <w:p w14:paraId="7359CC90" w14:textId="2C4D2593" w:rsidR="00820FF5" w:rsidRPr="00820FF5" w:rsidRDefault="000D0D51" w:rsidP="000D0D51">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[75</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 xml:space="preserve">Similarly in this case, under section 24.4(2) of the </w:t>
      </w:r>
      <w:r w:rsidR="00820FF5" w:rsidRPr="003B2FA2">
        <w:rPr>
          <w:rFonts w:ascii="Times New Roman" w:hAnsi="Times New Roman" w:cs="Times New Roman"/>
          <w:sz w:val="28"/>
          <w:szCs w:val="28"/>
        </w:rPr>
        <w:t xml:space="preserve">Legal Profession </w:t>
      </w:r>
      <w:r w:rsidR="00820FF5" w:rsidRPr="00502D7E">
        <w:rPr>
          <w:rFonts w:ascii="Times New Roman" w:hAnsi="Times New Roman" w:cs="Times New Roman"/>
          <w:i/>
          <w:sz w:val="28"/>
          <w:szCs w:val="28"/>
        </w:rPr>
        <w:t>Act</w:t>
      </w:r>
      <w:r w:rsidR="00820FF5" w:rsidRPr="00820FF5">
        <w:rPr>
          <w:rFonts w:ascii="Times New Roman" w:hAnsi="Times New Roman" w:cs="Times New Roman"/>
          <w:sz w:val="28"/>
          <w:szCs w:val="28"/>
        </w:rPr>
        <w:t>,</w:t>
      </w:r>
      <w:r w:rsidR="00820FF5" w:rsidRPr="003B2FA2">
        <w:rPr>
          <w:rFonts w:ascii="Times New Roman" w:hAnsi="Times New Roman" w:cs="Times New Roman"/>
          <w:sz w:val="28"/>
          <w:szCs w:val="28"/>
        </w:rPr>
        <w:t xml:space="preserve"> </w:t>
      </w:r>
      <w:r w:rsidR="00820FF5" w:rsidRPr="00820FF5">
        <w:rPr>
          <w:rFonts w:ascii="Times New Roman" w:hAnsi="Times New Roman" w:cs="Times New Roman"/>
          <w:sz w:val="28"/>
          <w:szCs w:val="28"/>
        </w:rPr>
        <w:t>the Law Society was not required to refer the Applicant’s complaint to a full hearing despite conflicting evidence between the Applicant and Ms. Simpson.</w:t>
      </w:r>
      <w:r w:rsidR="00820FF5" w:rsidRPr="00B348FA">
        <w:rPr>
          <w:rFonts w:ascii="Times New Roman" w:hAnsi="Times New Roman" w:cs="Times New Roman"/>
          <w:sz w:val="28"/>
          <w:szCs w:val="28"/>
          <w:vertAlign w:val="superscript"/>
        </w:rPr>
        <w:footnoteReference w:id="46"/>
      </w:r>
    </w:p>
    <w:p w14:paraId="5709B502" w14:textId="77777777" w:rsidR="00820FF5" w:rsidRPr="00820FF5" w:rsidRDefault="00820FF5" w:rsidP="000D0D51">
      <w:pPr>
        <w:pStyle w:val="ListParagraph"/>
        <w:spacing w:after="0" w:line="240" w:lineRule="auto"/>
        <w:ind w:left="0"/>
        <w:contextualSpacing w:val="0"/>
        <w:jc w:val="both"/>
        <w:rPr>
          <w:rFonts w:ascii="Times New Roman" w:hAnsi="Times New Roman" w:cs="Times New Roman"/>
          <w:sz w:val="28"/>
          <w:szCs w:val="28"/>
        </w:rPr>
      </w:pPr>
    </w:p>
    <w:p w14:paraId="2A7201F1" w14:textId="4DC3081D" w:rsidR="00820FF5" w:rsidRPr="00820FF5" w:rsidRDefault="000D0D51" w:rsidP="000D0D51">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[76</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The Applicant asserts further that Ms. Simpson committed perjury.  There is no merit in this argument.  Ms. Simpson has never been convicted of perjury nor has there been any finding by a court that the Lavoie Affidavit was rejected or found to contain false statements.</w:t>
      </w:r>
    </w:p>
    <w:p w14:paraId="72C149D2" w14:textId="77777777" w:rsidR="00820FF5" w:rsidRPr="00820FF5" w:rsidRDefault="00820FF5" w:rsidP="000D0D51">
      <w:pPr>
        <w:pStyle w:val="ListParagraph"/>
        <w:spacing w:after="0" w:line="240" w:lineRule="auto"/>
        <w:ind w:left="0"/>
        <w:contextualSpacing w:val="0"/>
        <w:jc w:val="both"/>
        <w:rPr>
          <w:rFonts w:ascii="Times New Roman" w:hAnsi="Times New Roman" w:cs="Times New Roman"/>
          <w:sz w:val="28"/>
          <w:szCs w:val="28"/>
        </w:rPr>
      </w:pPr>
    </w:p>
    <w:p w14:paraId="7C3A043B" w14:textId="7F45D843" w:rsidR="00820FF5" w:rsidRPr="00820FF5" w:rsidRDefault="000D0D51" w:rsidP="000D0D51">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[77</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In my view, the Investigator was entitled to consider this and other information before him and determine that there was not a reasonable prospect of conviction of Ms. Simpson or Mr. Kinnear should the disciplinary matter proceed to a Sole Inquirer or Committee of Inquiry.</w:t>
      </w:r>
    </w:p>
    <w:p w14:paraId="58C150E1" w14:textId="77777777" w:rsidR="00820FF5" w:rsidRPr="00820FF5" w:rsidRDefault="00820FF5" w:rsidP="000D0D51">
      <w:pPr>
        <w:pStyle w:val="ListParagraph"/>
        <w:spacing w:after="0" w:line="240" w:lineRule="auto"/>
        <w:ind w:left="0"/>
        <w:contextualSpacing w:val="0"/>
        <w:jc w:val="both"/>
        <w:rPr>
          <w:rFonts w:ascii="Times New Roman" w:hAnsi="Times New Roman" w:cs="Times New Roman"/>
          <w:sz w:val="28"/>
          <w:szCs w:val="28"/>
        </w:rPr>
      </w:pPr>
    </w:p>
    <w:p w14:paraId="0B48B4EA" w14:textId="0298D3B3" w:rsidR="00820FF5" w:rsidRDefault="000D0D51" w:rsidP="000D0D51">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[78</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Moreover, the Law Society was entitled to rely on the Investigator’s considerations and conclusions in dismissing the Applicant’s complaint.</w:t>
      </w:r>
    </w:p>
    <w:p w14:paraId="59E9E67F" w14:textId="77777777" w:rsidR="00964ED0" w:rsidRDefault="00964ED0" w:rsidP="000D0D51">
      <w:pPr>
        <w:pStyle w:val="ListParagraph"/>
        <w:spacing w:after="0" w:line="240" w:lineRule="auto"/>
        <w:ind w:left="0"/>
        <w:contextualSpacing w:val="0"/>
        <w:jc w:val="both"/>
        <w:rPr>
          <w:rFonts w:ascii="Times New Roman" w:hAnsi="Times New Roman" w:cs="Times New Roman"/>
          <w:sz w:val="28"/>
          <w:szCs w:val="28"/>
        </w:rPr>
      </w:pPr>
    </w:p>
    <w:p w14:paraId="0C3B4FCB" w14:textId="77777777" w:rsidR="007E638B" w:rsidRDefault="007E638B" w:rsidP="000D0D51">
      <w:pPr>
        <w:pStyle w:val="ListParagraph"/>
        <w:spacing w:after="0" w:line="240" w:lineRule="auto"/>
        <w:ind w:left="0"/>
        <w:contextualSpacing w:val="0"/>
        <w:jc w:val="both"/>
        <w:rPr>
          <w:rFonts w:ascii="Times New Roman" w:hAnsi="Times New Roman" w:cs="Times New Roman"/>
          <w:sz w:val="28"/>
          <w:szCs w:val="28"/>
        </w:rPr>
      </w:pPr>
    </w:p>
    <w:p w14:paraId="658865DE" w14:textId="77777777" w:rsidR="00820FF5" w:rsidRPr="00820FF5" w:rsidRDefault="00820FF5" w:rsidP="000D0D51">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lastRenderedPageBreak/>
        <w:t>[</w:t>
      </w:r>
      <w:r w:rsidR="000D0D51">
        <w:rPr>
          <w:rFonts w:ascii="Times New Roman" w:hAnsi="Times New Roman" w:cs="Times New Roman"/>
          <w:sz w:val="28"/>
          <w:szCs w:val="28"/>
        </w:rPr>
        <w:t>79</w:t>
      </w:r>
      <w:r w:rsidRPr="00820FF5">
        <w:rPr>
          <w:rFonts w:ascii="Times New Roman" w:hAnsi="Times New Roman" w:cs="Times New Roman"/>
          <w:sz w:val="28"/>
          <w:szCs w:val="28"/>
        </w:rPr>
        <w:t>]</w:t>
      </w:r>
      <w:r w:rsidRPr="00820FF5">
        <w:rPr>
          <w:rFonts w:ascii="Times New Roman" w:hAnsi="Times New Roman" w:cs="Times New Roman"/>
          <w:sz w:val="28"/>
          <w:szCs w:val="28"/>
        </w:rPr>
        <w:tab/>
        <w:t xml:space="preserve">Additionally, the Respondent submits that the Investigator was not required </w:t>
      </w:r>
      <w:proofErr w:type="gramStart"/>
      <w:r w:rsidRPr="00820FF5">
        <w:rPr>
          <w:rFonts w:ascii="Times New Roman" w:hAnsi="Times New Roman" w:cs="Times New Roman"/>
          <w:sz w:val="28"/>
          <w:szCs w:val="28"/>
        </w:rPr>
        <w:t>to</w:t>
      </w:r>
      <w:proofErr w:type="gramEnd"/>
      <w:r w:rsidRPr="00820FF5">
        <w:rPr>
          <w:rFonts w:ascii="Times New Roman" w:hAnsi="Times New Roman" w:cs="Times New Roman"/>
          <w:sz w:val="28"/>
          <w:szCs w:val="28"/>
        </w:rPr>
        <w:t xml:space="preserve"> interview Ms. Simpson and Mr. Kinnear in order to fulfil the duty of fairness.  I agree. </w:t>
      </w:r>
    </w:p>
    <w:p w14:paraId="3CB8D7E1" w14:textId="77777777" w:rsidR="00820FF5" w:rsidRPr="00820FF5" w:rsidRDefault="00820FF5" w:rsidP="000D0D51">
      <w:pPr>
        <w:pStyle w:val="ListParagraph"/>
        <w:spacing w:after="0" w:line="240" w:lineRule="auto"/>
        <w:ind w:left="0"/>
        <w:contextualSpacing w:val="0"/>
        <w:jc w:val="both"/>
        <w:rPr>
          <w:rFonts w:ascii="Times New Roman" w:hAnsi="Times New Roman" w:cs="Times New Roman"/>
          <w:sz w:val="28"/>
          <w:szCs w:val="28"/>
        </w:rPr>
      </w:pPr>
    </w:p>
    <w:p w14:paraId="1A3EB19A" w14:textId="367814FA" w:rsidR="00820FF5" w:rsidRPr="00820FF5" w:rsidRDefault="000D0D51" w:rsidP="000D0D51">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[80</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 xml:space="preserve">In </w:t>
      </w:r>
      <w:r w:rsidR="00502D7E">
        <w:rPr>
          <w:rFonts w:ascii="Times New Roman" w:hAnsi="Times New Roman" w:cs="Times New Roman"/>
          <w:i/>
          <w:sz w:val="28"/>
          <w:szCs w:val="28"/>
        </w:rPr>
        <w:t>Aylward v</w:t>
      </w:r>
      <w:r w:rsidR="00820FF5" w:rsidRPr="00502D7E">
        <w:rPr>
          <w:rFonts w:ascii="Times New Roman" w:hAnsi="Times New Roman" w:cs="Times New Roman"/>
          <w:i/>
          <w:sz w:val="28"/>
          <w:szCs w:val="28"/>
        </w:rPr>
        <w:t xml:space="preserve"> Law Society of Newfoundland and Labrador</w:t>
      </w:r>
      <w:r w:rsidR="00820FF5" w:rsidRPr="00820FF5">
        <w:rPr>
          <w:rFonts w:ascii="Times New Roman" w:hAnsi="Times New Roman" w:cs="Times New Roman"/>
          <w:sz w:val="28"/>
          <w:szCs w:val="28"/>
        </w:rPr>
        <w:t xml:space="preserve">, </w:t>
      </w:r>
      <w:r w:rsidR="00820FF5" w:rsidRPr="003B2FA2">
        <w:rPr>
          <w:rFonts w:ascii="Times New Roman" w:hAnsi="Times New Roman" w:cs="Times New Roman"/>
          <w:sz w:val="28"/>
          <w:szCs w:val="28"/>
        </w:rPr>
        <w:t>[2013] N.J. No. 404; 2013 NLCA 68,</w:t>
      </w:r>
      <w:r w:rsidR="00820FF5" w:rsidRPr="00820FF5">
        <w:rPr>
          <w:rFonts w:ascii="Times New Roman" w:hAnsi="Times New Roman" w:cs="Times New Roman"/>
          <w:sz w:val="28"/>
          <w:szCs w:val="28"/>
        </w:rPr>
        <w:t xml:space="preserve"> the complainant held an expectation that the investigated member would be required to appear before the disciplinary tribunal for questioning, because there were credibility issues that could only be resolved through an in-person interview or hearing.</w:t>
      </w:r>
      <w:r w:rsidR="00820FF5" w:rsidRPr="00820FF5">
        <w:rPr>
          <w:rStyle w:val="FootnoteReference"/>
          <w:rFonts w:cs="Times New Roman"/>
          <w:szCs w:val="28"/>
        </w:rPr>
        <w:footnoteReference w:id="47"/>
      </w:r>
    </w:p>
    <w:p w14:paraId="723012C5" w14:textId="77777777" w:rsidR="00820FF5" w:rsidRPr="00820FF5" w:rsidRDefault="00820FF5" w:rsidP="0086002B">
      <w:pPr>
        <w:pStyle w:val="ListParagraph"/>
        <w:spacing w:line="240" w:lineRule="auto"/>
        <w:ind w:left="0"/>
        <w:jc w:val="both"/>
        <w:rPr>
          <w:rFonts w:ascii="Times New Roman" w:hAnsi="Times New Roman" w:cs="Times New Roman"/>
          <w:sz w:val="28"/>
          <w:szCs w:val="28"/>
        </w:rPr>
      </w:pPr>
    </w:p>
    <w:p w14:paraId="394D07C1" w14:textId="6131E0A6" w:rsidR="00820FF5" w:rsidRPr="00820FF5" w:rsidRDefault="000D0D51" w:rsidP="0086002B">
      <w:pPr>
        <w:pStyle w:val="ListParagraph"/>
        <w:spacing w:after="24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[81</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The Newfoundland and Labrador Court of Appeal concluded, at para. 45, that:</w:t>
      </w:r>
    </w:p>
    <w:p w14:paraId="3D871D40" w14:textId="77777777" w:rsidR="00820FF5" w:rsidRPr="008C316F" w:rsidRDefault="00820FF5" w:rsidP="0086002B">
      <w:pPr>
        <w:autoSpaceDE w:val="0"/>
        <w:autoSpaceDN w:val="0"/>
        <w:adjustRightInd w:val="0"/>
        <w:spacing w:after="0" w:line="240" w:lineRule="auto"/>
        <w:ind w:left="1701" w:right="566"/>
        <w:jc w:val="both"/>
        <w:rPr>
          <w:rFonts w:ascii="Times New Roman" w:hAnsi="Times New Roman" w:cs="Times New Roman"/>
          <w:bCs/>
          <w:iCs/>
          <w:sz w:val="24"/>
          <w:szCs w:val="24"/>
        </w:rPr>
      </w:pPr>
      <w:r w:rsidRPr="008C316F">
        <w:rPr>
          <w:rFonts w:ascii="Times New Roman" w:hAnsi="Times New Roman" w:cs="Times New Roman"/>
          <w:sz w:val="24"/>
          <w:szCs w:val="24"/>
        </w:rPr>
        <w:t xml:space="preserve">As L’Heureux-Dubé J. noted in </w:t>
      </w:r>
      <w:r w:rsidRPr="00675EB4">
        <w:rPr>
          <w:rFonts w:ascii="Times New Roman" w:hAnsi="Times New Roman" w:cs="Times New Roman"/>
          <w:i/>
          <w:sz w:val="24"/>
          <w:szCs w:val="24"/>
        </w:rPr>
        <w:t>Baker</w:t>
      </w:r>
      <w:r w:rsidRPr="008C316F">
        <w:rPr>
          <w:rFonts w:ascii="Times New Roman" w:hAnsi="Times New Roman" w:cs="Times New Roman"/>
          <w:sz w:val="24"/>
          <w:szCs w:val="24"/>
        </w:rPr>
        <w:t xml:space="preserve"> at paragraph 26, the doctrine of legitimate expectations is based upon the principle that “‘circumstances’ affecting procedural fairness take into account the promises or regular practices of administrative decision-makers, and that it will generally be unfair for them to act in contravention of representations as to procedure, or to backtrack on substantive promises without according significant procedural rights”.  Here, the Appellant did not point to any promises, policies or regular practices of the Law Society in conducting such hearings. Further to this, he did not point to any substantive promises which might accord him additional procedural rights. There was, therefore, no legitimate expectation that there would be any procedure beyond what was afforded in this case.</w:t>
      </w:r>
      <w:r w:rsidRPr="008C316F">
        <w:rPr>
          <w:rStyle w:val="FootnoteReference"/>
          <w:rFonts w:cs="Times New Roman"/>
          <w:bCs/>
          <w:iCs/>
          <w:sz w:val="24"/>
          <w:szCs w:val="24"/>
        </w:rPr>
        <w:footnoteReference w:id="48"/>
      </w:r>
    </w:p>
    <w:p w14:paraId="0379ECC1" w14:textId="77777777" w:rsidR="00820FF5" w:rsidRPr="00820FF5" w:rsidRDefault="00820FF5" w:rsidP="0086002B">
      <w:pPr>
        <w:pStyle w:val="ListParagraph"/>
        <w:spacing w:after="0" w:line="240" w:lineRule="auto"/>
        <w:ind w:left="0"/>
        <w:jc w:val="both"/>
        <w:rPr>
          <w:rFonts w:ascii="Times New Roman" w:hAnsi="Times New Roman" w:cs="Times New Roman"/>
          <w:sz w:val="28"/>
          <w:szCs w:val="28"/>
        </w:rPr>
      </w:pPr>
    </w:p>
    <w:p w14:paraId="777C6D0B" w14:textId="58DC9635" w:rsidR="00820FF5" w:rsidRPr="00820FF5" w:rsidRDefault="000D0D51" w:rsidP="000D0D51">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[82</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Based on the Certified Record and the Supplemental Certified Record, the Applicant’s expectation that the Investigator would conduct an interview of Ms. Simpson or Mr. Kinnear was not legitimate as there was no established policy of the Law Society in conducting an investigation that mandated an interview, and no substantive promises were made to the Applicant about the Law Society’s procedure in investigating his complaint.</w:t>
      </w:r>
    </w:p>
    <w:p w14:paraId="7B704364" w14:textId="77777777" w:rsidR="00820FF5" w:rsidRPr="00820FF5" w:rsidRDefault="00820FF5" w:rsidP="000D0D51">
      <w:pPr>
        <w:pStyle w:val="ListParagraph"/>
        <w:spacing w:after="0" w:line="240" w:lineRule="auto"/>
        <w:ind w:left="0"/>
        <w:jc w:val="both"/>
        <w:rPr>
          <w:rFonts w:ascii="Times New Roman" w:hAnsi="Times New Roman" w:cs="Times New Roman"/>
          <w:sz w:val="28"/>
          <w:szCs w:val="28"/>
        </w:rPr>
      </w:pPr>
    </w:p>
    <w:p w14:paraId="1CD65209" w14:textId="15D77F8B" w:rsidR="00820FF5" w:rsidRPr="00820FF5" w:rsidRDefault="000D0D51" w:rsidP="000D0D51">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[83</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 xml:space="preserve">While an investigator may choose to interview individuals in the course of an investigation, I have not been directed to any requirement under the </w:t>
      </w:r>
      <w:r w:rsidR="00820FF5" w:rsidRPr="00820FF5">
        <w:rPr>
          <w:rFonts w:ascii="Times New Roman" w:hAnsi="Times New Roman" w:cs="Times New Roman"/>
          <w:i/>
          <w:iCs/>
          <w:sz w:val="28"/>
          <w:szCs w:val="28"/>
        </w:rPr>
        <w:t>Legal Profession Act</w:t>
      </w:r>
      <w:r w:rsidR="00820FF5" w:rsidRPr="00820FF5">
        <w:rPr>
          <w:rFonts w:ascii="Times New Roman" w:hAnsi="Times New Roman" w:cs="Times New Roman"/>
          <w:sz w:val="28"/>
          <w:szCs w:val="28"/>
        </w:rPr>
        <w:t xml:space="preserve"> for an investigator to conduct an interview of any person in the course of an investigation of a complaint.</w:t>
      </w:r>
    </w:p>
    <w:p w14:paraId="6515DCBD" w14:textId="77777777" w:rsidR="00820FF5" w:rsidRDefault="00820FF5" w:rsidP="000D0D51">
      <w:pPr>
        <w:pStyle w:val="ListParagraph"/>
        <w:spacing w:after="0" w:line="240" w:lineRule="auto"/>
        <w:ind w:left="0"/>
        <w:jc w:val="both"/>
        <w:rPr>
          <w:rFonts w:ascii="Times New Roman" w:hAnsi="Times New Roman" w:cs="Times New Roman"/>
          <w:sz w:val="28"/>
          <w:szCs w:val="28"/>
        </w:rPr>
      </w:pPr>
    </w:p>
    <w:p w14:paraId="75D40B31" w14:textId="77777777" w:rsidR="00A03101" w:rsidRPr="00820FF5" w:rsidRDefault="00A03101" w:rsidP="000D0D51">
      <w:pPr>
        <w:pStyle w:val="ListParagraph"/>
        <w:spacing w:after="0" w:line="240" w:lineRule="auto"/>
        <w:ind w:left="0"/>
        <w:jc w:val="both"/>
        <w:rPr>
          <w:rFonts w:ascii="Times New Roman" w:hAnsi="Times New Roman" w:cs="Times New Roman"/>
          <w:sz w:val="28"/>
          <w:szCs w:val="28"/>
        </w:rPr>
      </w:pPr>
    </w:p>
    <w:p w14:paraId="12C224B7" w14:textId="71C45417" w:rsidR="00820FF5" w:rsidRPr="00820FF5" w:rsidRDefault="000D0D51" w:rsidP="000D0D51">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[84</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In my view, the Applicant has not shown any basis for his expectations that Ms. Simpson or Mr. Kinnear would be interviewed.</w:t>
      </w:r>
    </w:p>
    <w:p w14:paraId="3D074318" w14:textId="77777777" w:rsidR="00820FF5" w:rsidRPr="00820FF5" w:rsidRDefault="00820FF5" w:rsidP="000D0D51">
      <w:pPr>
        <w:pStyle w:val="ListParagraph"/>
        <w:spacing w:after="0" w:line="240" w:lineRule="auto"/>
        <w:ind w:left="0"/>
        <w:contextualSpacing w:val="0"/>
        <w:jc w:val="both"/>
        <w:rPr>
          <w:rFonts w:ascii="Times New Roman" w:hAnsi="Times New Roman" w:cs="Times New Roman"/>
          <w:sz w:val="28"/>
          <w:szCs w:val="28"/>
        </w:rPr>
      </w:pPr>
    </w:p>
    <w:p w14:paraId="5AA5B58D" w14:textId="5048F3AE" w:rsidR="00820FF5" w:rsidRPr="00820FF5" w:rsidRDefault="000D0D51" w:rsidP="0086002B">
      <w:pPr>
        <w:pStyle w:val="ListParagraph"/>
        <w:spacing w:after="24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[85</w:t>
      </w:r>
      <w:r w:rsidR="00820FF5" w:rsidRPr="00820FF5">
        <w:rPr>
          <w:rFonts w:ascii="Times New Roman" w:hAnsi="Times New Roman" w:cs="Times New Roman"/>
          <w:sz w:val="28"/>
          <w:szCs w:val="28"/>
        </w:rPr>
        <w:t>]</w:t>
      </w:r>
      <w:r w:rsidR="00820FF5" w:rsidRPr="00820FF5">
        <w:rPr>
          <w:rFonts w:ascii="Times New Roman" w:hAnsi="Times New Roman" w:cs="Times New Roman"/>
          <w:sz w:val="28"/>
          <w:szCs w:val="28"/>
        </w:rPr>
        <w:tab/>
        <w:t>In the result, the Certified Record clearly demonstrates that the Applicant was afforded all of the fairness that he could have reasonably expected or was entitled to under the law.</w:t>
      </w:r>
    </w:p>
    <w:p w14:paraId="110EF059" w14:textId="7389EBD0" w:rsidR="00820FF5" w:rsidRPr="00820FF5" w:rsidRDefault="000D0D51" w:rsidP="000D0D51">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[86</w:t>
      </w:r>
      <w:r w:rsidR="00820FF5" w:rsidRPr="00820FF5">
        <w:rPr>
          <w:rFonts w:ascii="Times New Roman" w:hAnsi="Times New Roman" w:cs="Times New Roman"/>
          <w:sz w:val="28"/>
          <w:szCs w:val="28"/>
        </w:rPr>
        <w:t xml:space="preserve">] </w:t>
      </w:r>
      <w:r w:rsidR="00820FF5" w:rsidRPr="00820FF5">
        <w:rPr>
          <w:rFonts w:ascii="Times New Roman" w:hAnsi="Times New Roman" w:cs="Times New Roman"/>
          <w:sz w:val="28"/>
          <w:szCs w:val="28"/>
        </w:rPr>
        <w:tab/>
        <w:t xml:space="preserve">For all of these reasons, the Application for judicial review is dismissed for having failed to demonstrate that the Applicant was not afforded procedural fairness in the investigation and dismissal of his complaints against Ms. Simpson and Mr. Kinnear. </w:t>
      </w:r>
    </w:p>
    <w:p w14:paraId="05273D42" w14:textId="77777777" w:rsidR="00820FF5" w:rsidRPr="00820FF5" w:rsidRDefault="00820FF5" w:rsidP="000D0D51">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ab/>
      </w:r>
    </w:p>
    <w:p w14:paraId="4D65C5EC" w14:textId="37C993FC" w:rsidR="00820FF5" w:rsidRPr="00820FF5" w:rsidRDefault="000D0D51" w:rsidP="000D0D51">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[87</w:t>
      </w:r>
      <w:r w:rsidR="00820FF5" w:rsidRPr="00820FF5">
        <w:rPr>
          <w:rFonts w:ascii="Times New Roman" w:hAnsi="Times New Roman" w:cs="Times New Roman"/>
          <w:sz w:val="28"/>
          <w:szCs w:val="28"/>
        </w:rPr>
        <w:t xml:space="preserve">] </w:t>
      </w:r>
      <w:r w:rsidR="00820FF5" w:rsidRPr="00820FF5">
        <w:rPr>
          <w:rFonts w:ascii="Times New Roman" w:hAnsi="Times New Roman" w:cs="Times New Roman"/>
          <w:sz w:val="28"/>
          <w:szCs w:val="28"/>
        </w:rPr>
        <w:tab/>
        <w:t xml:space="preserve">Parenthetically, what became clear during oral argument is that the Applicant’s chief complaints relate to the orders made in the family law proceeding, namely the order finding him to be a vexatious litigant. It was pointed out to him that he had a remedy: appeal the order.  The Applicant conceded that he did not appeal the order because he “didn’t have enough evidence” and he “did not want to waste [his] appeal opportunity”.  Notably, he agreed to using this proceeding in an attempt to gather evidence to launch his appeal to overturn the vexatious litigant finding.  For obvious reasons, the Applicant’s litigation strategy was ill conceived and improper.   </w:t>
      </w:r>
    </w:p>
    <w:p w14:paraId="5466CA5F" w14:textId="77777777" w:rsidR="00820FF5" w:rsidRPr="00820FF5" w:rsidRDefault="00820FF5" w:rsidP="000D0D51">
      <w:pPr>
        <w:pStyle w:val="ListParagraph"/>
        <w:spacing w:after="0" w:line="240" w:lineRule="auto"/>
        <w:ind w:left="0"/>
        <w:jc w:val="both"/>
        <w:rPr>
          <w:rFonts w:ascii="Times New Roman" w:hAnsi="Times New Roman" w:cs="Times New Roman"/>
          <w:sz w:val="28"/>
          <w:szCs w:val="28"/>
        </w:rPr>
      </w:pPr>
    </w:p>
    <w:p w14:paraId="066E7DF9" w14:textId="3AB54725" w:rsidR="00820FF5" w:rsidRPr="00820FF5" w:rsidRDefault="00820FF5" w:rsidP="000D0D51">
      <w:pPr>
        <w:pStyle w:val="ListParagraph"/>
        <w:spacing w:after="0" w:line="240" w:lineRule="auto"/>
        <w:ind w:left="0"/>
        <w:contextualSpacing w:val="0"/>
        <w:jc w:val="both"/>
        <w:rPr>
          <w:rFonts w:ascii="Times New Roman" w:hAnsi="Times New Roman" w:cs="Times New Roman"/>
          <w:sz w:val="28"/>
          <w:szCs w:val="28"/>
        </w:rPr>
      </w:pPr>
      <w:r w:rsidRPr="00820FF5">
        <w:rPr>
          <w:rFonts w:ascii="Times New Roman" w:hAnsi="Times New Roman" w:cs="Times New Roman"/>
          <w:sz w:val="28"/>
          <w:szCs w:val="28"/>
        </w:rPr>
        <w:t>[8</w:t>
      </w:r>
      <w:r w:rsidR="000D0D51">
        <w:rPr>
          <w:rFonts w:ascii="Times New Roman" w:hAnsi="Times New Roman" w:cs="Times New Roman"/>
          <w:sz w:val="28"/>
          <w:szCs w:val="28"/>
        </w:rPr>
        <w:t>8</w:t>
      </w:r>
      <w:r w:rsidRPr="00820FF5">
        <w:rPr>
          <w:rFonts w:ascii="Times New Roman" w:hAnsi="Times New Roman" w:cs="Times New Roman"/>
          <w:sz w:val="28"/>
          <w:szCs w:val="28"/>
        </w:rPr>
        <w:t xml:space="preserve">] </w:t>
      </w:r>
      <w:r w:rsidRPr="00820FF5">
        <w:rPr>
          <w:rFonts w:ascii="Times New Roman" w:hAnsi="Times New Roman" w:cs="Times New Roman"/>
          <w:sz w:val="28"/>
          <w:szCs w:val="28"/>
        </w:rPr>
        <w:tab/>
        <w:t>If the parties are unable to agree on costs, written submissions may be directed to my attention within 30 days.  Cost submissions shall be limited to no more than 10 pages, double spaced, 12-point font or larger, one side of the page.</w:t>
      </w:r>
      <w:r w:rsidRPr="00820FF5">
        <w:rPr>
          <w:rFonts w:ascii="Times New Roman" w:hAnsi="Times New Roman" w:cs="Times New Roman"/>
          <w:sz w:val="28"/>
          <w:szCs w:val="28"/>
        </w:rPr>
        <w:tab/>
      </w:r>
    </w:p>
    <w:p w14:paraId="4D328356" w14:textId="77777777" w:rsidR="00820FF5" w:rsidRDefault="00820FF5" w:rsidP="000D0D51">
      <w:pPr>
        <w:pStyle w:val="MainParagraph"/>
        <w:numPr>
          <w:ilvl w:val="0"/>
          <w:numId w:val="0"/>
        </w:numPr>
        <w:spacing w:after="0" w:line="240" w:lineRule="auto"/>
      </w:pPr>
    </w:p>
    <w:p w14:paraId="01003B88" w14:textId="77777777" w:rsidR="00E16C9E" w:rsidRDefault="00E16C9E" w:rsidP="0086002B">
      <w:pPr>
        <w:pStyle w:val="ListParagraph"/>
        <w:spacing w:after="240" w:line="240" w:lineRule="auto"/>
        <w:ind w:left="0"/>
        <w:contextualSpacing w:val="0"/>
        <w:jc w:val="both"/>
        <w:rPr>
          <w:rFonts w:ascii="Times New Roman" w:hAnsi="Times New Roman" w:cs="Times New Roman"/>
          <w:sz w:val="28"/>
          <w:szCs w:val="28"/>
        </w:rPr>
      </w:pPr>
    </w:p>
    <w:p w14:paraId="01C83891" w14:textId="77777777" w:rsidR="000D0D51" w:rsidRDefault="000D0D51" w:rsidP="0086002B">
      <w:pPr>
        <w:pStyle w:val="ListParagraph"/>
        <w:spacing w:after="240" w:line="240" w:lineRule="auto"/>
        <w:ind w:left="0"/>
        <w:contextualSpacing w:val="0"/>
        <w:jc w:val="both"/>
        <w:rPr>
          <w:rFonts w:ascii="Times New Roman" w:hAnsi="Times New Roman" w:cs="Times New Roman"/>
          <w:sz w:val="28"/>
          <w:szCs w:val="28"/>
        </w:rPr>
      </w:pPr>
    </w:p>
    <w:p w14:paraId="56B4E01F" w14:textId="4FEAABFA" w:rsidR="00B22232" w:rsidRPr="00B22232" w:rsidRDefault="00B22232" w:rsidP="0086002B">
      <w:pPr>
        <w:pStyle w:val="ListParagraph"/>
        <w:spacing w:line="240" w:lineRule="auto"/>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008C316F">
        <w:rPr>
          <w:rFonts w:ascii="Times New Roman" w:hAnsi="Times New Roman" w:cs="Times New Roman"/>
          <w:sz w:val="28"/>
          <w:szCs w:val="28"/>
        </w:rPr>
        <w:t>Justice B.W. Abrams</w:t>
      </w:r>
    </w:p>
    <w:p w14:paraId="7406EC3F" w14:textId="77777777" w:rsidR="00B22232" w:rsidRPr="00B22232" w:rsidRDefault="00B22232" w:rsidP="0086002B">
      <w:pPr>
        <w:pStyle w:val="ListParagraph"/>
        <w:spacing w:line="240" w:lineRule="auto"/>
        <w:ind w:left="0"/>
        <w:rPr>
          <w:rFonts w:ascii="Times New Roman" w:hAnsi="Times New Roman" w:cs="Times New Roman"/>
          <w:sz w:val="28"/>
          <w:szCs w:val="28"/>
        </w:rPr>
      </w:pP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sidRPr="00B2223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232">
        <w:rPr>
          <w:rFonts w:ascii="Times New Roman" w:hAnsi="Times New Roman" w:cs="Times New Roman"/>
          <w:sz w:val="28"/>
          <w:szCs w:val="28"/>
        </w:rPr>
        <w:t>J.S.C.</w:t>
      </w:r>
    </w:p>
    <w:p w14:paraId="48A21C74" w14:textId="77777777" w:rsidR="00B11A8F" w:rsidRDefault="00B11A8F" w:rsidP="0086002B">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Dated in Yellowknife, NT this </w:t>
      </w:r>
    </w:p>
    <w:p w14:paraId="0E2A79D1" w14:textId="48BBE3DF" w:rsidR="00B22232" w:rsidRDefault="00964ED0" w:rsidP="0086002B">
      <w:pPr>
        <w:pStyle w:val="ListParagraph"/>
        <w:spacing w:line="240" w:lineRule="auto"/>
        <w:ind w:left="0"/>
        <w:rPr>
          <w:rFonts w:ascii="Times New Roman" w:hAnsi="Times New Roman" w:cs="Times New Roman"/>
          <w:sz w:val="28"/>
          <w:szCs w:val="28"/>
        </w:rPr>
      </w:pPr>
      <w:r>
        <w:rPr>
          <w:rFonts w:ascii="Times New Roman" w:hAnsi="Times New Roman" w:cs="Times New Roman"/>
          <w:sz w:val="28"/>
          <w:szCs w:val="28"/>
        </w:rPr>
        <w:t>13</w:t>
      </w:r>
      <w:r w:rsidRPr="00964ED0">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B11A8F">
        <w:rPr>
          <w:rFonts w:ascii="Times New Roman" w:hAnsi="Times New Roman" w:cs="Times New Roman"/>
          <w:sz w:val="28"/>
          <w:szCs w:val="28"/>
        </w:rPr>
        <w:t xml:space="preserve">day of </w:t>
      </w:r>
      <w:r w:rsidR="007E638B">
        <w:rPr>
          <w:rFonts w:ascii="Times New Roman" w:hAnsi="Times New Roman" w:cs="Times New Roman"/>
          <w:sz w:val="28"/>
          <w:szCs w:val="28"/>
        </w:rPr>
        <w:t>July</w:t>
      </w:r>
      <w:r w:rsidR="008C316F">
        <w:rPr>
          <w:rFonts w:ascii="Times New Roman" w:hAnsi="Times New Roman" w:cs="Times New Roman"/>
          <w:sz w:val="28"/>
          <w:szCs w:val="28"/>
        </w:rPr>
        <w:t>,</w:t>
      </w:r>
      <w:r w:rsidR="007E638B">
        <w:rPr>
          <w:rFonts w:ascii="Times New Roman" w:hAnsi="Times New Roman" w:cs="Times New Roman"/>
          <w:sz w:val="28"/>
          <w:szCs w:val="28"/>
        </w:rPr>
        <w:t xml:space="preserve"> </w:t>
      </w:r>
      <w:r w:rsidR="008C316F">
        <w:rPr>
          <w:rFonts w:ascii="Times New Roman" w:hAnsi="Times New Roman" w:cs="Times New Roman"/>
          <w:sz w:val="28"/>
          <w:szCs w:val="28"/>
        </w:rPr>
        <w:t>2022</w:t>
      </w:r>
    </w:p>
    <w:p w14:paraId="0E8FFB14" w14:textId="77777777" w:rsidR="00B11A8F" w:rsidRPr="00B22232" w:rsidRDefault="00B11A8F" w:rsidP="0086002B">
      <w:pPr>
        <w:pStyle w:val="ListParagraph"/>
        <w:spacing w:line="240" w:lineRule="auto"/>
        <w:ind w:left="0"/>
        <w:rPr>
          <w:rFonts w:ascii="Times New Roman" w:hAnsi="Times New Roman" w:cs="Times New Roman"/>
          <w:sz w:val="28"/>
          <w:szCs w:val="28"/>
        </w:rPr>
      </w:pPr>
    </w:p>
    <w:p w14:paraId="449FF1ED" w14:textId="379DAE16" w:rsidR="00E074CE" w:rsidRDefault="00E074CE" w:rsidP="0086002B">
      <w:pPr>
        <w:pStyle w:val="ListParagraph"/>
        <w:spacing w:after="24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Counsel for the Applicant:</w:t>
      </w:r>
      <w:r w:rsidR="00675EB4">
        <w:rPr>
          <w:rFonts w:ascii="Times New Roman" w:hAnsi="Times New Roman" w:cs="Times New Roman"/>
          <w:sz w:val="28"/>
          <w:szCs w:val="28"/>
        </w:rPr>
        <w:tab/>
        <w:t>Self-Represented</w:t>
      </w:r>
    </w:p>
    <w:p w14:paraId="4710EBC3" w14:textId="11982025" w:rsidR="00B22232" w:rsidRPr="00B22232" w:rsidRDefault="00E074CE" w:rsidP="0086002B">
      <w:pPr>
        <w:pStyle w:val="ListParagraph"/>
        <w:spacing w:after="24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Counsel for the Respondent</w:t>
      </w:r>
      <w:r w:rsidR="00B22232">
        <w:rPr>
          <w:rFonts w:ascii="Times New Roman" w:hAnsi="Times New Roman" w:cs="Times New Roman"/>
          <w:sz w:val="28"/>
          <w:szCs w:val="28"/>
        </w:rPr>
        <w:t>:</w:t>
      </w:r>
      <w:r w:rsidR="00B22232">
        <w:rPr>
          <w:rFonts w:ascii="Times New Roman" w:hAnsi="Times New Roman" w:cs="Times New Roman"/>
          <w:sz w:val="28"/>
          <w:szCs w:val="28"/>
        </w:rPr>
        <w:tab/>
      </w:r>
      <w:r w:rsidR="00675EB4">
        <w:rPr>
          <w:rFonts w:ascii="Times New Roman" w:hAnsi="Times New Roman" w:cs="Times New Roman"/>
          <w:sz w:val="28"/>
          <w:szCs w:val="28"/>
        </w:rPr>
        <w:t>Craig D. Boyer</w:t>
      </w:r>
      <w:r w:rsidR="00B22232">
        <w:rPr>
          <w:rFonts w:ascii="Times New Roman" w:hAnsi="Times New Roman" w:cs="Times New Roman"/>
          <w:sz w:val="28"/>
          <w:szCs w:val="28"/>
        </w:rPr>
        <w:tab/>
      </w:r>
    </w:p>
    <w:p w14:paraId="6F31696F" w14:textId="77777777" w:rsidR="00943943" w:rsidRDefault="00943943" w:rsidP="0086002B">
      <w:pPr>
        <w:spacing w:after="0" w:line="240" w:lineRule="auto"/>
        <w:jc w:val="both"/>
        <w:rPr>
          <w:rFonts w:ascii="Times New Roman" w:hAnsi="Times New Roman" w:cs="Times New Roman"/>
          <w:sz w:val="28"/>
          <w:szCs w:val="28"/>
        </w:rPr>
      </w:pPr>
    </w:p>
    <w:p w14:paraId="55A6C01C" w14:textId="77777777" w:rsidR="00943943" w:rsidRDefault="00943943" w:rsidP="0086002B">
      <w:pPr>
        <w:spacing w:after="0" w:line="240" w:lineRule="auto"/>
        <w:jc w:val="both"/>
        <w:rPr>
          <w:rFonts w:ascii="Times New Roman" w:hAnsi="Times New Roman" w:cs="Times New Roman"/>
          <w:sz w:val="28"/>
          <w:szCs w:val="28"/>
        </w:rPr>
      </w:pPr>
    </w:p>
    <w:p w14:paraId="1293EDB3" w14:textId="77777777" w:rsidR="001F5970" w:rsidRPr="00943943" w:rsidRDefault="00533F06" w:rsidP="0086002B">
      <w:pPr>
        <w:spacing w:after="0" w:line="240" w:lineRule="auto"/>
        <w:jc w:val="both"/>
        <w:rPr>
          <w:rFonts w:ascii="Times New Roman" w:hAnsi="Times New Roman" w:cs="Times New Roman"/>
          <w:sz w:val="28"/>
          <w:szCs w:val="28"/>
        </w:rPr>
        <w:sectPr w:rsidR="001F5970" w:rsidRPr="00943943" w:rsidSect="00A03101">
          <w:headerReference w:type="default" r:id="rId8"/>
          <w:headerReference w:type="first" r:id="rId9"/>
          <w:type w:val="continuous"/>
          <w:pgSz w:w="12240" w:h="15840"/>
          <w:pgMar w:top="1350" w:right="1440" w:bottom="567" w:left="1440" w:header="720" w:footer="720" w:gutter="0"/>
          <w:cols w:space="720"/>
          <w:titlePg/>
          <w:docGrid w:linePitch="360"/>
        </w:sectPr>
      </w:pPr>
      <w:r w:rsidRPr="00943943">
        <w:rPr>
          <w:rFonts w:ascii="Times New Roman" w:hAnsi="Times New Roman" w:cs="Times New Roman"/>
          <w:sz w:val="28"/>
          <w:szCs w:val="28"/>
        </w:rPr>
        <w:br/>
      </w:r>
    </w:p>
    <w:p w14:paraId="50129550" w14:textId="77777777" w:rsidR="001F5970" w:rsidRDefault="001F5970" w:rsidP="0086002B">
      <w:pPr>
        <w:spacing w:after="0" w:line="240" w:lineRule="auto"/>
        <w:jc w:val="both"/>
        <w:rPr>
          <w:rFonts w:ascii="Times New Roman" w:hAnsi="Times New Roman" w:cs="Times New Roman"/>
          <w:sz w:val="28"/>
          <w:szCs w:val="28"/>
        </w:rPr>
        <w:sectPr w:rsidR="001F5970" w:rsidSect="001F5970">
          <w:pgSz w:w="12240" w:h="15840"/>
          <w:pgMar w:top="1440" w:right="1440" w:bottom="1440" w:left="1440" w:header="720" w:footer="720" w:gutter="0"/>
          <w:cols w:space="720"/>
          <w:titlePg/>
          <w:docGrid w:linePitch="360"/>
        </w:sectPr>
      </w:pPr>
    </w:p>
    <w:p w14:paraId="73F6FB1F" w14:textId="77777777" w:rsidR="008123F0" w:rsidRPr="001F5970" w:rsidRDefault="008C09DB" w:rsidP="0086002B">
      <w:pPr>
        <w:tabs>
          <w:tab w:val="right" w:pos="4230"/>
        </w:tabs>
        <w:spacing w:after="0" w:line="240" w:lineRule="auto"/>
        <w:ind w:right="-432"/>
        <w:jc w:val="both"/>
        <w:rPr>
          <w:rFonts w:ascii="Times New Roman" w:hAnsi="Times New Roman" w:cs="Times New Roman"/>
          <w:sz w:val="28"/>
          <w:szCs w:val="28"/>
          <w:u w:val="single"/>
        </w:rPr>
      </w:pPr>
      <w:r w:rsidRPr="001F5970">
        <w:rPr>
          <w:rFonts w:ascii="Times New Roman" w:hAnsi="Times New Roman" w:cs="Times New Roman"/>
          <w:sz w:val="28"/>
          <w:szCs w:val="28"/>
          <w:u w:val="single"/>
        </w:rPr>
        <w:br w:type="column"/>
      </w:r>
    </w:p>
    <w:tbl>
      <w:tblPr>
        <w:tblStyle w:val="TableGrid"/>
        <w:tblpPr w:leftFromText="180" w:rightFromText="180" w:vertAnchor="page" w:horzAnchor="page" w:tblpX="5206" w:tblpY="1966"/>
        <w:tblW w:w="6480" w:type="dxa"/>
        <w:tblBorders>
          <w:top w:val="none" w:sz="0" w:space="0" w:color="auto"/>
          <w:left w:val="none" w:sz="0" w:space="0" w:color="auto"/>
          <w:right w:val="none" w:sz="0" w:space="0" w:color="auto"/>
        </w:tblBorders>
        <w:tblLook w:val="04A0" w:firstRow="1" w:lastRow="0" w:firstColumn="1" w:lastColumn="0" w:noHBand="0" w:noVBand="1"/>
      </w:tblPr>
      <w:tblGrid>
        <w:gridCol w:w="6480"/>
      </w:tblGrid>
      <w:tr w:rsidR="008123F0" w:rsidRPr="0032647A" w14:paraId="40E5E3B4" w14:textId="77777777" w:rsidTr="00E16C9E">
        <w:tc>
          <w:tcPr>
            <w:tcW w:w="6480" w:type="dxa"/>
          </w:tcPr>
          <w:p w14:paraId="650CC507" w14:textId="7752395E" w:rsidR="008123F0" w:rsidRDefault="0043285A" w:rsidP="0086002B">
            <w:pPr>
              <w:jc w:val="right"/>
              <w:rPr>
                <w:rFonts w:ascii="Times New Roman" w:hAnsi="Times New Roman" w:cs="Times New Roman"/>
                <w:sz w:val="28"/>
                <w:szCs w:val="28"/>
              </w:rPr>
            </w:pPr>
            <w:r>
              <w:rPr>
                <w:rFonts w:ascii="Times New Roman" w:hAnsi="Times New Roman" w:cs="Times New Roman"/>
                <w:sz w:val="28"/>
                <w:szCs w:val="28"/>
              </w:rPr>
              <w:t>S-1-CV-2021-000251</w:t>
            </w:r>
          </w:p>
          <w:p w14:paraId="35EF859F" w14:textId="77777777" w:rsidR="008123F0" w:rsidRPr="0032647A" w:rsidRDefault="008123F0" w:rsidP="0086002B">
            <w:pPr>
              <w:jc w:val="right"/>
              <w:rPr>
                <w:rFonts w:ascii="Times New Roman" w:hAnsi="Times New Roman" w:cs="Times New Roman"/>
                <w:sz w:val="28"/>
                <w:szCs w:val="28"/>
              </w:rPr>
            </w:pPr>
          </w:p>
        </w:tc>
      </w:tr>
      <w:tr w:rsidR="008123F0" w:rsidRPr="0032647A" w14:paraId="7885EE29" w14:textId="77777777" w:rsidTr="00E16C9E">
        <w:tc>
          <w:tcPr>
            <w:tcW w:w="6480" w:type="dxa"/>
          </w:tcPr>
          <w:p w14:paraId="4E5D3A0B" w14:textId="77777777" w:rsidR="008123F0" w:rsidRPr="0032647A" w:rsidRDefault="008123F0" w:rsidP="0086002B">
            <w:pPr>
              <w:tabs>
                <w:tab w:val="center" w:pos="2784"/>
              </w:tabs>
              <w:jc w:val="center"/>
              <w:rPr>
                <w:rFonts w:ascii="Times New Roman" w:hAnsi="Times New Roman" w:cs="Times New Roman"/>
                <w:b/>
                <w:bCs/>
                <w:sz w:val="28"/>
                <w:szCs w:val="28"/>
                <w:lang w:val="en-GB"/>
              </w:rPr>
            </w:pPr>
          </w:p>
          <w:p w14:paraId="6988A70A" w14:textId="77777777" w:rsidR="008123F0" w:rsidRPr="0032647A" w:rsidRDefault="008123F0" w:rsidP="0086002B">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14:paraId="3A7D0BD1" w14:textId="77777777" w:rsidR="008123F0" w:rsidRPr="0032647A" w:rsidRDefault="008123F0" w:rsidP="0086002B">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14:paraId="6A3B1AF4" w14:textId="77777777" w:rsidR="008123F0" w:rsidRPr="0032647A" w:rsidRDefault="008123F0" w:rsidP="0086002B">
            <w:pPr>
              <w:pStyle w:val="NoSpacing"/>
              <w:rPr>
                <w:rFonts w:ascii="Times New Roman" w:hAnsi="Times New Roman" w:cs="Times New Roman"/>
                <w:sz w:val="28"/>
                <w:szCs w:val="28"/>
                <w:lang w:val="en-GB"/>
              </w:rPr>
            </w:pPr>
          </w:p>
        </w:tc>
      </w:tr>
      <w:tr w:rsidR="008123F0" w:rsidRPr="0032647A" w14:paraId="240824FC" w14:textId="77777777" w:rsidTr="00E16C9E">
        <w:tc>
          <w:tcPr>
            <w:tcW w:w="6480" w:type="dxa"/>
          </w:tcPr>
          <w:p w14:paraId="450E8DD6" w14:textId="77777777" w:rsidR="008123F0" w:rsidRPr="0032647A" w:rsidRDefault="008123F0" w:rsidP="0086002B">
            <w:pPr>
              <w:rPr>
                <w:rFonts w:ascii="Times New Roman" w:hAnsi="Times New Roman" w:cs="Times New Roman"/>
                <w:sz w:val="28"/>
                <w:szCs w:val="28"/>
              </w:rPr>
            </w:pPr>
          </w:p>
          <w:p w14:paraId="5A6416CB" w14:textId="77777777" w:rsidR="00B22232" w:rsidRPr="009234B8" w:rsidRDefault="00B22232" w:rsidP="0086002B">
            <w:pPr>
              <w:pStyle w:val="ListParagraph"/>
              <w:ind w:left="0"/>
              <w:contextualSpacing w:val="0"/>
              <w:rPr>
                <w:rFonts w:ascii="Times New Roman" w:hAnsi="Times New Roman" w:cs="Times New Roman"/>
                <w:sz w:val="28"/>
                <w:szCs w:val="28"/>
              </w:rPr>
            </w:pPr>
          </w:p>
          <w:p w14:paraId="4CCB5199" w14:textId="77777777" w:rsidR="00B22232" w:rsidRDefault="00B22232" w:rsidP="0086002B">
            <w:pPr>
              <w:rPr>
                <w:rFonts w:ascii="Times New Roman" w:hAnsi="Times New Roman" w:cs="Times New Roman"/>
                <w:sz w:val="28"/>
                <w:szCs w:val="28"/>
              </w:rPr>
            </w:pPr>
            <w:r>
              <w:rPr>
                <w:rFonts w:ascii="Times New Roman" w:hAnsi="Times New Roman" w:cs="Times New Roman"/>
                <w:sz w:val="28"/>
                <w:szCs w:val="28"/>
              </w:rPr>
              <w:t>BETWEEN:</w:t>
            </w:r>
          </w:p>
          <w:p w14:paraId="2F062AFB" w14:textId="77777777" w:rsidR="00B22232" w:rsidRDefault="00B22232" w:rsidP="0086002B">
            <w:pPr>
              <w:rPr>
                <w:rFonts w:ascii="Times New Roman" w:hAnsi="Times New Roman" w:cs="Times New Roman"/>
                <w:sz w:val="28"/>
                <w:szCs w:val="28"/>
              </w:rPr>
            </w:pPr>
          </w:p>
          <w:p w14:paraId="1AABB534" w14:textId="59600233" w:rsidR="00E074CE" w:rsidRDefault="005155E1" w:rsidP="0086002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ADAM MCKINNON</w:t>
            </w:r>
          </w:p>
          <w:p w14:paraId="0CAF1EF0" w14:textId="77777777" w:rsidR="00243384" w:rsidRPr="00506689" w:rsidRDefault="00243384" w:rsidP="0086002B">
            <w:pPr>
              <w:jc w:val="center"/>
              <w:rPr>
                <w:rFonts w:ascii="Times New Roman" w:hAnsi="Times New Roman" w:cs="Times New Roman"/>
                <w:color w:val="000000" w:themeColor="text1"/>
                <w:sz w:val="28"/>
                <w:szCs w:val="28"/>
              </w:rPr>
            </w:pPr>
          </w:p>
          <w:p w14:paraId="48535372" w14:textId="77777777" w:rsidR="00E074CE" w:rsidRPr="00506689" w:rsidRDefault="00E074CE" w:rsidP="0086002B">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Applicant</w:t>
            </w:r>
          </w:p>
          <w:p w14:paraId="3FB52829" w14:textId="77777777" w:rsidR="00E074CE" w:rsidRPr="00506689" w:rsidRDefault="00E074CE" w:rsidP="0086002B">
            <w:pPr>
              <w:jc w:val="center"/>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-and-</w:t>
            </w:r>
          </w:p>
          <w:p w14:paraId="23D28E61" w14:textId="77777777" w:rsidR="00E074CE" w:rsidRDefault="00E074CE" w:rsidP="0086002B">
            <w:pPr>
              <w:jc w:val="center"/>
              <w:rPr>
                <w:rFonts w:ascii="Times New Roman" w:hAnsi="Times New Roman" w:cs="Times New Roman"/>
                <w:color w:val="000000" w:themeColor="text1"/>
                <w:sz w:val="28"/>
                <w:szCs w:val="28"/>
              </w:rPr>
            </w:pPr>
          </w:p>
          <w:p w14:paraId="3542849A" w14:textId="77777777" w:rsidR="00243384" w:rsidRDefault="00243384" w:rsidP="0086002B">
            <w:pPr>
              <w:jc w:val="center"/>
              <w:rPr>
                <w:rFonts w:ascii="Times New Roman" w:hAnsi="Times New Roman" w:cs="Times New Roman"/>
                <w:color w:val="000000" w:themeColor="text1"/>
                <w:sz w:val="28"/>
                <w:szCs w:val="28"/>
              </w:rPr>
            </w:pPr>
          </w:p>
          <w:p w14:paraId="5FACDEC7" w14:textId="1C36772C" w:rsidR="00E074CE" w:rsidRDefault="005155E1" w:rsidP="0086002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LAW SOCIETY OF THE NORTHWEST TERRITORIES</w:t>
            </w:r>
          </w:p>
          <w:p w14:paraId="05EB5356" w14:textId="77777777" w:rsidR="00E074CE" w:rsidRPr="00506689" w:rsidRDefault="00E074CE" w:rsidP="0086002B">
            <w:pPr>
              <w:ind w:left="720" w:firstLine="7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Respondent</w:t>
            </w:r>
          </w:p>
          <w:p w14:paraId="2FE8B1F5" w14:textId="77777777" w:rsidR="008123F0" w:rsidRPr="0032647A" w:rsidRDefault="008123F0" w:rsidP="0086002B">
            <w:pPr>
              <w:tabs>
                <w:tab w:val="left" w:pos="720"/>
                <w:tab w:val="left" w:pos="1452"/>
                <w:tab w:val="left" w:pos="2392"/>
              </w:tabs>
              <w:jc w:val="center"/>
              <w:rPr>
                <w:rFonts w:ascii="Times New Roman" w:hAnsi="Times New Roman" w:cs="Times New Roman"/>
                <w:sz w:val="28"/>
                <w:szCs w:val="28"/>
                <w:lang w:val="en-GB"/>
              </w:rPr>
            </w:pPr>
          </w:p>
          <w:p w14:paraId="0CFFC1D3" w14:textId="77777777" w:rsidR="008123F0" w:rsidRPr="0032647A" w:rsidRDefault="008123F0" w:rsidP="0086002B">
            <w:pPr>
              <w:tabs>
                <w:tab w:val="left" w:pos="720"/>
                <w:tab w:val="left" w:pos="1452"/>
                <w:tab w:val="left" w:pos="2392"/>
              </w:tabs>
              <w:jc w:val="center"/>
              <w:rPr>
                <w:rFonts w:ascii="Times New Roman" w:hAnsi="Times New Roman" w:cs="Times New Roman"/>
                <w:sz w:val="28"/>
                <w:szCs w:val="28"/>
                <w:lang w:val="en-GB"/>
              </w:rPr>
            </w:pPr>
          </w:p>
          <w:p w14:paraId="4ABB6982" w14:textId="77777777" w:rsidR="008123F0" w:rsidRPr="0032647A" w:rsidRDefault="008123F0" w:rsidP="0086002B">
            <w:pPr>
              <w:tabs>
                <w:tab w:val="left" w:pos="720"/>
                <w:tab w:val="left" w:pos="1452"/>
                <w:tab w:val="left" w:pos="2392"/>
              </w:tabs>
              <w:jc w:val="center"/>
              <w:rPr>
                <w:rFonts w:ascii="Times New Roman" w:hAnsi="Times New Roman" w:cs="Times New Roman"/>
                <w:sz w:val="28"/>
                <w:szCs w:val="28"/>
                <w:lang w:val="en-GB"/>
              </w:rPr>
            </w:pPr>
          </w:p>
          <w:p w14:paraId="12CB805D" w14:textId="77777777" w:rsidR="008123F0" w:rsidRPr="0032647A" w:rsidRDefault="008123F0" w:rsidP="0086002B">
            <w:pPr>
              <w:rPr>
                <w:rFonts w:ascii="Times New Roman" w:hAnsi="Times New Roman" w:cs="Times New Roman"/>
                <w:sz w:val="28"/>
                <w:szCs w:val="28"/>
              </w:rPr>
            </w:pPr>
          </w:p>
        </w:tc>
      </w:tr>
      <w:tr w:rsidR="008123F0" w:rsidRPr="0032647A" w14:paraId="2E83D0E2" w14:textId="77777777" w:rsidTr="00E16C9E">
        <w:tc>
          <w:tcPr>
            <w:tcW w:w="6480" w:type="dxa"/>
          </w:tcPr>
          <w:p w14:paraId="677FB009" w14:textId="77777777" w:rsidR="008123F0" w:rsidRPr="0032647A" w:rsidRDefault="008123F0" w:rsidP="0086002B">
            <w:pPr>
              <w:tabs>
                <w:tab w:val="left" w:pos="720"/>
                <w:tab w:val="left" w:pos="1452"/>
                <w:tab w:val="left" w:pos="2392"/>
              </w:tabs>
              <w:jc w:val="center"/>
              <w:rPr>
                <w:rFonts w:ascii="Times New Roman" w:hAnsi="Times New Roman" w:cs="Times New Roman"/>
                <w:sz w:val="28"/>
                <w:szCs w:val="28"/>
                <w:lang w:val="en-GB"/>
              </w:rPr>
            </w:pPr>
          </w:p>
          <w:p w14:paraId="289136F7" w14:textId="029E6E47" w:rsidR="008123F0" w:rsidRPr="0032647A" w:rsidRDefault="00243384" w:rsidP="0086002B">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RULING ON APPLICATION FOR JUDICIAL REVIEW</w:t>
            </w:r>
            <w:r w:rsidR="008123F0" w:rsidRPr="0032647A">
              <w:rPr>
                <w:rFonts w:ascii="Times New Roman" w:hAnsi="Times New Roman" w:cs="Times New Roman"/>
                <w:sz w:val="28"/>
                <w:szCs w:val="28"/>
                <w:lang w:val="en-GB"/>
              </w:rPr>
              <w:t xml:space="preserve"> OF</w:t>
            </w:r>
          </w:p>
          <w:p w14:paraId="65F67892" w14:textId="765957CC" w:rsidR="008123F0" w:rsidRPr="0032647A" w:rsidRDefault="008123F0" w:rsidP="0086002B">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THE HONOURABLE JUSTICE</w:t>
            </w:r>
            <w:r w:rsidR="005155E1">
              <w:rPr>
                <w:rFonts w:ascii="Times New Roman" w:hAnsi="Times New Roman" w:cs="Times New Roman"/>
                <w:sz w:val="28"/>
                <w:szCs w:val="28"/>
                <w:lang w:val="en-GB"/>
              </w:rPr>
              <w:t xml:space="preserve"> </w:t>
            </w:r>
            <w:r w:rsidR="00243384">
              <w:rPr>
                <w:rFonts w:ascii="Times New Roman" w:hAnsi="Times New Roman" w:cs="Times New Roman"/>
                <w:sz w:val="28"/>
                <w:szCs w:val="28"/>
                <w:lang w:val="en-GB"/>
              </w:rPr>
              <w:t xml:space="preserve"> B.</w:t>
            </w:r>
            <w:r w:rsidR="009C4183">
              <w:rPr>
                <w:rFonts w:ascii="Times New Roman" w:hAnsi="Times New Roman" w:cs="Times New Roman"/>
                <w:sz w:val="28"/>
                <w:szCs w:val="28"/>
                <w:lang w:val="en-GB"/>
              </w:rPr>
              <w:t xml:space="preserve">W. </w:t>
            </w:r>
            <w:r w:rsidR="005155E1">
              <w:rPr>
                <w:rFonts w:ascii="Times New Roman" w:hAnsi="Times New Roman" w:cs="Times New Roman"/>
                <w:sz w:val="28"/>
                <w:szCs w:val="28"/>
                <w:lang w:val="en-GB"/>
              </w:rPr>
              <w:t>ABRAMS</w:t>
            </w:r>
          </w:p>
          <w:p w14:paraId="3B7C66E2" w14:textId="77777777" w:rsidR="008123F0" w:rsidRPr="0032647A" w:rsidRDefault="008123F0" w:rsidP="0086002B">
            <w:pPr>
              <w:tabs>
                <w:tab w:val="left" w:pos="720"/>
                <w:tab w:val="left" w:pos="1452"/>
                <w:tab w:val="left" w:pos="2392"/>
              </w:tabs>
              <w:jc w:val="center"/>
              <w:rPr>
                <w:rFonts w:ascii="Times New Roman" w:hAnsi="Times New Roman" w:cs="Times New Roman"/>
                <w:sz w:val="28"/>
                <w:szCs w:val="28"/>
                <w:lang w:val="en-GB"/>
              </w:rPr>
            </w:pPr>
          </w:p>
        </w:tc>
      </w:tr>
    </w:tbl>
    <w:p w14:paraId="11F12D58" w14:textId="77777777" w:rsidR="000812FA" w:rsidRDefault="000812FA" w:rsidP="0086002B">
      <w:pPr>
        <w:pStyle w:val="ListParagraph"/>
        <w:tabs>
          <w:tab w:val="right" w:pos="4230"/>
        </w:tabs>
        <w:spacing w:after="0" w:line="240" w:lineRule="auto"/>
        <w:ind w:left="0" w:right="-432"/>
        <w:rPr>
          <w:rFonts w:ascii="Times New Roman" w:hAnsi="Times New Roman" w:cs="Times New Roman"/>
          <w:sz w:val="28"/>
          <w:szCs w:val="28"/>
        </w:rPr>
      </w:pPr>
    </w:p>
    <w:sectPr w:rsidR="000812FA" w:rsidSect="000812FA">
      <w:headerReference w:type="default" r:id="rId10"/>
      <w:headerReference w:type="first" r:id="rId11"/>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C971D" w14:textId="77777777" w:rsidR="00127C5D" w:rsidRDefault="00127C5D" w:rsidP="005B5B19">
      <w:pPr>
        <w:spacing w:after="0" w:line="240" w:lineRule="auto"/>
      </w:pPr>
      <w:r>
        <w:separator/>
      </w:r>
    </w:p>
  </w:endnote>
  <w:endnote w:type="continuationSeparator" w:id="0">
    <w:p w14:paraId="4FF35636" w14:textId="77777777" w:rsidR="00127C5D" w:rsidRDefault="00127C5D"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54822" w14:textId="77777777" w:rsidR="00127C5D" w:rsidRDefault="00127C5D" w:rsidP="005B5B19">
      <w:pPr>
        <w:spacing w:after="0" w:line="240" w:lineRule="auto"/>
      </w:pPr>
      <w:r>
        <w:separator/>
      </w:r>
    </w:p>
  </w:footnote>
  <w:footnote w:type="continuationSeparator" w:id="0">
    <w:p w14:paraId="34E7B37A" w14:textId="77777777" w:rsidR="00127C5D" w:rsidRDefault="00127C5D" w:rsidP="005B5B19">
      <w:pPr>
        <w:spacing w:after="0" w:line="240" w:lineRule="auto"/>
      </w:pPr>
      <w:r>
        <w:continuationSeparator/>
      </w:r>
    </w:p>
  </w:footnote>
  <w:footnote w:id="1">
    <w:p w14:paraId="25E56491" w14:textId="77777777" w:rsidR="00820FF5" w:rsidRPr="00A023F0" w:rsidRDefault="00820FF5" w:rsidP="00820FF5">
      <w:pPr>
        <w:pStyle w:val="FootnoteText"/>
        <w:rPr>
          <w:lang w:val="en-US"/>
        </w:rPr>
      </w:pPr>
      <w:r w:rsidRPr="00A023F0">
        <w:rPr>
          <w:rStyle w:val="FootnoteReference"/>
        </w:rPr>
        <w:footnoteRef/>
      </w:r>
      <w:r w:rsidRPr="00A023F0">
        <w:t xml:space="preserve"> Certified Record, page B1</w:t>
      </w:r>
    </w:p>
  </w:footnote>
  <w:footnote w:id="2">
    <w:p w14:paraId="6C4FDED9" w14:textId="77777777" w:rsidR="00820FF5" w:rsidRPr="00A023F0" w:rsidRDefault="00820FF5" w:rsidP="00820FF5">
      <w:pPr>
        <w:pStyle w:val="FootnoteText"/>
        <w:rPr>
          <w:lang w:val="en-US"/>
        </w:rPr>
      </w:pPr>
      <w:r w:rsidRPr="00A023F0">
        <w:rPr>
          <w:rStyle w:val="FootnoteReference"/>
        </w:rPr>
        <w:footnoteRef/>
      </w:r>
      <w:r w:rsidRPr="00A023F0">
        <w:t xml:space="preserve"> Certified Record, page B3</w:t>
      </w:r>
    </w:p>
  </w:footnote>
  <w:footnote w:id="3">
    <w:p w14:paraId="4F25124F" w14:textId="77777777" w:rsidR="00820FF5" w:rsidRPr="00A023F0" w:rsidRDefault="00820FF5" w:rsidP="00820FF5">
      <w:pPr>
        <w:pStyle w:val="FootnoteText"/>
        <w:rPr>
          <w:lang w:val="en-US"/>
        </w:rPr>
      </w:pPr>
      <w:r w:rsidRPr="00A023F0">
        <w:rPr>
          <w:rStyle w:val="FootnoteReference"/>
        </w:rPr>
        <w:footnoteRef/>
      </w:r>
      <w:r w:rsidRPr="00A023F0">
        <w:rPr>
          <w:b/>
          <w:bCs/>
        </w:rPr>
        <w:t xml:space="preserve"> </w:t>
      </w:r>
      <w:r w:rsidRPr="00A023F0">
        <w:t>Certified Record, pages A5, A9</w:t>
      </w:r>
    </w:p>
  </w:footnote>
  <w:footnote w:id="4">
    <w:p w14:paraId="5C3C34B1" w14:textId="77777777" w:rsidR="00820FF5" w:rsidRPr="00BD4E36" w:rsidRDefault="00820FF5" w:rsidP="00820FF5">
      <w:pPr>
        <w:pStyle w:val="FootnoteText"/>
        <w:rPr>
          <w:lang w:val="en-US"/>
        </w:rPr>
      </w:pPr>
      <w:r w:rsidRPr="00A023F0">
        <w:rPr>
          <w:rStyle w:val="FootnoteReference"/>
        </w:rPr>
        <w:footnoteRef/>
      </w:r>
      <w:r w:rsidRPr="00A023F0">
        <w:t xml:space="preserve"> Certified Record, page A9</w:t>
      </w:r>
    </w:p>
  </w:footnote>
  <w:footnote w:id="5">
    <w:p w14:paraId="0CBE5BE5" w14:textId="77777777" w:rsidR="00820FF5" w:rsidRPr="00136D7E" w:rsidRDefault="00820FF5" w:rsidP="00820FF5">
      <w:pPr>
        <w:pStyle w:val="FootnoteText"/>
        <w:rPr>
          <w:lang w:val="en-US"/>
        </w:rPr>
      </w:pPr>
      <w:r w:rsidRPr="00136D7E">
        <w:rPr>
          <w:rStyle w:val="FootnoteReference"/>
        </w:rPr>
        <w:footnoteRef/>
      </w:r>
      <w:r w:rsidRPr="00136D7E">
        <w:t xml:space="preserve"> Certified Record, page A9</w:t>
      </w:r>
    </w:p>
  </w:footnote>
  <w:footnote w:id="6">
    <w:p w14:paraId="7DD821C0" w14:textId="77777777" w:rsidR="00820FF5" w:rsidRPr="00136D7E" w:rsidRDefault="00820FF5" w:rsidP="00820FF5">
      <w:pPr>
        <w:pStyle w:val="FootnoteText"/>
        <w:rPr>
          <w:lang w:val="en-US"/>
        </w:rPr>
      </w:pPr>
      <w:r w:rsidRPr="00136D7E">
        <w:rPr>
          <w:rStyle w:val="FootnoteReference"/>
        </w:rPr>
        <w:footnoteRef/>
      </w:r>
      <w:r w:rsidRPr="00136D7E">
        <w:t xml:space="preserve"> Certified Record, page A9</w:t>
      </w:r>
    </w:p>
  </w:footnote>
  <w:footnote w:id="7">
    <w:p w14:paraId="6793C07A" w14:textId="77777777" w:rsidR="00820FF5" w:rsidRPr="00136D7E" w:rsidRDefault="00820FF5" w:rsidP="00820FF5">
      <w:pPr>
        <w:pStyle w:val="ListParagraph"/>
        <w:tabs>
          <w:tab w:val="left" w:pos="1134"/>
        </w:tabs>
        <w:ind w:left="0"/>
        <w:jc w:val="both"/>
        <w:rPr>
          <w:sz w:val="20"/>
          <w:szCs w:val="20"/>
        </w:rPr>
      </w:pPr>
      <w:r w:rsidRPr="00136D7E">
        <w:rPr>
          <w:rStyle w:val="FootnoteReference"/>
          <w:sz w:val="20"/>
          <w:szCs w:val="20"/>
        </w:rPr>
        <w:footnoteRef/>
      </w:r>
      <w:r w:rsidRPr="00136D7E">
        <w:rPr>
          <w:sz w:val="20"/>
          <w:szCs w:val="20"/>
        </w:rPr>
        <w:t xml:space="preserve"> Certified Record, page A9</w:t>
      </w:r>
    </w:p>
  </w:footnote>
  <w:footnote w:id="8">
    <w:p w14:paraId="2A4C00BB" w14:textId="77777777" w:rsidR="00820FF5" w:rsidRPr="00136D7E" w:rsidRDefault="00820FF5" w:rsidP="00820FF5">
      <w:pPr>
        <w:pStyle w:val="FootnoteText"/>
        <w:rPr>
          <w:lang w:val="en-US"/>
        </w:rPr>
      </w:pPr>
      <w:r w:rsidRPr="00136D7E">
        <w:rPr>
          <w:rStyle w:val="FootnoteReference"/>
        </w:rPr>
        <w:footnoteRef/>
      </w:r>
      <w:r w:rsidRPr="00136D7E">
        <w:t xml:space="preserve"> Certified Record, page B517</w:t>
      </w:r>
    </w:p>
  </w:footnote>
  <w:footnote w:id="9">
    <w:p w14:paraId="40C4DBCD" w14:textId="77777777" w:rsidR="00820FF5" w:rsidRPr="00136D7E" w:rsidRDefault="00820FF5" w:rsidP="00820FF5">
      <w:pPr>
        <w:pStyle w:val="FootnoteText"/>
        <w:rPr>
          <w:lang w:val="en-US"/>
        </w:rPr>
      </w:pPr>
      <w:r w:rsidRPr="00136D7E">
        <w:rPr>
          <w:rStyle w:val="FootnoteReference"/>
        </w:rPr>
        <w:footnoteRef/>
      </w:r>
      <w:r w:rsidRPr="00136D7E">
        <w:t xml:space="preserve"> Certified Record, page A9</w:t>
      </w:r>
    </w:p>
  </w:footnote>
  <w:footnote w:id="10">
    <w:p w14:paraId="5B312774" w14:textId="77777777" w:rsidR="00820FF5" w:rsidRPr="00136D7E" w:rsidRDefault="00820FF5" w:rsidP="00820FF5">
      <w:pPr>
        <w:pStyle w:val="FootnoteText"/>
        <w:rPr>
          <w:lang w:val="en-US"/>
        </w:rPr>
      </w:pPr>
      <w:r w:rsidRPr="00136D7E">
        <w:rPr>
          <w:rStyle w:val="FootnoteReference"/>
        </w:rPr>
        <w:footnoteRef/>
      </w:r>
      <w:r w:rsidRPr="00136D7E">
        <w:t xml:space="preserve"> Certified Record, page A9</w:t>
      </w:r>
    </w:p>
  </w:footnote>
  <w:footnote w:id="11">
    <w:p w14:paraId="07C38122" w14:textId="77777777" w:rsidR="00820FF5" w:rsidRPr="00136D7E" w:rsidRDefault="00820FF5" w:rsidP="00820FF5">
      <w:pPr>
        <w:pStyle w:val="FootnoteText"/>
        <w:rPr>
          <w:lang w:val="en-US"/>
        </w:rPr>
      </w:pPr>
      <w:r w:rsidRPr="00136D7E">
        <w:rPr>
          <w:rStyle w:val="FootnoteReference"/>
        </w:rPr>
        <w:footnoteRef/>
      </w:r>
      <w:r w:rsidRPr="00136D7E">
        <w:t xml:space="preserve"> Certified Record, page A9</w:t>
      </w:r>
    </w:p>
  </w:footnote>
  <w:footnote w:id="12">
    <w:p w14:paraId="723DAFB8" w14:textId="77777777" w:rsidR="00820FF5" w:rsidRPr="00136D7E" w:rsidRDefault="00820FF5" w:rsidP="00820FF5">
      <w:pPr>
        <w:pStyle w:val="FootnoteText"/>
        <w:rPr>
          <w:lang w:val="en-US"/>
        </w:rPr>
      </w:pPr>
      <w:r w:rsidRPr="00136D7E">
        <w:rPr>
          <w:rStyle w:val="FootnoteReference"/>
        </w:rPr>
        <w:footnoteRef/>
      </w:r>
      <w:r w:rsidRPr="00136D7E">
        <w:t xml:space="preserve"> Certified Record, page A9</w:t>
      </w:r>
    </w:p>
  </w:footnote>
  <w:footnote w:id="13">
    <w:p w14:paraId="438B12CA" w14:textId="77777777" w:rsidR="00820FF5" w:rsidRPr="00C242FB" w:rsidRDefault="00820FF5" w:rsidP="00820FF5">
      <w:pPr>
        <w:pStyle w:val="FootnoteText"/>
        <w:rPr>
          <w:lang w:val="en-US"/>
        </w:rPr>
      </w:pPr>
      <w:r w:rsidRPr="00C242FB">
        <w:rPr>
          <w:rStyle w:val="FootnoteReference"/>
        </w:rPr>
        <w:footnoteRef/>
      </w:r>
      <w:r w:rsidRPr="00C242FB">
        <w:t xml:space="preserve"> Certified Record, page A10</w:t>
      </w:r>
    </w:p>
  </w:footnote>
  <w:footnote w:id="14">
    <w:p w14:paraId="495CAD6B" w14:textId="77777777" w:rsidR="00820FF5" w:rsidRPr="00C242FB" w:rsidRDefault="00820FF5" w:rsidP="00820FF5">
      <w:pPr>
        <w:pStyle w:val="FootnoteText"/>
        <w:rPr>
          <w:lang w:val="en-US"/>
        </w:rPr>
      </w:pPr>
      <w:r w:rsidRPr="00C242FB">
        <w:rPr>
          <w:rStyle w:val="FootnoteReference"/>
        </w:rPr>
        <w:footnoteRef/>
      </w:r>
      <w:r w:rsidRPr="00C242FB">
        <w:t xml:space="preserve"> Certified Record, page B156</w:t>
      </w:r>
    </w:p>
  </w:footnote>
  <w:footnote w:id="15">
    <w:p w14:paraId="0375BA24" w14:textId="77777777" w:rsidR="00820FF5" w:rsidRPr="00C242FB" w:rsidRDefault="00820FF5" w:rsidP="00820FF5">
      <w:pPr>
        <w:pStyle w:val="FootnoteText"/>
        <w:rPr>
          <w:lang w:val="en-US"/>
        </w:rPr>
      </w:pPr>
      <w:r w:rsidRPr="00C242FB">
        <w:rPr>
          <w:rStyle w:val="FootnoteReference"/>
        </w:rPr>
        <w:footnoteRef/>
      </w:r>
      <w:r w:rsidRPr="00C242FB">
        <w:t xml:space="preserve"> Certified Record, page B158</w:t>
      </w:r>
    </w:p>
  </w:footnote>
  <w:footnote w:id="16">
    <w:p w14:paraId="5672A981" w14:textId="77777777" w:rsidR="00820FF5" w:rsidRPr="00C242FB" w:rsidRDefault="00820FF5" w:rsidP="00820FF5">
      <w:pPr>
        <w:pStyle w:val="FootnoteText"/>
        <w:rPr>
          <w:lang w:val="en-US"/>
        </w:rPr>
      </w:pPr>
      <w:r w:rsidRPr="00C242FB">
        <w:rPr>
          <w:rStyle w:val="FootnoteReference"/>
        </w:rPr>
        <w:footnoteRef/>
      </w:r>
      <w:r w:rsidRPr="00C242FB">
        <w:t xml:space="preserve"> Certified Record, page A5</w:t>
      </w:r>
    </w:p>
  </w:footnote>
  <w:footnote w:id="17">
    <w:p w14:paraId="07DD9D12" w14:textId="77777777" w:rsidR="00820FF5" w:rsidRPr="00C242FB" w:rsidRDefault="00820FF5" w:rsidP="00820FF5">
      <w:pPr>
        <w:pStyle w:val="ListParagraph"/>
        <w:tabs>
          <w:tab w:val="left" w:pos="1134"/>
        </w:tabs>
        <w:ind w:left="0"/>
        <w:jc w:val="both"/>
        <w:rPr>
          <w:sz w:val="20"/>
          <w:szCs w:val="20"/>
        </w:rPr>
      </w:pPr>
      <w:r w:rsidRPr="00C242FB">
        <w:rPr>
          <w:rStyle w:val="FootnoteReference"/>
          <w:sz w:val="20"/>
          <w:szCs w:val="20"/>
        </w:rPr>
        <w:footnoteRef/>
      </w:r>
      <w:r w:rsidRPr="00C242FB">
        <w:rPr>
          <w:sz w:val="20"/>
          <w:szCs w:val="20"/>
        </w:rPr>
        <w:t xml:space="preserve"> Certified Record, page B437</w:t>
      </w:r>
    </w:p>
  </w:footnote>
  <w:footnote w:id="18">
    <w:p w14:paraId="5BDF81E5" w14:textId="77777777" w:rsidR="00820FF5" w:rsidRPr="00C242FB" w:rsidRDefault="00820FF5" w:rsidP="00820FF5">
      <w:pPr>
        <w:pStyle w:val="FootnoteText"/>
        <w:rPr>
          <w:lang w:val="en-US"/>
        </w:rPr>
      </w:pPr>
      <w:r w:rsidRPr="00C242FB">
        <w:rPr>
          <w:rStyle w:val="FootnoteReference"/>
        </w:rPr>
        <w:footnoteRef/>
      </w:r>
      <w:r w:rsidRPr="00C242FB">
        <w:t xml:space="preserve"> Certified Record, page B438</w:t>
      </w:r>
    </w:p>
  </w:footnote>
  <w:footnote w:id="19">
    <w:p w14:paraId="28871D89" w14:textId="77777777" w:rsidR="00820FF5" w:rsidRPr="00136D7E" w:rsidRDefault="00820FF5" w:rsidP="00820FF5">
      <w:pPr>
        <w:pStyle w:val="FootnoteText"/>
        <w:rPr>
          <w:lang w:val="en-US"/>
        </w:rPr>
      </w:pPr>
      <w:r w:rsidRPr="00C242FB">
        <w:rPr>
          <w:rStyle w:val="FootnoteReference"/>
        </w:rPr>
        <w:footnoteRef/>
      </w:r>
      <w:r>
        <w:t xml:space="preserve"> </w:t>
      </w:r>
      <w:r w:rsidRPr="00C242FB">
        <w:t>Certified Record, page B441</w:t>
      </w:r>
    </w:p>
  </w:footnote>
  <w:footnote w:id="20">
    <w:p w14:paraId="6284E776" w14:textId="77777777" w:rsidR="00820FF5" w:rsidRPr="00C21216" w:rsidRDefault="00820FF5" w:rsidP="00820FF5">
      <w:pPr>
        <w:pStyle w:val="FootnoteText"/>
        <w:rPr>
          <w:lang w:val="en-US"/>
        </w:rPr>
      </w:pPr>
      <w:r>
        <w:rPr>
          <w:rStyle w:val="FootnoteReference"/>
        </w:rPr>
        <w:footnoteRef/>
      </w:r>
      <w:r>
        <w:t xml:space="preserve"> </w:t>
      </w:r>
      <w:r w:rsidRPr="00C21216">
        <w:t>Certified Record, page B442</w:t>
      </w:r>
    </w:p>
  </w:footnote>
  <w:footnote w:id="21">
    <w:p w14:paraId="1FB079C7" w14:textId="77777777" w:rsidR="00820FF5" w:rsidRPr="00C21216" w:rsidRDefault="00820FF5" w:rsidP="00820FF5">
      <w:pPr>
        <w:pStyle w:val="FootnoteText"/>
        <w:rPr>
          <w:lang w:val="en-US"/>
        </w:rPr>
      </w:pPr>
      <w:r>
        <w:rPr>
          <w:rStyle w:val="FootnoteReference"/>
        </w:rPr>
        <w:footnoteRef/>
      </w:r>
      <w:r>
        <w:t xml:space="preserve"> </w:t>
      </w:r>
      <w:r w:rsidRPr="00C21216">
        <w:rPr>
          <w:bCs/>
        </w:rPr>
        <w:t>Certified Record, page A6</w:t>
      </w:r>
    </w:p>
  </w:footnote>
  <w:footnote w:id="22">
    <w:p w14:paraId="503C8DF3" w14:textId="77777777" w:rsidR="00820FF5" w:rsidRPr="00276D97" w:rsidRDefault="00820FF5" w:rsidP="00820FF5">
      <w:pPr>
        <w:pStyle w:val="ListParagraph"/>
        <w:tabs>
          <w:tab w:val="left" w:pos="1134"/>
        </w:tabs>
        <w:ind w:left="0"/>
        <w:jc w:val="both"/>
        <w:rPr>
          <w:bCs/>
          <w:sz w:val="20"/>
          <w:szCs w:val="20"/>
        </w:rPr>
      </w:pPr>
      <w:r w:rsidRPr="00276D97">
        <w:rPr>
          <w:rStyle w:val="FootnoteReference"/>
          <w:sz w:val="20"/>
          <w:szCs w:val="20"/>
        </w:rPr>
        <w:footnoteRef/>
      </w:r>
      <w:r w:rsidRPr="00276D97">
        <w:rPr>
          <w:sz w:val="20"/>
          <w:szCs w:val="20"/>
        </w:rPr>
        <w:t xml:space="preserve"> </w:t>
      </w:r>
      <w:r w:rsidRPr="00276D97">
        <w:rPr>
          <w:bCs/>
          <w:sz w:val="20"/>
          <w:szCs w:val="20"/>
        </w:rPr>
        <w:t>Certified Record, page A6</w:t>
      </w:r>
    </w:p>
  </w:footnote>
  <w:footnote w:id="23">
    <w:p w14:paraId="3E1E8822" w14:textId="77777777" w:rsidR="00820FF5" w:rsidRPr="00C21216" w:rsidRDefault="00820FF5" w:rsidP="00820FF5">
      <w:pPr>
        <w:pStyle w:val="FootnoteText"/>
        <w:rPr>
          <w:lang w:val="en-US"/>
        </w:rPr>
      </w:pPr>
      <w:r>
        <w:rPr>
          <w:rStyle w:val="FootnoteReference"/>
        </w:rPr>
        <w:footnoteRef/>
      </w:r>
      <w:r>
        <w:t xml:space="preserve"> </w:t>
      </w:r>
      <w:r w:rsidRPr="00276D97">
        <w:t>Certified Record, page A6</w:t>
      </w:r>
    </w:p>
  </w:footnote>
  <w:footnote w:id="24">
    <w:p w14:paraId="3459468F" w14:textId="77777777" w:rsidR="00820FF5" w:rsidRPr="00C21216" w:rsidRDefault="00820FF5" w:rsidP="00820FF5">
      <w:pPr>
        <w:pStyle w:val="FootnoteText"/>
        <w:rPr>
          <w:lang w:val="en-US"/>
        </w:rPr>
      </w:pPr>
      <w:r>
        <w:rPr>
          <w:rStyle w:val="FootnoteReference"/>
        </w:rPr>
        <w:footnoteRef/>
      </w:r>
      <w:r>
        <w:t xml:space="preserve"> </w:t>
      </w:r>
      <w:r w:rsidRPr="00276D97">
        <w:rPr>
          <w:bCs/>
        </w:rPr>
        <w:t>Certified Record, pages A6 to A8</w:t>
      </w:r>
    </w:p>
  </w:footnote>
  <w:footnote w:id="25">
    <w:p w14:paraId="5FF4BD5B" w14:textId="77777777" w:rsidR="00820FF5" w:rsidRPr="00C21216" w:rsidRDefault="00820FF5" w:rsidP="00820FF5">
      <w:pPr>
        <w:pStyle w:val="FootnoteText"/>
        <w:rPr>
          <w:lang w:val="en-US"/>
        </w:rPr>
      </w:pPr>
      <w:r>
        <w:rPr>
          <w:rStyle w:val="FootnoteReference"/>
        </w:rPr>
        <w:footnoteRef/>
      </w:r>
      <w:r>
        <w:t xml:space="preserve"> </w:t>
      </w:r>
      <w:r w:rsidRPr="00276D97">
        <w:t>Certified Record, page A9</w:t>
      </w:r>
    </w:p>
  </w:footnote>
  <w:footnote w:id="26">
    <w:p w14:paraId="4B112AFE" w14:textId="77777777" w:rsidR="00820FF5" w:rsidRPr="00B1478B" w:rsidRDefault="00820FF5" w:rsidP="00820FF5">
      <w:pPr>
        <w:pStyle w:val="FootnoteText"/>
        <w:rPr>
          <w:lang w:val="en-US"/>
        </w:rPr>
      </w:pPr>
      <w:r>
        <w:rPr>
          <w:rStyle w:val="FootnoteReference"/>
        </w:rPr>
        <w:footnoteRef/>
      </w:r>
      <w:r>
        <w:t xml:space="preserve"> </w:t>
      </w:r>
      <w:r w:rsidRPr="00475C30">
        <w:t>Certified Record, page B74</w:t>
      </w:r>
    </w:p>
  </w:footnote>
  <w:footnote w:id="27">
    <w:p w14:paraId="6CAB316E" w14:textId="77777777" w:rsidR="00820FF5" w:rsidRPr="00475C30" w:rsidRDefault="00820FF5" w:rsidP="00820FF5">
      <w:pPr>
        <w:pStyle w:val="FootnoteText"/>
        <w:rPr>
          <w:lang w:val="en-US"/>
        </w:rPr>
      </w:pPr>
      <w:r>
        <w:rPr>
          <w:rStyle w:val="FootnoteReference"/>
        </w:rPr>
        <w:footnoteRef/>
      </w:r>
      <w:r>
        <w:t xml:space="preserve"> </w:t>
      </w:r>
      <w:r w:rsidRPr="00475C30">
        <w:t>Certified Record, pages B245, B338 and B387</w:t>
      </w:r>
    </w:p>
  </w:footnote>
  <w:footnote w:id="28">
    <w:p w14:paraId="7E943D05" w14:textId="77777777" w:rsidR="00820FF5" w:rsidRPr="00475C30" w:rsidRDefault="00820FF5" w:rsidP="00820FF5">
      <w:pPr>
        <w:pStyle w:val="FootnoteText"/>
        <w:rPr>
          <w:lang w:val="en-US"/>
        </w:rPr>
      </w:pPr>
      <w:r>
        <w:rPr>
          <w:rStyle w:val="FootnoteReference"/>
        </w:rPr>
        <w:footnoteRef/>
      </w:r>
      <w:r>
        <w:t xml:space="preserve"> </w:t>
      </w:r>
      <w:r w:rsidRPr="00475C30">
        <w:t>Certified Record, page B431</w:t>
      </w:r>
    </w:p>
  </w:footnote>
  <w:footnote w:id="29">
    <w:p w14:paraId="17F5F6F5" w14:textId="77777777" w:rsidR="00820FF5" w:rsidRPr="00475C30" w:rsidRDefault="00820FF5" w:rsidP="00820FF5">
      <w:pPr>
        <w:pStyle w:val="FootnoteText"/>
        <w:rPr>
          <w:lang w:val="en-US"/>
        </w:rPr>
      </w:pPr>
      <w:r>
        <w:rPr>
          <w:rStyle w:val="FootnoteReference"/>
        </w:rPr>
        <w:footnoteRef/>
      </w:r>
      <w:r>
        <w:t xml:space="preserve"> </w:t>
      </w:r>
      <w:r w:rsidRPr="00475C30">
        <w:t>Certified Record, page B515</w:t>
      </w:r>
    </w:p>
  </w:footnote>
  <w:footnote w:id="30">
    <w:p w14:paraId="520FDE82" w14:textId="77777777" w:rsidR="00820FF5" w:rsidRPr="00475C30" w:rsidRDefault="00820FF5" w:rsidP="00820FF5">
      <w:pPr>
        <w:pStyle w:val="FootnoteText"/>
        <w:rPr>
          <w:lang w:val="en-US"/>
        </w:rPr>
      </w:pPr>
      <w:r>
        <w:rPr>
          <w:rStyle w:val="FootnoteReference"/>
        </w:rPr>
        <w:footnoteRef/>
      </w:r>
      <w:r>
        <w:t xml:space="preserve"> </w:t>
      </w:r>
      <w:r w:rsidRPr="00475C30">
        <w:t>Certified Record, page B529</w:t>
      </w:r>
    </w:p>
  </w:footnote>
  <w:footnote w:id="31">
    <w:p w14:paraId="45D80255" w14:textId="77777777" w:rsidR="00820FF5" w:rsidRPr="00475C30" w:rsidRDefault="00820FF5" w:rsidP="00820FF5">
      <w:pPr>
        <w:pStyle w:val="FootnoteText"/>
        <w:rPr>
          <w:lang w:val="en-US"/>
        </w:rPr>
      </w:pPr>
      <w:r>
        <w:rPr>
          <w:rStyle w:val="FootnoteReference"/>
        </w:rPr>
        <w:footnoteRef/>
      </w:r>
      <w:r>
        <w:t xml:space="preserve"> </w:t>
      </w:r>
      <w:r w:rsidRPr="00475C30">
        <w:t>Certified Record, page B537</w:t>
      </w:r>
    </w:p>
  </w:footnote>
  <w:footnote w:id="32">
    <w:p w14:paraId="0ADE604E" w14:textId="77777777" w:rsidR="00820FF5" w:rsidRPr="001E0AC3" w:rsidRDefault="00820FF5" w:rsidP="00820FF5">
      <w:pPr>
        <w:pStyle w:val="FootnoteText"/>
        <w:rPr>
          <w:lang w:val="en-US"/>
        </w:rPr>
      </w:pPr>
      <w:r w:rsidRPr="001E0AC3">
        <w:rPr>
          <w:rStyle w:val="FootnoteReference"/>
        </w:rPr>
        <w:footnoteRef/>
      </w:r>
      <w:r w:rsidRPr="001E0AC3">
        <w:t xml:space="preserve"> Certified Record, page B548</w:t>
      </w:r>
    </w:p>
  </w:footnote>
  <w:footnote w:id="33">
    <w:p w14:paraId="1021599E" w14:textId="77777777" w:rsidR="00820FF5" w:rsidRPr="001E0AC3" w:rsidRDefault="00820FF5" w:rsidP="00820FF5">
      <w:pPr>
        <w:pStyle w:val="FootnoteText"/>
        <w:rPr>
          <w:lang w:val="en-US"/>
        </w:rPr>
      </w:pPr>
      <w:r w:rsidRPr="001E0AC3">
        <w:rPr>
          <w:rStyle w:val="FootnoteReference"/>
        </w:rPr>
        <w:footnoteRef/>
      </w:r>
      <w:r w:rsidRPr="001E0AC3">
        <w:t xml:space="preserve"> Certified Record, page B54</w:t>
      </w:r>
      <w:r>
        <w:t>9</w:t>
      </w:r>
    </w:p>
  </w:footnote>
  <w:footnote w:id="34">
    <w:p w14:paraId="6A77CE99" w14:textId="77777777" w:rsidR="00820FF5" w:rsidRPr="001E0AC3" w:rsidRDefault="00820FF5" w:rsidP="00820FF5">
      <w:pPr>
        <w:pStyle w:val="ListParagraph"/>
        <w:tabs>
          <w:tab w:val="left" w:pos="1134"/>
        </w:tabs>
        <w:ind w:left="0"/>
        <w:jc w:val="both"/>
        <w:rPr>
          <w:sz w:val="20"/>
          <w:szCs w:val="20"/>
        </w:rPr>
      </w:pPr>
      <w:r w:rsidRPr="001E0AC3">
        <w:rPr>
          <w:rStyle w:val="FootnoteReference"/>
          <w:sz w:val="20"/>
          <w:szCs w:val="20"/>
        </w:rPr>
        <w:footnoteRef/>
      </w:r>
      <w:r w:rsidRPr="001E0AC3">
        <w:rPr>
          <w:sz w:val="20"/>
          <w:szCs w:val="20"/>
        </w:rPr>
        <w:t xml:space="preserve"> Certified Record, pages B554 to B562</w:t>
      </w:r>
    </w:p>
  </w:footnote>
  <w:footnote w:id="35">
    <w:p w14:paraId="113DB95F" w14:textId="77777777" w:rsidR="00820FF5" w:rsidRPr="001E0AC3" w:rsidRDefault="00820FF5" w:rsidP="00820FF5">
      <w:pPr>
        <w:pStyle w:val="ListParagraph"/>
        <w:tabs>
          <w:tab w:val="left" w:pos="1134"/>
        </w:tabs>
        <w:ind w:left="0"/>
        <w:jc w:val="both"/>
        <w:rPr>
          <w:sz w:val="20"/>
          <w:szCs w:val="20"/>
        </w:rPr>
      </w:pPr>
      <w:r w:rsidRPr="001E0AC3">
        <w:rPr>
          <w:rStyle w:val="FootnoteReference"/>
          <w:sz w:val="20"/>
          <w:szCs w:val="20"/>
        </w:rPr>
        <w:footnoteRef/>
      </w:r>
      <w:r w:rsidRPr="001E0AC3">
        <w:rPr>
          <w:sz w:val="20"/>
          <w:szCs w:val="20"/>
        </w:rPr>
        <w:t xml:space="preserve"> Certified Record, page B608</w:t>
      </w:r>
    </w:p>
  </w:footnote>
  <w:footnote w:id="36">
    <w:p w14:paraId="07FD39AC" w14:textId="77777777" w:rsidR="00820FF5" w:rsidRPr="00475C30" w:rsidRDefault="00820FF5" w:rsidP="00820FF5">
      <w:pPr>
        <w:pStyle w:val="ListParagraph"/>
        <w:tabs>
          <w:tab w:val="left" w:pos="1134"/>
        </w:tabs>
        <w:ind w:left="0"/>
        <w:jc w:val="both"/>
      </w:pPr>
      <w:r w:rsidRPr="001E0AC3">
        <w:rPr>
          <w:rStyle w:val="FootnoteReference"/>
          <w:sz w:val="20"/>
          <w:szCs w:val="20"/>
        </w:rPr>
        <w:footnoteRef/>
      </w:r>
      <w:r w:rsidRPr="001E0AC3">
        <w:rPr>
          <w:sz w:val="20"/>
          <w:szCs w:val="20"/>
        </w:rPr>
        <w:t xml:space="preserve"> </w:t>
      </w:r>
      <w:bookmarkStart w:id="2" w:name="_Hlk97713661"/>
      <w:r w:rsidRPr="001E0AC3">
        <w:rPr>
          <w:sz w:val="20"/>
          <w:szCs w:val="20"/>
        </w:rPr>
        <w:t>Certified Record, page B633</w:t>
      </w:r>
      <w:bookmarkEnd w:id="2"/>
    </w:p>
  </w:footnote>
  <w:footnote w:id="37">
    <w:p w14:paraId="189A2BE4" w14:textId="77777777" w:rsidR="00820FF5" w:rsidRPr="001E0AC3" w:rsidRDefault="00820FF5" w:rsidP="00820FF5">
      <w:pPr>
        <w:pStyle w:val="FootnoteText"/>
        <w:rPr>
          <w:lang w:val="en-US"/>
        </w:rPr>
      </w:pPr>
      <w:r>
        <w:rPr>
          <w:rStyle w:val="FootnoteReference"/>
        </w:rPr>
        <w:footnoteRef/>
      </w:r>
      <w:r>
        <w:t xml:space="preserve"> </w:t>
      </w:r>
      <w:r w:rsidRPr="001E0AC3">
        <w:t>Certified Record, page A1</w:t>
      </w:r>
    </w:p>
  </w:footnote>
  <w:footnote w:id="38">
    <w:p w14:paraId="6D928A57" w14:textId="77777777" w:rsidR="00820FF5" w:rsidRPr="001E0AC3" w:rsidRDefault="00820FF5" w:rsidP="00820FF5">
      <w:pPr>
        <w:pStyle w:val="FootnoteText"/>
        <w:rPr>
          <w:lang w:val="en-US"/>
        </w:rPr>
      </w:pPr>
      <w:r>
        <w:rPr>
          <w:rStyle w:val="FootnoteReference"/>
        </w:rPr>
        <w:footnoteRef/>
      </w:r>
      <w:r>
        <w:t xml:space="preserve"> </w:t>
      </w:r>
      <w:r w:rsidRPr="00CB6E0C">
        <w:rPr>
          <w:bCs/>
        </w:rPr>
        <w:t>Certified Record, pages A3 to A13</w:t>
      </w:r>
    </w:p>
  </w:footnote>
  <w:footnote w:id="39">
    <w:p w14:paraId="29D21482" w14:textId="77777777" w:rsidR="00820FF5" w:rsidRPr="001E0AC3" w:rsidRDefault="00820FF5" w:rsidP="00820FF5">
      <w:pPr>
        <w:pStyle w:val="FootnoteText"/>
        <w:rPr>
          <w:lang w:val="en-US"/>
        </w:rPr>
      </w:pPr>
      <w:r>
        <w:rPr>
          <w:rStyle w:val="FootnoteReference"/>
        </w:rPr>
        <w:footnoteRef/>
      </w:r>
      <w:r>
        <w:t xml:space="preserve"> </w:t>
      </w:r>
      <w:r w:rsidRPr="001E0AC3">
        <w:t>Certified Record, pages B786 to B803</w:t>
      </w:r>
    </w:p>
  </w:footnote>
  <w:footnote w:id="40">
    <w:p w14:paraId="7B697E17" w14:textId="77777777" w:rsidR="00820FF5" w:rsidRPr="001E0AC3" w:rsidRDefault="00820FF5" w:rsidP="00820FF5">
      <w:pPr>
        <w:pStyle w:val="FootnoteText"/>
        <w:rPr>
          <w:lang w:val="en-US"/>
        </w:rPr>
      </w:pPr>
      <w:r>
        <w:rPr>
          <w:rStyle w:val="FootnoteReference"/>
        </w:rPr>
        <w:footnoteRef/>
      </w:r>
      <w:r>
        <w:t xml:space="preserve"> </w:t>
      </w:r>
      <w:r w:rsidRPr="001E0AC3">
        <w:t>Certified Record, pages B833 to B842</w:t>
      </w:r>
    </w:p>
  </w:footnote>
  <w:footnote w:id="41">
    <w:p w14:paraId="19172168" w14:textId="77777777" w:rsidR="00820FF5" w:rsidRPr="001E0AC3" w:rsidRDefault="00820FF5" w:rsidP="00820FF5">
      <w:pPr>
        <w:pStyle w:val="FootnoteText"/>
        <w:rPr>
          <w:lang w:val="en-US"/>
        </w:rPr>
      </w:pPr>
      <w:r>
        <w:rPr>
          <w:rStyle w:val="FootnoteReference"/>
        </w:rPr>
        <w:footnoteRef/>
      </w:r>
      <w:r>
        <w:t xml:space="preserve"> </w:t>
      </w:r>
      <w:r w:rsidRPr="00CB6E0C">
        <w:t>Certified Record, page B844</w:t>
      </w:r>
    </w:p>
  </w:footnote>
  <w:footnote w:id="42">
    <w:p w14:paraId="27695FBC" w14:textId="77777777" w:rsidR="00820FF5" w:rsidRPr="001E0AC3" w:rsidRDefault="00820FF5" w:rsidP="00820FF5">
      <w:pPr>
        <w:pStyle w:val="FootnoteText"/>
        <w:rPr>
          <w:lang w:val="en-US"/>
        </w:rPr>
      </w:pPr>
      <w:r>
        <w:rPr>
          <w:rStyle w:val="FootnoteReference"/>
        </w:rPr>
        <w:footnoteRef/>
      </w:r>
      <w:r>
        <w:t xml:space="preserve"> </w:t>
      </w:r>
      <w:r w:rsidRPr="00CB6E0C">
        <w:t>Certified Record, page B633</w:t>
      </w:r>
    </w:p>
  </w:footnote>
  <w:footnote w:id="43">
    <w:p w14:paraId="108A77AE" w14:textId="77777777" w:rsidR="00820FF5" w:rsidRPr="001E0AC3" w:rsidRDefault="00820FF5" w:rsidP="00820FF5">
      <w:pPr>
        <w:pStyle w:val="FootnoteText"/>
        <w:rPr>
          <w:lang w:val="en-US"/>
        </w:rPr>
      </w:pPr>
      <w:r>
        <w:rPr>
          <w:rStyle w:val="FootnoteReference"/>
        </w:rPr>
        <w:footnoteRef/>
      </w:r>
      <w:r>
        <w:t xml:space="preserve"> </w:t>
      </w:r>
      <w:r w:rsidRPr="00CB6E0C">
        <w:t>Certified Record, page B935</w:t>
      </w:r>
    </w:p>
  </w:footnote>
  <w:footnote w:id="44">
    <w:p w14:paraId="2B1E1385" w14:textId="57AF3B4F" w:rsidR="00820FF5" w:rsidRPr="008626B4" w:rsidRDefault="00820FF5" w:rsidP="00820FF5">
      <w:pPr>
        <w:pStyle w:val="FootnoteText"/>
        <w:rPr>
          <w:lang w:val="en-US"/>
        </w:rPr>
      </w:pPr>
      <w:r>
        <w:rPr>
          <w:rStyle w:val="FootnoteReference"/>
        </w:rPr>
        <w:footnoteRef/>
      </w:r>
      <w:r>
        <w:t xml:space="preserve"> </w:t>
      </w:r>
      <w:r w:rsidRPr="008626B4">
        <w:t xml:space="preserve">Tab 11 of the Respondent’s Book of Authorities - </w:t>
      </w:r>
      <w:r w:rsidR="00675EB4">
        <w:rPr>
          <w:i/>
          <w:iCs/>
        </w:rPr>
        <w:t xml:space="preserve">M.H. v </w:t>
      </w:r>
      <w:r w:rsidRPr="000E558F">
        <w:rPr>
          <w:i/>
          <w:iCs/>
        </w:rPr>
        <w:t>College of Physicians and Surgeons of Alberta</w:t>
      </w:r>
      <w:r w:rsidRPr="008626B4">
        <w:t xml:space="preserve">, </w:t>
      </w:r>
      <w:r w:rsidRPr="008626B4">
        <w:rPr>
          <w:lang w:val="en-US"/>
        </w:rPr>
        <w:t>[2006] A.J. No. 668; 2006 ABQB 395</w:t>
      </w:r>
      <w:r w:rsidRPr="008626B4">
        <w:t>, at paragraph 45</w:t>
      </w:r>
    </w:p>
  </w:footnote>
  <w:footnote w:id="45">
    <w:p w14:paraId="3BDFAFD5" w14:textId="77777777" w:rsidR="00820FF5" w:rsidRPr="00E27AC4" w:rsidRDefault="00820FF5" w:rsidP="00820FF5">
      <w:pPr>
        <w:pStyle w:val="FootnoteText"/>
        <w:rPr>
          <w:lang w:val="en-US"/>
        </w:rPr>
      </w:pPr>
      <w:r>
        <w:rPr>
          <w:rStyle w:val="FootnoteReference"/>
        </w:rPr>
        <w:footnoteRef/>
      </w:r>
      <w:r>
        <w:t xml:space="preserve"> </w:t>
      </w:r>
      <w:r w:rsidRPr="00E27AC4">
        <w:t xml:space="preserve">Tab 2 of the Respondent’s Book of Authorities - </w:t>
      </w:r>
      <w:r w:rsidRPr="000E558F">
        <w:rPr>
          <w:i/>
          <w:iCs/>
        </w:rPr>
        <w:t>Tran v College of Physicians and Surgeons, supra</w:t>
      </w:r>
      <w:r w:rsidRPr="00E27AC4">
        <w:t>, at paragraph 44</w:t>
      </w:r>
    </w:p>
  </w:footnote>
  <w:footnote w:id="46">
    <w:p w14:paraId="0F69420B" w14:textId="77777777" w:rsidR="00820FF5" w:rsidRPr="00E27AC4" w:rsidRDefault="00820FF5" w:rsidP="00820FF5">
      <w:pPr>
        <w:jc w:val="both"/>
        <w:rPr>
          <w:lang w:val="en-US"/>
        </w:rPr>
      </w:pPr>
      <w:r>
        <w:rPr>
          <w:rStyle w:val="FootnoteReference"/>
        </w:rPr>
        <w:footnoteRef/>
      </w:r>
      <w:r>
        <w:t xml:space="preserve"> </w:t>
      </w:r>
      <w:r w:rsidRPr="0070671D">
        <w:rPr>
          <w:sz w:val="20"/>
          <w:szCs w:val="20"/>
        </w:rPr>
        <w:t xml:space="preserve">Tab 12 of the Respondent’s Book of Authorities – </w:t>
      </w:r>
      <w:r w:rsidRPr="0070671D">
        <w:rPr>
          <w:i/>
          <w:iCs/>
          <w:sz w:val="20"/>
          <w:szCs w:val="20"/>
        </w:rPr>
        <w:t>Legal Profession Act</w:t>
      </w:r>
      <w:r w:rsidRPr="0070671D">
        <w:rPr>
          <w:sz w:val="20"/>
          <w:szCs w:val="20"/>
        </w:rPr>
        <w:t>, R.S.N.W.T. 1988, c.L-2, as amended, Part III</w:t>
      </w:r>
    </w:p>
  </w:footnote>
  <w:footnote w:id="47">
    <w:p w14:paraId="5417544C" w14:textId="4C78518D" w:rsidR="00820FF5" w:rsidRPr="0070671D" w:rsidRDefault="00820FF5" w:rsidP="00820FF5">
      <w:pPr>
        <w:jc w:val="both"/>
        <w:rPr>
          <w:bCs/>
          <w:iCs/>
          <w:sz w:val="20"/>
          <w:szCs w:val="20"/>
        </w:rPr>
      </w:pPr>
      <w:r>
        <w:rPr>
          <w:rStyle w:val="FootnoteReference"/>
        </w:rPr>
        <w:footnoteRef/>
      </w:r>
      <w:r>
        <w:t xml:space="preserve"> </w:t>
      </w:r>
      <w:r w:rsidRPr="0070671D">
        <w:rPr>
          <w:bCs/>
          <w:iCs/>
          <w:sz w:val="20"/>
          <w:szCs w:val="20"/>
        </w:rPr>
        <w:t xml:space="preserve">Tab 13 of the Respondent’s Book of Authorities – </w:t>
      </w:r>
      <w:hyperlink r:id="rId1" w:history="1">
        <w:r w:rsidRPr="0070671D">
          <w:rPr>
            <w:rStyle w:val="Hyperlink"/>
            <w:bCs/>
            <w:i/>
            <w:sz w:val="20"/>
            <w:szCs w:val="20"/>
          </w:rPr>
          <w:t>Aylward v Law Society of Newfoundland and Labrador</w:t>
        </w:r>
      </w:hyperlink>
      <w:r w:rsidRPr="0070671D">
        <w:rPr>
          <w:bCs/>
          <w:iCs/>
          <w:sz w:val="20"/>
          <w:szCs w:val="20"/>
        </w:rPr>
        <w:t>, [2013] N.J. No 404; 2013 NLCA 68</w:t>
      </w:r>
    </w:p>
    <w:p w14:paraId="1E09B935" w14:textId="77777777" w:rsidR="00820FF5" w:rsidRPr="0070671D" w:rsidRDefault="00820FF5" w:rsidP="00820FF5">
      <w:pPr>
        <w:pStyle w:val="FootnoteText"/>
        <w:rPr>
          <w:lang w:val="en-US"/>
        </w:rPr>
      </w:pPr>
    </w:p>
  </w:footnote>
  <w:footnote w:id="48">
    <w:p w14:paraId="7612F8AC" w14:textId="4B3F0A3B" w:rsidR="00820FF5" w:rsidRPr="00027B99" w:rsidRDefault="00820FF5" w:rsidP="00820FF5">
      <w:pPr>
        <w:pStyle w:val="FootnoteText"/>
        <w:rPr>
          <w:lang w:val="en-US"/>
        </w:rPr>
      </w:pPr>
      <w:r>
        <w:rPr>
          <w:rStyle w:val="FootnoteReference"/>
        </w:rPr>
        <w:footnoteRef/>
      </w:r>
      <w:r>
        <w:t xml:space="preserve"> </w:t>
      </w:r>
      <w:r w:rsidRPr="00027B99">
        <w:rPr>
          <w:bCs/>
          <w:iCs/>
        </w:rPr>
        <w:t xml:space="preserve">Tab 13 of the Respondent’s Book of Authorities – </w:t>
      </w:r>
      <w:r w:rsidRPr="00027B99">
        <w:rPr>
          <w:bCs/>
          <w:i/>
        </w:rPr>
        <w:t>Aylward v Law Society of Newfoundland and Labrador, supra</w:t>
      </w:r>
      <w:r w:rsidRPr="00027B99">
        <w:rPr>
          <w:bCs/>
          <w:iCs/>
        </w:rPr>
        <w:t>, at paragraph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5425" w14:textId="5EBB4470" w:rsidR="00BF3211" w:rsidRPr="00943943" w:rsidRDefault="00BF3211" w:rsidP="00943943">
    <w:pPr>
      <w:pStyle w:val="Header"/>
      <w:tabs>
        <w:tab w:val="left" w:pos="8565"/>
      </w:tabs>
      <w:rPr>
        <w:rFonts w:ascii="Times New Roman" w:hAnsi="Times New Roman" w:cs="Times New Roman"/>
      </w:rPr>
    </w:pPr>
    <w:r>
      <w:tab/>
    </w:r>
    <w:r>
      <w:tab/>
    </w:r>
    <w:r w:rsidRPr="00943943">
      <w:rPr>
        <w:rFonts w:ascii="Times New Roman" w:hAnsi="Times New Roman" w:cs="Times New Roman"/>
      </w:rPr>
      <w:tab/>
      <w:t xml:space="preserve">Page: </w:t>
    </w:r>
    <w:sdt>
      <w:sdtPr>
        <w:rPr>
          <w:rFonts w:ascii="Times New Roman" w:hAnsi="Times New Roman" w:cs="Times New Roman"/>
        </w:rPr>
        <w:id w:val="-1043440540"/>
        <w:docPartObj>
          <w:docPartGallery w:val="Page Numbers (Top of Page)"/>
          <w:docPartUnique/>
        </w:docPartObj>
      </w:sdtPr>
      <w:sdtEndPr/>
      <w:sdtContent>
        <w:r w:rsidRPr="00943943">
          <w:rPr>
            <w:rFonts w:ascii="Times New Roman" w:hAnsi="Times New Roman" w:cs="Times New Roman"/>
          </w:rPr>
          <w:fldChar w:fldCharType="begin"/>
        </w:r>
        <w:r w:rsidRPr="00943943">
          <w:rPr>
            <w:rFonts w:ascii="Times New Roman" w:hAnsi="Times New Roman" w:cs="Times New Roman"/>
          </w:rPr>
          <w:instrText xml:space="preserve"> PAGE   \* MERGEFORMAT </w:instrText>
        </w:r>
        <w:r w:rsidRPr="00943943">
          <w:rPr>
            <w:rFonts w:ascii="Times New Roman" w:hAnsi="Times New Roman" w:cs="Times New Roman"/>
          </w:rPr>
          <w:fldChar w:fldCharType="separate"/>
        </w:r>
        <w:r w:rsidR="003129DD">
          <w:rPr>
            <w:rFonts w:ascii="Times New Roman" w:hAnsi="Times New Roman" w:cs="Times New Roman"/>
            <w:noProof/>
          </w:rPr>
          <w:t>15</w:t>
        </w:r>
        <w:r w:rsidRPr="00943943">
          <w:rPr>
            <w:rFonts w:ascii="Times New Roman" w:hAnsi="Times New Roman" w:cs="Times New Roman"/>
            <w:noProof/>
          </w:rPr>
          <w:fldChar w:fldCharType="end"/>
        </w:r>
      </w:sdtContent>
    </w:sdt>
  </w:p>
  <w:p w14:paraId="2BD20C59" w14:textId="77777777" w:rsidR="00BF3211" w:rsidRDefault="00BF3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49891" w14:textId="77777777" w:rsidR="00BF3211" w:rsidRDefault="00BF3211">
    <w:pPr>
      <w:pStyle w:val="Header"/>
      <w:jc w:val="right"/>
    </w:pPr>
  </w:p>
  <w:p w14:paraId="1DCDA854" w14:textId="77777777" w:rsidR="00BF3211" w:rsidRDefault="00BF3211"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CAFA" w14:textId="77777777" w:rsidR="00BF3211" w:rsidRDefault="00BF3211">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6067D32D" w14:textId="77777777" w:rsidR="00BF3211" w:rsidRDefault="00BF32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FFCFC" w14:textId="77777777" w:rsidR="00BF3211" w:rsidRDefault="00BF3211">
    <w:pPr>
      <w:pStyle w:val="Header"/>
      <w:jc w:val="right"/>
    </w:pPr>
  </w:p>
  <w:p w14:paraId="6EB922CA" w14:textId="77777777" w:rsidR="00BF3211" w:rsidRDefault="00BF3211"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7F84"/>
    <w:multiLevelType w:val="multilevel"/>
    <w:tmpl w:val="8E7003B2"/>
    <w:numStyleLink w:val="JudgmentParagraphs"/>
  </w:abstractNum>
  <w:abstractNum w:abstractNumId="2" w15:restartNumberingAfterBreak="0">
    <w:nsid w:val="084A3946"/>
    <w:multiLevelType w:val="hybridMultilevel"/>
    <w:tmpl w:val="0C3A49F2"/>
    <w:lvl w:ilvl="0" w:tplc="1DD87272">
      <w:start w:val="1"/>
      <w:numFmt w:val="decimal"/>
      <w:lvlText w:val="%1."/>
      <w:lvlJc w:val="left"/>
      <w:pPr>
        <w:ind w:left="3196" w:hanging="360"/>
      </w:pPr>
      <w:rPr>
        <w:rFonts w:hint="default"/>
        <w:b w:val="0"/>
        <w:i w:val="0"/>
      </w:rPr>
    </w:lvl>
    <w:lvl w:ilvl="1" w:tplc="FAB24326">
      <w:start w:val="1"/>
      <w:numFmt w:val="lowerLetter"/>
      <w:lvlText w:val="%2."/>
      <w:lvlJc w:val="left"/>
      <w:pPr>
        <w:ind w:left="1440" w:hanging="360"/>
      </w:pPr>
      <w:rPr>
        <w:b w:val="0"/>
        <w:bCs/>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B298C"/>
    <w:multiLevelType w:val="hybridMultilevel"/>
    <w:tmpl w:val="32CC04A4"/>
    <w:lvl w:ilvl="0" w:tplc="31CA60CC">
      <w:start w:val="1"/>
      <w:numFmt w:val="decimal"/>
      <w:lvlText w:val="[%1]"/>
      <w:lvlJc w:val="left"/>
      <w:pPr>
        <w:ind w:left="360" w:hanging="360"/>
      </w:pPr>
      <w:rPr>
        <w:rFonts w:ascii="Times New Roman" w:hAnsi="Times New Roman"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05BF8"/>
    <w:multiLevelType w:val="hybridMultilevel"/>
    <w:tmpl w:val="1FAEC7DC"/>
    <w:lvl w:ilvl="0" w:tplc="FAB24326">
      <w:start w:val="1"/>
      <w:numFmt w:val="lowerLetter"/>
      <w:lvlText w:val="%1."/>
      <w:lvlJc w:val="left"/>
      <w:pPr>
        <w:ind w:left="1854" w:hanging="360"/>
      </w:pPr>
      <w:rPr>
        <w:b w:val="0"/>
        <w:bCs/>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6"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516A2"/>
    <w:multiLevelType w:val="multilevel"/>
    <w:tmpl w:val="8E7003B2"/>
    <w:numStyleLink w:val="JudgmentParagraphs"/>
  </w:abstractNum>
  <w:abstractNum w:abstractNumId="8" w15:restartNumberingAfterBreak="0">
    <w:nsid w:val="3B277C51"/>
    <w:multiLevelType w:val="hybridMultilevel"/>
    <w:tmpl w:val="DE503A9C"/>
    <w:lvl w:ilvl="0" w:tplc="5F66488E">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9"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B70A3"/>
    <w:multiLevelType w:val="hybridMultilevel"/>
    <w:tmpl w:val="333624C2"/>
    <w:lvl w:ilvl="0" w:tplc="7B62E8EA">
      <w:start w:val="1"/>
      <w:numFmt w:val="decimal"/>
      <w:pStyle w:val="MainParagraph"/>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6C00C3"/>
    <w:multiLevelType w:val="hybridMultilevel"/>
    <w:tmpl w:val="B9462C76"/>
    <w:lvl w:ilvl="0" w:tplc="78F0F68A">
      <w:start w:val="1"/>
      <w:numFmt w:val="lowerLetter"/>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2" w15:restartNumberingAfterBreak="0">
    <w:nsid w:val="5C9916E2"/>
    <w:multiLevelType w:val="hybridMultilevel"/>
    <w:tmpl w:val="C6A2AD26"/>
    <w:lvl w:ilvl="0" w:tplc="96DAD18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5EED6A38"/>
    <w:multiLevelType w:val="multilevel"/>
    <w:tmpl w:val="8E7003B2"/>
    <w:styleLink w:val="JudgmentParagraphs"/>
    <w:lvl w:ilvl="0">
      <w:start w:val="1"/>
      <w:numFmt w:val="decimal"/>
      <w:lvlText w:val="[%1]"/>
      <w:lvlJc w:val="left"/>
      <w:pPr>
        <w:ind w:left="0" w:firstLine="0"/>
      </w:pPr>
      <w:rPr>
        <w:rFonts w:ascii="Times New Roman" w:hAnsi="Times New Roman" w:hint="default"/>
        <w:sz w:val="28"/>
      </w:rPr>
    </w:lvl>
    <w:lvl w:ilvl="1">
      <w:start w:val="1"/>
      <w:numFmt w:val="none"/>
      <w:lvlText w:val="%2"/>
      <w:lvlJc w:val="left"/>
      <w:pPr>
        <w:ind w:left="720" w:hanging="720"/>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15:restartNumberingAfterBreak="0">
    <w:nsid w:val="787611DC"/>
    <w:multiLevelType w:val="hybridMultilevel"/>
    <w:tmpl w:val="18D6487A"/>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7FBB057D"/>
    <w:multiLevelType w:val="hybridMultilevel"/>
    <w:tmpl w:val="47FACBB0"/>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0"/>
  </w:num>
  <w:num w:numId="5">
    <w:abstractNumId w:val="14"/>
  </w:num>
  <w:num w:numId="6">
    <w:abstractNumId w:val="3"/>
  </w:num>
  <w:num w:numId="7">
    <w:abstractNumId w:val="13"/>
  </w:num>
  <w:num w:numId="8">
    <w:abstractNumId w:val="7"/>
  </w:num>
  <w:num w:numId="9">
    <w:abstractNumId w:val="1"/>
  </w:num>
  <w:num w:numId="10">
    <w:abstractNumId w:val="16"/>
  </w:num>
  <w:num w:numId="11">
    <w:abstractNumId w:val="10"/>
  </w:num>
  <w:num w:numId="12">
    <w:abstractNumId w:val="2"/>
  </w:num>
  <w:num w:numId="13">
    <w:abstractNumId w:val="15"/>
  </w:num>
  <w:num w:numId="14">
    <w:abstractNumId w:val="11"/>
  </w:num>
  <w:num w:numId="15">
    <w:abstractNumId w:val="8"/>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5D"/>
    <w:rsid w:val="000812FA"/>
    <w:rsid w:val="000867DC"/>
    <w:rsid w:val="00086E43"/>
    <w:rsid w:val="000D0D51"/>
    <w:rsid w:val="000F53DB"/>
    <w:rsid w:val="00127C5D"/>
    <w:rsid w:val="00143314"/>
    <w:rsid w:val="001922F6"/>
    <w:rsid w:val="001E0F8F"/>
    <w:rsid w:val="001F5970"/>
    <w:rsid w:val="00243384"/>
    <w:rsid w:val="0027701D"/>
    <w:rsid w:val="002C6F6C"/>
    <w:rsid w:val="003079CA"/>
    <w:rsid w:val="003129DD"/>
    <w:rsid w:val="00321645"/>
    <w:rsid w:val="00347F97"/>
    <w:rsid w:val="003926E0"/>
    <w:rsid w:val="00395047"/>
    <w:rsid w:val="003B2FA2"/>
    <w:rsid w:val="003D3E8C"/>
    <w:rsid w:val="003E49AF"/>
    <w:rsid w:val="003F2B8B"/>
    <w:rsid w:val="0043285A"/>
    <w:rsid w:val="00440E5D"/>
    <w:rsid w:val="004A01B1"/>
    <w:rsid w:val="00502D7E"/>
    <w:rsid w:val="005155E1"/>
    <w:rsid w:val="00533F06"/>
    <w:rsid w:val="00572126"/>
    <w:rsid w:val="005B5B19"/>
    <w:rsid w:val="00675EB4"/>
    <w:rsid w:val="006E5EE5"/>
    <w:rsid w:val="007404D1"/>
    <w:rsid w:val="00777B6B"/>
    <w:rsid w:val="00784254"/>
    <w:rsid w:val="007E4421"/>
    <w:rsid w:val="007E51DD"/>
    <w:rsid w:val="007E638B"/>
    <w:rsid w:val="008123F0"/>
    <w:rsid w:val="00820FF5"/>
    <w:rsid w:val="00836386"/>
    <w:rsid w:val="00852397"/>
    <w:rsid w:val="0086002B"/>
    <w:rsid w:val="00866B24"/>
    <w:rsid w:val="008C09DB"/>
    <w:rsid w:val="008C316F"/>
    <w:rsid w:val="00943943"/>
    <w:rsid w:val="00964ED0"/>
    <w:rsid w:val="00967D4E"/>
    <w:rsid w:val="00974606"/>
    <w:rsid w:val="00976A6B"/>
    <w:rsid w:val="009C2CC4"/>
    <w:rsid w:val="009C4183"/>
    <w:rsid w:val="009C474B"/>
    <w:rsid w:val="009F40D1"/>
    <w:rsid w:val="00A03101"/>
    <w:rsid w:val="00A06F57"/>
    <w:rsid w:val="00A46DED"/>
    <w:rsid w:val="00A53C5B"/>
    <w:rsid w:val="00B11A8F"/>
    <w:rsid w:val="00B22232"/>
    <w:rsid w:val="00B348FA"/>
    <w:rsid w:val="00B512D6"/>
    <w:rsid w:val="00B94F8E"/>
    <w:rsid w:val="00BB193F"/>
    <w:rsid w:val="00BF3211"/>
    <w:rsid w:val="00C4235C"/>
    <w:rsid w:val="00C6457B"/>
    <w:rsid w:val="00C936F8"/>
    <w:rsid w:val="00CA135F"/>
    <w:rsid w:val="00D50CF6"/>
    <w:rsid w:val="00D65B3A"/>
    <w:rsid w:val="00E074CE"/>
    <w:rsid w:val="00E16C9E"/>
    <w:rsid w:val="00E528A5"/>
    <w:rsid w:val="00E83C12"/>
    <w:rsid w:val="00E96205"/>
    <w:rsid w:val="00EA15D9"/>
    <w:rsid w:val="00ED6BFF"/>
    <w:rsid w:val="00FF1781"/>
    <w:rsid w:val="00FF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48B8D5"/>
  <w15:docId w15:val="{B83A1A7A-F648-42F9-88F5-FF2E95A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8FA"/>
    <w:rPr>
      <w:lang w:val="en-CA"/>
    </w:rPr>
  </w:style>
  <w:style w:type="paragraph" w:styleId="Heading2">
    <w:name w:val="heading 2"/>
    <w:basedOn w:val="Normal"/>
    <w:next w:val="Normal"/>
    <w:link w:val="Heading2Char"/>
    <w:rsid w:val="00820FF5"/>
    <w:pPr>
      <w:keepNext/>
      <w:spacing w:after="240" w:line="240" w:lineRule="auto"/>
      <w:outlineLvl w:val="1"/>
    </w:pPr>
    <w:rPr>
      <w:rFonts w:ascii="Times New Roman" w:eastAsia="Times New Roman" w:hAnsi="Times New Roman" w:cs="Arial"/>
      <w:b/>
      <w:bCs/>
      <w:iCs/>
      <w:sz w:val="24"/>
      <w:szCs w:val="28"/>
      <w:u w:val="single"/>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8123F0"/>
    <w:pPr>
      <w:spacing w:after="0" w:line="240" w:lineRule="auto"/>
      <w:jc w:val="both"/>
    </w:pPr>
    <w:rPr>
      <w:rFonts w:ascii="Arial" w:hAnsi="Arial"/>
    </w:rPr>
  </w:style>
  <w:style w:type="table" w:styleId="TableGrid">
    <w:name w:val="Table Grid"/>
    <w:basedOn w:val="TableNormal"/>
    <w:uiPriority w:val="59"/>
    <w:rsid w:val="00812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JudgmentParagraphs">
    <w:name w:val="Judgment Paragraphs"/>
    <w:uiPriority w:val="99"/>
    <w:rsid w:val="00E16C9E"/>
    <w:pPr>
      <w:numPr>
        <w:numId w:val="7"/>
      </w:numPr>
    </w:pPr>
  </w:style>
  <w:style w:type="character" w:customStyle="1" w:styleId="term01">
    <w:name w:val="term01"/>
    <w:basedOn w:val="DefaultParagraphFont"/>
    <w:rsid w:val="00B22232"/>
    <w:rPr>
      <w:shd w:val="clear" w:color="auto" w:fill="FFB4B4"/>
    </w:rPr>
  </w:style>
  <w:style w:type="character" w:customStyle="1" w:styleId="Heading2Char">
    <w:name w:val="Heading 2 Char"/>
    <w:basedOn w:val="DefaultParagraphFont"/>
    <w:link w:val="Heading2"/>
    <w:rsid w:val="00820FF5"/>
    <w:rPr>
      <w:rFonts w:ascii="Times New Roman" w:eastAsia="Times New Roman" w:hAnsi="Times New Roman" w:cs="Arial"/>
      <w:b/>
      <w:bCs/>
      <w:iCs/>
      <w:sz w:val="24"/>
      <w:szCs w:val="28"/>
      <w:u w:val="single"/>
      <w:lang w:val="en-CA" w:eastAsia="en-CA"/>
    </w:rPr>
  </w:style>
  <w:style w:type="paragraph" w:customStyle="1" w:styleId="MainParagraph">
    <w:name w:val="Main Paragraph"/>
    <w:basedOn w:val="Normal"/>
    <w:rsid w:val="00820FF5"/>
    <w:pPr>
      <w:numPr>
        <w:numId w:val="11"/>
      </w:numPr>
      <w:tabs>
        <w:tab w:val="left" w:pos="720"/>
      </w:tabs>
      <w:spacing w:after="240" w:line="360" w:lineRule="auto"/>
      <w:ind w:left="0" w:firstLine="0"/>
      <w:jc w:val="both"/>
    </w:pPr>
    <w:rPr>
      <w:rFonts w:ascii="Times New Roman" w:eastAsia="Times New Roman" w:hAnsi="Times New Roman" w:cs="Times New Roman"/>
      <w:sz w:val="24"/>
      <w:szCs w:val="24"/>
      <w:lang w:eastAsia="en-CA"/>
    </w:rPr>
  </w:style>
  <w:style w:type="character" w:styleId="FootnoteReference">
    <w:name w:val="footnote reference"/>
    <w:basedOn w:val="DefaultParagraphFont"/>
    <w:uiPriority w:val="99"/>
    <w:semiHidden/>
    <w:unhideWhenUsed/>
    <w:rsid w:val="00E96205"/>
    <w:rPr>
      <w:rFonts w:ascii="Times New Roman" w:hAnsi="Times New Roman"/>
      <w:sz w:val="28"/>
      <w:vertAlign w:val="superscript"/>
    </w:rPr>
  </w:style>
  <w:style w:type="character" w:styleId="Hyperlink">
    <w:name w:val="Hyperlink"/>
    <w:basedOn w:val="DefaultParagraphFont"/>
    <w:uiPriority w:val="99"/>
    <w:unhideWhenUsed/>
    <w:rsid w:val="00820FF5"/>
    <w:rPr>
      <w:color w:val="0000FF" w:themeColor="hyperlink"/>
      <w:u w:val="single"/>
    </w:rPr>
  </w:style>
  <w:style w:type="character" w:customStyle="1" w:styleId="ListParagraphChar">
    <w:name w:val="List Paragraph Char"/>
    <w:basedOn w:val="DefaultParagraphFont"/>
    <w:link w:val="ListParagraph"/>
    <w:uiPriority w:val="34"/>
    <w:rsid w:val="00820FF5"/>
    <w:rPr>
      <w:lang w:val="en-CA"/>
    </w:rPr>
  </w:style>
  <w:style w:type="paragraph" w:styleId="FootnoteText">
    <w:name w:val="footnote text"/>
    <w:basedOn w:val="Normal"/>
    <w:link w:val="FootnoteTextChar"/>
    <w:uiPriority w:val="99"/>
    <w:semiHidden/>
    <w:unhideWhenUsed/>
    <w:rsid w:val="00820FF5"/>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uiPriority w:val="99"/>
    <w:semiHidden/>
    <w:rsid w:val="00820FF5"/>
    <w:rPr>
      <w:rFonts w:ascii="Times New Roman" w:eastAsia="Times New Roman" w:hAnsi="Times New Roman" w:cs="Times New Roman"/>
      <w:sz w:val="20"/>
      <w:szCs w:val="20"/>
      <w:lang w:val="en-CA" w:eastAsia="en-CA"/>
    </w:rPr>
  </w:style>
  <w:style w:type="character" w:styleId="Strong">
    <w:name w:val="Strong"/>
    <w:uiPriority w:val="22"/>
    <w:rsid w:val="005155E1"/>
    <w:rPr>
      <w:b/>
    </w:rPr>
  </w:style>
  <w:style w:type="paragraph" w:customStyle="1" w:styleId="Party-UsedinTable">
    <w:name w:val="Party - Used in Table"/>
    <w:basedOn w:val="Normal"/>
    <w:rsid w:val="005155E1"/>
    <w:pPr>
      <w:spacing w:after="24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nlii.org/en/nl/nlca/doc/2013/2013nlca68/2013nlca68.html?autocompleteStr=2013%20NLCA%2068&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FF73-1C4C-4A85-91C2-4D116FEF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16</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26287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O'Rourke</dc:creator>
  <cp:lastModifiedBy>Shirley Mair</cp:lastModifiedBy>
  <cp:revision>12</cp:revision>
  <cp:lastPrinted>2022-07-15T16:02:00Z</cp:lastPrinted>
  <dcterms:created xsi:type="dcterms:W3CDTF">2022-07-12T19:44:00Z</dcterms:created>
  <dcterms:modified xsi:type="dcterms:W3CDTF">2022-07-15T16:07:00Z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2022-07-12T17:47:10Z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d06f599b-24a1-421c-93fa-d4e9ff452d32</vt:lpwstr>
  </property>
  <property fmtid="{D5CDD505-2E9C-101B-9397-08002B2CF9AE}" pid="8" name="MSIP_Label_034a106e-6316-442c-ad35-738afd673d2b_ContentBits">
    <vt:lpwstr>0</vt:lpwstr>
  </property>
</Properties>
</file>