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8E" w:rsidRPr="0032647A" w:rsidRDefault="00505DEE" w:rsidP="00B94F8E">
      <w:pPr>
        <w:spacing w:after="0" w:line="240" w:lineRule="auto"/>
        <w:rPr>
          <w:rFonts w:ascii="Times New Roman" w:hAnsi="Times New Roman" w:cs="Times New Roman"/>
          <w:sz w:val="24"/>
          <w:szCs w:val="24"/>
        </w:rPr>
      </w:pPr>
      <w:r>
        <w:rPr>
          <w:rFonts w:ascii="Times New Roman" w:hAnsi="Times New Roman" w:cs="Times New Roman"/>
          <w:i/>
          <w:sz w:val="24"/>
          <w:szCs w:val="24"/>
        </w:rPr>
        <w:t>Raven Tours Ltd v GNWT et al</w:t>
      </w:r>
      <w:r w:rsidR="00897537">
        <w:rPr>
          <w:rFonts w:ascii="Times New Roman" w:hAnsi="Times New Roman" w:cs="Times New Roman"/>
          <w:sz w:val="24"/>
          <w:szCs w:val="24"/>
        </w:rPr>
        <w:t xml:space="preserve">, </w:t>
      </w:r>
      <w:r>
        <w:rPr>
          <w:rFonts w:ascii="Times New Roman" w:hAnsi="Times New Roman" w:cs="Times New Roman"/>
          <w:sz w:val="24"/>
          <w:szCs w:val="24"/>
        </w:rPr>
        <w:t>2022</w:t>
      </w:r>
      <w:r w:rsidR="002E6F4B">
        <w:rPr>
          <w:rFonts w:ascii="Times New Roman" w:hAnsi="Times New Roman" w:cs="Times New Roman"/>
          <w:sz w:val="24"/>
          <w:szCs w:val="24"/>
        </w:rPr>
        <w:t xml:space="preserve"> NWTSC</w:t>
      </w:r>
      <w:r>
        <w:rPr>
          <w:rFonts w:ascii="Times New Roman" w:hAnsi="Times New Roman" w:cs="Times New Roman"/>
          <w:sz w:val="24"/>
          <w:szCs w:val="24"/>
        </w:rPr>
        <w:t xml:space="preserve"> </w:t>
      </w:r>
      <w:r w:rsidR="00897537">
        <w:rPr>
          <w:rFonts w:ascii="Times New Roman" w:hAnsi="Times New Roman" w:cs="Times New Roman"/>
          <w:sz w:val="24"/>
          <w:szCs w:val="24"/>
        </w:rPr>
        <w:t>13</w:t>
      </w:r>
    </w:p>
    <w:p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505DEE">
        <w:rPr>
          <w:rFonts w:ascii="Times New Roman" w:hAnsi="Times New Roman" w:cs="Times New Roman"/>
          <w:sz w:val="28"/>
          <w:szCs w:val="28"/>
        </w:rPr>
        <w:t>22</w:t>
      </w:r>
      <w:r w:rsidR="00B94F8E" w:rsidRPr="0032647A">
        <w:rPr>
          <w:rFonts w:ascii="Times New Roman" w:hAnsi="Times New Roman" w:cs="Times New Roman"/>
          <w:sz w:val="28"/>
          <w:szCs w:val="28"/>
        </w:rPr>
        <w:t xml:space="preserve"> </w:t>
      </w:r>
      <w:r w:rsidR="00121A45">
        <w:rPr>
          <w:rFonts w:ascii="Times New Roman" w:hAnsi="Times New Roman" w:cs="Times New Roman"/>
          <w:sz w:val="28"/>
          <w:szCs w:val="28"/>
        </w:rPr>
        <w:t>06</w:t>
      </w:r>
      <w:r w:rsidR="00B8315E">
        <w:rPr>
          <w:rFonts w:ascii="Times New Roman" w:hAnsi="Times New Roman" w:cs="Times New Roman"/>
          <w:sz w:val="28"/>
          <w:szCs w:val="28"/>
        </w:rPr>
        <w:t xml:space="preserve"> 14</w:t>
      </w:r>
    </w:p>
    <w:p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3079CA" w:rsidRPr="0032647A">
        <w:rPr>
          <w:rFonts w:ascii="Times New Roman" w:hAnsi="Times New Roman" w:cs="Times New Roman"/>
          <w:sz w:val="28"/>
          <w:szCs w:val="28"/>
        </w:rPr>
        <w:t>S-</w:t>
      </w:r>
      <w:r w:rsidR="00B94F8E" w:rsidRPr="0032647A">
        <w:rPr>
          <w:rFonts w:ascii="Times New Roman" w:hAnsi="Times New Roman" w:cs="Times New Roman"/>
          <w:sz w:val="28"/>
          <w:szCs w:val="28"/>
        </w:rPr>
        <w:t>1-</w:t>
      </w:r>
      <w:r w:rsidR="00505DEE">
        <w:rPr>
          <w:rFonts w:ascii="Times New Roman" w:hAnsi="Times New Roman" w:cs="Times New Roman"/>
          <w:sz w:val="28"/>
          <w:szCs w:val="28"/>
        </w:rPr>
        <w:t>CV 2021 000</w:t>
      </w:r>
      <w:r w:rsidR="00656E45">
        <w:rPr>
          <w:rFonts w:ascii="Times New Roman" w:hAnsi="Times New Roman" w:cs="Times New Roman"/>
          <w:sz w:val="28"/>
          <w:szCs w:val="28"/>
        </w:rPr>
        <w:t xml:space="preserve"> </w:t>
      </w:r>
      <w:r w:rsidR="00505DEE">
        <w:rPr>
          <w:rFonts w:ascii="Times New Roman" w:hAnsi="Times New Roman" w:cs="Times New Roman"/>
          <w:sz w:val="28"/>
          <w:szCs w:val="28"/>
        </w:rPr>
        <w:t>265</w:t>
      </w:r>
    </w:p>
    <w:p w:rsidR="00505DEE" w:rsidRDefault="00505DEE" w:rsidP="006405BB">
      <w:pPr>
        <w:rPr>
          <w:rFonts w:ascii="Times New Roman" w:hAnsi="Times New Roman" w:cs="Times New Roman"/>
          <w:b/>
          <w:sz w:val="28"/>
          <w:szCs w:val="28"/>
        </w:rPr>
      </w:pPr>
    </w:p>
    <w:p w:rsidR="00896674" w:rsidRDefault="00896674" w:rsidP="00896674">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rsidR="00896674" w:rsidRDefault="00896674" w:rsidP="00896674">
      <w:pPr>
        <w:rPr>
          <w:rFonts w:ascii="Times New Roman" w:hAnsi="Times New Roman" w:cs="Times New Roman"/>
          <w:b/>
          <w:sz w:val="28"/>
          <w:szCs w:val="28"/>
        </w:rPr>
      </w:pPr>
      <w:r>
        <w:rPr>
          <w:rFonts w:ascii="Times New Roman" w:hAnsi="Times New Roman" w:cs="Times New Roman"/>
          <w:b/>
          <w:sz w:val="28"/>
          <w:szCs w:val="28"/>
        </w:rPr>
        <w:t>BETWEEN:</w:t>
      </w:r>
    </w:p>
    <w:p w:rsidR="00C52F4C" w:rsidRDefault="006405BB"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RAVEN TOURS LTD.</w:t>
      </w:r>
    </w:p>
    <w:p w:rsidR="00656E45" w:rsidRDefault="00656E45" w:rsidP="00C72AB7">
      <w:pPr>
        <w:spacing w:after="0" w:line="240" w:lineRule="auto"/>
        <w:jc w:val="right"/>
        <w:rPr>
          <w:rFonts w:ascii="Times New Roman" w:hAnsi="Times New Roman" w:cs="Times New Roman"/>
          <w:b/>
          <w:sz w:val="28"/>
          <w:szCs w:val="28"/>
        </w:rPr>
      </w:pPr>
    </w:p>
    <w:p w:rsidR="00896674" w:rsidRDefault="006405BB" w:rsidP="00C72AB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Applicant</w:t>
      </w:r>
    </w:p>
    <w:p w:rsidR="00896674" w:rsidRDefault="00896674" w:rsidP="00C72AB7">
      <w:pPr>
        <w:spacing w:after="0" w:line="240" w:lineRule="auto"/>
        <w:rPr>
          <w:rFonts w:ascii="Times New Roman" w:hAnsi="Times New Roman" w:cs="Times New Roman"/>
          <w:sz w:val="28"/>
          <w:szCs w:val="28"/>
        </w:rPr>
      </w:pPr>
    </w:p>
    <w:p w:rsidR="00896674" w:rsidRDefault="00896674"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896674" w:rsidRDefault="00896674" w:rsidP="00C72AB7">
      <w:pPr>
        <w:spacing w:after="0" w:line="240" w:lineRule="auto"/>
        <w:rPr>
          <w:rFonts w:ascii="Times New Roman" w:hAnsi="Times New Roman" w:cs="Times New Roman"/>
          <w:sz w:val="28"/>
          <w:szCs w:val="28"/>
        </w:rPr>
      </w:pPr>
    </w:p>
    <w:p w:rsidR="00C72AB7" w:rsidRDefault="00C72AB7" w:rsidP="00C72AB7">
      <w:pPr>
        <w:spacing w:after="0" w:line="240" w:lineRule="auto"/>
        <w:rPr>
          <w:rFonts w:ascii="Times New Roman" w:hAnsi="Times New Roman" w:cs="Times New Roman"/>
          <w:sz w:val="28"/>
          <w:szCs w:val="28"/>
        </w:rPr>
      </w:pPr>
    </w:p>
    <w:p w:rsidR="00896674" w:rsidRDefault="006405BB"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INDUSTRY, TOURISM AND INVESTMENT</w:t>
      </w:r>
    </w:p>
    <w:p w:rsidR="006405BB" w:rsidRDefault="006405BB"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GOVERNMENT OF THE NORTHWEST TERRITORIES</w:t>
      </w:r>
    </w:p>
    <w:p w:rsidR="006405BB" w:rsidRDefault="006405BB" w:rsidP="00C72AB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656E45" w:rsidRDefault="00656E45" w:rsidP="00C72AB7">
      <w:pPr>
        <w:spacing w:after="0" w:line="240" w:lineRule="auto"/>
        <w:jc w:val="right"/>
        <w:rPr>
          <w:rFonts w:ascii="Times New Roman" w:hAnsi="Times New Roman" w:cs="Times New Roman"/>
          <w:b/>
          <w:sz w:val="28"/>
          <w:szCs w:val="28"/>
        </w:rPr>
      </w:pPr>
    </w:p>
    <w:p w:rsidR="00896674" w:rsidRDefault="00896674" w:rsidP="00C72AB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Respondent</w:t>
      </w:r>
    </w:p>
    <w:p w:rsidR="00C72AB7" w:rsidRDefault="00C72AB7" w:rsidP="00F45E3D">
      <w:pPr>
        <w:jc w:val="center"/>
        <w:rPr>
          <w:rFonts w:ascii="Times New Roman" w:hAnsi="Times New Roman" w:cs="Times New Roman"/>
          <w:b/>
          <w:sz w:val="28"/>
          <w:szCs w:val="28"/>
        </w:rPr>
      </w:pPr>
    </w:p>
    <w:p w:rsidR="003D3E8C" w:rsidRPr="00F45E3D" w:rsidRDefault="00AE709E" w:rsidP="00F45E3D">
      <w:pPr>
        <w:jc w:val="center"/>
        <w:rPr>
          <w:rFonts w:ascii="Times New Roman" w:hAnsi="Times New Roman" w:cs="Times New Roman"/>
          <w:b/>
          <w:sz w:val="28"/>
          <w:szCs w:val="28"/>
        </w:rPr>
      </w:pPr>
      <w:r>
        <w:rPr>
          <w:rFonts w:ascii="Times New Roman" w:hAnsi="Times New Roman" w:cs="Times New Roman"/>
          <w:b/>
          <w:sz w:val="28"/>
          <w:szCs w:val="28"/>
        </w:rPr>
        <w:t xml:space="preserve">MEMORANDUM </w:t>
      </w:r>
      <w:r w:rsidR="00C52F4C">
        <w:rPr>
          <w:rFonts w:ascii="Times New Roman" w:hAnsi="Times New Roman" w:cs="Times New Roman"/>
          <w:b/>
          <w:sz w:val="28"/>
          <w:szCs w:val="28"/>
        </w:rPr>
        <w:t>OF JUDGMENT</w:t>
      </w:r>
    </w:p>
    <w:p w:rsidR="003D3E8C" w:rsidRPr="0032647A" w:rsidRDefault="003D3E8C" w:rsidP="009C474B">
      <w:pPr>
        <w:pStyle w:val="ListParagraph"/>
        <w:spacing w:after="0" w:line="240" w:lineRule="auto"/>
        <w:ind w:left="0"/>
        <w:jc w:val="center"/>
        <w:rPr>
          <w:rFonts w:ascii="Times New Roman" w:hAnsi="Times New Roman" w:cs="Times New Roman"/>
          <w:sz w:val="28"/>
          <w:szCs w:val="28"/>
        </w:rPr>
      </w:pPr>
    </w:p>
    <w:p w:rsidR="002E6F4B" w:rsidRPr="002E6F4B" w:rsidRDefault="002E6F4B" w:rsidP="002E6F4B">
      <w:pPr>
        <w:pStyle w:val="ListParagraph"/>
        <w:spacing w:after="240" w:line="240" w:lineRule="auto"/>
        <w:ind w:left="0"/>
        <w:contextualSpacing w:val="0"/>
        <w:jc w:val="both"/>
        <w:rPr>
          <w:rFonts w:ascii="Times New Roman" w:hAnsi="Times New Roman" w:cs="Times New Roman"/>
          <w:b/>
          <w:sz w:val="28"/>
          <w:szCs w:val="28"/>
        </w:rPr>
      </w:pPr>
      <w:r w:rsidRPr="002E6F4B">
        <w:rPr>
          <w:rFonts w:ascii="Times New Roman" w:hAnsi="Times New Roman" w:cs="Times New Roman"/>
          <w:b/>
          <w:sz w:val="28"/>
          <w:szCs w:val="28"/>
        </w:rPr>
        <w:t>INTRODUCTION</w:t>
      </w:r>
    </w:p>
    <w:p w:rsidR="00D162A0" w:rsidRPr="0069185B" w:rsidRDefault="00330511" w:rsidP="0069185B">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w:t>
      </w:r>
      <w:r w:rsidR="002913B3">
        <w:rPr>
          <w:rFonts w:ascii="Times New Roman" w:hAnsi="Times New Roman" w:cs="Times New Roman"/>
          <w:sz w:val="28"/>
          <w:szCs w:val="28"/>
        </w:rPr>
        <w:t>he A</w:t>
      </w:r>
      <w:r w:rsidR="007D2D92">
        <w:rPr>
          <w:rFonts w:ascii="Times New Roman" w:hAnsi="Times New Roman" w:cs="Times New Roman"/>
          <w:sz w:val="28"/>
          <w:szCs w:val="28"/>
        </w:rPr>
        <w:t>ttorney General</w:t>
      </w:r>
      <w:r>
        <w:rPr>
          <w:rFonts w:ascii="Times New Roman" w:hAnsi="Times New Roman" w:cs="Times New Roman"/>
          <w:sz w:val="28"/>
          <w:szCs w:val="28"/>
        </w:rPr>
        <w:t xml:space="preserve"> f</w:t>
      </w:r>
      <w:r w:rsidR="00B8315E">
        <w:rPr>
          <w:rFonts w:ascii="Times New Roman" w:hAnsi="Times New Roman" w:cs="Times New Roman"/>
          <w:sz w:val="28"/>
          <w:szCs w:val="28"/>
        </w:rPr>
        <w:t xml:space="preserve">or the Northwest Territories seeks an order dismissing </w:t>
      </w:r>
      <w:r w:rsidR="004F6C30">
        <w:rPr>
          <w:rFonts w:ascii="Times New Roman" w:hAnsi="Times New Roman" w:cs="Times New Roman"/>
          <w:sz w:val="28"/>
          <w:szCs w:val="28"/>
        </w:rPr>
        <w:t xml:space="preserve">Raven Tours Ltd.’s application for judicial review by reason of lack of jurisdiction. </w:t>
      </w:r>
      <w:r w:rsidR="001919B4">
        <w:rPr>
          <w:rFonts w:ascii="Times New Roman" w:hAnsi="Times New Roman" w:cs="Times New Roman"/>
          <w:sz w:val="28"/>
          <w:szCs w:val="28"/>
        </w:rPr>
        <w:t xml:space="preserve"> </w:t>
      </w:r>
    </w:p>
    <w:p w:rsidR="007D2D92" w:rsidRPr="007D2D92" w:rsidRDefault="007D2D92" w:rsidP="007D2D92">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BACKGROUND</w:t>
      </w:r>
    </w:p>
    <w:p w:rsidR="002E4D86" w:rsidRDefault="002166B5" w:rsidP="005C066A">
      <w:pPr>
        <w:pStyle w:val="ListParagraph"/>
        <w:numPr>
          <w:ilvl w:val="0"/>
          <w:numId w:val="10"/>
        </w:numPr>
        <w:spacing w:after="240" w:line="240" w:lineRule="auto"/>
        <w:contextualSpacing w:val="0"/>
        <w:jc w:val="both"/>
        <w:rPr>
          <w:rFonts w:ascii="Times New Roman" w:hAnsi="Times New Roman" w:cs="Times New Roman"/>
          <w:sz w:val="28"/>
          <w:szCs w:val="28"/>
        </w:rPr>
      </w:pPr>
      <w:r w:rsidRPr="002E4D86">
        <w:rPr>
          <w:rFonts w:ascii="Times New Roman" w:hAnsi="Times New Roman" w:cs="Times New Roman"/>
          <w:sz w:val="28"/>
          <w:szCs w:val="28"/>
        </w:rPr>
        <w:t>In 2021, t</w:t>
      </w:r>
      <w:r w:rsidR="002913B3" w:rsidRPr="002E4D86">
        <w:rPr>
          <w:rFonts w:ascii="Times New Roman" w:hAnsi="Times New Roman" w:cs="Times New Roman"/>
          <w:sz w:val="28"/>
          <w:szCs w:val="28"/>
        </w:rPr>
        <w:t>he Governmen</w:t>
      </w:r>
      <w:r w:rsidR="002E4D86" w:rsidRPr="002E4D86">
        <w:rPr>
          <w:rFonts w:ascii="Times New Roman" w:hAnsi="Times New Roman" w:cs="Times New Roman"/>
          <w:sz w:val="28"/>
          <w:szCs w:val="28"/>
        </w:rPr>
        <w:t xml:space="preserve">t of the Northwest Territories (“GNWT”) </w:t>
      </w:r>
      <w:r w:rsidR="002913B3" w:rsidRPr="002E4D86">
        <w:rPr>
          <w:rFonts w:ascii="Times New Roman" w:hAnsi="Times New Roman" w:cs="Times New Roman"/>
          <w:sz w:val="28"/>
          <w:szCs w:val="28"/>
        </w:rPr>
        <w:t xml:space="preserve">through </w:t>
      </w:r>
      <w:r w:rsidR="004F6C30">
        <w:rPr>
          <w:rFonts w:ascii="Times New Roman" w:hAnsi="Times New Roman" w:cs="Times New Roman"/>
          <w:sz w:val="28"/>
          <w:szCs w:val="28"/>
        </w:rPr>
        <w:t>the Department of Industry, Tourism and Investment (“</w:t>
      </w:r>
      <w:r w:rsidR="002913B3" w:rsidRPr="002E4D86">
        <w:rPr>
          <w:rFonts w:ascii="Times New Roman" w:hAnsi="Times New Roman" w:cs="Times New Roman"/>
          <w:sz w:val="28"/>
          <w:szCs w:val="28"/>
        </w:rPr>
        <w:t>ITI</w:t>
      </w:r>
      <w:r w:rsidR="004F6C30">
        <w:rPr>
          <w:rFonts w:ascii="Times New Roman" w:hAnsi="Times New Roman" w:cs="Times New Roman"/>
          <w:sz w:val="28"/>
          <w:szCs w:val="28"/>
        </w:rPr>
        <w:t>”)</w:t>
      </w:r>
      <w:r w:rsidR="002913B3" w:rsidRPr="002E4D86">
        <w:rPr>
          <w:rFonts w:ascii="Times New Roman" w:hAnsi="Times New Roman" w:cs="Times New Roman"/>
          <w:sz w:val="28"/>
          <w:szCs w:val="28"/>
        </w:rPr>
        <w:t xml:space="preserve">, created the Pandemic Relief Extension Program (“PREP”) to provide financial assistance to licensed tourism operators adversely affected by </w:t>
      </w:r>
      <w:r w:rsidRPr="002E4D86">
        <w:rPr>
          <w:rFonts w:ascii="Times New Roman" w:hAnsi="Times New Roman" w:cs="Times New Roman"/>
          <w:sz w:val="28"/>
          <w:szCs w:val="28"/>
        </w:rPr>
        <w:t xml:space="preserve">the COVID-19 pandemic. </w:t>
      </w:r>
      <w:r w:rsidR="00121A45">
        <w:rPr>
          <w:rFonts w:ascii="Times New Roman" w:hAnsi="Times New Roman" w:cs="Times New Roman"/>
          <w:sz w:val="28"/>
          <w:szCs w:val="28"/>
        </w:rPr>
        <w:t xml:space="preserve"> </w:t>
      </w:r>
      <w:r w:rsidR="00975E21" w:rsidRPr="002E4D86">
        <w:rPr>
          <w:rFonts w:ascii="Times New Roman" w:hAnsi="Times New Roman" w:cs="Times New Roman"/>
          <w:sz w:val="28"/>
          <w:szCs w:val="28"/>
        </w:rPr>
        <w:t>Funding for</w:t>
      </w:r>
      <w:r w:rsidR="002E4D86" w:rsidRPr="002E4D86">
        <w:rPr>
          <w:rFonts w:ascii="Times New Roman" w:hAnsi="Times New Roman" w:cs="Times New Roman"/>
          <w:sz w:val="28"/>
          <w:szCs w:val="28"/>
        </w:rPr>
        <w:t xml:space="preserve"> PREP comes from public funds, in this case a</w:t>
      </w:r>
      <w:r w:rsidR="00975E21" w:rsidRPr="002E4D86">
        <w:rPr>
          <w:rFonts w:ascii="Times New Roman" w:hAnsi="Times New Roman" w:cs="Times New Roman"/>
          <w:sz w:val="28"/>
          <w:szCs w:val="28"/>
        </w:rPr>
        <w:t xml:space="preserve">uthorized by </w:t>
      </w:r>
      <w:r w:rsidR="00975E21" w:rsidRPr="002E4D86">
        <w:rPr>
          <w:rFonts w:ascii="Times New Roman" w:hAnsi="Times New Roman" w:cs="Times New Roman"/>
          <w:i/>
          <w:sz w:val="28"/>
          <w:szCs w:val="28"/>
        </w:rPr>
        <w:t>Supplementary Appropriation Act (Operations Expenditures)</w:t>
      </w:r>
      <w:r w:rsidR="00E536E1" w:rsidRPr="002E4D86">
        <w:rPr>
          <w:rFonts w:ascii="Times New Roman" w:hAnsi="Times New Roman" w:cs="Times New Roman"/>
          <w:i/>
          <w:sz w:val="28"/>
          <w:szCs w:val="28"/>
        </w:rPr>
        <w:t xml:space="preserve">, No 1, 2021-2022. </w:t>
      </w:r>
      <w:r w:rsidR="00FA2787">
        <w:rPr>
          <w:rFonts w:ascii="Times New Roman" w:hAnsi="Times New Roman" w:cs="Times New Roman"/>
          <w:i/>
          <w:sz w:val="28"/>
          <w:szCs w:val="28"/>
        </w:rPr>
        <w:t xml:space="preserve"> </w:t>
      </w:r>
      <w:r w:rsidR="00E536E1" w:rsidRPr="002E4D86">
        <w:rPr>
          <w:rFonts w:ascii="Times New Roman" w:hAnsi="Times New Roman" w:cs="Times New Roman"/>
          <w:sz w:val="28"/>
          <w:szCs w:val="28"/>
        </w:rPr>
        <w:t xml:space="preserve">ITI </w:t>
      </w:r>
      <w:r w:rsidR="00663C66" w:rsidRPr="002E4D86">
        <w:rPr>
          <w:rFonts w:ascii="Times New Roman" w:hAnsi="Times New Roman" w:cs="Times New Roman"/>
          <w:sz w:val="28"/>
          <w:szCs w:val="28"/>
        </w:rPr>
        <w:t>received</w:t>
      </w:r>
      <w:r w:rsidR="00E536E1" w:rsidRPr="002E4D86">
        <w:rPr>
          <w:rFonts w:ascii="Times New Roman" w:hAnsi="Times New Roman" w:cs="Times New Roman"/>
          <w:sz w:val="28"/>
          <w:szCs w:val="28"/>
        </w:rPr>
        <w:t xml:space="preserve"> </w:t>
      </w:r>
      <w:r w:rsidR="00663C66" w:rsidRPr="002E4D86">
        <w:rPr>
          <w:rFonts w:ascii="Times New Roman" w:hAnsi="Times New Roman" w:cs="Times New Roman"/>
          <w:sz w:val="28"/>
          <w:szCs w:val="28"/>
        </w:rPr>
        <w:t>$5.8 million in funding, $2.5 million of which it allocated to PREP.</w:t>
      </w:r>
      <w:r w:rsidR="002E4D86" w:rsidRPr="002E4D86">
        <w:rPr>
          <w:rFonts w:ascii="Times New Roman" w:hAnsi="Times New Roman" w:cs="Times New Roman"/>
          <w:sz w:val="28"/>
          <w:szCs w:val="28"/>
        </w:rPr>
        <w:t xml:space="preserve"> </w:t>
      </w:r>
    </w:p>
    <w:p w:rsidR="00CD7830" w:rsidRPr="00261037" w:rsidRDefault="00CD7830" w:rsidP="00CD7830">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Information about </w:t>
      </w:r>
      <w:r w:rsidRPr="00261037">
        <w:rPr>
          <w:rFonts w:ascii="Times New Roman" w:hAnsi="Times New Roman" w:cs="Times New Roman"/>
          <w:sz w:val="28"/>
          <w:szCs w:val="28"/>
        </w:rPr>
        <w:t>the PREP</w:t>
      </w:r>
      <w:r w:rsidR="004F6C30">
        <w:rPr>
          <w:rFonts w:ascii="Times New Roman" w:hAnsi="Times New Roman" w:cs="Times New Roman"/>
          <w:sz w:val="28"/>
          <w:szCs w:val="28"/>
        </w:rPr>
        <w:t xml:space="preserve"> is set out in a brochure p</w:t>
      </w:r>
      <w:r w:rsidRPr="00261037">
        <w:rPr>
          <w:rFonts w:ascii="Times New Roman" w:hAnsi="Times New Roman" w:cs="Times New Roman"/>
          <w:sz w:val="28"/>
          <w:szCs w:val="28"/>
        </w:rPr>
        <w:t xml:space="preserve">ublished by ITI and contained in the Record at Tab 2. </w:t>
      </w:r>
      <w:r w:rsidR="00121A45">
        <w:rPr>
          <w:rFonts w:ascii="Times New Roman" w:hAnsi="Times New Roman" w:cs="Times New Roman"/>
          <w:sz w:val="28"/>
          <w:szCs w:val="28"/>
        </w:rPr>
        <w:t xml:space="preserve"> </w:t>
      </w:r>
      <w:r w:rsidR="004F6C30">
        <w:rPr>
          <w:rFonts w:ascii="Times New Roman" w:hAnsi="Times New Roman" w:cs="Times New Roman"/>
          <w:sz w:val="28"/>
          <w:szCs w:val="28"/>
        </w:rPr>
        <w:t xml:space="preserve">The funding is conditional.  </w:t>
      </w:r>
      <w:r w:rsidRPr="00261037">
        <w:rPr>
          <w:rFonts w:ascii="Times New Roman" w:hAnsi="Times New Roman" w:cs="Times New Roman"/>
          <w:sz w:val="28"/>
          <w:szCs w:val="28"/>
        </w:rPr>
        <w:t xml:space="preserve">Funds may not be used to generate a profit for the recipient. </w:t>
      </w:r>
      <w:r w:rsidR="00121A45">
        <w:rPr>
          <w:rFonts w:ascii="Times New Roman" w:hAnsi="Times New Roman" w:cs="Times New Roman"/>
          <w:sz w:val="28"/>
          <w:szCs w:val="28"/>
        </w:rPr>
        <w:t xml:space="preserve"> </w:t>
      </w:r>
      <w:r w:rsidRPr="00261037">
        <w:rPr>
          <w:rFonts w:ascii="Times New Roman" w:hAnsi="Times New Roman" w:cs="Times New Roman"/>
          <w:sz w:val="28"/>
          <w:szCs w:val="28"/>
        </w:rPr>
        <w:t xml:space="preserve">There are mid-term and final reporting </w:t>
      </w:r>
      <w:r w:rsidR="004F6C30">
        <w:rPr>
          <w:rFonts w:ascii="Times New Roman" w:hAnsi="Times New Roman" w:cs="Times New Roman"/>
          <w:sz w:val="28"/>
          <w:szCs w:val="28"/>
        </w:rPr>
        <w:t xml:space="preserve">requirements under which </w:t>
      </w:r>
      <w:r w:rsidRPr="00261037">
        <w:rPr>
          <w:rFonts w:ascii="Times New Roman" w:hAnsi="Times New Roman" w:cs="Times New Roman"/>
          <w:sz w:val="28"/>
          <w:szCs w:val="28"/>
        </w:rPr>
        <w:t xml:space="preserve">recipients </w:t>
      </w:r>
      <w:r w:rsidR="004F6C30">
        <w:rPr>
          <w:rFonts w:ascii="Times New Roman" w:hAnsi="Times New Roman" w:cs="Times New Roman"/>
          <w:sz w:val="28"/>
          <w:szCs w:val="28"/>
        </w:rPr>
        <w:t>must</w:t>
      </w:r>
      <w:r w:rsidRPr="00261037">
        <w:rPr>
          <w:rFonts w:ascii="Times New Roman" w:hAnsi="Times New Roman" w:cs="Times New Roman"/>
          <w:sz w:val="28"/>
          <w:szCs w:val="28"/>
        </w:rPr>
        <w:t xml:space="preserve"> demonstrate no profit </w:t>
      </w:r>
      <w:r w:rsidR="004F6C30">
        <w:rPr>
          <w:rFonts w:ascii="Times New Roman" w:hAnsi="Times New Roman" w:cs="Times New Roman"/>
          <w:sz w:val="28"/>
          <w:szCs w:val="28"/>
        </w:rPr>
        <w:t>has been</w:t>
      </w:r>
      <w:r w:rsidRPr="00261037">
        <w:rPr>
          <w:rFonts w:ascii="Times New Roman" w:hAnsi="Times New Roman" w:cs="Times New Roman"/>
          <w:sz w:val="28"/>
          <w:szCs w:val="28"/>
        </w:rPr>
        <w:t xml:space="preserve"> generated as a result of the funding and they are required to repay any amounts which result in a profit. </w:t>
      </w:r>
    </w:p>
    <w:p w:rsidR="00CD7830" w:rsidRDefault="00CD7830" w:rsidP="00CD7830">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With respect to eligibility, the brochure states tourism operators that have defaulted previously on a Government repayment plan or loan from the Business Development</w:t>
      </w:r>
      <w:r w:rsidR="004F6C30">
        <w:rPr>
          <w:rFonts w:ascii="Times New Roman" w:hAnsi="Times New Roman" w:cs="Times New Roman"/>
          <w:sz w:val="28"/>
          <w:szCs w:val="28"/>
        </w:rPr>
        <w:t xml:space="preserve"> and Investment Corporation are ineligible</w:t>
      </w:r>
      <w:r>
        <w:rPr>
          <w:rFonts w:ascii="Times New Roman" w:hAnsi="Times New Roman" w:cs="Times New Roman"/>
          <w:sz w:val="28"/>
          <w:szCs w:val="28"/>
        </w:rPr>
        <w:t xml:space="preserve"> for funding through </w:t>
      </w:r>
      <w:r w:rsidR="004F6C30">
        <w:rPr>
          <w:rFonts w:ascii="Times New Roman" w:hAnsi="Times New Roman" w:cs="Times New Roman"/>
          <w:sz w:val="28"/>
          <w:szCs w:val="28"/>
        </w:rPr>
        <w:t xml:space="preserve">the </w:t>
      </w:r>
      <w:r>
        <w:rPr>
          <w:rFonts w:ascii="Times New Roman" w:hAnsi="Times New Roman" w:cs="Times New Roman"/>
          <w:sz w:val="28"/>
          <w:szCs w:val="28"/>
        </w:rPr>
        <w:t>PREP.</w:t>
      </w:r>
    </w:p>
    <w:p w:rsidR="00CD7830" w:rsidRPr="00CD7830" w:rsidRDefault="00CD7830" w:rsidP="00CD7830">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appeal process is also set out in the brochure.  </w:t>
      </w:r>
      <w:r w:rsidR="004F6C30">
        <w:rPr>
          <w:rFonts w:ascii="Times New Roman" w:hAnsi="Times New Roman" w:cs="Times New Roman"/>
          <w:sz w:val="28"/>
          <w:szCs w:val="28"/>
        </w:rPr>
        <w:t>Specifically, it states a</w:t>
      </w:r>
      <w:r>
        <w:rPr>
          <w:rFonts w:ascii="Times New Roman" w:hAnsi="Times New Roman" w:cs="Times New Roman"/>
          <w:sz w:val="28"/>
          <w:szCs w:val="28"/>
        </w:rPr>
        <w:t>n unsuccessful applicant can appeal in writing to the Assistant Deputy Mi</w:t>
      </w:r>
      <w:r w:rsidR="008D11E3">
        <w:rPr>
          <w:rFonts w:ascii="Times New Roman" w:hAnsi="Times New Roman" w:cs="Times New Roman"/>
          <w:sz w:val="28"/>
          <w:szCs w:val="28"/>
        </w:rPr>
        <w:t>nister, Economic Development, for</w:t>
      </w:r>
      <w:r>
        <w:rPr>
          <w:rFonts w:ascii="Times New Roman" w:hAnsi="Times New Roman" w:cs="Times New Roman"/>
          <w:sz w:val="28"/>
          <w:szCs w:val="28"/>
        </w:rPr>
        <w:t xml:space="preserve"> ITI.</w:t>
      </w:r>
    </w:p>
    <w:p w:rsidR="00D97CB3" w:rsidRDefault="004F6C30" w:rsidP="00D97CB3">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w:t>
      </w:r>
      <w:r w:rsidR="00CD7830">
        <w:rPr>
          <w:rFonts w:ascii="Times New Roman" w:hAnsi="Times New Roman" w:cs="Times New Roman"/>
          <w:sz w:val="28"/>
          <w:szCs w:val="28"/>
        </w:rPr>
        <w:t xml:space="preserve">PREP is a financial contribution program.  </w:t>
      </w:r>
      <w:r w:rsidR="00D97CB3" w:rsidRPr="00D97CB3">
        <w:rPr>
          <w:rFonts w:ascii="Times New Roman" w:hAnsi="Times New Roman" w:cs="Times New Roman"/>
          <w:sz w:val="28"/>
          <w:szCs w:val="28"/>
        </w:rPr>
        <w:t xml:space="preserve">In administering </w:t>
      </w:r>
      <w:r w:rsidR="00F7258B">
        <w:rPr>
          <w:rFonts w:ascii="Times New Roman" w:hAnsi="Times New Roman" w:cs="Times New Roman"/>
          <w:sz w:val="28"/>
          <w:szCs w:val="28"/>
        </w:rPr>
        <w:t xml:space="preserve">contributions, </w:t>
      </w:r>
      <w:r w:rsidR="00D97CB3">
        <w:rPr>
          <w:rFonts w:ascii="Times New Roman" w:hAnsi="Times New Roman" w:cs="Times New Roman"/>
          <w:sz w:val="28"/>
          <w:szCs w:val="28"/>
        </w:rPr>
        <w:t xml:space="preserve">the </w:t>
      </w:r>
      <w:r w:rsidR="00D97CB3" w:rsidRPr="00D97CB3">
        <w:rPr>
          <w:rFonts w:ascii="Times New Roman" w:hAnsi="Times New Roman" w:cs="Times New Roman"/>
          <w:sz w:val="28"/>
          <w:szCs w:val="28"/>
        </w:rPr>
        <w:t>GNWT</w:t>
      </w:r>
      <w:r w:rsidR="00D97CB3">
        <w:rPr>
          <w:rFonts w:ascii="Times New Roman" w:hAnsi="Times New Roman" w:cs="Times New Roman"/>
          <w:sz w:val="28"/>
          <w:szCs w:val="28"/>
        </w:rPr>
        <w:t>’s departments, boards and agencies are</w:t>
      </w:r>
      <w:r w:rsidR="00D97CB3" w:rsidRPr="00D97CB3">
        <w:rPr>
          <w:rFonts w:ascii="Times New Roman" w:hAnsi="Times New Roman" w:cs="Times New Roman"/>
          <w:sz w:val="28"/>
          <w:szCs w:val="28"/>
        </w:rPr>
        <w:t xml:space="preserve"> bound by the terms of the </w:t>
      </w:r>
      <w:r w:rsidR="00D97CB3">
        <w:rPr>
          <w:rFonts w:ascii="Times New Roman" w:hAnsi="Times New Roman" w:cs="Times New Roman"/>
          <w:i/>
          <w:sz w:val="28"/>
          <w:szCs w:val="28"/>
        </w:rPr>
        <w:t xml:space="preserve">Financial Administration Manual </w:t>
      </w:r>
      <w:r w:rsidR="00D97CB3">
        <w:rPr>
          <w:rFonts w:ascii="Times New Roman" w:hAnsi="Times New Roman" w:cs="Times New Roman"/>
          <w:sz w:val="28"/>
          <w:szCs w:val="28"/>
        </w:rPr>
        <w:t xml:space="preserve">(“FAM”).  The FAM is a collection of policies, procedures and interpretation bulletins which guide the operational aspects of public spending.  The FAM is created by the Financial Administration Board pursuant to s 10 of the </w:t>
      </w:r>
      <w:r w:rsidR="00D97CB3" w:rsidRPr="00D97CB3">
        <w:rPr>
          <w:rFonts w:ascii="Times New Roman" w:hAnsi="Times New Roman" w:cs="Times New Roman"/>
          <w:i/>
          <w:sz w:val="28"/>
          <w:szCs w:val="28"/>
        </w:rPr>
        <w:t xml:space="preserve">Financial Administration Act, </w:t>
      </w:r>
      <w:r w:rsidR="00D97CB3" w:rsidRPr="00D97CB3">
        <w:rPr>
          <w:rFonts w:ascii="Times New Roman" w:hAnsi="Times New Roman" w:cs="Times New Roman"/>
          <w:sz w:val="28"/>
          <w:szCs w:val="28"/>
        </w:rPr>
        <w:t xml:space="preserve">SNWT 2015 c 13. </w:t>
      </w:r>
    </w:p>
    <w:p w:rsidR="00261037" w:rsidRPr="00CD7830" w:rsidRDefault="004F6C30" w:rsidP="00CD7830">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e</w:t>
      </w:r>
      <w:r w:rsidR="00F7258B">
        <w:rPr>
          <w:rFonts w:ascii="Times New Roman" w:hAnsi="Times New Roman" w:cs="Times New Roman"/>
          <w:sz w:val="28"/>
          <w:szCs w:val="28"/>
        </w:rPr>
        <w:t xml:space="preserve">ssential requirements </w:t>
      </w:r>
      <w:r>
        <w:rPr>
          <w:rFonts w:ascii="Times New Roman" w:hAnsi="Times New Roman" w:cs="Times New Roman"/>
          <w:sz w:val="28"/>
          <w:szCs w:val="28"/>
        </w:rPr>
        <w:t>of</w:t>
      </w:r>
      <w:r w:rsidR="00F7258B">
        <w:rPr>
          <w:rFonts w:ascii="Times New Roman" w:hAnsi="Times New Roman" w:cs="Times New Roman"/>
          <w:sz w:val="28"/>
          <w:szCs w:val="28"/>
        </w:rPr>
        <w:t xml:space="preserve"> contribution agreements are set out in Chapter 805 </w:t>
      </w:r>
      <w:r w:rsidR="00CD7830">
        <w:rPr>
          <w:rFonts w:ascii="Times New Roman" w:hAnsi="Times New Roman" w:cs="Times New Roman"/>
          <w:sz w:val="28"/>
          <w:szCs w:val="28"/>
        </w:rPr>
        <w:t>and Interpretation Bulletin 805.01 of the FAM.  Contributions are also addressed in Chapter 600 of the FAM, entitled the “Revenue Cycle”</w:t>
      </w:r>
      <w:r w:rsidR="00FB521A">
        <w:rPr>
          <w:rFonts w:ascii="Times New Roman" w:hAnsi="Times New Roman" w:cs="Times New Roman"/>
          <w:sz w:val="28"/>
          <w:szCs w:val="28"/>
        </w:rPr>
        <w:t>. Chapter 600</w:t>
      </w:r>
      <w:r w:rsidR="00CD7830">
        <w:rPr>
          <w:rFonts w:ascii="Times New Roman" w:hAnsi="Times New Roman" w:cs="Times New Roman"/>
          <w:sz w:val="28"/>
          <w:szCs w:val="28"/>
        </w:rPr>
        <w:t xml:space="preserve"> contains interpretation bulletins respecting “related parties” in the context of </w:t>
      </w:r>
      <w:r w:rsidR="00FB521A">
        <w:rPr>
          <w:rFonts w:ascii="Times New Roman" w:hAnsi="Times New Roman" w:cs="Times New Roman"/>
          <w:sz w:val="28"/>
          <w:szCs w:val="28"/>
        </w:rPr>
        <w:t xml:space="preserve">both credit and </w:t>
      </w:r>
      <w:r w:rsidR="00CD7830">
        <w:rPr>
          <w:rFonts w:ascii="Times New Roman" w:hAnsi="Times New Roman" w:cs="Times New Roman"/>
          <w:sz w:val="28"/>
          <w:szCs w:val="28"/>
        </w:rPr>
        <w:t>contribution</w:t>
      </w:r>
      <w:r w:rsidR="00FB521A">
        <w:rPr>
          <w:rFonts w:ascii="Times New Roman" w:hAnsi="Times New Roman" w:cs="Times New Roman"/>
          <w:sz w:val="28"/>
          <w:szCs w:val="28"/>
        </w:rPr>
        <w:t>s</w:t>
      </w:r>
      <w:r w:rsidR="00CD7830">
        <w:rPr>
          <w:rFonts w:ascii="Times New Roman" w:hAnsi="Times New Roman" w:cs="Times New Roman"/>
          <w:sz w:val="28"/>
          <w:szCs w:val="28"/>
        </w:rPr>
        <w:t xml:space="preserve">, namely </w:t>
      </w:r>
      <w:r w:rsidR="00187005" w:rsidRPr="00CD7830">
        <w:rPr>
          <w:rFonts w:ascii="Times New Roman" w:hAnsi="Times New Roman" w:cs="Times New Roman"/>
          <w:sz w:val="28"/>
          <w:szCs w:val="28"/>
        </w:rPr>
        <w:t xml:space="preserve">Interpretation Bulletins 625.01 and 625.02. </w:t>
      </w:r>
      <w:r w:rsidR="00121A45">
        <w:rPr>
          <w:rFonts w:ascii="Times New Roman" w:hAnsi="Times New Roman" w:cs="Times New Roman"/>
          <w:sz w:val="28"/>
          <w:szCs w:val="28"/>
        </w:rPr>
        <w:t xml:space="preserve"> </w:t>
      </w:r>
      <w:r w:rsidR="00187005" w:rsidRPr="00CD7830">
        <w:rPr>
          <w:rFonts w:ascii="Times New Roman" w:hAnsi="Times New Roman" w:cs="Times New Roman"/>
          <w:sz w:val="28"/>
          <w:szCs w:val="28"/>
        </w:rPr>
        <w:t>The former provides</w:t>
      </w:r>
      <w:r w:rsidR="00261037" w:rsidRPr="00CD7830">
        <w:rPr>
          <w:rFonts w:ascii="Times New Roman" w:hAnsi="Times New Roman" w:cs="Times New Roman"/>
          <w:sz w:val="28"/>
          <w:szCs w:val="28"/>
        </w:rPr>
        <w:t>, in part</w:t>
      </w:r>
      <w:r w:rsidR="00187005" w:rsidRPr="00CD7830">
        <w:rPr>
          <w:rFonts w:ascii="Times New Roman" w:hAnsi="Times New Roman" w:cs="Times New Roman"/>
          <w:sz w:val="28"/>
          <w:szCs w:val="28"/>
        </w:rPr>
        <w:t>:</w:t>
      </w:r>
    </w:p>
    <w:p w:rsidR="00E701CB" w:rsidRPr="00CD7830" w:rsidRDefault="00261037" w:rsidP="00CD7830">
      <w:pPr>
        <w:pStyle w:val="ListParagraph"/>
        <w:spacing w:after="240" w:line="240" w:lineRule="auto"/>
        <w:ind w:right="680"/>
        <w:contextualSpacing w:val="0"/>
        <w:jc w:val="both"/>
        <w:rPr>
          <w:rFonts w:ascii="Times New Roman" w:hAnsi="Times New Roman" w:cs="Times New Roman"/>
          <w:color w:val="3E3E3E"/>
          <w:sz w:val="24"/>
          <w:szCs w:val="24"/>
          <w:shd w:val="clear" w:color="auto" w:fill="FFFFFF"/>
        </w:rPr>
      </w:pPr>
      <w:r w:rsidRPr="00261037">
        <w:rPr>
          <w:rFonts w:ascii="Times New Roman" w:hAnsi="Times New Roman" w:cs="Times New Roman"/>
          <w:color w:val="3E3E3E"/>
          <w:sz w:val="24"/>
          <w:szCs w:val="24"/>
          <w:shd w:val="clear" w:color="auto" w:fill="FFFFFF"/>
        </w:rPr>
        <w:t>The </w:t>
      </w:r>
      <w:hyperlink r:id="rId7" w:history="1">
        <w:r w:rsidRPr="00261037">
          <w:rPr>
            <w:rStyle w:val="Hyperlink"/>
            <w:rFonts w:ascii="Times New Roman" w:hAnsi="Times New Roman" w:cs="Times New Roman"/>
            <w:color w:val="3E3E3E"/>
            <w:sz w:val="24"/>
            <w:szCs w:val="24"/>
            <w:u w:val="none"/>
            <w:shd w:val="clear" w:color="auto" w:fill="FFFFFF"/>
          </w:rPr>
          <w:t>credit</w:t>
        </w:r>
      </w:hyperlink>
      <w:r w:rsidRPr="00261037">
        <w:rPr>
          <w:rFonts w:ascii="Times New Roman" w:hAnsi="Times New Roman" w:cs="Times New Roman"/>
          <w:color w:val="3E3E3E"/>
          <w:sz w:val="24"/>
          <w:szCs w:val="24"/>
          <w:shd w:val="clear" w:color="auto" w:fill="FFFFFF"/>
        </w:rPr>
        <w:t> granting process contemplated within this </w:t>
      </w:r>
      <w:hyperlink r:id="rId8" w:history="1">
        <w:r w:rsidRPr="00261037">
          <w:rPr>
            <w:rStyle w:val="Hyperlink"/>
            <w:rFonts w:ascii="Times New Roman" w:hAnsi="Times New Roman" w:cs="Times New Roman"/>
            <w:color w:val="3E3E3E"/>
            <w:sz w:val="24"/>
            <w:szCs w:val="24"/>
            <w:u w:val="none"/>
            <w:shd w:val="clear" w:color="auto" w:fill="FFFFFF"/>
          </w:rPr>
          <w:t>Policy</w:t>
        </w:r>
      </w:hyperlink>
      <w:r w:rsidRPr="00261037">
        <w:rPr>
          <w:rFonts w:ascii="Times New Roman" w:hAnsi="Times New Roman" w:cs="Times New Roman"/>
          <w:color w:val="3E3E3E"/>
          <w:sz w:val="24"/>
          <w:szCs w:val="24"/>
          <w:shd w:val="clear" w:color="auto" w:fill="FFFFFF"/>
        </w:rPr>
        <w:t> applies to applicants such as those applying for </w:t>
      </w:r>
      <w:hyperlink r:id="rId9" w:history="1">
        <w:r w:rsidRPr="00261037">
          <w:rPr>
            <w:rStyle w:val="Hyperlink"/>
            <w:rFonts w:ascii="Times New Roman" w:hAnsi="Times New Roman" w:cs="Times New Roman"/>
            <w:color w:val="3E3E3E"/>
            <w:sz w:val="24"/>
            <w:szCs w:val="24"/>
            <w:u w:val="none"/>
            <w:shd w:val="clear" w:color="auto" w:fill="FFFFFF"/>
          </w:rPr>
          <w:t>credit</w:t>
        </w:r>
      </w:hyperlink>
      <w:r w:rsidRPr="00261037">
        <w:rPr>
          <w:rFonts w:ascii="Times New Roman" w:hAnsi="Times New Roman" w:cs="Times New Roman"/>
          <w:color w:val="3E3E3E"/>
          <w:sz w:val="24"/>
          <w:szCs w:val="24"/>
          <w:shd w:val="clear" w:color="auto" w:fill="FFFFFF"/>
        </w:rPr>
        <w:t> for purposes such as a loan, fuel </w:t>
      </w:r>
      <w:hyperlink r:id="rId10" w:history="1">
        <w:r w:rsidRPr="00261037">
          <w:rPr>
            <w:rStyle w:val="Hyperlink"/>
            <w:rFonts w:ascii="Times New Roman" w:hAnsi="Times New Roman" w:cs="Times New Roman"/>
            <w:color w:val="3E3E3E"/>
            <w:sz w:val="24"/>
            <w:szCs w:val="24"/>
            <w:u w:val="none"/>
            <w:shd w:val="clear" w:color="auto" w:fill="FFFFFF"/>
          </w:rPr>
          <w:t>tax</w:t>
        </w:r>
      </w:hyperlink>
      <w:r w:rsidRPr="00261037">
        <w:rPr>
          <w:rFonts w:ascii="Times New Roman" w:hAnsi="Times New Roman" w:cs="Times New Roman"/>
          <w:color w:val="3E3E3E"/>
          <w:sz w:val="24"/>
          <w:szCs w:val="24"/>
          <w:shd w:val="clear" w:color="auto" w:fill="FFFFFF"/>
        </w:rPr>
        <w:t> collection or other instances where </w:t>
      </w:r>
      <w:hyperlink r:id="rId11" w:history="1">
        <w:r w:rsidRPr="00261037">
          <w:rPr>
            <w:rStyle w:val="Hyperlink"/>
            <w:rFonts w:ascii="Times New Roman" w:hAnsi="Times New Roman" w:cs="Times New Roman"/>
            <w:color w:val="3E3E3E"/>
            <w:sz w:val="24"/>
            <w:szCs w:val="24"/>
            <w:u w:val="none"/>
            <w:shd w:val="clear" w:color="auto" w:fill="FFFFFF"/>
          </w:rPr>
          <w:t>credit</w:t>
        </w:r>
      </w:hyperlink>
      <w:r w:rsidRPr="00261037">
        <w:rPr>
          <w:rFonts w:ascii="Times New Roman" w:hAnsi="Times New Roman" w:cs="Times New Roman"/>
          <w:color w:val="3E3E3E"/>
          <w:sz w:val="24"/>
          <w:szCs w:val="24"/>
          <w:shd w:val="clear" w:color="auto" w:fill="FFFFFF"/>
        </w:rPr>
        <w:t xml:space="preserve"> will be extended. </w:t>
      </w:r>
      <w:r w:rsidR="00B24B72">
        <w:rPr>
          <w:rFonts w:ascii="Times New Roman" w:hAnsi="Times New Roman" w:cs="Times New Roman"/>
          <w:color w:val="3E3E3E"/>
          <w:sz w:val="24"/>
          <w:szCs w:val="24"/>
          <w:shd w:val="clear" w:color="auto" w:fill="FFFFFF"/>
        </w:rPr>
        <w:t xml:space="preserve"> </w:t>
      </w:r>
      <w:r w:rsidRPr="00261037">
        <w:rPr>
          <w:rFonts w:ascii="Times New Roman" w:hAnsi="Times New Roman" w:cs="Times New Roman"/>
          <w:i/>
          <w:color w:val="3E3E3E"/>
          <w:sz w:val="24"/>
          <w:szCs w:val="24"/>
          <w:shd w:val="clear" w:color="auto" w:fill="FFFFFF"/>
        </w:rPr>
        <w:t>Contributions to individuals or businesses do not require a </w:t>
      </w:r>
      <w:hyperlink r:id="rId12" w:history="1">
        <w:r w:rsidRPr="00261037">
          <w:rPr>
            <w:rStyle w:val="Hyperlink"/>
            <w:rFonts w:ascii="Times New Roman" w:hAnsi="Times New Roman" w:cs="Times New Roman"/>
            <w:i/>
            <w:color w:val="3E3E3E"/>
            <w:sz w:val="24"/>
            <w:szCs w:val="24"/>
            <w:u w:val="none"/>
            <w:shd w:val="clear" w:color="auto" w:fill="FFFFFF"/>
          </w:rPr>
          <w:t>credit</w:t>
        </w:r>
      </w:hyperlink>
      <w:r w:rsidRPr="00261037">
        <w:rPr>
          <w:rFonts w:ascii="Times New Roman" w:hAnsi="Times New Roman" w:cs="Times New Roman"/>
          <w:i/>
          <w:color w:val="3E3E3E"/>
          <w:sz w:val="24"/>
          <w:szCs w:val="24"/>
          <w:shd w:val="clear" w:color="auto" w:fill="FFFFFF"/>
        </w:rPr>
        <w:t> application.</w:t>
      </w:r>
      <w:r w:rsidR="00B24B72">
        <w:rPr>
          <w:rFonts w:ascii="Times New Roman" w:hAnsi="Times New Roman" w:cs="Times New Roman"/>
          <w:i/>
          <w:color w:val="3E3E3E"/>
          <w:sz w:val="24"/>
          <w:szCs w:val="24"/>
          <w:shd w:val="clear" w:color="auto" w:fill="FFFFFF"/>
        </w:rPr>
        <w:t xml:space="preserve"> </w:t>
      </w:r>
      <w:r w:rsidRPr="00261037">
        <w:rPr>
          <w:rFonts w:ascii="Times New Roman" w:hAnsi="Times New Roman" w:cs="Times New Roman"/>
          <w:i/>
          <w:color w:val="3E3E3E"/>
          <w:sz w:val="24"/>
          <w:szCs w:val="24"/>
          <w:shd w:val="clear" w:color="auto" w:fill="FFFFFF"/>
        </w:rPr>
        <w:t xml:space="preserve"> They are assessed on a combination of criteria including past performance with the GNWT </w:t>
      </w:r>
      <w:r w:rsidRPr="00261037">
        <w:rPr>
          <w:rFonts w:ascii="Times New Roman" w:hAnsi="Times New Roman" w:cs="Times New Roman"/>
          <w:b/>
          <w:i/>
          <w:color w:val="3E3E3E"/>
          <w:sz w:val="24"/>
          <w:szCs w:val="24"/>
          <w:shd w:val="clear" w:color="auto" w:fill="FFFFFF"/>
        </w:rPr>
        <w:t>(including related companies owned by the shareholders</w:t>
      </w:r>
      <w:r w:rsidRPr="00261037">
        <w:rPr>
          <w:rFonts w:ascii="Times New Roman" w:hAnsi="Times New Roman" w:cs="Times New Roman"/>
          <w:i/>
          <w:color w:val="3E3E3E"/>
          <w:sz w:val="24"/>
          <w:szCs w:val="24"/>
          <w:shd w:val="clear" w:color="auto" w:fill="FFFFFF"/>
        </w:rPr>
        <w:t xml:space="preserve">) capacity and eligibility. </w:t>
      </w:r>
      <w:r w:rsidRPr="00261037">
        <w:rPr>
          <w:rFonts w:ascii="Times New Roman" w:hAnsi="Times New Roman" w:cs="Times New Roman"/>
          <w:color w:val="3E3E3E"/>
          <w:sz w:val="24"/>
          <w:szCs w:val="24"/>
          <w:shd w:val="clear" w:color="auto" w:fill="FFFFFF"/>
        </w:rPr>
        <w:t>(Italics and emphasis mine)</w:t>
      </w:r>
    </w:p>
    <w:p w:rsidR="00CD7830" w:rsidRDefault="00CD7830" w:rsidP="00CD7830">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Interpretation Bulletin 625.02 includes the following statement</w:t>
      </w:r>
      <w:r w:rsidR="00FB521A">
        <w:rPr>
          <w:rFonts w:ascii="Times New Roman" w:hAnsi="Times New Roman" w:cs="Times New Roman"/>
          <w:sz w:val="28"/>
          <w:szCs w:val="28"/>
        </w:rPr>
        <w:t>, setting out the rationale for considering “related parties” where credit and contributions are contemplated</w:t>
      </w:r>
      <w:r>
        <w:rPr>
          <w:rFonts w:ascii="Times New Roman" w:hAnsi="Times New Roman" w:cs="Times New Roman"/>
          <w:sz w:val="28"/>
          <w:szCs w:val="28"/>
        </w:rPr>
        <w:t>:</w:t>
      </w:r>
    </w:p>
    <w:p w:rsidR="00CD7830" w:rsidRPr="00261037" w:rsidRDefault="00CD7830" w:rsidP="00CD7830">
      <w:pPr>
        <w:pStyle w:val="NormalWeb"/>
        <w:shd w:val="clear" w:color="auto" w:fill="FFFFFF"/>
        <w:spacing w:before="0" w:beforeAutospacing="0" w:after="150" w:afterAutospacing="0"/>
        <w:ind w:left="720" w:right="680"/>
        <w:jc w:val="both"/>
        <w:rPr>
          <w:color w:val="3E3E3E"/>
        </w:rPr>
      </w:pPr>
      <w:r w:rsidRPr="00261037">
        <w:rPr>
          <w:color w:val="3E3E3E"/>
        </w:rPr>
        <w:lastRenderedPageBreak/>
        <w:t>When </w:t>
      </w:r>
      <w:hyperlink r:id="rId13" w:history="1">
        <w:r w:rsidRPr="00261037">
          <w:rPr>
            <w:rStyle w:val="Hyperlink"/>
            <w:color w:val="3E3E3E"/>
            <w:u w:val="none"/>
          </w:rPr>
          <w:t>credit</w:t>
        </w:r>
      </w:hyperlink>
      <w:r w:rsidRPr="00261037">
        <w:rPr>
          <w:color w:val="3E3E3E"/>
        </w:rPr>
        <w:t> is being granted by departments or by the </w:t>
      </w:r>
      <w:hyperlink r:id="rId14" w:history="1">
        <w:r w:rsidRPr="00261037">
          <w:rPr>
            <w:rStyle w:val="Hyperlink"/>
            <w:color w:val="3E3E3E"/>
            <w:u w:val="none"/>
          </w:rPr>
          <w:t>Comptroller General</w:t>
        </w:r>
      </w:hyperlink>
      <w:r w:rsidRPr="00261037">
        <w:rPr>
          <w:color w:val="3E3E3E"/>
        </w:rPr>
        <w:t> it is the intent that related parties shall be considered in the determination of creditworthiness.  At the extreme, the provision is in place to ensure that principals of legal entities that are indebted to the GNWT do not incorporate another legal entity to access GNWT funds and avoid their legal obligation to the GNWT.</w:t>
      </w:r>
    </w:p>
    <w:p w:rsidR="00CD7830" w:rsidRPr="00261037" w:rsidRDefault="00CD7830" w:rsidP="00CD7830">
      <w:pPr>
        <w:pStyle w:val="NormalWeb"/>
        <w:shd w:val="clear" w:color="auto" w:fill="FFFFFF"/>
        <w:spacing w:before="0" w:beforeAutospacing="0" w:after="150" w:afterAutospacing="0"/>
        <w:ind w:left="720" w:right="680"/>
        <w:jc w:val="both"/>
        <w:rPr>
          <w:color w:val="3E3E3E"/>
        </w:rPr>
      </w:pPr>
      <w:r w:rsidRPr="00261037">
        <w:rPr>
          <w:color w:val="3E3E3E"/>
        </w:rPr>
        <w:t>It also protects the GNWT where related companies may have effective control and influence over one another and should, therefore, be treated as a single entity from a </w:t>
      </w:r>
      <w:hyperlink r:id="rId15" w:history="1">
        <w:r w:rsidRPr="00261037">
          <w:rPr>
            <w:rStyle w:val="Hyperlink"/>
            <w:color w:val="3E3E3E"/>
            <w:u w:val="none"/>
          </w:rPr>
          <w:t>credit</w:t>
        </w:r>
      </w:hyperlink>
      <w:r w:rsidRPr="00261037">
        <w:rPr>
          <w:color w:val="3E3E3E"/>
        </w:rPr>
        <w:t> granting perspective.  The debts or financial obligations of related and controlled companies must be considered when granting </w:t>
      </w:r>
      <w:hyperlink r:id="rId16" w:history="1">
        <w:r w:rsidRPr="00261037">
          <w:rPr>
            <w:rStyle w:val="Hyperlink"/>
            <w:color w:val="3E3E3E"/>
            <w:u w:val="none"/>
          </w:rPr>
          <w:t>credit</w:t>
        </w:r>
      </w:hyperlink>
      <w:r w:rsidRPr="00261037">
        <w:rPr>
          <w:color w:val="3E3E3E"/>
        </w:rPr>
        <w:t> to an applicant.</w:t>
      </w:r>
    </w:p>
    <w:p w:rsidR="00CD7830" w:rsidRDefault="00CD7830" w:rsidP="00DE0C6E">
      <w:pPr>
        <w:pStyle w:val="NormalWeb"/>
        <w:shd w:val="clear" w:color="auto" w:fill="FFFFFF"/>
        <w:spacing w:before="0" w:beforeAutospacing="0" w:after="150" w:afterAutospacing="0"/>
        <w:ind w:left="720" w:right="680"/>
        <w:jc w:val="both"/>
        <w:rPr>
          <w:color w:val="3E3E3E"/>
        </w:rPr>
      </w:pPr>
      <w:r w:rsidRPr="00261037">
        <w:rPr>
          <w:color w:val="3E3E3E"/>
        </w:rPr>
        <w:t>In determining what factors constitute related companies and control reference is made to the CPA Canada </w:t>
      </w:r>
      <w:hyperlink r:id="rId17" w:history="1">
        <w:r w:rsidRPr="00261037">
          <w:rPr>
            <w:rStyle w:val="Hyperlink"/>
            <w:color w:val="3E3E3E"/>
            <w:u w:val="none"/>
          </w:rPr>
          <w:t>Public Sector</w:t>
        </w:r>
      </w:hyperlink>
      <w:r w:rsidRPr="00261037">
        <w:rPr>
          <w:color w:val="3E3E3E"/>
        </w:rPr>
        <w:t> Accounting Handbook Sections PS 2200 and PS 4250.</w:t>
      </w:r>
    </w:p>
    <w:p w:rsidR="008D11E3" w:rsidRPr="00DE0C6E" w:rsidRDefault="008D11E3" w:rsidP="00DE0C6E">
      <w:pPr>
        <w:pStyle w:val="NormalWeb"/>
        <w:shd w:val="clear" w:color="auto" w:fill="FFFFFF"/>
        <w:spacing w:before="0" w:beforeAutospacing="0" w:after="150" w:afterAutospacing="0"/>
        <w:ind w:left="720" w:right="680"/>
        <w:jc w:val="both"/>
        <w:rPr>
          <w:color w:val="3E3E3E"/>
        </w:rPr>
      </w:pPr>
    </w:p>
    <w:p w:rsidR="00DE0C6E" w:rsidRDefault="00DE0C6E" w:rsidP="00663C66">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Section PS 2200 of the CPA Canada Public Sector Accounting Handbook, incorporated by reference into Interpretation Bulletin 625.02 and contained at Tab 6A of the Record</w:t>
      </w:r>
      <w:r w:rsidR="004078E7">
        <w:rPr>
          <w:rFonts w:ascii="Times New Roman" w:hAnsi="Times New Roman" w:cs="Times New Roman"/>
          <w:sz w:val="28"/>
          <w:szCs w:val="28"/>
        </w:rPr>
        <w:t>,</w:t>
      </w:r>
      <w:r>
        <w:rPr>
          <w:rFonts w:ascii="Times New Roman" w:hAnsi="Times New Roman" w:cs="Times New Roman"/>
          <w:sz w:val="28"/>
          <w:szCs w:val="28"/>
        </w:rPr>
        <w:t xml:space="preserve"> sets out a number of factors to be considered in determining if parties </w:t>
      </w:r>
      <w:r w:rsidR="004078E7">
        <w:rPr>
          <w:rFonts w:ascii="Times New Roman" w:hAnsi="Times New Roman" w:cs="Times New Roman"/>
          <w:sz w:val="28"/>
          <w:szCs w:val="28"/>
        </w:rPr>
        <w:t xml:space="preserve">and/or entities </w:t>
      </w:r>
      <w:r>
        <w:rPr>
          <w:rFonts w:ascii="Times New Roman" w:hAnsi="Times New Roman" w:cs="Times New Roman"/>
          <w:sz w:val="28"/>
          <w:szCs w:val="28"/>
        </w:rPr>
        <w:t xml:space="preserve">are “related”.  A related party can be an entity or an individual and relevant factors include who or what entity controls the reporting entity, whether there is common control, and whether the entities share common individuals in key management positions.  </w:t>
      </w:r>
    </w:p>
    <w:p w:rsidR="00F3282E" w:rsidRDefault="00E536E1" w:rsidP="00663C66">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Raven Tours Ltd (“Raven”) applied for funding under PREP.  It was unsu</w:t>
      </w:r>
      <w:r w:rsidR="001E03A4">
        <w:rPr>
          <w:rFonts w:ascii="Times New Roman" w:hAnsi="Times New Roman" w:cs="Times New Roman"/>
          <w:sz w:val="28"/>
          <w:szCs w:val="28"/>
        </w:rPr>
        <w:t xml:space="preserve">ccessful.  The reason </w:t>
      </w:r>
      <w:r w:rsidR="00FB521A">
        <w:rPr>
          <w:rFonts w:ascii="Times New Roman" w:hAnsi="Times New Roman" w:cs="Times New Roman"/>
          <w:sz w:val="28"/>
          <w:szCs w:val="28"/>
        </w:rPr>
        <w:t xml:space="preserve">cited for denying its application </w:t>
      </w:r>
      <w:r w:rsidR="001E03A4">
        <w:rPr>
          <w:rFonts w:ascii="Times New Roman" w:hAnsi="Times New Roman" w:cs="Times New Roman"/>
          <w:sz w:val="28"/>
          <w:szCs w:val="28"/>
        </w:rPr>
        <w:t xml:space="preserve">was based on </w:t>
      </w:r>
      <w:r w:rsidR="00FB521A">
        <w:rPr>
          <w:rFonts w:ascii="Times New Roman" w:hAnsi="Times New Roman" w:cs="Times New Roman"/>
          <w:sz w:val="28"/>
          <w:szCs w:val="28"/>
        </w:rPr>
        <w:t>it being a party related to another tourism operator which was in default of its financial obligations to the GNWT.</w:t>
      </w:r>
      <w:r w:rsidR="00323B29">
        <w:rPr>
          <w:rFonts w:ascii="Times New Roman" w:hAnsi="Times New Roman" w:cs="Times New Roman"/>
          <w:sz w:val="28"/>
          <w:szCs w:val="28"/>
        </w:rPr>
        <w:t xml:space="preserve"> </w:t>
      </w:r>
      <w:r w:rsidR="00FB521A">
        <w:rPr>
          <w:rFonts w:ascii="Times New Roman" w:hAnsi="Times New Roman" w:cs="Times New Roman"/>
          <w:sz w:val="28"/>
          <w:szCs w:val="28"/>
        </w:rPr>
        <w:t xml:space="preserve"> Specifically, ITI concluded </w:t>
      </w:r>
      <w:r w:rsidR="00F3282E">
        <w:rPr>
          <w:rFonts w:ascii="Times New Roman" w:hAnsi="Times New Roman" w:cs="Times New Roman"/>
          <w:sz w:val="28"/>
          <w:szCs w:val="28"/>
        </w:rPr>
        <w:t xml:space="preserve">Raven </w:t>
      </w:r>
      <w:r w:rsidR="001E03A4">
        <w:rPr>
          <w:rFonts w:ascii="Times New Roman" w:hAnsi="Times New Roman" w:cs="Times New Roman"/>
          <w:sz w:val="28"/>
          <w:szCs w:val="28"/>
        </w:rPr>
        <w:t xml:space="preserve">is </w:t>
      </w:r>
      <w:r w:rsidR="00F3282E">
        <w:rPr>
          <w:rFonts w:ascii="Times New Roman" w:hAnsi="Times New Roman" w:cs="Times New Roman"/>
          <w:sz w:val="28"/>
          <w:szCs w:val="28"/>
        </w:rPr>
        <w:t>closely relate</w:t>
      </w:r>
      <w:r w:rsidR="001E03A4">
        <w:rPr>
          <w:rFonts w:ascii="Times New Roman" w:hAnsi="Times New Roman" w:cs="Times New Roman"/>
          <w:sz w:val="28"/>
          <w:szCs w:val="28"/>
        </w:rPr>
        <w:t xml:space="preserve">d to Extreme Adventures Canada </w:t>
      </w:r>
      <w:r w:rsidR="00F3282E">
        <w:rPr>
          <w:rFonts w:ascii="Times New Roman" w:hAnsi="Times New Roman" w:cs="Times New Roman"/>
          <w:sz w:val="28"/>
          <w:szCs w:val="28"/>
        </w:rPr>
        <w:t>(“EAC”), an entity owned solely by Michael Ewen</w:t>
      </w:r>
      <w:r w:rsidR="00120C12">
        <w:rPr>
          <w:rFonts w:ascii="Times New Roman" w:hAnsi="Times New Roman" w:cs="Times New Roman"/>
          <w:sz w:val="28"/>
          <w:szCs w:val="28"/>
        </w:rPr>
        <w:t>.</w:t>
      </w:r>
      <w:r w:rsidR="00B24B72">
        <w:rPr>
          <w:rFonts w:ascii="Times New Roman" w:hAnsi="Times New Roman" w:cs="Times New Roman"/>
          <w:sz w:val="28"/>
          <w:szCs w:val="28"/>
        </w:rPr>
        <w:t xml:space="preserve"> </w:t>
      </w:r>
      <w:r w:rsidR="00120C12">
        <w:rPr>
          <w:rFonts w:ascii="Times New Roman" w:hAnsi="Times New Roman" w:cs="Times New Roman"/>
          <w:sz w:val="28"/>
          <w:szCs w:val="28"/>
        </w:rPr>
        <w:t xml:space="preserve"> At the time the application was assessed, EAC was in default on a loan from the Business Development and Investment Corporation. </w:t>
      </w:r>
      <w:r w:rsidR="00B24B72">
        <w:rPr>
          <w:rFonts w:ascii="Times New Roman" w:hAnsi="Times New Roman" w:cs="Times New Roman"/>
          <w:sz w:val="28"/>
          <w:szCs w:val="28"/>
        </w:rPr>
        <w:t xml:space="preserve"> </w:t>
      </w:r>
      <w:r w:rsidR="00F3282E">
        <w:rPr>
          <w:rFonts w:ascii="Times New Roman" w:hAnsi="Times New Roman" w:cs="Times New Roman"/>
          <w:sz w:val="28"/>
          <w:szCs w:val="28"/>
        </w:rPr>
        <w:t xml:space="preserve">Mr. Ewen was the Chief Executive Officer </w:t>
      </w:r>
      <w:r w:rsidR="00120C12">
        <w:rPr>
          <w:rFonts w:ascii="Times New Roman" w:hAnsi="Times New Roman" w:cs="Times New Roman"/>
          <w:sz w:val="28"/>
          <w:szCs w:val="28"/>
        </w:rPr>
        <w:t xml:space="preserve">and sole director </w:t>
      </w:r>
      <w:r w:rsidR="00F3282E">
        <w:rPr>
          <w:rFonts w:ascii="Times New Roman" w:hAnsi="Times New Roman" w:cs="Times New Roman"/>
          <w:sz w:val="28"/>
          <w:szCs w:val="28"/>
        </w:rPr>
        <w:t>of Raven.</w:t>
      </w:r>
      <w:r w:rsidR="00B24B72">
        <w:rPr>
          <w:rFonts w:ascii="Times New Roman" w:hAnsi="Times New Roman" w:cs="Times New Roman"/>
          <w:sz w:val="28"/>
          <w:szCs w:val="28"/>
        </w:rPr>
        <w:t xml:space="preserve"> </w:t>
      </w:r>
      <w:r w:rsidR="00F3282E">
        <w:rPr>
          <w:rFonts w:ascii="Times New Roman" w:hAnsi="Times New Roman" w:cs="Times New Roman"/>
          <w:sz w:val="28"/>
          <w:szCs w:val="28"/>
        </w:rPr>
        <w:t xml:space="preserve"> </w:t>
      </w:r>
      <w:r w:rsidR="00CD7830">
        <w:rPr>
          <w:rFonts w:ascii="Times New Roman" w:hAnsi="Times New Roman" w:cs="Times New Roman"/>
          <w:sz w:val="28"/>
          <w:szCs w:val="28"/>
        </w:rPr>
        <w:t>The ownership information is not in dispute.</w:t>
      </w:r>
    </w:p>
    <w:p w:rsidR="001E03A4" w:rsidRDefault="00F3282E" w:rsidP="00663C66">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Raven appealed the decision to the Assistant Deputy Minister of ITI. </w:t>
      </w:r>
      <w:r w:rsidR="00B24B72">
        <w:rPr>
          <w:rFonts w:ascii="Times New Roman" w:hAnsi="Times New Roman" w:cs="Times New Roman"/>
          <w:sz w:val="28"/>
          <w:szCs w:val="28"/>
        </w:rPr>
        <w:t xml:space="preserve"> </w:t>
      </w:r>
      <w:r w:rsidR="00FB521A">
        <w:rPr>
          <w:rFonts w:ascii="Times New Roman" w:hAnsi="Times New Roman" w:cs="Times New Roman"/>
          <w:sz w:val="28"/>
          <w:szCs w:val="28"/>
        </w:rPr>
        <w:t>The appeal was unsucc</w:t>
      </w:r>
      <w:r w:rsidR="00663C66">
        <w:rPr>
          <w:rFonts w:ascii="Times New Roman" w:hAnsi="Times New Roman" w:cs="Times New Roman"/>
          <w:sz w:val="28"/>
          <w:szCs w:val="28"/>
        </w:rPr>
        <w:t>essful</w:t>
      </w:r>
      <w:r w:rsidR="001E03A4">
        <w:rPr>
          <w:rFonts w:ascii="Times New Roman" w:hAnsi="Times New Roman" w:cs="Times New Roman"/>
          <w:sz w:val="28"/>
          <w:szCs w:val="28"/>
        </w:rPr>
        <w:t>, for the same reason in the first instance</w:t>
      </w:r>
      <w:r w:rsidR="00663C66">
        <w:rPr>
          <w:rFonts w:ascii="Times New Roman" w:hAnsi="Times New Roman" w:cs="Times New Roman"/>
          <w:sz w:val="28"/>
          <w:szCs w:val="28"/>
        </w:rPr>
        <w:t xml:space="preserve">. </w:t>
      </w:r>
    </w:p>
    <w:p w:rsidR="00E536E1" w:rsidRDefault="00663C66" w:rsidP="00663C66">
      <w:pPr>
        <w:pStyle w:val="ListParagraph"/>
        <w:numPr>
          <w:ilvl w:val="0"/>
          <w:numId w:val="10"/>
        </w:numPr>
        <w:spacing w:after="240" w:line="240" w:lineRule="auto"/>
        <w:contextualSpacing w:val="0"/>
        <w:jc w:val="both"/>
        <w:rPr>
          <w:rFonts w:ascii="Times New Roman" w:hAnsi="Times New Roman" w:cs="Times New Roman"/>
          <w:sz w:val="28"/>
          <w:szCs w:val="28"/>
        </w:rPr>
      </w:pPr>
      <w:r w:rsidRPr="00663C66">
        <w:rPr>
          <w:rFonts w:ascii="Times New Roman" w:hAnsi="Times New Roman" w:cs="Times New Roman"/>
          <w:sz w:val="28"/>
          <w:szCs w:val="28"/>
        </w:rPr>
        <w:t xml:space="preserve">Raven has applied for judicial review of that decision. </w:t>
      </w:r>
      <w:r w:rsidR="003F70EC">
        <w:rPr>
          <w:rFonts w:ascii="Times New Roman" w:hAnsi="Times New Roman" w:cs="Times New Roman"/>
          <w:sz w:val="28"/>
          <w:szCs w:val="28"/>
        </w:rPr>
        <w:t xml:space="preserve"> </w:t>
      </w:r>
    </w:p>
    <w:p w:rsidR="00F03F21" w:rsidRPr="00F03F21" w:rsidRDefault="00120C12" w:rsidP="00F03F21">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ISSUE</w:t>
      </w:r>
    </w:p>
    <w:p w:rsidR="00120C12" w:rsidRDefault="00120C12" w:rsidP="00663C66">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broad issue is whether the Assistant Deputy Minister’s decision is reviewable.  </w:t>
      </w:r>
    </w:p>
    <w:p w:rsidR="00120C12" w:rsidRDefault="00120C12" w:rsidP="00120C12">
      <w:pPr>
        <w:pStyle w:val="ListParagraph"/>
        <w:spacing w:after="240" w:line="240" w:lineRule="auto"/>
        <w:ind w:left="0"/>
        <w:contextualSpacing w:val="0"/>
        <w:jc w:val="both"/>
        <w:rPr>
          <w:rFonts w:ascii="Times New Roman" w:hAnsi="Times New Roman" w:cs="Times New Roman"/>
          <w:b/>
          <w:sz w:val="28"/>
          <w:szCs w:val="28"/>
        </w:rPr>
      </w:pPr>
      <w:bookmarkStart w:id="2" w:name="_GoBack"/>
      <w:bookmarkEnd w:id="2"/>
      <w:r>
        <w:rPr>
          <w:rFonts w:ascii="Times New Roman" w:hAnsi="Times New Roman" w:cs="Times New Roman"/>
          <w:b/>
          <w:sz w:val="28"/>
          <w:szCs w:val="28"/>
        </w:rPr>
        <w:lastRenderedPageBreak/>
        <w:t>THE PARTIES’ POSITIONS</w:t>
      </w:r>
    </w:p>
    <w:p w:rsidR="00120C12" w:rsidRPr="00120C12" w:rsidRDefault="00120C12" w:rsidP="00120C12">
      <w:pPr>
        <w:pStyle w:val="ListParagraph"/>
        <w:spacing w:after="240" w:line="240" w:lineRule="auto"/>
        <w:ind w:left="0"/>
        <w:contextualSpacing w:val="0"/>
        <w:jc w:val="both"/>
        <w:rPr>
          <w:rFonts w:ascii="Times New Roman" w:hAnsi="Times New Roman" w:cs="Times New Roman"/>
          <w:b/>
          <w:i/>
          <w:sz w:val="28"/>
          <w:szCs w:val="28"/>
        </w:rPr>
      </w:pPr>
      <w:r>
        <w:rPr>
          <w:rFonts w:ascii="Times New Roman" w:hAnsi="Times New Roman" w:cs="Times New Roman"/>
          <w:b/>
          <w:i/>
          <w:sz w:val="28"/>
          <w:szCs w:val="28"/>
        </w:rPr>
        <w:t>Attorney General</w:t>
      </w:r>
      <w:r w:rsidR="00E701CB">
        <w:rPr>
          <w:rFonts w:ascii="Times New Roman" w:hAnsi="Times New Roman" w:cs="Times New Roman"/>
          <w:b/>
          <w:i/>
          <w:sz w:val="28"/>
          <w:szCs w:val="28"/>
        </w:rPr>
        <w:t>’s Position</w:t>
      </w:r>
    </w:p>
    <w:p w:rsidR="00663C66" w:rsidRDefault="005C710B" w:rsidP="00663C66">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Counsel for t</w:t>
      </w:r>
      <w:r w:rsidR="00F03F21">
        <w:rPr>
          <w:rFonts w:ascii="Times New Roman" w:hAnsi="Times New Roman" w:cs="Times New Roman"/>
          <w:sz w:val="28"/>
          <w:szCs w:val="28"/>
        </w:rPr>
        <w:t>he Attorney General submits the Assistant Deputy Minister’s decision is not subject to judicial review</w:t>
      </w:r>
      <w:r w:rsidR="007C32AA">
        <w:rPr>
          <w:rFonts w:ascii="Times New Roman" w:hAnsi="Times New Roman" w:cs="Times New Roman"/>
          <w:sz w:val="28"/>
          <w:szCs w:val="28"/>
        </w:rPr>
        <w:t xml:space="preserve">.  </w:t>
      </w:r>
      <w:r>
        <w:rPr>
          <w:rFonts w:ascii="Times New Roman" w:hAnsi="Times New Roman" w:cs="Times New Roman"/>
          <w:sz w:val="28"/>
          <w:szCs w:val="28"/>
        </w:rPr>
        <w:t>T</w:t>
      </w:r>
      <w:r w:rsidR="00F03F21">
        <w:rPr>
          <w:rFonts w:ascii="Times New Roman" w:hAnsi="Times New Roman" w:cs="Times New Roman"/>
          <w:sz w:val="28"/>
          <w:szCs w:val="28"/>
        </w:rPr>
        <w:t>wo argu</w:t>
      </w:r>
      <w:r w:rsidR="007C32AA">
        <w:rPr>
          <w:rFonts w:ascii="Times New Roman" w:hAnsi="Times New Roman" w:cs="Times New Roman"/>
          <w:sz w:val="28"/>
          <w:szCs w:val="28"/>
        </w:rPr>
        <w:t xml:space="preserve">ments </w:t>
      </w:r>
      <w:r>
        <w:rPr>
          <w:rFonts w:ascii="Times New Roman" w:hAnsi="Times New Roman" w:cs="Times New Roman"/>
          <w:sz w:val="28"/>
          <w:szCs w:val="28"/>
        </w:rPr>
        <w:t>are advanced:</w:t>
      </w:r>
    </w:p>
    <w:p w:rsidR="00F03F21" w:rsidRDefault="007C32AA" w:rsidP="00BC4DD4">
      <w:pPr>
        <w:pStyle w:val="ListParagraph"/>
        <w:numPr>
          <w:ilvl w:val="1"/>
          <w:numId w:val="10"/>
        </w:numPr>
        <w:spacing w:after="240" w:line="240" w:lineRule="auto"/>
        <w:ind w:right="680"/>
        <w:contextualSpacing w:val="0"/>
        <w:jc w:val="both"/>
        <w:rPr>
          <w:rFonts w:ascii="Times New Roman" w:hAnsi="Times New Roman" w:cs="Times New Roman"/>
          <w:sz w:val="28"/>
          <w:szCs w:val="28"/>
        </w:rPr>
      </w:pPr>
      <w:r>
        <w:rPr>
          <w:rFonts w:ascii="Times New Roman" w:hAnsi="Times New Roman" w:cs="Times New Roman"/>
          <w:sz w:val="28"/>
          <w:szCs w:val="28"/>
        </w:rPr>
        <w:t xml:space="preserve">Absent an infringement on a constitutional or other fundamental right, decisions on how to </w:t>
      </w:r>
      <w:r w:rsidR="0038243D">
        <w:rPr>
          <w:rFonts w:ascii="Times New Roman" w:hAnsi="Times New Roman" w:cs="Times New Roman"/>
          <w:sz w:val="28"/>
          <w:szCs w:val="28"/>
        </w:rPr>
        <w:t xml:space="preserve">distribute </w:t>
      </w:r>
      <w:r>
        <w:rPr>
          <w:rFonts w:ascii="Times New Roman" w:hAnsi="Times New Roman" w:cs="Times New Roman"/>
          <w:sz w:val="28"/>
          <w:szCs w:val="28"/>
        </w:rPr>
        <w:t xml:space="preserve">public money </w:t>
      </w:r>
      <w:r w:rsidR="0038243D">
        <w:rPr>
          <w:rFonts w:ascii="Times New Roman" w:hAnsi="Times New Roman" w:cs="Times New Roman"/>
          <w:sz w:val="28"/>
          <w:szCs w:val="28"/>
        </w:rPr>
        <w:t xml:space="preserve">are part of the government’s prerogative </w:t>
      </w:r>
      <w:r w:rsidR="0068192C">
        <w:rPr>
          <w:rFonts w:ascii="Times New Roman" w:hAnsi="Times New Roman" w:cs="Times New Roman"/>
          <w:sz w:val="28"/>
          <w:szCs w:val="28"/>
        </w:rPr>
        <w:t>spending powers, exclusively within its purview and therefore, they are not subject to judicial review;</w:t>
      </w:r>
      <w:r>
        <w:rPr>
          <w:rFonts w:ascii="Times New Roman" w:hAnsi="Times New Roman" w:cs="Times New Roman"/>
          <w:sz w:val="28"/>
          <w:szCs w:val="28"/>
        </w:rPr>
        <w:t xml:space="preserve"> and</w:t>
      </w:r>
    </w:p>
    <w:p w:rsidR="007C32AA" w:rsidRPr="007C32AA" w:rsidRDefault="007C32AA" w:rsidP="00BC4DD4">
      <w:pPr>
        <w:pStyle w:val="ListParagraph"/>
        <w:numPr>
          <w:ilvl w:val="1"/>
          <w:numId w:val="10"/>
        </w:numPr>
        <w:spacing w:after="240" w:line="240" w:lineRule="auto"/>
        <w:ind w:right="680"/>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Assistant Deputy Minister was not acting as a “tribunal” for the purposes of judicial review under r 591 of the </w:t>
      </w:r>
      <w:r>
        <w:rPr>
          <w:rFonts w:ascii="Times New Roman" w:hAnsi="Times New Roman" w:cs="Times New Roman"/>
          <w:i/>
          <w:sz w:val="28"/>
          <w:szCs w:val="28"/>
        </w:rPr>
        <w:t>Rules of the Supreme Court of the Northwest Territories.</w:t>
      </w:r>
    </w:p>
    <w:p w:rsidR="00656F66" w:rsidRPr="00120C12" w:rsidRDefault="00120C12" w:rsidP="00120C12">
      <w:pPr>
        <w:pStyle w:val="ListParagraph"/>
        <w:spacing w:after="240" w:line="240" w:lineRule="auto"/>
        <w:ind w:left="0"/>
        <w:contextualSpacing w:val="0"/>
        <w:jc w:val="both"/>
        <w:rPr>
          <w:rFonts w:ascii="Times New Roman" w:hAnsi="Times New Roman" w:cs="Times New Roman"/>
          <w:b/>
          <w:i/>
          <w:sz w:val="28"/>
          <w:szCs w:val="28"/>
        </w:rPr>
      </w:pPr>
      <w:r w:rsidRPr="00120C12">
        <w:rPr>
          <w:rFonts w:ascii="Times New Roman" w:hAnsi="Times New Roman" w:cs="Times New Roman"/>
          <w:b/>
          <w:i/>
          <w:sz w:val="28"/>
          <w:szCs w:val="28"/>
        </w:rPr>
        <w:t>Raven</w:t>
      </w:r>
      <w:r w:rsidR="00E701CB">
        <w:rPr>
          <w:rFonts w:ascii="Times New Roman" w:hAnsi="Times New Roman" w:cs="Times New Roman"/>
          <w:b/>
          <w:i/>
          <w:sz w:val="28"/>
          <w:szCs w:val="28"/>
        </w:rPr>
        <w:t>’s Position</w:t>
      </w:r>
    </w:p>
    <w:p w:rsidR="00A14910" w:rsidRDefault="00BC4DD4" w:rsidP="00656F66">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Raven </w:t>
      </w:r>
      <w:r w:rsidR="00A63CD3">
        <w:rPr>
          <w:rFonts w:ascii="Times New Roman" w:hAnsi="Times New Roman" w:cs="Times New Roman"/>
          <w:sz w:val="28"/>
          <w:szCs w:val="28"/>
        </w:rPr>
        <w:t>takes no issue</w:t>
      </w:r>
      <w:r>
        <w:rPr>
          <w:rFonts w:ascii="Times New Roman" w:hAnsi="Times New Roman" w:cs="Times New Roman"/>
          <w:sz w:val="28"/>
          <w:szCs w:val="28"/>
        </w:rPr>
        <w:t xml:space="preserve"> with the proposition that </w:t>
      </w:r>
      <w:r w:rsidR="00FB521A">
        <w:rPr>
          <w:rFonts w:ascii="Times New Roman" w:hAnsi="Times New Roman" w:cs="Times New Roman"/>
          <w:sz w:val="28"/>
          <w:szCs w:val="28"/>
        </w:rPr>
        <w:t xml:space="preserve">policy </w:t>
      </w:r>
      <w:r>
        <w:rPr>
          <w:rFonts w:ascii="Times New Roman" w:hAnsi="Times New Roman" w:cs="Times New Roman"/>
          <w:sz w:val="28"/>
          <w:szCs w:val="28"/>
        </w:rPr>
        <w:t xml:space="preserve">decisions on </w:t>
      </w:r>
      <w:r>
        <w:rPr>
          <w:rFonts w:ascii="Times New Roman" w:hAnsi="Times New Roman" w:cs="Times New Roman"/>
          <w:i/>
          <w:sz w:val="28"/>
          <w:szCs w:val="28"/>
        </w:rPr>
        <w:t xml:space="preserve">how </w:t>
      </w:r>
      <w:r>
        <w:rPr>
          <w:rFonts w:ascii="Times New Roman" w:hAnsi="Times New Roman" w:cs="Times New Roman"/>
          <w:sz w:val="28"/>
          <w:szCs w:val="28"/>
        </w:rPr>
        <w:t>to spend public money</w:t>
      </w:r>
      <w:r w:rsidR="0069185B">
        <w:rPr>
          <w:rFonts w:ascii="Times New Roman" w:hAnsi="Times New Roman" w:cs="Times New Roman"/>
          <w:sz w:val="28"/>
          <w:szCs w:val="28"/>
        </w:rPr>
        <w:t>, including establishing eligibility criteria,</w:t>
      </w:r>
      <w:r>
        <w:rPr>
          <w:rFonts w:ascii="Times New Roman" w:hAnsi="Times New Roman" w:cs="Times New Roman"/>
          <w:sz w:val="28"/>
          <w:szCs w:val="28"/>
        </w:rPr>
        <w:t xml:space="preserve"> is within the exclusive purview of government</w:t>
      </w:r>
      <w:r w:rsidR="0069185B">
        <w:rPr>
          <w:rFonts w:ascii="Times New Roman" w:hAnsi="Times New Roman" w:cs="Times New Roman"/>
          <w:sz w:val="28"/>
          <w:szCs w:val="28"/>
        </w:rPr>
        <w:t xml:space="preserve">.  </w:t>
      </w:r>
      <w:r w:rsidR="000737B8">
        <w:rPr>
          <w:rFonts w:ascii="Times New Roman" w:hAnsi="Times New Roman" w:cs="Times New Roman"/>
          <w:sz w:val="28"/>
          <w:szCs w:val="28"/>
        </w:rPr>
        <w:t xml:space="preserve">It also concedes the GNWT is bound to follow the FAM. </w:t>
      </w:r>
      <w:r w:rsidR="00B24B72">
        <w:rPr>
          <w:rFonts w:ascii="Times New Roman" w:hAnsi="Times New Roman" w:cs="Times New Roman"/>
          <w:sz w:val="28"/>
          <w:szCs w:val="28"/>
        </w:rPr>
        <w:t xml:space="preserve"> </w:t>
      </w:r>
      <w:r w:rsidR="0069185B">
        <w:rPr>
          <w:rFonts w:ascii="Times New Roman" w:hAnsi="Times New Roman" w:cs="Times New Roman"/>
          <w:sz w:val="28"/>
          <w:szCs w:val="28"/>
        </w:rPr>
        <w:t xml:space="preserve">It argues, </w:t>
      </w:r>
      <w:r>
        <w:rPr>
          <w:rFonts w:ascii="Times New Roman" w:hAnsi="Times New Roman" w:cs="Times New Roman"/>
          <w:sz w:val="28"/>
          <w:szCs w:val="28"/>
        </w:rPr>
        <w:t xml:space="preserve">however, </w:t>
      </w:r>
      <w:r w:rsidR="0069185B">
        <w:rPr>
          <w:rFonts w:ascii="Times New Roman" w:hAnsi="Times New Roman" w:cs="Times New Roman"/>
          <w:sz w:val="28"/>
          <w:szCs w:val="28"/>
        </w:rPr>
        <w:t xml:space="preserve">that </w:t>
      </w:r>
      <w:r>
        <w:rPr>
          <w:rFonts w:ascii="Times New Roman" w:hAnsi="Times New Roman" w:cs="Times New Roman"/>
          <w:sz w:val="28"/>
          <w:szCs w:val="28"/>
        </w:rPr>
        <w:t>the manner in which the Assistant Deputy Minister interpreted and applied the FAM Interpretation Bulletins 6</w:t>
      </w:r>
      <w:r w:rsidR="00A63CD3">
        <w:rPr>
          <w:rFonts w:ascii="Times New Roman" w:hAnsi="Times New Roman" w:cs="Times New Roman"/>
          <w:sz w:val="28"/>
          <w:szCs w:val="28"/>
        </w:rPr>
        <w:t xml:space="preserve">25.01 and 625.02 </w:t>
      </w:r>
      <w:r w:rsidR="000737B8">
        <w:rPr>
          <w:rFonts w:ascii="Times New Roman" w:hAnsi="Times New Roman" w:cs="Times New Roman"/>
          <w:sz w:val="28"/>
          <w:szCs w:val="28"/>
        </w:rPr>
        <w:t>to find Raven and EAC are related entities is incorrect</w:t>
      </w:r>
      <w:r w:rsidR="00A63CD3">
        <w:rPr>
          <w:rFonts w:ascii="Times New Roman" w:hAnsi="Times New Roman" w:cs="Times New Roman"/>
          <w:sz w:val="28"/>
          <w:szCs w:val="28"/>
        </w:rPr>
        <w:t>.</w:t>
      </w:r>
      <w:r w:rsidR="000737B8">
        <w:rPr>
          <w:rFonts w:ascii="Times New Roman" w:hAnsi="Times New Roman" w:cs="Times New Roman"/>
          <w:sz w:val="28"/>
          <w:szCs w:val="28"/>
        </w:rPr>
        <w:t xml:space="preserve">  It also appears to question whether the Interpretation Bulletins are applicable in the circumstances. </w:t>
      </w:r>
    </w:p>
    <w:p w:rsidR="0069185B" w:rsidRDefault="00A14910" w:rsidP="00656F66">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Raven </w:t>
      </w:r>
      <w:r w:rsidR="00FB521A">
        <w:rPr>
          <w:rFonts w:ascii="Times New Roman" w:hAnsi="Times New Roman" w:cs="Times New Roman"/>
          <w:sz w:val="28"/>
          <w:szCs w:val="28"/>
        </w:rPr>
        <w:t xml:space="preserve">also </w:t>
      </w:r>
      <w:r>
        <w:rPr>
          <w:rFonts w:ascii="Times New Roman" w:hAnsi="Times New Roman" w:cs="Times New Roman"/>
          <w:sz w:val="28"/>
          <w:szCs w:val="28"/>
        </w:rPr>
        <w:t>argues</w:t>
      </w:r>
      <w:r w:rsidR="000737B8">
        <w:rPr>
          <w:rFonts w:ascii="Times New Roman" w:hAnsi="Times New Roman" w:cs="Times New Roman"/>
          <w:sz w:val="28"/>
          <w:szCs w:val="28"/>
        </w:rPr>
        <w:t xml:space="preserve"> the Assistant Deputy Minister’s decision violated </w:t>
      </w:r>
      <w:r>
        <w:rPr>
          <w:rFonts w:ascii="Times New Roman" w:hAnsi="Times New Roman" w:cs="Times New Roman"/>
          <w:sz w:val="28"/>
          <w:szCs w:val="28"/>
        </w:rPr>
        <w:t>its</w:t>
      </w:r>
      <w:r w:rsidR="000737B8">
        <w:rPr>
          <w:rFonts w:ascii="Times New Roman" w:hAnsi="Times New Roman" w:cs="Times New Roman"/>
          <w:sz w:val="28"/>
          <w:szCs w:val="28"/>
        </w:rPr>
        <w:t xml:space="preserve"> </w:t>
      </w:r>
      <w:r w:rsidR="000737B8">
        <w:rPr>
          <w:rFonts w:ascii="Times New Roman" w:hAnsi="Times New Roman" w:cs="Times New Roman"/>
          <w:i/>
          <w:sz w:val="28"/>
          <w:szCs w:val="28"/>
        </w:rPr>
        <w:t xml:space="preserve">Charter </w:t>
      </w:r>
      <w:r w:rsidR="000737B8">
        <w:rPr>
          <w:rFonts w:ascii="Times New Roman" w:hAnsi="Times New Roman" w:cs="Times New Roman"/>
          <w:sz w:val="28"/>
          <w:szCs w:val="28"/>
        </w:rPr>
        <w:t xml:space="preserve">rights under s 7 </w:t>
      </w:r>
      <w:r>
        <w:rPr>
          <w:rFonts w:ascii="Times New Roman" w:hAnsi="Times New Roman" w:cs="Times New Roman"/>
          <w:sz w:val="28"/>
          <w:szCs w:val="28"/>
        </w:rPr>
        <w:t>(life, liberty and security of the person)</w:t>
      </w:r>
      <w:r w:rsidR="000737B8">
        <w:rPr>
          <w:rFonts w:ascii="Times New Roman" w:hAnsi="Times New Roman" w:cs="Times New Roman"/>
          <w:sz w:val="28"/>
          <w:szCs w:val="28"/>
        </w:rPr>
        <w:t>.</w:t>
      </w:r>
      <w:r w:rsidR="00A63CD3">
        <w:rPr>
          <w:rFonts w:ascii="Times New Roman" w:hAnsi="Times New Roman" w:cs="Times New Roman"/>
          <w:sz w:val="28"/>
          <w:szCs w:val="28"/>
        </w:rPr>
        <w:t xml:space="preserve"> </w:t>
      </w:r>
    </w:p>
    <w:p w:rsidR="00120C12" w:rsidRDefault="000737B8" w:rsidP="00656F66">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Raven disagrees with the Attorney General’s position that the </w:t>
      </w:r>
      <w:r w:rsidR="0069185B">
        <w:rPr>
          <w:rFonts w:ascii="Times New Roman" w:hAnsi="Times New Roman" w:cs="Times New Roman"/>
          <w:sz w:val="28"/>
          <w:szCs w:val="28"/>
        </w:rPr>
        <w:t xml:space="preserve">Assistant Deputy Minister was </w:t>
      </w:r>
      <w:r>
        <w:rPr>
          <w:rFonts w:ascii="Times New Roman" w:hAnsi="Times New Roman" w:cs="Times New Roman"/>
          <w:sz w:val="28"/>
          <w:szCs w:val="28"/>
        </w:rPr>
        <w:t xml:space="preserve">not </w:t>
      </w:r>
      <w:r w:rsidR="0069185B">
        <w:rPr>
          <w:rFonts w:ascii="Times New Roman" w:hAnsi="Times New Roman" w:cs="Times New Roman"/>
          <w:sz w:val="28"/>
          <w:szCs w:val="28"/>
        </w:rPr>
        <w:t>acting as a tribunal in deciding the appeal.</w:t>
      </w:r>
    </w:p>
    <w:p w:rsidR="0038243D" w:rsidRDefault="0038243D" w:rsidP="0038243D">
      <w:pPr>
        <w:pStyle w:val="ListParagraph"/>
        <w:spacing w:after="240" w:line="240" w:lineRule="auto"/>
        <w:ind w:left="0"/>
        <w:contextualSpacing w:val="0"/>
        <w:jc w:val="both"/>
        <w:rPr>
          <w:rFonts w:ascii="Times New Roman" w:hAnsi="Times New Roman" w:cs="Times New Roman"/>
          <w:b/>
          <w:sz w:val="28"/>
          <w:szCs w:val="28"/>
        </w:rPr>
      </w:pPr>
      <w:r w:rsidRPr="0038243D">
        <w:rPr>
          <w:rFonts w:ascii="Times New Roman" w:hAnsi="Times New Roman" w:cs="Times New Roman"/>
          <w:b/>
          <w:sz w:val="28"/>
          <w:szCs w:val="28"/>
        </w:rPr>
        <w:t>ANALYSIS</w:t>
      </w:r>
    </w:p>
    <w:p w:rsidR="00E50A4E" w:rsidRPr="008842C4" w:rsidRDefault="00451117" w:rsidP="008842C4">
      <w:pPr>
        <w:spacing w:after="240" w:line="240" w:lineRule="auto"/>
        <w:jc w:val="both"/>
        <w:rPr>
          <w:rFonts w:ascii="Times New Roman" w:hAnsi="Times New Roman" w:cs="Times New Roman"/>
          <w:b/>
          <w:i/>
          <w:sz w:val="28"/>
          <w:szCs w:val="28"/>
        </w:rPr>
      </w:pPr>
      <w:r>
        <w:rPr>
          <w:rFonts w:ascii="Times New Roman" w:hAnsi="Times New Roman" w:cs="Times New Roman"/>
          <w:b/>
          <w:i/>
          <w:sz w:val="28"/>
          <w:szCs w:val="28"/>
        </w:rPr>
        <w:t>Is the decision subject to judicial review</w:t>
      </w:r>
      <w:r w:rsidR="0068192C" w:rsidRPr="0068192C">
        <w:rPr>
          <w:rFonts w:ascii="Times New Roman" w:hAnsi="Times New Roman" w:cs="Times New Roman"/>
          <w:b/>
          <w:i/>
          <w:sz w:val="28"/>
          <w:szCs w:val="28"/>
        </w:rPr>
        <w:t>?</w:t>
      </w:r>
    </w:p>
    <w:p w:rsidR="00C7434E" w:rsidRPr="00C7434E" w:rsidRDefault="00106A4F" w:rsidP="00106A4F">
      <w:pPr>
        <w:pStyle w:val="ListParagraph"/>
        <w:numPr>
          <w:ilvl w:val="0"/>
          <w:numId w:val="10"/>
        </w:numPr>
        <w:spacing w:after="240" w:line="240" w:lineRule="auto"/>
        <w:contextualSpacing w:val="0"/>
        <w:jc w:val="both"/>
        <w:rPr>
          <w:rFonts w:ascii="Times New Roman" w:eastAsia="Times New Roman" w:hAnsi="Times New Roman" w:cs="Times New Roman"/>
          <w:color w:val="212121"/>
          <w:sz w:val="24"/>
          <w:szCs w:val="24"/>
        </w:rPr>
      </w:pPr>
      <w:r>
        <w:rPr>
          <w:rFonts w:ascii="Times New Roman" w:hAnsi="Times New Roman" w:cs="Times New Roman"/>
          <w:sz w:val="28"/>
          <w:szCs w:val="28"/>
        </w:rPr>
        <w:t>It is beyond doubt that government</w:t>
      </w:r>
      <w:r w:rsidR="0023697C">
        <w:rPr>
          <w:rFonts w:ascii="Times New Roman" w:hAnsi="Times New Roman" w:cs="Times New Roman"/>
          <w:sz w:val="28"/>
          <w:szCs w:val="28"/>
        </w:rPr>
        <w:t xml:space="preserve"> </w:t>
      </w:r>
      <w:r w:rsidR="00451117">
        <w:rPr>
          <w:rFonts w:ascii="Times New Roman" w:hAnsi="Times New Roman" w:cs="Times New Roman"/>
          <w:sz w:val="28"/>
          <w:szCs w:val="28"/>
        </w:rPr>
        <w:t xml:space="preserve">policy </w:t>
      </w:r>
      <w:r w:rsidR="0023697C">
        <w:rPr>
          <w:rFonts w:ascii="Times New Roman" w:hAnsi="Times New Roman" w:cs="Times New Roman"/>
          <w:sz w:val="28"/>
          <w:szCs w:val="28"/>
        </w:rPr>
        <w:t>decisions about how to spend money are not reviewable</w:t>
      </w:r>
      <w:r w:rsidR="00FB521A">
        <w:rPr>
          <w:rFonts w:ascii="Times New Roman" w:hAnsi="Times New Roman" w:cs="Times New Roman"/>
          <w:sz w:val="28"/>
          <w:szCs w:val="28"/>
        </w:rPr>
        <w:t xml:space="preserve">, so long as there is no violation of </w:t>
      </w:r>
      <w:r w:rsidR="00FB521A">
        <w:rPr>
          <w:rFonts w:ascii="Times New Roman" w:hAnsi="Times New Roman" w:cs="Times New Roman"/>
          <w:i/>
          <w:sz w:val="28"/>
          <w:szCs w:val="28"/>
        </w:rPr>
        <w:t xml:space="preserve">Charter </w:t>
      </w:r>
      <w:r w:rsidR="00FB521A">
        <w:rPr>
          <w:rFonts w:ascii="Times New Roman" w:hAnsi="Times New Roman" w:cs="Times New Roman"/>
          <w:sz w:val="28"/>
          <w:szCs w:val="28"/>
        </w:rPr>
        <w:t>or other fundamental rights,</w:t>
      </w:r>
      <w:r w:rsidR="00B24B72">
        <w:rPr>
          <w:rFonts w:ascii="Times New Roman" w:hAnsi="Times New Roman" w:cs="Times New Roman"/>
          <w:sz w:val="28"/>
          <w:szCs w:val="28"/>
        </w:rPr>
        <w:t xml:space="preserve"> </w:t>
      </w:r>
      <w:r w:rsidR="00FB521A">
        <w:rPr>
          <w:rFonts w:ascii="Times New Roman" w:hAnsi="Times New Roman" w:cs="Times New Roman"/>
          <w:i/>
          <w:sz w:val="28"/>
          <w:szCs w:val="28"/>
        </w:rPr>
        <w:t>H</w:t>
      </w:r>
      <w:r w:rsidR="007E2973" w:rsidRPr="00A62115">
        <w:rPr>
          <w:rFonts w:ascii="Times New Roman" w:hAnsi="Times New Roman" w:cs="Times New Roman"/>
          <w:i/>
          <w:sz w:val="28"/>
          <w:szCs w:val="28"/>
        </w:rPr>
        <w:t>amilton-Wentworth (Regional Municipality) v Ontario (Minister of Transportation)</w:t>
      </w:r>
      <w:r w:rsidR="00F93465" w:rsidRPr="00A62115">
        <w:rPr>
          <w:rFonts w:ascii="Times New Roman" w:hAnsi="Times New Roman" w:cs="Times New Roman"/>
          <w:sz w:val="28"/>
          <w:szCs w:val="28"/>
        </w:rPr>
        <w:t xml:space="preserve"> 1991 CarswellOnt 45 (Ont Div Ct) at paras 42-44, 78 DLR (4</w:t>
      </w:r>
      <w:r w:rsidR="00F93465" w:rsidRPr="00A62115">
        <w:rPr>
          <w:rFonts w:ascii="Times New Roman" w:hAnsi="Times New Roman" w:cs="Times New Roman"/>
          <w:sz w:val="28"/>
          <w:szCs w:val="28"/>
          <w:vertAlign w:val="superscript"/>
        </w:rPr>
        <w:t>th</w:t>
      </w:r>
      <w:r w:rsidR="00F93465" w:rsidRPr="00A62115">
        <w:rPr>
          <w:rFonts w:ascii="Times New Roman" w:hAnsi="Times New Roman" w:cs="Times New Roman"/>
          <w:sz w:val="28"/>
          <w:szCs w:val="28"/>
        </w:rPr>
        <w:t xml:space="preserve">) 289, 1991 </w:t>
      </w:r>
      <w:r w:rsidR="007E2973" w:rsidRPr="00A62115">
        <w:rPr>
          <w:rFonts w:ascii="Times New Roman" w:hAnsi="Times New Roman" w:cs="Times New Roman"/>
          <w:sz w:val="28"/>
          <w:szCs w:val="28"/>
        </w:rPr>
        <w:t>CanLII 7099</w:t>
      </w:r>
      <w:r w:rsidR="0023697C">
        <w:rPr>
          <w:rFonts w:ascii="Times New Roman" w:hAnsi="Times New Roman" w:cs="Times New Roman"/>
          <w:sz w:val="28"/>
          <w:szCs w:val="28"/>
        </w:rPr>
        <w:t xml:space="preserve">.  </w:t>
      </w:r>
      <w:r w:rsidR="00FB521A">
        <w:rPr>
          <w:rFonts w:ascii="Times New Roman" w:hAnsi="Times New Roman" w:cs="Times New Roman"/>
          <w:sz w:val="28"/>
          <w:szCs w:val="28"/>
        </w:rPr>
        <w:t>T</w:t>
      </w:r>
      <w:r w:rsidR="0023697C">
        <w:rPr>
          <w:rFonts w:ascii="Times New Roman" w:hAnsi="Times New Roman" w:cs="Times New Roman"/>
          <w:sz w:val="28"/>
          <w:szCs w:val="28"/>
        </w:rPr>
        <w:t xml:space="preserve">his includes defining who will be eligible to benefit from </w:t>
      </w:r>
      <w:r w:rsidR="00185D69">
        <w:rPr>
          <w:rFonts w:ascii="Times New Roman" w:hAnsi="Times New Roman" w:cs="Times New Roman"/>
          <w:sz w:val="28"/>
          <w:szCs w:val="28"/>
        </w:rPr>
        <w:t xml:space="preserve">the programs flowing from </w:t>
      </w:r>
      <w:r w:rsidR="0023697C">
        <w:rPr>
          <w:rFonts w:ascii="Times New Roman" w:hAnsi="Times New Roman" w:cs="Times New Roman"/>
          <w:sz w:val="28"/>
          <w:szCs w:val="28"/>
        </w:rPr>
        <w:t xml:space="preserve">those decisions and decisions </w:t>
      </w:r>
      <w:r w:rsidR="00451117">
        <w:rPr>
          <w:rFonts w:ascii="Times New Roman" w:hAnsi="Times New Roman" w:cs="Times New Roman"/>
          <w:sz w:val="28"/>
          <w:szCs w:val="28"/>
        </w:rPr>
        <w:t xml:space="preserve">about whether </w:t>
      </w:r>
      <w:r w:rsidR="00451117">
        <w:rPr>
          <w:rFonts w:ascii="Times New Roman" w:hAnsi="Times New Roman" w:cs="Times New Roman"/>
          <w:sz w:val="28"/>
          <w:szCs w:val="28"/>
        </w:rPr>
        <w:lastRenderedPageBreak/>
        <w:t xml:space="preserve">to continue or </w:t>
      </w:r>
      <w:r w:rsidR="0023697C">
        <w:rPr>
          <w:rFonts w:ascii="Times New Roman" w:hAnsi="Times New Roman" w:cs="Times New Roman"/>
          <w:sz w:val="28"/>
          <w:szCs w:val="28"/>
        </w:rPr>
        <w:t xml:space="preserve">terminate such programs. </w:t>
      </w:r>
      <w:r>
        <w:rPr>
          <w:rFonts w:ascii="Times New Roman" w:hAnsi="Times New Roman" w:cs="Times New Roman"/>
          <w:sz w:val="28"/>
          <w:szCs w:val="28"/>
        </w:rPr>
        <w:t xml:space="preserve"> </w:t>
      </w:r>
      <w:r w:rsidR="0023697C">
        <w:rPr>
          <w:rFonts w:ascii="Times New Roman" w:hAnsi="Times New Roman" w:cs="Times New Roman"/>
          <w:i/>
          <w:sz w:val="28"/>
          <w:szCs w:val="28"/>
        </w:rPr>
        <w:t xml:space="preserve">Kuki v Ontario (Ministry of Training, Colleges and Universities), </w:t>
      </w:r>
      <w:r w:rsidR="0023697C">
        <w:rPr>
          <w:rFonts w:ascii="Times New Roman" w:hAnsi="Times New Roman" w:cs="Times New Roman"/>
          <w:sz w:val="28"/>
          <w:szCs w:val="28"/>
        </w:rPr>
        <w:t xml:space="preserve">2013 ONSC 5574; </w:t>
      </w:r>
      <w:r w:rsidR="0023697C">
        <w:rPr>
          <w:rFonts w:ascii="Times New Roman" w:hAnsi="Times New Roman" w:cs="Times New Roman"/>
          <w:i/>
          <w:sz w:val="28"/>
          <w:szCs w:val="28"/>
        </w:rPr>
        <w:t xml:space="preserve">Bowman v HMTQ, </w:t>
      </w:r>
      <w:r w:rsidR="0023697C">
        <w:rPr>
          <w:rFonts w:ascii="Times New Roman" w:hAnsi="Times New Roman" w:cs="Times New Roman"/>
          <w:sz w:val="28"/>
          <w:szCs w:val="28"/>
        </w:rPr>
        <w:t xml:space="preserve">2019 ONSC (Div Ct) 1064. </w:t>
      </w:r>
    </w:p>
    <w:p w:rsidR="00451117" w:rsidRPr="007F456F" w:rsidRDefault="0023697C" w:rsidP="00516E84">
      <w:pPr>
        <w:pStyle w:val="ListParagraph"/>
        <w:numPr>
          <w:ilvl w:val="0"/>
          <w:numId w:val="10"/>
        </w:numPr>
        <w:spacing w:after="240" w:line="240" w:lineRule="auto"/>
        <w:contextualSpacing w:val="0"/>
        <w:jc w:val="both"/>
        <w:rPr>
          <w:rFonts w:ascii="Times New Roman" w:eastAsia="Times New Roman" w:hAnsi="Times New Roman" w:cs="Times New Roman"/>
          <w:color w:val="212121"/>
          <w:sz w:val="24"/>
          <w:szCs w:val="24"/>
        </w:rPr>
      </w:pPr>
      <w:r w:rsidRPr="00451117">
        <w:rPr>
          <w:rFonts w:ascii="Times New Roman" w:hAnsi="Times New Roman" w:cs="Times New Roman"/>
          <w:sz w:val="28"/>
          <w:szCs w:val="28"/>
        </w:rPr>
        <w:t>As noted, Raven does not dispu</w:t>
      </w:r>
      <w:r w:rsidR="00185D69" w:rsidRPr="00451117">
        <w:rPr>
          <w:rFonts w:ascii="Times New Roman" w:hAnsi="Times New Roman" w:cs="Times New Roman"/>
          <w:sz w:val="28"/>
          <w:szCs w:val="28"/>
        </w:rPr>
        <w:t>te th</w:t>
      </w:r>
      <w:r w:rsidR="00A33F6A" w:rsidRPr="00451117">
        <w:rPr>
          <w:rFonts w:ascii="Times New Roman" w:hAnsi="Times New Roman" w:cs="Times New Roman"/>
          <w:sz w:val="28"/>
          <w:szCs w:val="28"/>
        </w:rPr>
        <w:t>e</w:t>
      </w:r>
      <w:r w:rsidR="00185D69" w:rsidRPr="00451117">
        <w:rPr>
          <w:rFonts w:ascii="Times New Roman" w:hAnsi="Times New Roman" w:cs="Times New Roman"/>
          <w:sz w:val="28"/>
          <w:szCs w:val="28"/>
        </w:rPr>
        <w:t>s</w:t>
      </w:r>
      <w:r w:rsidR="00A33F6A" w:rsidRPr="00451117">
        <w:rPr>
          <w:rFonts w:ascii="Times New Roman" w:hAnsi="Times New Roman" w:cs="Times New Roman"/>
          <w:sz w:val="28"/>
          <w:szCs w:val="28"/>
        </w:rPr>
        <w:t>e principles</w:t>
      </w:r>
      <w:r w:rsidR="006E55FB" w:rsidRPr="00451117">
        <w:rPr>
          <w:rFonts w:ascii="Times New Roman" w:hAnsi="Times New Roman" w:cs="Times New Roman"/>
          <w:sz w:val="28"/>
          <w:szCs w:val="28"/>
        </w:rPr>
        <w:t xml:space="preserve"> and it does not dispute that the GNWT is bound by the FAM. </w:t>
      </w:r>
      <w:r w:rsidR="00FB521A">
        <w:rPr>
          <w:rFonts w:ascii="Times New Roman" w:hAnsi="Times New Roman" w:cs="Times New Roman"/>
          <w:sz w:val="28"/>
          <w:szCs w:val="28"/>
        </w:rPr>
        <w:t xml:space="preserve"> </w:t>
      </w:r>
      <w:r w:rsidR="007F456F">
        <w:rPr>
          <w:rFonts w:ascii="Times New Roman" w:hAnsi="Times New Roman" w:cs="Times New Roman"/>
          <w:sz w:val="28"/>
          <w:szCs w:val="28"/>
        </w:rPr>
        <w:t>The heart of its argument, r</w:t>
      </w:r>
      <w:r w:rsidR="00FB521A">
        <w:rPr>
          <w:rFonts w:ascii="Times New Roman" w:hAnsi="Times New Roman" w:cs="Times New Roman"/>
          <w:sz w:val="28"/>
          <w:szCs w:val="28"/>
        </w:rPr>
        <w:t xml:space="preserve">ather, </w:t>
      </w:r>
      <w:r w:rsidR="007F456F">
        <w:rPr>
          <w:rFonts w:ascii="Times New Roman" w:hAnsi="Times New Roman" w:cs="Times New Roman"/>
          <w:sz w:val="28"/>
          <w:szCs w:val="28"/>
        </w:rPr>
        <w:t xml:space="preserve">is that ITI’s finding, at the first instance and then on appeal, that Raven and EAC are “related parties” is incorrect. </w:t>
      </w:r>
      <w:r w:rsidR="00323B29">
        <w:rPr>
          <w:rFonts w:ascii="Times New Roman" w:hAnsi="Times New Roman" w:cs="Times New Roman"/>
          <w:sz w:val="28"/>
          <w:szCs w:val="28"/>
        </w:rPr>
        <w:t xml:space="preserve"> </w:t>
      </w:r>
      <w:r w:rsidR="007F456F">
        <w:rPr>
          <w:rFonts w:ascii="Times New Roman" w:hAnsi="Times New Roman" w:cs="Times New Roman"/>
          <w:sz w:val="28"/>
          <w:szCs w:val="28"/>
        </w:rPr>
        <w:t>Respectfully, I disagree.</w:t>
      </w:r>
    </w:p>
    <w:p w:rsidR="00E4468D" w:rsidRPr="00E4468D" w:rsidRDefault="007F456F" w:rsidP="003559AB">
      <w:pPr>
        <w:pStyle w:val="ListParagraph"/>
        <w:numPr>
          <w:ilvl w:val="0"/>
          <w:numId w:val="10"/>
        </w:numPr>
        <w:spacing w:after="240" w:line="240" w:lineRule="auto"/>
        <w:contextualSpacing w:val="0"/>
        <w:jc w:val="both"/>
        <w:rPr>
          <w:rFonts w:ascii="Times New Roman" w:eastAsia="Times New Roman" w:hAnsi="Times New Roman" w:cs="Times New Roman"/>
          <w:color w:val="212121"/>
          <w:sz w:val="24"/>
          <w:szCs w:val="24"/>
        </w:rPr>
      </w:pPr>
      <w:r>
        <w:rPr>
          <w:rFonts w:ascii="Times New Roman" w:hAnsi="Times New Roman" w:cs="Times New Roman"/>
          <w:sz w:val="28"/>
          <w:szCs w:val="28"/>
        </w:rPr>
        <w:t xml:space="preserve">As a general principle, corporate entities are legally separate from their directors and shareholders, </w:t>
      </w:r>
      <w:r w:rsidR="003559AB">
        <w:rPr>
          <w:rFonts w:ascii="Times New Roman" w:hAnsi="Times New Roman" w:cs="Times New Roman"/>
          <w:sz w:val="28"/>
          <w:szCs w:val="28"/>
        </w:rPr>
        <w:t>as well as other corporate structures</w:t>
      </w:r>
      <w:r>
        <w:rPr>
          <w:rFonts w:ascii="Times New Roman" w:hAnsi="Times New Roman" w:cs="Times New Roman"/>
          <w:sz w:val="28"/>
          <w:szCs w:val="28"/>
        </w:rPr>
        <w:t>.</w:t>
      </w:r>
      <w:r w:rsidR="00E4468D">
        <w:rPr>
          <w:rFonts w:ascii="Times New Roman" w:hAnsi="Times New Roman" w:cs="Times New Roman"/>
          <w:sz w:val="28"/>
          <w:szCs w:val="28"/>
        </w:rPr>
        <w:t xml:space="preserve">  Among other things, this means Corporation X cannot be held responsible for the debts of Corporation Y.  Under the same principle, the CEO of Corporation X is not personally liable for Corporation X’s debts.</w:t>
      </w:r>
      <w:r w:rsidR="00323B29">
        <w:rPr>
          <w:rFonts w:ascii="Times New Roman" w:hAnsi="Times New Roman" w:cs="Times New Roman"/>
          <w:sz w:val="28"/>
          <w:szCs w:val="28"/>
        </w:rPr>
        <w:t xml:space="preserve"> </w:t>
      </w:r>
      <w:r>
        <w:rPr>
          <w:rFonts w:ascii="Times New Roman" w:hAnsi="Times New Roman" w:cs="Times New Roman"/>
          <w:sz w:val="28"/>
          <w:szCs w:val="28"/>
        </w:rPr>
        <w:t xml:space="preserve"> </w:t>
      </w:r>
      <w:r w:rsidR="00E4468D">
        <w:rPr>
          <w:rFonts w:ascii="Times New Roman" w:hAnsi="Times New Roman" w:cs="Times New Roman"/>
          <w:sz w:val="28"/>
          <w:szCs w:val="28"/>
        </w:rPr>
        <w:t xml:space="preserve">There are certain exceptions to this principle, some created by statute and others by policy or practices.  This is one such case.  </w:t>
      </w:r>
    </w:p>
    <w:p w:rsidR="007F456F" w:rsidRPr="003559AB" w:rsidRDefault="00E4468D" w:rsidP="003559AB">
      <w:pPr>
        <w:pStyle w:val="ListParagraph"/>
        <w:numPr>
          <w:ilvl w:val="0"/>
          <w:numId w:val="10"/>
        </w:numPr>
        <w:spacing w:after="240" w:line="240" w:lineRule="auto"/>
        <w:contextualSpacing w:val="0"/>
        <w:jc w:val="both"/>
        <w:rPr>
          <w:rFonts w:ascii="Times New Roman" w:eastAsia="Times New Roman" w:hAnsi="Times New Roman" w:cs="Times New Roman"/>
          <w:color w:val="212121"/>
          <w:sz w:val="24"/>
          <w:szCs w:val="24"/>
        </w:rPr>
      </w:pPr>
      <w:r>
        <w:rPr>
          <w:rFonts w:ascii="Times New Roman" w:hAnsi="Times New Roman" w:cs="Times New Roman"/>
          <w:sz w:val="28"/>
          <w:szCs w:val="28"/>
        </w:rPr>
        <w:t>T</w:t>
      </w:r>
      <w:r w:rsidR="007F456F">
        <w:rPr>
          <w:rFonts w:ascii="Times New Roman" w:hAnsi="Times New Roman" w:cs="Times New Roman"/>
          <w:sz w:val="28"/>
          <w:szCs w:val="28"/>
        </w:rPr>
        <w:t xml:space="preserve">he Financial Management Board has created policies which </w:t>
      </w:r>
      <w:r w:rsidR="00D24AF4">
        <w:rPr>
          <w:rFonts w:ascii="Times New Roman" w:hAnsi="Times New Roman" w:cs="Times New Roman"/>
          <w:sz w:val="28"/>
          <w:szCs w:val="28"/>
        </w:rPr>
        <w:t>allow</w:t>
      </w:r>
      <w:r w:rsidR="007F456F">
        <w:rPr>
          <w:rFonts w:ascii="Times New Roman" w:hAnsi="Times New Roman" w:cs="Times New Roman"/>
          <w:sz w:val="28"/>
          <w:szCs w:val="28"/>
        </w:rPr>
        <w:t xml:space="preserve"> those who administer public funds to look beyond the “corporate veil” in certain circumstances and take into account common elements amongst diff</w:t>
      </w:r>
      <w:r w:rsidR="00D24AF4">
        <w:rPr>
          <w:rFonts w:ascii="Times New Roman" w:hAnsi="Times New Roman" w:cs="Times New Roman"/>
          <w:sz w:val="28"/>
          <w:szCs w:val="28"/>
        </w:rPr>
        <w:t xml:space="preserve">erent entities and individuals and consider their past performance. </w:t>
      </w:r>
      <w:r w:rsidR="00323B29">
        <w:rPr>
          <w:rFonts w:ascii="Times New Roman" w:hAnsi="Times New Roman" w:cs="Times New Roman"/>
          <w:sz w:val="28"/>
          <w:szCs w:val="28"/>
        </w:rPr>
        <w:t xml:space="preserve"> </w:t>
      </w:r>
      <w:r w:rsidR="007F456F">
        <w:rPr>
          <w:rFonts w:ascii="Times New Roman" w:hAnsi="Times New Roman" w:cs="Times New Roman"/>
          <w:sz w:val="28"/>
          <w:szCs w:val="28"/>
        </w:rPr>
        <w:t>This is based on the legitimate need for accountability and prudent management of public monies.</w:t>
      </w:r>
      <w:r w:rsidR="00323B29">
        <w:rPr>
          <w:rFonts w:ascii="Times New Roman" w:hAnsi="Times New Roman" w:cs="Times New Roman"/>
          <w:sz w:val="28"/>
          <w:szCs w:val="28"/>
        </w:rPr>
        <w:t xml:space="preserve"> </w:t>
      </w:r>
      <w:r w:rsidR="007F456F">
        <w:rPr>
          <w:rFonts w:ascii="Times New Roman" w:hAnsi="Times New Roman" w:cs="Times New Roman"/>
          <w:sz w:val="28"/>
          <w:szCs w:val="28"/>
        </w:rPr>
        <w:t xml:space="preserve"> The Financial Management Board is entitled to make this policy decision and </w:t>
      </w:r>
      <w:r w:rsidR="00D24AF4">
        <w:rPr>
          <w:rFonts w:ascii="Times New Roman" w:hAnsi="Times New Roman" w:cs="Times New Roman"/>
          <w:sz w:val="28"/>
          <w:szCs w:val="28"/>
        </w:rPr>
        <w:t xml:space="preserve">the GNWT’s departments, boards and agencies are </w:t>
      </w:r>
      <w:r w:rsidR="007F456F">
        <w:rPr>
          <w:rFonts w:ascii="Times New Roman" w:hAnsi="Times New Roman" w:cs="Times New Roman"/>
          <w:sz w:val="28"/>
          <w:szCs w:val="28"/>
        </w:rPr>
        <w:t xml:space="preserve">bound to </w:t>
      </w:r>
      <w:r w:rsidR="003559AB">
        <w:rPr>
          <w:rFonts w:ascii="Times New Roman" w:hAnsi="Times New Roman" w:cs="Times New Roman"/>
          <w:sz w:val="28"/>
          <w:szCs w:val="28"/>
        </w:rPr>
        <w:t>follow it</w:t>
      </w:r>
      <w:r w:rsidR="007F456F">
        <w:rPr>
          <w:rFonts w:ascii="Times New Roman" w:hAnsi="Times New Roman" w:cs="Times New Roman"/>
          <w:sz w:val="28"/>
          <w:szCs w:val="28"/>
        </w:rPr>
        <w:t xml:space="preserve">. </w:t>
      </w:r>
    </w:p>
    <w:p w:rsidR="00693F36" w:rsidRPr="00693F36" w:rsidRDefault="00AE5F93" w:rsidP="00516E84">
      <w:pPr>
        <w:pStyle w:val="ListParagraph"/>
        <w:numPr>
          <w:ilvl w:val="0"/>
          <w:numId w:val="10"/>
        </w:numPr>
        <w:spacing w:after="240" w:line="240" w:lineRule="auto"/>
        <w:contextualSpacing w:val="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8"/>
          <w:szCs w:val="28"/>
        </w:rPr>
        <w:t xml:space="preserve">ITI </w:t>
      </w:r>
      <w:r w:rsidR="00E701CB">
        <w:rPr>
          <w:rFonts w:ascii="Times New Roman" w:eastAsia="Times New Roman" w:hAnsi="Times New Roman" w:cs="Times New Roman"/>
          <w:color w:val="212121"/>
          <w:sz w:val="28"/>
          <w:szCs w:val="28"/>
        </w:rPr>
        <w:t xml:space="preserve">set up </w:t>
      </w:r>
      <w:r w:rsidR="00D24AF4">
        <w:rPr>
          <w:rFonts w:ascii="Times New Roman" w:eastAsia="Times New Roman" w:hAnsi="Times New Roman" w:cs="Times New Roman"/>
          <w:color w:val="212121"/>
          <w:sz w:val="28"/>
          <w:szCs w:val="28"/>
        </w:rPr>
        <w:t xml:space="preserve">the PREP </w:t>
      </w:r>
      <w:r w:rsidR="00E701CB">
        <w:rPr>
          <w:rFonts w:ascii="Times New Roman" w:eastAsia="Times New Roman" w:hAnsi="Times New Roman" w:cs="Times New Roman"/>
          <w:color w:val="212121"/>
          <w:sz w:val="28"/>
          <w:szCs w:val="28"/>
        </w:rPr>
        <w:t>to provide tourism opera</w:t>
      </w:r>
      <w:r w:rsidR="003559AB">
        <w:rPr>
          <w:rFonts w:ascii="Times New Roman" w:eastAsia="Times New Roman" w:hAnsi="Times New Roman" w:cs="Times New Roman"/>
          <w:color w:val="212121"/>
          <w:sz w:val="28"/>
          <w:szCs w:val="28"/>
        </w:rPr>
        <w:t xml:space="preserve">tors with </w:t>
      </w:r>
      <w:r w:rsidR="00B42F9B">
        <w:rPr>
          <w:rFonts w:ascii="Times New Roman" w:eastAsia="Times New Roman" w:hAnsi="Times New Roman" w:cs="Times New Roman"/>
          <w:color w:val="212121"/>
          <w:sz w:val="28"/>
          <w:szCs w:val="28"/>
        </w:rPr>
        <w:t xml:space="preserve">financial </w:t>
      </w:r>
      <w:r w:rsidR="003559AB">
        <w:rPr>
          <w:rFonts w:ascii="Times New Roman" w:eastAsia="Times New Roman" w:hAnsi="Times New Roman" w:cs="Times New Roman"/>
          <w:color w:val="212121"/>
          <w:sz w:val="28"/>
          <w:szCs w:val="28"/>
        </w:rPr>
        <w:t>relief</w:t>
      </w:r>
      <w:r w:rsidR="00B42F9B">
        <w:rPr>
          <w:rFonts w:ascii="Times New Roman" w:eastAsia="Times New Roman" w:hAnsi="Times New Roman" w:cs="Times New Roman"/>
          <w:color w:val="212121"/>
          <w:sz w:val="28"/>
          <w:szCs w:val="28"/>
        </w:rPr>
        <w:t xml:space="preserve">. Recipients </w:t>
      </w:r>
      <w:r w:rsidR="00D24AF4">
        <w:rPr>
          <w:rFonts w:ascii="Times New Roman" w:eastAsia="Times New Roman" w:hAnsi="Times New Roman" w:cs="Times New Roman"/>
          <w:color w:val="212121"/>
          <w:sz w:val="28"/>
          <w:szCs w:val="28"/>
        </w:rPr>
        <w:t xml:space="preserve">had to account </w:t>
      </w:r>
      <w:r w:rsidR="00B42F9B">
        <w:rPr>
          <w:rFonts w:ascii="Times New Roman" w:eastAsia="Times New Roman" w:hAnsi="Times New Roman" w:cs="Times New Roman"/>
          <w:color w:val="212121"/>
          <w:sz w:val="28"/>
          <w:szCs w:val="28"/>
        </w:rPr>
        <w:t xml:space="preserve">for money received </w:t>
      </w:r>
      <w:r w:rsidR="008D11E3">
        <w:rPr>
          <w:rFonts w:ascii="Times New Roman" w:eastAsia="Times New Roman" w:hAnsi="Times New Roman" w:cs="Times New Roman"/>
          <w:color w:val="212121"/>
          <w:sz w:val="28"/>
          <w:szCs w:val="28"/>
        </w:rPr>
        <w:t>and,</w:t>
      </w:r>
      <w:r w:rsidR="00D24AF4">
        <w:rPr>
          <w:rFonts w:ascii="Times New Roman" w:eastAsia="Times New Roman" w:hAnsi="Times New Roman" w:cs="Times New Roman"/>
          <w:color w:val="212121"/>
          <w:sz w:val="28"/>
          <w:szCs w:val="28"/>
        </w:rPr>
        <w:t xml:space="preserve"> under certain conditions, repay</w:t>
      </w:r>
      <w:r w:rsidR="00B42F9B">
        <w:rPr>
          <w:rFonts w:ascii="Times New Roman" w:eastAsia="Times New Roman" w:hAnsi="Times New Roman" w:cs="Times New Roman"/>
          <w:color w:val="212121"/>
          <w:sz w:val="28"/>
          <w:szCs w:val="28"/>
        </w:rPr>
        <w:t xml:space="preserve"> some or all of it</w:t>
      </w:r>
      <w:r w:rsidR="00E701CB">
        <w:rPr>
          <w:rFonts w:ascii="Times New Roman" w:eastAsia="Times New Roman" w:hAnsi="Times New Roman" w:cs="Times New Roman"/>
          <w:color w:val="212121"/>
          <w:sz w:val="28"/>
          <w:szCs w:val="28"/>
        </w:rPr>
        <w:t xml:space="preserve">. </w:t>
      </w:r>
      <w:r w:rsidR="00B24B72">
        <w:rPr>
          <w:rFonts w:ascii="Times New Roman" w:eastAsia="Times New Roman" w:hAnsi="Times New Roman" w:cs="Times New Roman"/>
          <w:color w:val="212121"/>
          <w:sz w:val="28"/>
          <w:szCs w:val="28"/>
        </w:rPr>
        <w:t xml:space="preserve"> </w:t>
      </w:r>
      <w:r w:rsidR="00E701CB">
        <w:rPr>
          <w:rFonts w:ascii="Times New Roman" w:eastAsia="Times New Roman" w:hAnsi="Times New Roman" w:cs="Times New Roman"/>
          <w:color w:val="212121"/>
          <w:sz w:val="28"/>
          <w:szCs w:val="28"/>
        </w:rPr>
        <w:t>I</w:t>
      </w:r>
      <w:r w:rsidR="00B42F9B">
        <w:rPr>
          <w:rFonts w:ascii="Times New Roman" w:eastAsia="Times New Roman" w:hAnsi="Times New Roman" w:cs="Times New Roman"/>
          <w:color w:val="212121"/>
          <w:sz w:val="28"/>
          <w:szCs w:val="28"/>
        </w:rPr>
        <w:t>TI</w:t>
      </w:r>
      <w:r w:rsidR="00E701CB">
        <w:rPr>
          <w:rFonts w:ascii="Times New Roman" w:eastAsia="Times New Roman" w:hAnsi="Times New Roman" w:cs="Times New Roman"/>
          <w:color w:val="212121"/>
          <w:sz w:val="28"/>
          <w:szCs w:val="28"/>
        </w:rPr>
        <w:t xml:space="preserve"> also </w:t>
      </w:r>
      <w:r w:rsidR="00B42F9B">
        <w:rPr>
          <w:rFonts w:ascii="Times New Roman" w:eastAsia="Times New Roman" w:hAnsi="Times New Roman" w:cs="Times New Roman"/>
          <w:color w:val="212121"/>
          <w:sz w:val="28"/>
          <w:szCs w:val="28"/>
        </w:rPr>
        <w:t xml:space="preserve">set eligibility criteria and in doing so, </w:t>
      </w:r>
      <w:r>
        <w:rPr>
          <w:rFonts w:ascii="Times New Roman" w:eastAsia="Times New Roman" w:hAnsi="Times New Roman" w:cs="Times New Roman"/>
          <w:color w:val="212121"/>
          <w:sz w:val="28"/>
          <w:szCs w:val="28"/>
        </w:rPr>
        <w:t>decided</w:t>
      </w:r>
      <w:r w:rsidR="00E701CB">
        <w:rPr>
          <w:rFonts w:ascii="Times New Roman" w:eastAsia="Times New Roman" w:hAnsi="Times New Roman" w:cs="Times New Roman"/>
          <w:color w:val="212121"/>
          <w:sz w:val="28"/>
          <w:szCs w:val="28"/>
        </w:rPr>
        <w:t xml:space="preserve"> those tourism operators </w:t>
      </w:r>
      <w:r w:rsidR="00D24AF4">
        <w:rPr>
          <w:rFonts w:ascii="Times New Roman" w:eastAsia="Times New Roman" w:hAnsi="Times New Roman" w:cs="Times New Roman"/>
          <w:color w:val="212121"/>
          <w:sz w:val="28"/>
          <w:szCs w:val="28"/>
        </w:rPr>
        <w:t>that</w:t>
      </w:r>
      <w:r w:rsidR="00E701CB">
        <w:rPr>
          <w:rFonts w:ascii="Times New Roman" w:eastAsia="Times New Roman" w:hAnsi="Times New Roman" w:cs="Times New Roman"/>
          <w:color w:val="212121"/>
          <w:sz w:val="28"/>
          <w:szCs w:val="28"/>
        </w:rPr>
        <w:t xml:space="preserve"> had </w:t>
      </w:r>
      <w:r w:rsidR="00D24AF4">
        <w:rPr>
          <w:rFonts w:ascii="Times New Roman" w:eastAsia="Times New Roman" w:hAnsi="Times New Roman" w:cs="Times New Roman"/>
          <w:color w:val="212121"/>
          <w:sz w:val="28"/>
          <w:szCs w:val="28"/>
        </w:rPr>
        <w:t xml:space="preserve">previously </w:t>
      </w:r>
      <w:r w:rsidR="00E701CB">
        <w:rPr>
          <w:rFonts w:ascii="Times New Roman" w:eastAsia="Times New Roman" w:hAnsi="Times New Roman" w:cs="Times New Roman"/>
          <w:color w:val="212121"/>
          <w:sz w:val="28"/>
          <w:szCs w:val="28"/>
        </w:rPr>
        <w:t>defaulted on financial obligations to either the GNWT or the Business Development and Investment Corporation would be ineligible to receive funding.</w:t>
      </w:r>
      <w:r w:rsidR="00323B29">
        <w:rPr>
          <w:rFonts w:ascii="Times New Roman" w:eastAsia="Times New Roman" w:hAnsi="Times New Roman" w:cs="Times New Roman"/>
          <w:color w:val="212121"/>
          <w:sz w:val="28"/>
          <w:szCs w:val="28"/>
        </w:rPr>
        <w:t xml:space="preserve"> </w:t>
      </w:r>
      <w:r w:rsidR="00B24B72">
        <w:rPr>
          <w:rFonts w:ascii="Times New Roman" w:eastAsia="Times New Roman" w:hAnsi="Times New Roman" w:cs="Times New Roman"/>
          <w:color w:val="212121"/>
          <w:sz w:val="28"/>
          <w:szCs w:val="28"/>
        </w:rPr>
        <w:t xml:space="preserve"> </w:t>
      </w:r>
      <w:r w:rsidR="00D24AF4">
        <w:rPr>
          <w:rFonts w:ascii="Times New Roman" w:eastAsia="Times New Roman" w:hAnsi="Times New Roman" w:cs="Times New Roman"/>
          <w:color w:val="212121"/>
          <w:sz w:val="28"/>
          <w:szCs w:val="28"/>
        </w:rPr>
        <w:t xml:space="preserve">In assessing </w:t>
      </w:r>
      <w:r w:rsidR="00B42F9B">
        <w:rPr>
          <w:rFonts w:ascii="Times New Roman" w:eastAsia="Times New Roman" w:hAnsi="Times New Roman" w:cs="Times New Roman"/>
          <w:color w:val="212121"/>
          <w:sz w:val="28"/>
          <w:szCs w:val="28"/>
        </w:rPr>
        <w:t xml:space="preserve">an </w:t>
      </w:r>
      <w:r w:rsidR="00D24AF4">
        <w:rPr>
          <w:rFonts w:ascii="Times New Roman" w:eastAsia="Times New Roman" w:hAnsi="Times New Roman" w:cs="Times New Roman"/>
          <w:color w:val="212121"/>
          <w:sz w:val="28"/>
          <w:szCs w:val="28"/>
        </w:rPr>
        <w:t>applicant</w:t>
      </w:r>
      <w:r w:rsidR="00B42F9B">
        <w:rPr>
          <w:rFonts w:ascii="Times New Roman" w:eastAsia="Times New Roman" w:hAnsi="Times New Roman" w:cs="Times New Roman"/>
          <w:color w:val="212121"/>
          <w:sz w:val="28"/>
          <w:szCs w:val="28"/>
        </w:rPr>
        <w:t>’</w:t>
      </w:r>
      <w:r w:rsidR="00D24AF4">
        <w:rPr>
          <w:rFonts w:ascii="Times New Roman" w:eastAsia="Times New Roman" w:hAnsi="Times New Roman" w:cs="Times New Roman"/>
          <w:color w:val="212121"/>
          <w:sz w:val="28"/>
          <w:szCs w:val="28"/>
        </w:rPr>
        <w:t>s</w:t>
      </w:r>
      <w:r w:rsidR="00693F36">
        <w:rPr>
          <w:rFonts w:ascii="Times New Roman" w:eastAsia="Times New Roman" w:hAnsi="Times New Roman" w:cs="Times New Roman"/>
          <w:color w:val="212121"/>
          <w:sz w:val="28"/>
          <w:szCs w:val="28"/>
        </w:rPr>
        <w:t xml:space="preserve"> eligibility</w:t>
      </w:r>
      <w:r w:rsidR="00D24AF4">
        <w:rPr>
          <w:rFonts w:ascii="Times New Roman" w:eastAsia="Times New Roman" w:hAnsi="Times New Roman" w:cs="Times New Roman"/>
          <w:color w:val="212121"/>
          <w:sz w:val="28"/>
          <w:szCs w:val="28"/>
        </w:rPr>
        <w:t xml:space="preserve">, ITI considered not just </w:t>
      </w:r>
      <w:r w:rsidR="00B42F9B">
        <w:rPr>
          <w:rFonts w:ascii="Times New Roman" w:eastAsia="Times New Roman" w:hAnsi="Times New Roman" w:cs="Times New Roman"/>
          <w:color w:val="212121"/>
          <w:sz w:val="28"/>
          <w:szCs w:val="28"/>
        </w:rPr>
        <w:t>the applicant’s own</w:t>
      </w:r>
      <w:r w:rsidR="00D24AF4">
        <w:rPr>
          <w:rFonts w:ascii="Times New Roman" w:eastAsia="Times New Roman" w:hAnsi="Times New Roman" w:cs="Times New Roman"/>
          <w:color w:val="212121"/>
          <w:sz w:val="28"/>
          <w:szCs w:val="28"/>
        </w:rPr>
        <w:t xml:space="preserve"> financial history</w:t>
      </w:r>
      <w:r w:rsidR="00693F36">
        <w:rPr>
          <w:rFonts w:ascii="Times New Roman" w:eastAsia="Times New Roman" w:hAnsi="Times New Roman" w:cs="Times New Roman"/>
          <w:color w:val="212121"/>
          <w:sz w:val="28"/>
          <w:szCs w:val="28"/>
        </w:rPr>
        <w:t xml:space="preserve"> with the GNWT</w:t>
      </w:r>
      <w:r w:rsidR="00D24AF4">
        <w:rPr>
          <w:rFonts w:ascii="Times New Roman" w:eastAsia="Times New Roman" w:hAnsi="Times New Roman" w:cs="Times New Roman"/>
          <w:color w:val="212121"/>
          <w:sz w:val="28"/>
          <w:szCs w:val="28"/>
        </w:rPr>
        <w:t>, but that of other entities or indivi</w:t>
      </w:r>
      <w:r w:rsidR="00693F36">
        <w:rPr>
          <w:rFonts w:ascii="Times New Roman" w:eastAsia="Times New Roman" w:hAnsi="Times New Roman" w:cs="Times New Roman"/>
          <w:color w:val="212121"/>
          <w:sz w:val="28"/>
          <w:szCs w:val="28"/>
        </w:rPr>
        <w:t>duals related to the applicant, as it was required to do under the FAM.</w:t>
      </w:r>
      <w:r w:rsidR="00323B29">
        <w:rPr>
          <w:rFonts w:ascii="Times New Roman" w:eastAsia="Times New Roman" w:hAnsi="Times New Roman" w:cs="Times New Roman"/>
          <w:color w:val="212121"/>
          <w:sz w:val="28"/>
          <w:szCs w:val="28"/>
        </w:rPr>
        <w:t xml:space="preserve"> </w:t>
      </w:r>
      <w:r w:rsidR="00693F36">
        <w:rPr>
          <w:rFonts w:ascii="Times New Roman" w:eastAsia="Times New Roman" w:hAnsi="Times New Roman" w:cs="Times New Roman"/>
          <w:color w:val="212121"/>
          <w:sz w:val="28"/>
          <w:szCs w:val="28"/>
        </w:rPr>
        <w:t xml:space="preserve"> </w:t>
      </w:r>
      <w:r w:rsidR="00B42F9B">
        <w:rPr>
          <w:rFonts w:ascii="Times New Roman" w:eastAsia="Times New Roman" w:hAnsi="Times New Roman" w:cs="Times New Roman"/>
          <w:color w:val="212121"/>
          <w:sz w:val="28"/>
          <w:szCs w:val="28"/>
        </w:rPr>
        <w:t xml:space="preserve">Tourism operators </w:t>
      </w:r>
      <w:r w:rsidR="008D11E3">
        <w:rPr>
          <w:rFonts w:ascii="Times New Roman" w:eastAsia="Times New Roman" w:hAnsi="Times New Roman" w:cs="Times New Roman"/>
          <w:color w:val="212121"/>
          <w:sz w:val="28"/>
          <w:szCs w:val="28"/>
        </w:rPr>
        <w:t>were deemed</w:t>
      </w:r>
      <w:r w:rsidR="00B42F9B">
        <w:rPr>
          <w:rFonts w:ascii="Times New Roman" w:eastAsia="Times New Roman" w:hAnsi="Times New Roman" w:cs="Times New Roman"/>
          <w:color w:val="212121"/>
          <w:sz w:val="28"/>
          <w:szCs w:val="28"/>
        </w:rPr>
        <w:t xml:space="preserve"> the same</w:t>
      </w:r>
      <w:r w:rsidR="008D11E3">
        <w:rPr>
          <w:rFonts w:ascii="Times New Roman" w:eastAsia="Times New Roman" w:hAnsi="Times New Roman" w:cs="Times New Roman"/>
          <w:color w:val="212121"/>
          <w:sz w:val="28"/>
          <w:szCs w:val="28"/>
        </w:rPr>
        <w:t xml:space="preserve"> entity or person</w:t>
      </w:r>
      <w:r w:rsidR="00B42F9B">
        <w:rPr>
          <w:rFonts w:ascii="Times New Roman" w:eastAsia="Times New Roman" w:hAnsi="Times New Roman" w:cs="Times New Roman"/>
          <w:color w:val="212121"/>
          <w:sz w:val="28"/>
          <w:szCs w:val="28"/>
        </w:rPr>
        <w:t xml:space="preserve"> as those to which they were closely related.  Those such as Raven, which were closely related to entities or individuals who had previously defaulted on financial obligations to the GNWT</w:t>
      </w:r>
      <w:r w:rsidR="008D11E3">
        <w:rPr>
          <w:rFonts w:ascii="Times New Roman" w:eastAsia="Times New Roman" w:hAnsi="Times New Roman" w:cs="Times New Roman"/>
          <w:color w:val="212121"/>
          <w:sz w:val="28"/>
          <w:szCs w:val="28"/>
        </w:rPr>
        <w:t>,</w:t>
      </w:r>
      <w:r w:rsidR="00B42F9B">
        <w:rPr>
          <w:rFonts w:ascii="Times New Roman" w:eastAsia="Times New Roman" w:hAnsi="Times New Roman" w:cs="Times New Roman"/>
          <w:color w:val="212121"/>
          <w:sz w:val="28"/>
          <w:szCs w:val="28"/>
        </w:rPr>
        <w:t xml:space="preserve"> were therefore deemed ineligible.  </w:t>
      </w:r>
      <w:r w:rsidR="00DA5ED2">
        <w:rPr>
          <w:rFonts w:ascii="Times New Roman" w:eastAsia="Times New Roman" w:hAnsi="Times New Roman" w:cs="Times New Roman"/>
          <w:color w:val="212121"/>
          <w:sz w:val="28"/>
          <w:szCs w:val="28"/>
        </w:rPr>
        <w:t xml:space="preserve">This was a policy decision going to the structure and design of the PREP.  </w:t>
      </w:r>
    </w:p>
    <w:p w:rsidR="00A14910" w:rsidRPr="00A14910" w:rsidRDefault="00A14910" w:rsidP="00516E84">
      <w:pPr>
        <w:pStyle w:val="ListParagraph"/>
        <w:numPr>
          <w:ilvl w:val="0"/>
          <w:numId w:val="10"/>
        </w:numPr>
        <w:spacing w:after="240" w:line="240" w:lineRule="auto"/>
        <w:contextualSpacing w:val="0"/>
        <w:jc w:val="both"/>
        <w:rPr>
          <w:rFonts w:ascii="Times New Roman" w:eastAsia="Times New Roman" w:hAnsi="Times New Roman" w:cs="Times New Roman"/>
          <w:color w:val="212121"/>
          <w:sz w:val="24"/>
          <w:szCs w:val="24"/>
        </w:rPr>
      </w:pPr>
      <w:r>
        <w:rPr>
          <w:rFonts w:ascii="Times New Roman" w:hAnsi="Times New Roman" w:cs="Times New Roman"/>
          <w:sz w:val="28"/>
          <w:szCs w:val="28"/>
        </w:rPr>
        <w:t xml:space="preserve">Raven’s argument that its s 7 </w:t>
      </w:r>
      <w:r>
        <w:rPr>
          <w:rFonts w:ascii="Times New Roman" w:hAnsi="Times New Roman" w:cs="Times New Roman"/>
          <w:i/>
          <w:sz w:val="28"/>
          <w:szCs w:val="28"/>
        </w:rPr>
        <w:t xml:space="preserve">Charter </w:t>
      </w:r>
      <w:r>
        <w:rPr>
          <w:rFonts w:ascii="Times New Roman" w:hAnsi="Times New Roman" w:cs="Times New Roman"/>
          <w:sz w:val="28"/>
          <w:szCs w:val="28"/>
        </w:rPr>
        <w:t>rights have been breached</w:t>
      </w:r>
      <w:r w:rsidR="005E46BE">
        <w:rPr>
          <w:rFonts w:ascii="Times New Roman" w:hAnsi="Times New Roman" w:cs="Times New Roman"/>
          <w:sz w:val="28"/>
          <w:szCs w:val="28"/>
        </w:rPr>
        <w:t xml:space="preserve"> cannot succeed.  In </w:t>
      </w:r>
      <w:r w:rsidR="005E46BE">
        <w:rPr>
          <w:rFonts w:ascii="Times New Roman" w:hAnsi="Times New Roman" w:cs="Times New Roman"/>
          <w:i/>
          <w:sz w:val="28"/>
          <w:szCs w:val="28"/>
        </w:rPr>
        <w:t xml:space="preserve">Irwin Toy v Québec, </w:t>
      </w:r>
      <w:r w:rsidR="005E46BE">
        <w:rPr>
          <w:rFonts w:ascii="Times New Roman" w:hAnsi="Times New Roman" w:cs="Times New Roman"/>
          <w:sz w:val="28"/>
          <w:szCs w:val="28"/>
        </w:rPr>
        <w:t xml:space="preserve">[1989] 1 SCR 927 at 1004, the Supreme Court of </w:t>
      </w:r>
      <w:r w:rsidR="005E46BE">
        <w:rPr>
          <w:rFonts w:ascii="Times New Roman" w:hAnsi="Times New Roman" w:cs="Times New Roman"/>
          <w:sz w:val="28"/>
          <w:szCs w:val="28"/>
        </w:rPr>
        <w:lastRenderedPageBreak/>
        <w:t>Canada determined a corporation cannot possess “life, liberty or security of the person”. Only a natural person can possess these.</w:t>
      </w:r>
    </w:p>
    <w:p w:rsidR="00A14910" w:rsidRPr="00A14910" w:rsidRDefault="00A11B09" w:rsidP="00516E84">
      <w:pPr>
        <w:pStyle w:val="ListParagraph"/>
        <w:numPr>
          <w:ilvl w:val="0"/>
          <w:numId w:val="10"/>
        </w:numPr>
        <w:spacing w:after="240" w:line="240" w:lineRule="auto"/>
        <w:contextualSpacing w:val="0"/>
        <w:jc w:val="both"/>
        <w:rPr>
          <w:rFonts w:ascii="Times New Roman" w:eastAsia="Times New Roman" w:hAnsi="Times New Roman" w:cs="Times New Roman"/>
          <w:color w:val="212121"/>
          <w:sz w:val="24"/>
          <w:szCs w:val="24"/>
        </w:rPr>
      </w:pPr>
      <w:r>
        <w:rPr>
          <w:rFonts w:ascii="Times New Roman" w:hAnsi="Times New Roman" w:cs="Times New Roman"/>
          <w:sz w:val="28"/>
          <w:szCs w:val="28"/>
        </w:rPr>
        <w:t xml:space="preserve">In summary, ITI made a decision regarding eligibility which excluded Raven from the PREP.  This is a general policy decision </w:t>
      </w:r>
      <w:r w:rsidR="00A14910">
        <w:rPr>
          <w:rFonts w:ascii="Times New Roman" w:hAnsi="Times New Roman" w:cs="Times New Roman"/>
          <w:sz w:val="28"/>
          <w:szCs w:val="28"/>
        </w:rPr>
        <w:t xml:space="preserve">going to the overall design of the PREP and applicable to all tourism operators. </w:t>
      </w:r>
      <w:r w:rsidR="00B24B72">
        <w:rPr>
          <w:rFonts w:ascii="Times New Roman" w:hAnsi="Times New Roman" w:cs="Times New Roman"/>
          <w:sz w:val="28"/>
          <w:szCs w:val="28"/>
        </w:rPr>
        <w:t xml:space="preserve"> </w:t>
      </w:r>
      <w:r w:rsidR="00A14910">
        <w:rPr>
          <w:rFonts w:ascii="Times New Roman" w:hAnsi="Times New Roman" w:cs="Times New Roman"/>
          <w:sz w:val="28"/>
          <w:szCs w:val="28"/>
        </w:rPr>
        <w:t xml:space="preserve">No </w:t>
      </w:r>
      <w:r w:rsidR="00A14910">
        <w:rPr>
          <w:rFonts w:ascii="Times New Roman" w:hAnsi="Times New Roman" w:cs="Times New Roman"/>
          <w:i/>
          <w:sz w:val="28"/>
          <w:szCs w:val="28"/>
        </w:rPr>
        <w:t xml:space="preserve">Charter </w:t>
      </w:r>
      <w:r w:rsidR="00A14910">
        <w:rPr>
          <w:rFonts w:ascii="Times New Roman" w:hAnsi="Times New Roman" w:cs="Times New Roman"/>
          <w:sz w:val="28"/>
          <w:szCs w:val="28"/>
        </w:rPr>
        <w:t xml:space="preserve">or other fundamental rights are engaged.  Raven does not fall within the class of eligible tourism operators and that decision </w:t>
      </w:r>
      <w:r>
        <w:rPr>
          <w:rFonts w:ascii="Times New Roman" w:hAnsi="Times New Roman" w:cs="Times New Roman"/>
          <w:sz w:val="28"/>
          <w:szCs w:val="28"/>
        </w:rPr>
        <w:t>is not</w:t>
      </w:r>
      <w:r w:rsidR="00A14910">
        <w:rPr>
          <w:rFonts w:ascii="Times New Roman" w:hAnsi="Times New Roman" w:cs="Times New Roman"/>
          <w:sz w:val="28"/>
          <w:szCs w:val="28"/>
        </w:rPr>
        <w:t xml:space="preserve"> subject to judicial review. </w:t>
      </w:r>
    </w:p>
    <w:p w:rsidR="00A11B09" w:rsidRPr="00451117" w:rsidRDefault="00A14910" w:rsidP="00A14910">
      <w:pPr>
        <w:pStyle w:val="ListParagraph"/>
        <w:spacing w:after="240" w:line="240" w:lineRule="auto"/>
        <w:ind w:left="0"/>
        <w:contextualSpacing w:val="0"/>
        <w:jc w:val="both"/>
        <w:rPr>
          <w:rFonts w:ascii="Times New Roman" w:eastAsia="Times New Roman" w:hAnsi="Times New Roman" w:cs="Times New Roman"/>
          <w:color w:val="212121"/>
          <w:sz w:val="24"/>
          <w:szCs w:val="24"/>
        </w:rPr>
      </w:pPr>
      <w:r>
        <w:rPr>
          <w:rFonts w:ascii="Times New Roman" w:hAnsi="Times New Roman" w:cs="Times New Roman"/>
          <w:b/>
          <w:i/>
          <w:sz w:val="28"/>
          <w:szCs w:val="28"/>
        </w:rPr>
        <w:t>Was the Assistant Deputy Minister Acting as a Tribunal?</w:t>
      </w:r>
      <w:r w:rsidR="00A11B09">
        <w:rPr>
          <w:rFonts w:ascii="Times New Roman" w:hAnsi="Times New Roman" w:cs="Times New Roman"/>
          <w:sz w:val="28"/>
          <w:szCs w:val="28"/>
        </w:rPr>
        <w:t xml:space="preserve"> </w:t>
      </w:r>
    </w:p>
    <w:p w:rsidR="005E46BE" w:rsidRPr="005E46BE" w:rsidRDefault="00A14910" w:rsidP="001C5C54">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sz w:val="28"/>
          <w:szCs w:val="28"/>
        </w:rPr>
        <w:t>While the fo</w:t>
      </w:r>
      <w:r w:rsidR="00DA5ED2">
        <w:rPr>
          <w:rFonts w:ascii="Times New Roman" w:hAnsi="Times New Roman" w:cs="Times New Roman"/>
          <w:sz w:val="28"/>
          <w:szCs w:val="28"/>
        </w:rPr>
        <w:t xml:space="preserve">regoing is sufficient to deal with </w:t>
      </w:r>
      <w:r>
        <w:rPr>
          <w:rFonts w:ascii="Times New Roman" w:hAnsi="Times New Roman" w:cs="Times New Roman"/>
          <w:sz w:val="28"/>
          <w:szCs w:val="28"/>
        </w:rPr>
        <w:t xml:space="preserve">the Attorney General’s application, I will </w:t>
      </w:r>
      <w:r w:rsidR="005E46BE">
        <w:rPr>
          <w:rFonts w:ascii="Times New Roman" w:hAnsi="Times New Roman" w:cs="Times New Roman"/>
          <w:sz w:val="28"/>
          <w:szCs w:val="28"/>
        </w:rPr>
        <w:t xml:space="preserve">address the argument that the Assistant Deputy Minister, as the appeal body, is not subject to judicial review.  With respect, </w:t>
      </w:r>
      <w:r w:rsidR="00DA5ED2">
        <w:rPr>
          <w:rFonts w:ascii="Times New Roman" w:hAnsi="Times New Roman" w:cs="Times New Roman"/>
          <w:sz w:val="28"/>
          <w:szCs w:val="28"/>
        </w:rPr>
        <w:t xml:space="preserve">I do not accept the Attorney General’s position on this. </w:t>
      </w:r>
      <w:r w:rsidR="005E46BE">
        <w:rPr>
          <w:rFonts w:ascii="Times New Roman" w:hAnsi="Times New Roman" w:cs="Times New Roman"/>
          <w:sz w:val="28"/>
          <w:szCs w:val="28"/>
        </w:rPr>
        <w:t xml:space="preserve"> </w:t>
      </w:r>
    </w:p>
    <w:p w:rsidR="005E46BE" w:rsidRPr="005E46BE" w:rsidRDefault="005E46BE" w:rsidP="005E46BE">
      <w:pPr>
        <w:pStyle w:val="ListParagraph"/>
        <w:spacing w:line="240" w:lineRule="auto"/>
        <w:ind w:left="0"/>
        <w:jc w:val="both"/>
        <w:rPr>
          <w:rFonts w:ascii="Times New Roman" w:hAnsi="Times New Roman" w:cs="Times New Roman"/>
        </w:rPr>
      </w:pPr>
    </w:p>
    <w:p w:rsidR="005E46BE" w:rsidRPr="00714A79" w:rsidRDefault="00DA5ED2" w:rsidP="001C5C54">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sz w:val="28"/>
          <w:szCs w:val="28"/>
        </w:rPr>
        <w:t xml:space="preserve">Context is important. </w:t>
      </w:r>
      <w:r w:rsidR="00323B29">
        <w:rPr>
          <w:rFonts w:ascii="Times New Roman" w:hAnsi="Times New Roman" w:cs="Times New Roman"/>
          <w:sz w:val="28"/>
          <w:szCs w:val="28"/>
        </w:rPr>
        <w:t xml:space="preserve"> </w:t>
      </w:r>
      <w:r w:rsidR="005E46BE">
        <w:rPr>
          <w:rFonts w:ascii="Times New Roman" w:hAnsi="Times New Roman" w:cs="Times New Roman"/>
          <w:sz w:val="28"/>
          <w:szCs w:val="28"/>
        </w:rPr>
        <w:t>In th</w:t>
      </w:r>
      <w:r>
        <w:rPr>
          <w:rFonts w:ascii="Times New Roman" w:hAnsi="Times New Roman" w:cs="Times New Roman"/>
          <w:sz w:val="28"/>
          <w:szCs w:val="28"/>
        </w:rPr>
        <w:t>ese circumstances</w:t>
      </w:r>
      <w:r w:rsidR="005E46BE">
        <w:rPr>
          <w:rFonts w:ascii="Times New Roman" w:hAnsi="Times New Roman" w:cs="Times New Roman"/>
          <w:sz w:val="28"/>
          <w:szCs w:val="28"/>
        </w:rPr>
        <w:t xml:space="preserve">, the Assistant Deputy Minister falls into the category </w:t>
      </w:r>
      <w:r w:rsidR="00D75857">
        <w:rPr>
          <w:rFonts w:ascii="Times New Roman" w:hAnsi="Times New Roman" w:cs="Times New Roman"/>
          <w:sz w:val="28"/>
          <w:szCs w:val="28"/>
        </w:rPr>
        <w:t>of “</w:t>
      </w:r>
      <w:r w:rsidR="005E46BE">
        <w:rPr>
          <w:rFonts w:ascii="Times New Roman" w:hAnsi="Times New Roman" w:cs="Times New Roman"/>
          <w:sz w:val="28"/>
          <w:szCs w:val="28"/>
        </w:rPr>
        <w:t>other body exercising a public function” in r 591(a)</w:t>
      </w:r>
      <w:r w:rsidR="00103BBD">
        <w:rPr>
          <w:rFonts w:ascii="Times New Roman" w:hAnsi="Times New Roman" w:cs="Times New Roman"/>
          <w:sz w:val="28"/>
          <w:szCs w:val="28"/>
        </w:rPr>
        <w:t xml:space="preserve"> of the </w:t>
      </w:r>
      <w:r w:rsidR="00103BBD">
        <w:rPr>
          <w:rFonts w:ascii="Times New Roman" w:hAnsi="Times New Roman" w:cs="Times New Roman"/>
          <w:i/>
          <w:sz w:val="28"/>
          <w:szCs w:val="28"/>
        </w:rPr>
        <w:t>Rules of Court</w:t>
      </w:r>
      <w:r w:rsidR="005E46BE">
        <w:rPr>
          <w:rFonts w:ascii="Times New Roman" w:hAnsi="Times New Roman" w:cs="Times New Roman"/>
          <w:sz w:val="28"/>
          <w:szCs w:val="28"/>
        </w:rPr>
        <w:t xml:space="preserve">.  The Legislative Assembly provided authorization for ITI to spend public funds under the PREP.  </w:t>
      </w:r>
      <w:r>
        <w:rPr>
          <w:rFonts w:ascii="Times New Roman" w:hAnsi="Times New Roman" w:cs="Times New Roman"/>
          <w:sz w:val="28"/>
          <w:szCs w:val="28"/>
        </w:rPr>
        <w:t xml:space="preserve">As part of its program design, </w:t>
      </w:r>
      <w:r w:rsidR="005E46BE">
        <w:rPr>
          <w:rFonts w:ascii="Times New Roman" w:hAnsi="Times New Roman" w:cs="Times New Roman"/>
          <w:sz w:val="28"/>
          <w:szCs w:val="28"/>
        </w:rPr>
        <w:t xml:space="preserve">ITI decided it would </w:t>
      </w:r>
      <w:r w:rsidR="00103BBD">
        <w:rPr>
          <w:rFonts w:ascii="Times New Roman" w:hAnsi="Times New Roman" w:cs="Times New Roman"/>
          <w:sz w:val="28"/>
          <w:szCs w:val="28"/>
        </w:rPr>
        <w:t xml:space="preserve">create a formal appeal process and it designated </w:t>
      </w:r>
      <w:r w:rsidR="00714A79">
        <w:rPr>
          <w:rFonts w:ascii="Times New Roman" w:hAnsi="Times New Roman" w:cs="Times New Roman"/>
          <w:sz w:val="28"/>
          <w:szCs w:val="28"/>
        </w:rPr>
        <w:t xml:space="preserve">specifically </w:t>
      </w:r>
      <w:r w:rsidR="00103BBD">
        <w:rPr>
          <w:rFonts w:ascii="Times New Roman" w:hAnsi="Times New Roman" w:cs="Times New Roman"/>
          <w:sz w:val="28"/>
          <w:szCs w:val="28"/>
        </w:rPr>
        <w:t>the Assistant Deputy Minister as the “body”</w:t>
      </w:r>
      <w:r>
        <w:rPr>
          <w:rFonts w:ascii="Times New Roman" w:hAnsi="Times New Roman" w:cs="Times New Roman"/>
          <w:sz w:val="28"/>
          <w:szCs w:val="28"/>
        </w:rPr>
        <w:t xml:space="preserve"> which would hear the appeals. </w:t>
      </w:r>
      <w:r w:rsidR="00323B29">
        <w:rPr>
          <w:rFonts w:ascii="Times New Roman" w:hAnsi="Times New Roman" w:cs="Times New Roman"/>
          <w:sz w:val="28"/>
          <w:szCs w:val="28"/>
        </w:rPr>
        <w:t xml:space="preserve"> </w:t>
      </w:r>
      <w:r w:rsidR="00103BBD">
        <w:rPr>
          <w:rFonts w:ascii="Times New Roman" w:hAnsi="Times New Roman" w:cs="Times New Roman"/>
          <w:sz w:val="28"/>
          <w:szCs w:val="28"/>
        </w:rPr>
        <w:t>Th</w:t>
      </w:r>
      <w:r>
        <w:rPr>
          <w:rFonts w:ascii="Times New Roman" w:hAnsi="Times New Roman" w:cs="Times New Roman"/>
          <w:sz w:val="28"/>
          <w:szCs w:val="28"/>
        </w:rPr>
        <w:t xml:space="preserve">at appeal process, and the decisions which flow from it, </w:t>
      </w:r>
      <w:r w:rsidR="00103BBD">
        <w:rPr>
          <w:rFonts w:ascii="Times New Roman" w:hAnsi="Times New Roman" w:cs="Times New Roman"/>
          <w:sz w:val="28"/>
          <w:szCs w:val="28"/>
        </w:rPr>
        <w:t>affect applicants directly</w:t>
      </w:r>
      <w:r>
        <w:rPr>
          <w:rFonts w:ascii="Times New Roman" w:hAnsi="Times New Roman" w:cs="Times New Roman"/>
          <w:sz w:val="28"/>
          <w:szCs w:val="28"/>
        </w:rPr>
        <w:t>.</w:t>
      </w:r>
      <w:r w:rsidR="00323B29">
        <w:rPr>
          <w:rFonts w:ascii="Times New Roman" w:hAnsi="Times New Roman" w:cs="Times New Roman"/>
          <w:sz w:val="28"/>
          <w:szCs w:val="28"/>
        </w:rPr>
        <w:t xml:space="preserve"> </w:t>
      </w:r>
      <w:r>
        <w:rPr>
          <w:rFonts w:ascii="Times New Roman" w:hAnsi="Times New Roman" w:cs="Times New Roman"/>
          <w:sz w:val="28"/>
          <w:szCs w:val="28"/>
        </w:rPr>
        <w:t xml:space="preserve"> Further, to the </w:t>
      </w:r>
      <w:r w:rsidR="00103BBD">
        <w:rPr>
          <w:rFonts w:ascii="Times New Roman" w:hAnsi="Times New Roman" w:cs="Times New Roman"/>
          <w:sz w:val="28"/>
          <w:szCs w:val="28"/>
        </w:rPr>
        <w:t xml:space="preserve">extent that the funds come from </w:t>
      </w:r>
      <w:r>
        <w:rPr>
          <w:rFonts w:ascii="Times New Roman" w:hAnsi="Times New Roman" w:cs="Times New Roman"/>
          <w:sz w:val="28"/>
          <w:szCs w:val="28"/>
        </w:rPr>
        <w:t>the public purse, they affect taxpayers in general</w:t>
      </w:r>
      <w:r w:rsidR="00103BBD">
        <w:rPr>
          <w:rFonts w:ascii="Times New Roman" w:hAnsi="Times New Roman" w:cs="Times New Roman"/>
          <w:sz w:val="28"/>
          <w:szCs w:val="28"/>
        </w:rPr>
        <w:t xml:space="preserve">.  </w:t>
      </w:r>
      <w:r>
        <w:rPr>
          <w:rFonts w:ascii="Times New Roman" w:hAnsi="Times New Roman" w:cs="Times New Roman"/>
          <w:sz w:val="28"/>
          <w:szCs w:val="28"/>
        </w:rPr>
        <w:t>This is precisely the kind of process that must be subject to judicial review.</w:t>
      </w:r>
      <w:r w:rsidR="00323B29">
        <w:rPr>
          <w:rFonts w:ascii="Times New Roman" w:hAnsi="Times New Roman" w:cs="Times New Roman"/>
          <w:sz w:val="28"/>
          <w:szCs w:val="28"/>
        </w:rPr>
        <w:t xml:space="preserve"> </w:t>
      </w:r>
      <w:r>
        <w:rPr>
          <w:rFonts w:ascii="Times New Roman" w:hAnsi="Times New Roman" w:cs="Times New Roman"/>
          <w:sz w:val="28"/>
          <w:szCs w:val="28"/>
        </w:rPr>
        <w:t xml:space="preserve"> </w:t>
      </w:r>
      <w:r w:rsidR="00714A79">
        <w:rPr>
          <w:rFonts w:ascii="Times New Roman" w:hAnsi="Times New Roman" w:cs="Times New Roman"/>
          <w:sz w:val="28"/>
          <w:szCs w:val="28"/>
        </w:rPr>
        <w:t>To hold otherwise would</w:t>
      </w:r>
      <w:r w:rsidR="00103BBD">
        <w:rPr>
          <w:rFonts w:ascii="Times New Roman" w:hAnsi="Times New Roman" w:cs="Times New Roman"/>
          <w:sz w:val="28"/>
          <w:szCs w:val="28"/>
        </w:rPr>
        <w:t xml:space="preserve"> </w:t>
      </w:r>
      <w:r w:rsidR="00714A79">
        <w:rPr>
          <w:rFonts w:ascii="Times New Roman" w:hAnsi="Times New Roman" w:cs="Times New Roman"/>
          <w:sz w:val="28"/>
          <w:szCs w:val="28"/>
        </w:rPr>
        <w:t>invite</w:t>
      </w:r>
      <w:r w:rsidR="00103BBD">
        <w:rPr>
          <w:rFonts w:ascii="Times New Roman" w:hAnsi="Times New Roman" w:cs="Times New Roman"/>
          <w:sz w:val="28"/>
          <w:szCs w:val="28"/>
        </w:rPr>
        <w:t xml:space="preserve"> the exercise of arbitrary pow</w:t>
      </w:r>
      <w:r w:rsidR="008D11E3">
        <w:rPr>
          <w:rFonts w:ascii="Times New Roman" w:hAnsi="Times New Roman" w:cs="Times New Roman"/>
          <w:sz w:val="28"/>
          <w:szCs w:val="28"/>
        </w:rPr>
        <w:t>er, unchecked by the ability of</w:t>
      </w:r>
      <w:r w:rsidR="00103BBD">
        <w:rPr>
          <w:rFonts w:ascii="Times New Roman" w:hAnsi="Times New Roman" w:cs="Times New Roman"/>
          <w:sz w:val="28"/>
          <w:szCs w:val="28"/>
        </w:rPr>
        <w:t xml:space="preserve"> courts to enforce standards of natural justice and procedural fairness.</w:t>
      </w:r>
      <w:r>
        <w:rPr>
          <w:rFonts w:ascii="Times New Roman" w:hAnsi="Times New Roman" w:cs="Times New Roman"/>
          <w:sz w:val="28"/>
          <w:szCs w:val="28"/>
        </w:rPr>
        <w:t xml:space="preserve"> </w:t>
      </w:r>
      <w:r w:rsidR="00103BBD">
        <w:rPr>
          <w:rFonts w:ascii="Times New Roman" w:hAnsi="Times New Roman" w:cs="Times New Roman"/>
          <w:sz w:val="28"/>
          <w:szCs w:val="28"/>
        </w:rPr>
        <w:t xml:space="preserve"> </w:t>
      </w:r>
    </w:p>
    <w:p w:rsidR="00714A79" w:rsidRPr="00714A79" w:rsidRDefault="00714A79" w:rsidP="00714A79">
      <w:pPr>
        <w:pStyle w:val="ListParagraph"/>
        <w:rPr>
          <w:rFonts w:ascii="Times New Roman" w:hAnsi="Times New Roman" w:cs="Times New Roman"/>
        </w:rPr>
      </w:pPr>
    </w:p>
    <w:p w:rsidR="00714A79" w:rsidRPr="00714A79" w:rsidRDefault="00714A79" w:rsidP="00714A79">
      <w:pPr>
        <w:pStyle w:val="ListParagraph"/>
        <w:numPr>
          <w:ilvl w:val="0"/>
          <w:numId w:val="10"/>
        </w:numPr>
        <w:spacing w:line="240" w:lineRule="auto"/>
        <w:jc w:val="both"/>
        <w:rPr>
          <w:rFonts w:ascii="Times New Roman" w:hAnsi="Times New Roman" w:cs="Times New Roman"/>
          <w:sz w:val="28"/>
          <w:szCs w:val="28"/>
        </w:rPr>
      </w:pPr>
      <w:r w:rsidRPr="00714A79">
        <w:rPr>
          <w:rFonts w:ascii="Times New Roman" w:hAnsi="Times New Roman" w:cs="Times New Roman"/>
          <w:sz w:val="28"/>
          <w:szCs w:val="28"/>
        </w:rPr>
        <w:t xml:space="preserve">In saying this, I am mindful of </w:t>
      </w:r>
      <w:r>
        <w:rPr>
          <w:rFonts w:ascii="Times New Roman" w:hAnsi="Times New Roman" w:cs="Times New Roman"/>
          <w:sz w:val="28"/>
          <w:szCs w:val="28"/>
        </w:rPr>
        <w:t>this Court’s decision in</w:t>
      </w:r>
      <w:r w:rsidRPr="00714A79">
        <w:rPr>
          <w:rFonts w:ascii="Times New Roman" w:hAnsi="Times New Roman" w:cs="Times New Roman"/>
          <w:sz w:val="28"/>
          <w:szCs w:val="28"/>
        </w:rPr>
        <w:t xml:space="preserve"> </w:t>
      </w:r>
      <w:r w:rsidRPr="00714A79">
        <w:rPr>
          <w:rFonts w:ascii="Times New Roman" w:eastAsia="Times New Roman" w:hAnsi="Times New Roman" w:cs="Times New Roman"/>
          <w:i/>
          <w:iCs/>
          <w:color w:val="000000"/>
          <w:sz w:val="28"/>
          <w:szCs w:val="28"/>
        </w:rPr>
        <w:t>Acho Dene Koe First Nation v Minister of Industry</w:t>
      </w:r>
      <w:r>
        <w:rPr>
          <w:rFonts w:ascii="Times New Roman" w:eastAsia="Times New Roman" w:hAnsi="Times New Roman" w:cs="Times New Roman"/>
          <w:i/>
          <w:iCs/>
          <w:color w:val="000000"/>
          <w:sz w:val="28"/>
          <w:szCs w:val="28"/>
        </w:rPr>
        <w:t xml:space="preserve"> </w:t>
      </w:r>
      <w:r w:rsidRPr="00714A79">
        <w:rPr>
          <w:rFonts w:ascii="Times New Roman" w:eastAsia="Times New Roman" w:hAnsi="Times New Roman" w:cs="Times New Roman"/>
          <w:i/>
          <w:iCs/>
          <w:color w:val="000000"/>
          <w:sz w:val="28"/>
          <w:szCs w:val="28"/>
        </w:rPr>
        <w:t>Tourism and Investment, </w:t>
      </w:r>
      <w:r w:rsidRPr="00714A79">
        <w:rPr>
          <w:rFonts w:ascii="Times New Roman" w:eastAsia="Times New Roman" w:hAnsi="Times New Roman" w:cs="Times New Roman"/>
          <w:color w:val="000000"/>
          <w:sz w:val="28"/>
          <w:szCs w:val="28"/>
        </w:rPr>
        <w:t>2020 NWTSC 19</w:t>
      </w:r>
      <w:r>
        <w:rPr>
          <w:rFonts w:ascii="Times New Roman" w:eastAsia="Times New Roman" w:hAnsi="Times New Roman" w:cs="Times New Roman"/>
          <w:color w:val="000000"/>
          <w:sz w:val="28"/>
          <w:szCs w:val="28"/>
        </w:rPr>
        <w:t xml:space="preserve">.  The facts in that case distinguish it from this one.  Unlike the situation here, where ITI has </w:t>
      </w:r>
      <w:r w:rsidR="00A26F20">
        <w:rPr>
          <w:rFonts w:ascii="Times New Roman" w:eastAsia="Times New Roman" w:hAnsi="Times New Roman" w:cs="Times New Roman"/>
          <w:color w:val="000000"/>
          <w:sz w:val="28"/>
          <w:szCs w:val="28"/>
        </w:rPr>
        <w:t xml:space="preserve">expressly </w:t>
      </w:r>
      <w:r>
        <w:rPr>
          <w:rFonts w:ascii="Times New Roman" w:eastAsia="Times New Roman" w:hAnsi="Times New Roman" w:cs="Times New Roman"/>
          <w:color w:val="000000"/>
          <w:sz w:val="28"/>
          <w:szCs w:val="28"/>
        </w:rPr>
        <w:t xml:space="preserve">designated the Assistant Deputy Minister as the appeal body and decision-maker, the individual in question in </w:t>
      </w:r>
      <w:r>
        <w:rPr>
          <w:rFonts w:ascii="Times New Roman" w:eastAsia="Times New Roman" w:hAnsi="Times New Roman" w:cs="Times New Roman"/>
          <w:i/>
          <w:color w:val="000000"/>
          <w:sz w:val="28"/>
          <w:szCs w:val="28"/>
        </w:rPr>
        <w:t xml:space="preserve">Acho Dene Koe First Nation </w:t>
      </w:r>
      <w:r>
        <w:rPr>
          <w:rFonts w:ascii="Times New Roman" w:eastAsia="Times New Roman" w:hAnsi="Times New Roman" w:cs="Times New Roman"/>
          <w:color w:val="000000"/>
          <w:sz w:val="28"/>
          <w:szCs w:val="28"/>
        </w:rPr>
        <w:t xml:space="preserve">had no authority to make the “decision” alleged in that case, either through statute or by specific designation. </w:t>
      </w:r>
    </w:p>
    <w:p w:rsidR="00714A79" w:rsidRPr="00714A79" w:rsidRDefault="00714A79" w:rsidP="00714A79">
      <w:pPr>
        <w:pStyle w:val="ListParagraph"/>
        <w:rPr>
          <w:rFonts w:ascii="Times New Roman" w:hAnsi="Times New Roman" w:cs="Times New Roman"/>
          <w:sz w:val="28"/>
          <w:szCs w:val="28"/>
        </w:rPr>
      </w:pPr>
    </w:p>
    <w:p w:rsidR="00714A79" w:rsidRPr="00714A79" w:rsidRDefault="00714A79" w:rsidP="00714A79">
      <w:pPr>
        <w:pStyle w:val="ListParagraph"/>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CONCLUSION</w:t>
      </w:r>
    </w:p>
    <w:p w:rsidR="005E46BE" w:rsidRPr="00714A79" w:rsidRDefault="005E46BE" w:rsidP="00714A79">
      <w:pPr>
        <w:pStyle w:val="ListParagraph"/>
        <w:spacing w:line="240" w:lineRule="auto"/>
        <w:ind w:left="0"/>
        <w:jc w:val="both"/>
        <w:rPr>
          <w:rFonts w:ascii="Times New Roman" w:hAnsi="Times New Roman" w:cs="Times New Roman"/>
          <w:sz w:val="28"/>
          <w:szCs w:val="28"/>
        </w:rPr>
      </w:pPr>
    </w:p>
    <w:p w:rsidR="00714A79" w:rsidRDefault="00714A79" w:rsidP="00131F4A">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Attorney General’s motion is granted.  Raven’s application for judicial review is dismissed.</w:t>
      </w:r>
    </w:p>
    <w:p w:rsidR="00714A79" w:rsidRDefault="00714A79" w:rsidP="00714A79">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8B0240" w:rsidRDefault="008B0240" w:rsidP="008B0240">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Success </w:t>
      </w:r>
      <w:r w:rsidR="00A26F20">
        <w:rPr>
          <w:rFonts w:ascii="Times New Roman" w:hAnsi="Times New Roman" w:cs="Times New Roman"/>
          <w:sz w:val="28"/>
          <w:szCs w:val="28"/>
        </w:rPr>
        <w:t xml:space="preserve">on the two issues presented </w:t>
      </w:r>
      <w:r>
        <w:rPr>
          <w:rFonts w:ascii="Times New Roman" w:hAnsi="Times New Roman" w:cs="Times New Roman"/>
          <w:sz w:val="28"/>
          <w:szCs w:val="28"/>
        </w:rPr>
        <w:t>is divided</w:t>
      </w:r>
      <w:r w:rsidR="00A26F20">
        <w:rPr>
          <w:rFonts w:ascii="Times New Roman" w:hAnsi="Times New Roman" w:cs="Times New Roman"/>
          <w:sz w:val="28"/>
          <w:szCs w:val="28"/>
        </w:rPr>
        <w:t xml:space="preserve">. </w:t>
      </w:r>
      <w:r w:rsidR="00B24B72">
        <w:rPr>
          <w:rFonts w:ascii="Times New Roman" w:hAnsi="Times New Roman" w:cs="Times New Roman"/>
          <w:sz w:val="28"/>
          <w:szCs w:val="28"/>
        </w:rPr>
        <w:t xml:space="preserve"> </w:t>
      </w:r>
      <w:r w:rsidR="00A26F20">
        <w:rPr>
          <w:rFonts w:ascii="Times New Roman" w:hAnsi="Times New Roman" w:cs="Times New Roman"/>
          <w:sz w:val="28"/>
          <w:szCs w:val="28"/>
        </w:rPr>
        <w:t>T</w:t>
      </w:r>
      <w:r>
        <w:rPr>
          <w:rFonts w:ascii="Times New Roman" w:hAnsi="Times New Roman" w:cs="Times New Roman"/>
          <w:sz w:val="28"/>
          <w:szCs w:val="28"/>
        </w:rPr>
        <w:t>he parties will bear their own costs.</w:t>
      </w:r>
    </w:p>
    <w:p w:rsidR="008B0240" w:rsidRPr="008B0240" w:rsidRDefault="008B0240" w:rsidP="008B0240">
      <w:pPr>
        <w:pStyle w:val="ListParagraph"/>
        <w:rPr>
          <w:rFonts w:ascii="Times New Roman" w:hAnsi="Times New Roman" w:cs="Times New Roman"/>
          <w:sz w:val="28"/>
          <w:szCs w:val="28"/>
        </w:rPr>
      </w:pPr>
    </w:p>
    <w:p w:rsidR="004F225C" w:rsidRDefault="008B0240" w:rsidP="008B024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707EAE" w:rsidRPr="0032647A" w:rsidRDefault="00707EAE" w:rsidP="00131F4A">
      <w:pPr>
        <w:pStyle w:val="ListParagraph"/>
        <w:spacing w:after="0" w:line="240" w:lineRule="auto"/>
        <w:ind w:left="0"/>
        <w:jc w:val="both"/>
        <w:rPr>
          <w:rFonts w:ascii="Times New Roman" w:hAnsi="Times New Roman" w:cs="Times New Roman"/>
          <w:sz w:val="28"/>
          <w:szCs w:val="28"/>
        </w:rPr>
      </w:pPr>
    </w:p>
    <w:p w:rsidR="00455003" w:rsidRPr="00455003" w:rsidRDefault="00455003" w:rsidP="00131F4A">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004F225C">
        <w:rPr>
          <w:rFonts w:ascii="Times New Roman" w:hAnsi="Times New Roman" w:cs="Times New Roman"/>
          <w:sz w:val="28"/>
          <w:szCs w:val="28"/>
        </w:rPr>
        <w:tab/>
      </w:r>
      <w:r w:rsidR="008F71FF">
        <w:rPr>
          <w:rFonts w:ascii="Times New Roman" w:hAnsi="Times New Roman" w:cs="Times New Roman"/>
          <w:sz w:val="28"/>
          <w:szCs w:val="28"/>
        </w:rPr>
        <w:t>K</w:t>
      </w:r>
      <w:r w:rsidR="00987D86">
        <w:rPr>
          <w:rFonts w:ascii="Times New Roman" w:hAnsi="Times New Roman" w:cs="Times New Roman"/>
          <w:sz w:val="28"/>
          <w:szCs w:val="28"/>
        </w:rPr>
        <w:t>.</w:t>
      </w:r>
      <w:r w:rsidR="008F71FF">
        <w:rPr>
          <w:rFonts w:ascii="Times New Roman" w:hAnsi="Times New Roman" w:cs="Times New Roman"/>
          <w:sz w:val="28"/>
          <w:szCs w:val="28"/>
        </w:rPr>
        <w:t xml:space="preserve"> </w:t>
      </w:r>
      <w:r w:rsidR="008F443A">
        <w:rPr>
          <w:rFonts w:ascii="Times New Roman" w:hAnsi="Times New Roman" w:cs="Times New Roman"/>
          <w:sz w:val="28"/>
          <w:szCs w:val="28"/>
        </w:rPr>
        <w:t xml:space="preserve">M. </w:t>
      </w:r>
      <w:r w:rsidR="008F71FF">
        <w:rPr>
          <w:rFonts w:ascii="Times New Roman" w:hAnsi="Times New Roman" w:cs="Times New Roman"/>
          <w:sz w:val="28"/>
          <w:szCs w:val="28"/>
        </w:rPr>
        <w:t>Shaner</w:t>
      </w:r>
    </w:p>
    <w:p w:rsidR="00455003" w:rsidRPr="00455003" w:rsidRDefault="00455003" w:rsidP="00131F4A">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rsidR="00455003" w:rsidRPr="00455003" w:rsidRDefault="00455003" w:rsidP="00131F4A">
      <w:pPr>
        <w:spacing w:after="0" w:line="240" w:lineRule="auto"/>
        <w:rPr>
          <w:rFonts w:ascii="Times New Roman" w:hAnsi="Times New Roman" w:cs="Times New Roman"/>
          <w:sz w:val="28"/>
          <w:szCs w:val="28"/>
        </w:rPr>
      </w:pPr>
    </w:p>
    <w:p w:rsidR="00455003" w:rsidRPr="00455003" w:rsidRDefault="00455003" w:rsidP="00131F4A">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rsidR="00455003" w:rsidRPr="00455003" w:rsidRDefault="008D11E3" w:rsidP="00131F4A">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8D11E3">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55003" w:rsidRPr="00455003">
        <w:rPr>
          <w:rFonts w:ascii="Times New Roman" w:hAnsi="Times New Roman" w:cs="Times New Roman"/>
          <w:sz w:val="28"/>
          <w:szCs w:val="28"/>
        </w:rPr>
        <w:t>day of</w:t>
      </w:r>
      <w:r w:rsidR="008F443A">
        <w:rPr>
          <w:rFonts w:ascii="Times New Roman" w:hAnsi="Times New Roman" w:cs="Times New Roman"/>
          <w:sz w:val="28"/>
          <w:szCs w:val="28"/>
        </w:rPr>
        <w:t xml:space="preserve">  </w:t>
      </w:r>
      <w:r w:rsidR="008B0240">
        <w:rPr>
          <w:rFonts w:ascii="Times New Roman" w:hAnsi="Times New Roman" w:cs="Times New Roman"/>
          <w:sz w:val="28"/>
          <w:szCs w:val="28"/>
        </w:rPr>
        <w:t xml:space="preserve">June, </w:t>
      </w:r>
      <w:r w:rsidR="008F443A">
        <w:rPr>
          <w:rFonts w:ascii="Times New Roman" w:hAnsi="Times New Roman" w:cs="Times New Roman"/>
          <w:sz w:val="28"/>
          <w:szCs w:val="28"/>
        </w:rPr>
        <w:t>20</w:t>
      </w:r>
      <w:r w:rsidR="006405BB">
        <w:rPr>
          <w:rFonts w:ascii="Times New Roman" w:hAnsi="Times New Roman" w:cs="Times New Roman"/>
          <w:sz w:val="28"/>
          <w:szCs w:val="28"/>
        </w:rPr>
        <w:t>22</w:t>
      </w:r>
    </w:p>
    <w:p w:rsidR="00455003" w:rsidRPr="00455003" w:rsidRDefault="00455003" w:rsidP="00131F4A">
      <w:pPr>
        <w:spacing w:after="0" w:line="240" w:lineRule="auto"/>
        <w:rPr>
          <w:rFonts w:ascii="Times New Roman" w:hAnsi="Times New Roman" w:cs="Times New Roman"/>
          <w:sz w:val="28"/>
          <w:szCs w:val="28"/>
        </w:rPr>
      </w:pPr>
    </w:p>
    <w:p w:rsidR="00455003" w:rsidRDefault="006405BB" w:rsidP="00131F4A">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Agent for Raven Tours Ltd.:</w:t>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Michael Ewen</w:t>
      </w:r>
    </w:p>
    <w:p w:rsidR="009A7BE9" w:rsidRPr="00455003" w:rsidRDefault="009A7BE9" w:rsidP="00131F4A">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rsidR="006405BB" w:rsidRDefault="008F71FF" w:rsidP="00131F4A">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w:t>
      </w:r>
      <w:r w:rsidR="008F443A">
        <w:rPr>
          <w:rFonts w:ascii="Times New Roman" w:hAnsi="Times New Roman" w:cs="Times New Roman"/>
          <w:sz w:val="28"/>
          <w:szCs w:val="28"/>
        </w:rPr>
        <w:t xml:space="preserve">or the </w:t>
      </w:r>
      <w:r w:rsidR="006405BB">
        <w:rPr>
          <w:rFonts w:ascii="Times New Roman" w:hAnsi="Times New Roman" w:cs="Times New Roman"/>
          <w:sz w:val="28"/>
          <w:szCs w:val="28"/>
        </w:rPr>
        <w:t>Attorney General</w:t>
      </w:r>
    </w:p>
    <w:p w:rsidR="006405BB" w:rsidRDefault="006405BB" w:rsidP="00131F4A">
      <w:pPr>
        <w:spacing w:after="0" w:line="240" w:lineRule="auto"/>
        <w:rPr>
          <w:rFonts w:ascii="Times New Roman" w:hAnsi="Times New Roman" w:cs="Times New Roman"/>
          <w:sz w:val="28"/>
          <w:szCs w:val="28"/>
        </w:rPr>
      </w:pPr>
      <w:r>
        <w:rPr>
          <w:rFonts w:ascii="Times New Roman" w:hAnsi="Times New Roman" w:cs="Times New Roman"/>
          <w:sz w:val="28"/>
          <w:szCs w:val="28"/>
        </w:rPr>
        <w:t>of the Northwest Territories: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Thomas Wallwork and </w:t>
      </w:r>
    </w:p>
    <w:p w:rsidR="006405BB" w:rsidRDefault="006405BB" w:rsidP="00131F4A">
      <w:pPr>
        <w:spacing w:after="0" w:line="240" w:lineRule="auto"/>
        <w:ind w:left="5040" w:firstLine="720"/>
        <w:rPr>
          <w:rFonts w:ascii="Times New Roman" w:hAnsi="Times New Roman" w:cs="Times New Roman"/>
          <w:sz w:val="28"/>
          <w:szCs w:val="28"/>
        </w:rPr>
      </w:pPr>
      <w:r>
        <w:rPr>
          <w:rFonts w:ascii="Times New Roman" w:hAnsi="Times New Roman" w:cs="Times New Roman"/>
          <w:sz w:val="28"/>
          <w:szCs w:val="28"/>
        </w:rPr>
        <w:t>Trisha Paradis</w:t>
      </w:r>
    </w:p>
    <w:p w:rsidR="006405BB" w:rsidRDefault="006405BB" w:rsidP="00131F4A">
      <w:pPr>
        <w:spacing w:after="0" w:line="240" w:lineRule="auto"/>
        <w:rPr>
          <w:rFonts w:ascii="Times New Roman" w:hAnsi="Times New Roman" w:cs="Times New Roman"/>
          <w:sz w:val="28"/>
          <w:szCs w:val="28"/>
        </w:rPr>
      </w:pPr>
    </w:p>
    <w:p w:rsidR="006405BB" w:rsidRDefault="006405BB" w:rsidP="00131F4A">
      <w:pPr>
        <w:spacing w:after="0" w:line="240" w:lineRule="auto"/>
        <w:rPr>
          <w:rFonts w:ascii="Times New Roman" w:hAnsi="Times New Roman" w:cs="Times New Roman"/>
          <w:sz w:val="28"/>
          <w:szCs w:val="28"/>
        </w:rPr>
      </w:pPr>
      <w:r>
        <w:rPr>
          <w:rFonts w:ascii="Times New Roman" w:hAnsi="Times New Roman" w:cs="Times New Roman"/>
          <w:sz w:val="28"/>
          <w:szCs w:val="28"/>
        </w:rPr>
        <w:t>Counsel for Industry, Tourism and</w:t>
      </w:r>
    </w:p>
    <w:p w:rsidR="006405BB" w:rsidRDefault="006405BB" w:rsidP="00131F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Investment, Government of the Northwest </w:t>
      </w:r>
    </w:p>
    <w:p w:rsidR="00707EAE" w:rsidRDefault="006405BB" w:rsidP="00131F4A">
      <w:pPr>
        <w:spacing w:after="0" w:line="240" w:lineRule="auto"/>
        <w:rPr>
          <w:rFonts w:ascii="Times New Roman" w:hAnsi="Times New Roman" w:cs="Times New Roman"/>
          <w:sz w:val="28"/>
          <w:szCs w:val="28"/>
        </w:rPr>
      </w:pPr>
      <w:r>
        <w:rPr>
          <w:rFonts w:ascii="Times New Roman" w:hAnsi="Times New Roman" w:cs="Times New Roman"/>
          <w:sz w:val="28"/>
          <w:szCs w:val="28"/>
        </w:rPr>
        <w:t>Territories:</w:t>
      </w:r>
      <w:r w:rsidR="008F44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Jeremy Walsh</w:t>
      </w:r>
    </w:p>
    <w:p w:rsidR="00987D86" w:rsidRPr="00455003" w:rsidRDefault="00987D86" w:rsidP="00131F4A">
      <w:pPr>
        <w:spacing w:after="0" w:line="240" w:lineRule="auto"/>
        <w:rPr>
          <w:rFonts w:ascii="Times New Roman" w:hAnsi="Times New Roman" w:cs="Times New Roman"/>
          <w:sz w:val="28"/>
          <w:szCs w:val="28"/>
        </w:rPr>
      </w:pPr>
    </w:p>
    <w:p w:rsidR="00707EAE" w:rsidRPr="0032647A" w:rsidRDefault="00707EAE" w:rsidP="00131F4A">
      <w:pPr>
        <w:spacing w:line="240" w:lineRule="auto"/>
        <w:rPr>
          <w:rFonts w:ascii="Times New Roman" w:hAnsi="Times New Roman" w:cs="Times New Roman"/>
          <w:sz w:val="28"/>
          <w:szCs w:val="28"/>
        </w:rPr>
        <w:sectPr w:rsidR="00707EAE" w:rsidRPr="0032647A" w:rsidSect="008C09DB">
          <w:headerReference w:type="default" r:id="rId18"/>
          <w:headerReference w:type="first" r:id="rId19"/>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rsidR="00707EAE" w:rsidRPr="0032647A" w:rsidRDefault="00707EAE" w:rsidP="00131F4A">
      <w:pPr>
        <w:spacing w:line="240" w:lineRule="auto"/>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rsidTr="00707EAE">
        <w:tc>
          <w:tcPr>
            <w:tcW w:w="6408" w:type="dxa"/>
          </w:tcPr>
          <w:p w:rsidR="00707EAE" w:rsidRPr="0032647A" w:rsidRDefault="00707EAE" w:rsidP="00131F4A">
            <w:pPr>
              <w:jc w:val="right"/>
              <w:rPr>
                <w:rFonts w:ascii="Times New Roman" w:hAnsi="Times New Roman" w:cs="Times New Roman"/>
                <w:b/>
                <w:bCs/>
                <w:sz w:val="28"/>
                <w:szCs w:val="28"/>
                <w:lang w:val="fr-CA"/>
              </w:rPr>
            </w:pPr>
            <w:r w:rsidRPr="0032647A">
              <w:rPr>
                <w:rFonts w:ascii="Times New Roman" w:hAnsi="Times New Roman" w:cs="Times New Roman"/>
                <w:b/>
                <w:bCs/>
                <w:sz w:val="28"/>
                <w:szCs w:val="28"/>
                <w:lang w:val="fr-CA"/>
              </w:rPr>
              <w:t>S-1-</w:t>
            </w:r>
            <w:r w:rsidR="00A26F20">
              <w:rPr>
                <w:rFonts w:ascii="Times New Roman" w:hAnsi="Times New Roman" w:cs="Times New Roman"/>
                <w:b/>
                <w:bCs/>
                <w:sz w:val="28"/>
                <w:szCs w:val="28"/>
                <w:lang w:val="fr-CA"/>
              </w:rPr>
              <w:t>CV</w:t>
            </w:r>
            <w:r w:rsidRPr="0032647A">
              <w:rPr>
                <w:rFonts w:ascii="Times New Roman" w:hAnsi="Times New Roman" w:cs="Times New Roman"/>
                <w:b/>
                <w:bCs/>
                <w:sz w:val="28"/>
                <w:szCs w:val="28"/>
                <w:lang w:val="fr-CA"/>
              </w:rPr>
              <w:t>-</w:t>
            </w:r>
            <w:r w:rsidR="00A26F20">
              <w:rPr>
                <w:rFonts w:ascii="Times New Roman" w:hAnsi="Times New Roman" w:cs="Times New Roman"/>
                <w:b/>
                <w:bCs/>
                <w:sz w:val="28"/>
                <w:szCs w:val="28"/>
                <w:lang w:val="fr-CA"/>
              </w:rPr>
              <w:t xml:space="preserve"> 2021 000 265</w:t>
            </w:r>
          </w:p>
          <w:p w:rsidR="00707EAE" w:rsidRPr="0032647A" w:rsidRDefault="00707EAE" w:rsidP="00131F4A">
            <w:pPr>
              <w:jc w:val="right"/>
              <w:rPr>
                <w:rFonts w:ascii="Times New Roman" w:hAnsi="Times New Roman" w:cs="Times New Roman"/>
                <w:sz w:val="28"/>
                <w:szCs w:val="28"/>
              </w:rPr>
            </w:pPr>
          </w:p>
        </w:tc>
      </w:tr>
      <w:tr w:rsidR="00707EAE" w:rsidRPr="0032647A" w:rsidTr="00707EAE">
        <w:tc>
          <w:tcPr>
            <w:tcW w:w="6408" w:type="dxa"/>
          </w:tcPr>
          <w:p w:rsidR="00707EAE" w:rsidRPr="0032647A" w:rsidRDefault="00707EAE" w:rsidP="00707EAE">
            <w:pPr>
              <w:tabs>
                <w:tab w:val="center" w:pos="2784"/>
              </w:tabs>
              <w:jc w:val="center"/>
              <w:rPr>
                <w:rFonts w:ascii="Times New Roman" w:hAnsi="Times New Roman" w:cs="Times New Roman"/>
                <w:b/>
                <w:bCs/>
                <w:sz w:val="28"/>
                <w:szCs w:val="28"/>
                <w:lang w:val="en-GB"/>
              </w:rPr>
            </w:pPr>
          </w:p>
          <w:p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rsidR="00707EAE" w:rsidRPr="0032647A" w:rsidRDefault="00707EAE" w:rsidP="00707EAE">
            <w:pPr>
              <w:pStyle w:val="NoSpacing"/>
              <w:rPr>
                <w:rFonts w:ascii="Times New Roman" w:hAnsi="Times New Roman" w:cs="Times New Roman"/>
                <w:sz w:val="28"/>
                <w:szCs w:val="28"/>
                <w:lang w:val="en-GB"/>
              </w:rPr>
            </w:pPr>
          </w:p>
        </w:tc>
      </w:tr>
      <w:tr w:rsidR="00707EAE" w:rsidRPr="0032647A" w:rsidTr="00707EAE">
        <w:tc>
          <w:tcPr>
            <w:tcW w:w="6408" w:type="dxa"/>
          </w:tcPr>
          <w:p w:rsidR="00707EAE" w:rsidRPr="0032647A" w:rsidRDefault="00707EAE" w:rsidP="00B5240C">
            <w:pPr>
              <w:rPr>
                <w:rFonts w:ascii="Times New Roman" w:hAnsi="Times New Roman" w:cs="Times New Roman"/>
                <w:sz w:val="28"/>
                <w:szCs w:val="28"/>
              </w:rPr>
            </w:pPr>
          </w:p>
          <w:p w:rsidR="00707EAE" w:rsidRPr="0032647A" w:rsidRDefault="00707EAE" w:rsidP="00707EAE">
            <w:pPr>
              <w:jc w:val="center"/>
              <w:rPr>
                <w:rFonts w:ascii="Times New Roman" w:hAnsi="Times New Roman" w:cs="Times New Roman"/>
                <w:sz w:val="28"/>
                <w:szCs w:val="28"/>
              </w:rPr>
            </w:pPr>
          </w:p>
          <w:p w:rsidR="00A26F20" w:rsidRDefault="00A26F20" w:rsidP="00A26F20">
            <w:pPr>
              <w:rPr>
                <w:rFonts w:ascii="Times New Roman" w:hAnsi="Times New Roman" w:cs="Times New Roman"/>
                <w:b/>
                <w:sz w:val="28"/>
                <w:szCs w:val="28"/>
              </w:rPr>
            </w:pPr>
            <w:r>
              <w:rPr>
                <w:rFonts w:ascii="Times New Roman" w:hAnsi="Times New Roman" w:cs="Times New Roman"/>
                <w:b/>
                <w:sz w:val="28"/>
                <w:szCs w:val="28"/>
              </w:rPr>
              <w:t>BETWEEN:</w:t>
            </w:r>
          </w:p>
          <w:p w:rsidR="00A26F20" w:rsidRPr="00A26F20" w:rsidRDefault="00A26F20" w:rsidP="00A26F20">
            <w:pPr>
              <w:jc w:val="center"/>
              <w:rPr>
                <w:rFonts w:ascii="Times New Roman" w:hAnsi="Times New Roman" w:cs="Times New Roman"/>
                <w:sz w:val="28"/>
                <w:szCs w:val="28"/>
              </w:rPr>
            </w:pPr>
            <w:r w:rsidRPr="00A26F20">
              <w:rPr>
                <w:rFonts w:ascii="Times New Roman" w:hAnsi="Times New Roman" w:cs="Times New Roman"/>
                <w:sz w:val="28"/>
                <w:szCs w:val="28"/>
              </w:rPr>
              <w:t>RAVEN TOURS LTD.</w:t>
            </w:r>
          </w:p>
          <w:p w:rsidR="00A26F20" w:rsidRPr="00A26F20" w:rsidRDefault="00A26F20" w:rsidP="00A26F20">
            <w:pPr>
              <w:jc w:val="right"/>
              <w:rPr>
                <w:rFonts w:ascii="Times New Roman" w:hAnsi="Times New Roman" w:cs="Times New Roman"/>
                <w:sz w:val="28"/>
                <w:szCs w:val="28"/>
              </w:rPr>
            </w:pPr>
            <w:r w:rsidRPr="00A26F20">
              <w:rPr>
                <w:rFonts w:ascii="Times New Roman" w:hAnsi="Times New Roman" w:cs="Times New Roman"/>
                <w:sz w:val="28"/>
                <w:szCs w:val="28"/>
              </w:rPr>
              <w:t>Applicant</w:t>
            </w:r>
          </w:p>
          <w:p w:rsidR="00A26F20" w:rsidRPr="00A26F20" w:rsidRDefault="00A26F20" w:rsidP="00A26F20">
            <w:pPr>
              <w:rPr>
                <w:rFonts w:ascii="Times New Roman" w:hAnsi="Times New Roman" w:cs="Times New Roman"/>
                <w:sz w:val="28"/>
                <w:szCs w:val="28"/>
              </w:rPr>
            </w:pPr>
          </w:p>
          <w:p w:rsidR="00A26F20" w:rsidRPr="00A26F20" w:rsidRDefault="00A26F20" w:rsidP="00A26F20">
            <w:pPr>
              <w:jc w:val="center"/>
              <w:rPr>
                <w:rFonts w:ascii="Times New Roman" w:hAnsi="Times New Roman" w:cs="Times New Roman"/>
                <w:sz w:val="28"/>
                <w:szCs w:val="28"/>
              </w:rPr>
            </w:pPr>
            <w:r w:rsidRPr="00A26F20">
              <w:rPr>
                <w:rFonts w:ascii="Times New Roman" w:hAnsi="Times New Roman" w:cs="Times New Roman"/>
                <w:sz w:val="28"/>
                <w:szCs w:val="28"/>
              </w:rPr>
              <w:t>-and-</w:t>
            </w:r>
          </w:p>
          <w:p w:rsidR="00A26F20" w:rsidRPr="00A26F20" w:rsidRDefault="00A26F20" w:rsidP="00A26F20">
            <w:pPr>
              <w:rPr>
                <w:rFonts w:ascii="Times New Roman" w:hAnsi="Times New Roman" w:cs="Times New Roman"/>
                <w:sz w:val="28"/>
                <w:szCs w:val="28"/>
              </w:rPr>
            </w:pPr>
          </w:p>
          <w:p w:rsidR="00A26F20" w:rsidRPr="00A26F20" w:rsidRDefault="00A26F20" w:rsidP="00A26F20">
            <w:pPr>
              <w:rPr>
                <w:rFonts w:ascii="Times New Roman" w:hAnsi="Times New Roman" w:cs="Times New Roman"/>
                <w:sz w:val="28"/>
                <w:szCs w:val="28"/>
              </w:rPr>
            </w:pPr>
          </w:p>
          <w:p w:rsidR="00A26F20" w:rsidRPr="00A26F20" w:rsidRDefault="00A26F20" w:rsidP="00A26F20">
            <w:pPr>
              <w:jc w:val="center"/>
              <w:rPr>
                <w:rFonts w:ascii="Times New Roman" w:hAnsi="Times New Roman" w:cs="Times New Roman"/>
                <w:sz w:val="28"/>
                <w:szCs w:val="28"/>
              </w:rPr>
            </w:pPr>
            <w:r w:rsidRPr="00A26F20">
              <w:rPr>
                <w:rFonts w:ascii="Times New Roman" w:hAnsi="Times New Roman" w:cs="Times New Roman"/>
                <w:sz w:val="28"/>
                <w:szCs w:val="28"/>
              </w:rPr>
              <w:t>INDUSTRY, TOURISM AND INVESTMENT</w:t>
            </w:r>
          </w:p>
          <w:p w:rsidR="00A26F20" w:rsidRPr="00A26F20" w:rsidRDefault="00A26F20" w:rsidP="00A26F20">
            <w:pPr>
              <w:jc w:val="center"/>
              <w:rPr>
                <w:rFonts w:ascii="Times New Roman" w:hAnsi="Times New Roman" w:cs="Times New Roman"/>
                <w:sz w:val="28"/>
                <w:szCs w:val="28"/>
              </w:rPr>
            </w:pPr>
            <w:r w:rsidRPr="00A26F20">
              <w:rPr>
                <w:rFonts w:ascii="Times New Roman" w:hAnsi="Times New Roman" w:cs="Times New Roman"/>
                <w:sz w:val="28"/>
                <w:szCs w:val="28"/>
              </w:rPr>
              <w:t>GOVERNMENT OF THE NORTHWEST TERRITORIES</w:t>
            </w:r>
          </w:p>
          <w:p w:rsidR="00A26F20" w:rsidRPr="00A26F20" w:rsidRDefault="00A26F20" w:rsidP="00A26F20">
            <w:pPr>
              <w:jc w:val="right"/>
              <w:rPr>
                <w:rFonts w:ascii="Times New Roman" w:hAnsi="Times New Roman" w:cs="Times New Roman"/>
                <w:sz w:val="28"/>
                <w:szCs w:val="28"/>
              </w:rPr>
            </w:pPr>
            <w:r w:rsidRPr="00A26F20">
              <w:rPr>
                <w:rFonts w:ascii="Times New Roman" w:hAnsi="Times New Roman" w:cs="Times New Roman"/>
                <w:sz w:val="28"/>
                <w:szCs w:val="28"/>
              </w:rPr>
              <w:t xml:space="preserve"> </w:t>
            </w:r>
          </w:p>
          <w:p w:rsidR="00A26F20" w:rsidRPr="00A26F20" w:rsidRDefault="00A26F20" w:rsidP="00A26F20">
            <w:pPr>
              <w:jc w:val="right"/>
              <w:rPr>
                <w:rFonts w:ascii="Times New Roman" w:hAnsi="Times New Roman" w:cs="Times New Roman"/>
                <w:sz w:val="28"/>
                <w:szCs w:val="28"/>
              </w:rPr>
            </w:pPr>
            <w:r w:rsidRPr="00A26F20">
              <w:rPr>
                <w:rFonts w:ascii="Times New Roman" w:hAnsi="Times New Roman" w:cs="Times New Roman"/>
                <w:sz w:val="28"/>
                <w:szCs w:val="28"/>
              </w:rPr>
              <w:t>Respondent</w:t>
            </w:r>
          </w:p>
          <w:p w:rsidR="00A26F20" w:rsidRPr="00A26F20" w:rsidRDefault="00A26F20" w:rsidP="00A26F20">
            <w:pPr>
              <w:jc w:val="center"/>
              <w:rPr>
                <w:rFonts w:ascii="Times New Roman" w:hAnsi="Times New Roman" w:cs="Times New Roman"/>
                <w:sz w:val="28"/>
                <w:szCs w:val="28"/>
              </w:rPr>
            </w:pPr>
          </w:p>
          <w:p w:rsidR="00707EAE" w:rsidRPr="0032647A" w:rsidRDefault="00707EAE" w:rsidP="00707EAE">
            <w:pPr>
              <w:rPr>
                <w:rFonts w:ascii="Times New Roman" w:hAnsi="Times New Roman" w:cs="Times New Roman"/>
                <w:sz w:val="28"/>
                <w:szCs w:val="28"/>
              </w:rPr>
            </w:pP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707EAE" w:rsidP="00707EAE">
            <w:pPr>
              <w:rPr>
                <w:rFonts w:ascii="Times New Roman" w:hAnsi="Times New Roman" w:cs="Times New Roman"/>
                <w:sz w:val="28"/>
                <w:szCs w:val="28"/>
              </w:rPr>
            </w:pPr>
          </w:p>
        </w:tc>
      </w:tr>
      <w:tr w:rsidR="00707EAE" w:rsidRPr="0032647A" w:rsidTr="00707EAE">
        <w:tc>
          <w:tcPr>
            <w:tcW w:w="6408" w:type="dxa"/>
          </w:tcPr>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MEMORANDUM OF JUDGMENT OF</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JUSTICE </w:t>
            </w:r>
            <w:r w:rsidR="008F71FF">
              <w:rPr>
                <w:rFonts w:ascii="Times New Roman" w:hAnsi="Times New Roman" w:cs="Times New Roman"/>
                <w:sz w:val="28"/>
                <w:szCs w:val="28"/>
                <w:lang w:val="en-GB"/>
              </w:rPr>
              <w:t xml:space="preserve">K. </w:t>
            </w:r>
            <w:r w:rsidR="00552D62">
              <w:rPr>
                <w:rFonts w:ascii="Times New Roman" w:hAnsi="Times New Roman" w:cs="Times New Roman"/>
                <w:sz w:val="28"/>
                <w:szCs w:val="28"/>
                <w:lang w:val="en-GB"/>
              </w:rPr>
              <w:t xml:space="preserve">M. </w:t>
            </w:r>
            <w:r w:rsidR="008F71FF">
              <w:rPr>
                <w:rFonts w:ascii="Times New Roman" w:hAnsi="Times New Roman" w:cs="Times New Roman"/>
                <w:sz w:val="28"/>
                <w:szCs w:val="28"/>
                <w:lang w:val="en-GB"/>
              </w:rPr>
              <w:t>SHANER</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20"/>
      <w:headerReference w:type="first" r:id="rId21"/>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BC" w:rsidRDefault="00DC32BC" w:rsidP="005B5B19">
      <w:pPr>
        <w:spacing w:after="0" w:line="240" w:lineRule="auto"/>
      </w:pPr>
      <w:r>
        <w:separator/>
      </w:r>
    </w:p>
  </w:endnote>
  <w:endnote w:type="continuationSeparator" w:id="0">
    <w:p w:rsidR="00DC32BC" w:rsidRDefault="00DC32BC"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BC" w:rsidRDefault="00DC32BC" w:rsidP="005B5B19">
      <w:pPr>
        <w:spacing w:after="0" w:line="240" w:lineRule="auto"/>
      </w:pPr>
      <w:r>
        <w:separator/>
      </w:r>
    </w:p>
  </w:footnote>
  <w:footnote w:type="continuationSeparator" w:id="0">
    <w:p w:rsidR="00DC32BC" w:rsidRDefault="00DC32BC"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Pr="0032647A" w:rsidRDefault="00BD6B48">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656E45">
          <w:rPr>
            <w:rFonts w:ascii="Times New Roman" w:hAnsi="Times New Roman" w:cs="Times New Roman"/>
            <w:noProof/>
            <w:sz w:val="24"/>
            <w:szCs w:val="24"/>
          </w:rPr>
          <w:t>7</w:t>
        </w:r>
        <w:r w:rsidRPr="0032647A">
          <w:rPr>
            <w:rFonts w:ascii="Times New Roman" w:hAnsi="Times New Roman" w:cs="Times New Roman"/>
            <w:noProof/>
            <w:sz w:val="24"/>
            <w:szCs w:val="24"/>
          </w:rPr>
          <w:fldChar w:fldCharType="end"/>
        </w:r>
      </w:sdtContent>
    </w:sdt>
  </w:p>
  <w:p w:rsidR="00BD6B48" w:rsidRDefault="00BD6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p>
  <w:p w:rsidR="00BD6B48" w:rsidRDefault="00BD6B48"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BD6B48" w:rsidRDefault="00BD6B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p>
  <w:p w:rsidR="00BD6B48" w:rsidRDefault="00BD6B48"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12"/>
  </w:num>
  <w:num w:numId="6">
    <w:abstractNumId w:val="2"/>
  </w:num>
  <w:num w:numId="7">
    <w:abstractNumId w:val="3"/>
  </w:num>
  <w:num w:numId="8">
    <w:abstractNumId w:val="1"/>
  </w:num>
  <w:num w:numId="9">
    <w:abstractNumId w:val="8"/>
  </w:num>
  <w:num w:numId="10">
    <w:abstractNumId w:val="6"/>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296C"/>
    <w:rsid w:val="000111E8"/>
    <w:rsid w:val="0001699C"/>
    <w:rsid w:val="000459B9"/>
    <w:rsid w:val="00056613"/>
    <w:rsid w:val="0005687C"/>
    <w:rsid w:val="0006292F"/>
    <w:rsid w:val="00063A67"/>
    <w:rsid w:val="000721C3"/>
    <w:rsid w:val="000737B8"/>
    <w:rsid w:val="000812FA"/>
    <w:rsid w:val="00086E43"/>
    <w:rsid w:val="000A02B6"/>
    <w:rsid w:val="000A231B"/>
    <w:rsid w:val="000A35CC"/>
    <w:rsid w:val="000A6862"/>
    <w:rsid w:val="000A6A09"/>
    <w:rsid w:val="000C1FD4"/>
    <w:rsid w:val="000C4C1E"/>
    <w:rsid w:val="000C5476"/>
    <w:rsid w:val="000D5EF5"/>
    <w:rsid w:val="000E5036"/>
    <w:rsid w:val="000E6F1A"/>
    <w:rsid w:val="000E6F59"/>
    <w:rsid w:val="000E718C"/>
    <w:rsid w:val="000F02DC"/>
    <w:rsid w:val="000F53DB"/>
    <w:rsid w:val="0010117B"/>
    <w:rsid w:val="00103BBD"/>
    <w:rsid w:val="00106A4F"/>
    <w:rsid w:val="00115FB8"/>
    <w:rsid w:val="00120506"/>
    <w:rsid w:val="00120C12"/>
    <w:rsid w:val="00121A45"/>
    <w:rsid w:val="00121C8A"/>
    <w:rsid w:val="00131F4A"/>
    <w:rsid w:val="00142877"/>
    <w:rsid w:val="00154197"/>
    <w:rsid w:val="0016194C"/>
    <w:rsid w:val="00173A9B"/>
    <w:rsid w:val="00182532"/>
    <w:rsid w:val="00185D69"/>
    <w:rsid w:val="00187005"/>
    <w:rsid w:val="00187A9C"/>
    <w:rsid w:val="001919B4"/>
    <w:rsid w:val="001922F6"/>
    <w:rsid w:val="00197B31"/>
    <w:rsid w:val="001A3CE0"/>
    <w:rsid w:val="001A59B1"/>
    <w:rsid w:val="001B341D"/>
    <w:rsid w:val="001B7074"/>
    <w:rsid w:val="001C1DCF"/>
    <w:rsid w:val="001C5C54"/>
    <w:rsid w:val="001D195D"/>
    <w:rsid w:val="001D4836"/>
    <w:rsid w:val="001D4D84"/>
    <w:rsid w:val="001E03A4"/>
    <w:rsid w:val="001E0F8F"/>
    <w:rsid w:val="001F1918"/>
    <w:rsid w:val="001F5970"/>
    <w:rsid w:val="00205A56"/>
    <w:rsid w:val="00215990"/>
    <w:rsid w:val="00215F3B"/>
    <w:rsid w:val="002166B5"/>
    <w:rsid w:val="00231B65"/>
    <w:rsid w:val="0023366A"/>
    <w:rsid w:val="0023697C"/>
    <w:rsid w:val="00247E33"/>
    <w:rsid w:val="002543E7"/>
    <w:rsid w:val="00260A1A"/>
    <w:rsid w:val="00261037"/>
    <w:rsid w:val="00265274"/>
    <w:rsid w:val="00277274"/>
    <w:rsid w:val="00281021"/>
    <w:rsid w:val="0028426F"/>
    <w:rsid w:val="00285F86"/>
    <w:rsid w:val="00291189"/>
    <w:rsid w:val="002913B3"/>
    <w:rsid w:val="002A52A5"/>
    <w:rsid w:val="002A5F39"/>
    <w:rsid w:val="002A66BC"/>
    <w:rsid w:val="002B5C72"/>
    <w:rsid w:val="002D0476"/>
    <w:rsid w:val="002D59FA"/>
    <w:rsid w:val="002E0C9D"/>
    <w:rsid w:val="002E4D86"/>
    <w:rsid w:val="002E5AAB"/>
    <w:rsid w:val="002E6F4B"/>
    <w:rsid w:val="002F2158"/>
    <w:rsid w:val="002F21F4"/>
    <w:rsid w:val="0030334C"/>
    <w:rsid w:val="003079CA"/>
    <w:rsid w:val="003138DE"/>
    <w:rsid w:val="00321645"/>
    <w:rsid w:val="00322117"/>
    <w:rsid w:val="0032298A"/>
    <w:rsid w:val="00323B29"/>
    <w:rsid w:val="0032647A"/>
    <w:rsid w:val="00330511"/>
    <w:rsid w:val="003508FB"/>
    <w:rsid w:val="003559AB"/>
    <w:rsid w:val="00362D36"/>
    <w:rsid w:val="00364F1F"/>
    <w:rsid w:val="0038243D"/>
    <w:rsid w:val="003A0ABD"/>
    <w:rsid w:val="003B045A"/>
    <w:rsid w:val="003C2C86"/>
    <w:rsid w:val="003C334D"/>
    <w:rsid w:val="003D3E8C"/>
    <w:rsid w:val="003F2B8B"/>
    <w:rsid w:val="003F70EC"/>
    <w:rsid w:val="004078E7"/>
    <w:rsid w:val="00423626"/>
    <w:rsid w:val="0043425B"/>
    <w:rsid w:val="00435FD5"/>
    <w:rsid w:val="00451117"/>
    <w:rsid w:val="004525BE"/>
    <w:rsid w:val="00455003"/>
    <w:rsid w:val="0046366D"/>
    <w:rsid w:val="00466B42"/>
    <w:rsid w:val="004729A8"/>
    <w:rsid w:val="004731CC"/>
    <w:rsid w:val="00481216"/>
    <w:rsid w:val="00481F3E"/>
    <w:rsid w:val="00486F4A"/>
    <w:rsid w:val="00493C4C"/>
    <w:rsid w:val="00495CE4"/>
    <w:rsid w:val="004B1ED2"/>
    <w:rsid w:val="004B5E1C"/>
    <w:rsid w:val="004C3E7C"/>
    <w:rsid w:val="004D67C4"/>
    <w:rsid w:val="004D734D"/>
    <w:rsid w:val="004E3513"/>
    <w:rsid w:val="004F0138"/>
    <w:rsid w:val="004F225C"/>
    <w:rsid w:val="004F6C30"/>
    <w:rsid w:val="00501407"/>
    <w:rsid w:val="00505DEE"/>
    <w:rsid w:val="00512C5E"/>
    <w:rsid w:val="005162D4"/>
    <w:rsid w:val="00516537"/>
    <w:rsid w:val="0052414C"/>
    <w:rsid w:val="00533F06"/>
    <w:rsid w:val="0053438C"/>
    <w:rsid w:val="00541FD0"/>
    <w:rsid w:val="00552D62"/>
    <w:rsid w:val="00574C4A"/>
    <w:rsid w:val="005846D0"/>
    <w:rsid w:val="00585638"/>
    <w:rsid w:val="00585759"/>
    <w:rsid w:val="00592C8D"/>
    <w:rsid w:val="005B3F05"/>
    <w:rsid w:val="005B5B19"/>
    <w:rsid w:val="005C4149"/>
    <w:rsid w:val="005C56F2"/>
    <w:rsid w:val="005C710B"/>
    <w:rsid w:val="005D1500"/>
    <w:rsid w:val="005E46BE"/>
    <w:rsid w:val="005E6DB2"/>
    <w:rsid w:val="005E76CB"/>
    <w:rsid w:val="00601BAB"/>
    <w:rsid w:val="006153F5"/>
    <w:rsid w:val="0062213B"/>
    <w:rsid w:val="00631C79"/>
    <w:rsid w:val="0063651C"/>
    <w:rsid w:val="006405BB"/>
    <w:rsid w:val="00656E45"/>
    <w:rsid w:val="00656F66"/>
    <w:rsid w:val="00663C66"/>
    <w:rsid w:val="006768CA"/>
    <w:rsid w:val="0067716E"/>
    <w:rsid w:val="0068192C"/>
    <w:rsid w:val="00681EFE"/>
    <w:rsid w:val="00690C60"/>
    <w:rsid w:val="0069153C"/>
    <w:rsid w:val="0069185B"/>
    <w:rsid w:val="00693F36"/>
    <w:rsid w:val="006A7F51"/>
    <w:rsid w:val="006B0A0B"/>
    <w:rsid w:val="006B67F2"/>
    <w:rsid w:val="006C0366"/>
    <w:rsid w:val="006C4F77"/>
    <w:rsid w:val="006C5D68"/>
    <w:rsid w:val="006D28E5"/>
    <w:rsid w:val="006E0998"/>
    <w:rsid w:val="006E55FB"/>
    <w:rsid w:val="007051C8"/>
    <w:rsid w:val="00705DF1"/>
    <w:rsid w:val="00706CC8"/>
    <w:rsid w:val="00707EAE"/>
    <w:rsid w:val="00711308"/>
    <w:rsid w:val="00713A4A"/>
    <w:rsid w:val="00714A79"/>
    <w:rsid w:val="00714B27"/>
    <w:rsid w:val="007172DF"/>
    <w:rsid w:val="00726916"/>
    <w:rsid w:val="007404D1"/>
    <w:rsid w:val="00740811"/>
    <w:rsid w:val="00745A79"/>
    <w:rsid w:val="00752F61"/>
    <w:rsid w:val="00755193"/>
    <w:rsid w:val="00755781"/>
    <w:rsid w:val="0076058B"/>
    <w:rsid w:val="00777B6B"/>
    <w:rsid w:val="00791D5D"/>
    <w:rsid w:val="007A6539"/>
    <w:rsid w:val="007B03B7"/>
    <w:rsid w:val="007B5A95"/>
    <w:rsid w:val="007B64F1"/>
    <w:rsid w:val="007B6556"/>
    <w:rsid w:val="007C0444"/>
    <w:rsid w:val="007C0A87"/>
    <w:rsid w:val="007C2FA2"/>
    <w:rsid w:val="007C32AA"/>
    <w:rsid w:val="007C4403"/>
    <w:rsid w:val="007C4D52"/>
    <w:rsid w:val="007D09B2"/>
    <w:rsid w:val="007D2D92"/>
    <w:rsid w:val="007D68BB"/>
    <w:rsid w:val="007E09EE"/>
    <w:rsid w:val="007E1728"/>
    <w:rsid w:val="007E2973"/>
    <w:rsid w:val="007E4421"/>
    <w:rsid w:val="007E4F2C"/>
    <w:rsid w:val="007E583B"/>
    <w:rsid w:val="007F317F"/>
    <w:rsid w:val="007F456F"/>
    <w:rsid w:val="00811637"/>
    <w:rsid w:val="00811AF5"/>
    <w:rsid w:val="008254AB"/>
    <w:rsid w:val="008262A5"/>
    <w:rsid w:val="00832DAE"/>
    <w:rsid w:val="00835705"/>
    <w:rsid w:val="008365DB"/>
    <w:rsid w:val="00837C22"/>
    <w:rsid w:val="008402AF"/>
    <w:rsid w:val="00842734"/>
    <w:rsid w:val="0085198B"/>
    <w:rsid w:val="00852397"/>
    <w:rsid w:val="008575FD"/>
    <w:rsid w:val="00866B24"/>
    <w:rsid w:val="00880C2D"/>
    <w:rsid w:val="008842C4"/>
    <w:rsid w:val="00896674"/>
    <w:rsid w:val="00897537"/>
    <w:rsid w:val="008A427D"/>
    <w:rsid w:val="008B0240"/>
    <w:rsid w:val="008C09DB"/>
    <w:rsid w:val="008C140F"/>
    <w:rsid w:val="008C4E6D"/>
    <w:rsid w:val="008C5F97"/>
    <w:rsid w:val="008D10C7"/>
    <w:rsid w:val="008D11E3"/>
    <w:rsid w:val="008E3DBD"/>
    <w:rsid w:val="008E57C1"/>
    <w:rsid w:val="008F443A"/>
    <w:rsid w:val="008F5409"/>
    <w:rsid w:val="008F71FF"/>
    <w:rsid w:val="00903DCB"/>
    <w:rsid w:val="009050BC"/>
    <w:rsid w:val="00911A99"/>
    <w:rsid w:val="00915447"/>
    <w:rsid w:val="00934591"/>
    <w:rsid w:val="0095774E"/>
    <w:rsid w:val="00960222"/>
    <w:rsid w:val="00962DC3"/>
    <w:rsid w:val="00966D78"/>
    <w:rsid w:val="00967D4E"/>
    <w:rsid w:val="00974606"/>
    <w:rsid w:val="00975E21"/>
    <w:rsid w:val="00987D86"/>
    <w:rsid w:val="00992149"/>
    <w:rsid w:val="009A7BE9"/>
    <w:rsid w:val="009B1B34"/>
    <w:rsid w:val="009B4901"/>
    <w:rsid w:val="009C2CC4"/>
    <w:rsid w:val="009C474B"/>
    <w:rsid w:val="009D4C53"/>
    <w:rsid w:val="009E0091"/>
    <w:rsid w:val="009E024A"/>
    <w:rsid w:val="009F0E0D"/>
    <w:rsid w:val="00A01796"/>
    <w:rsid w:val="00A01BD9"/>
    <w:rsid w:val="00A06F57"/>
    <w:rsid w:val="00A11B09"/>
    <w:rsid w:val="00A14910"/>
    <w:rsid w:val="00A16020"/>
    <w:rsid w:val="00A2019A"/>
    <w:rsid w:val="00A26C2A"/>
    <w:rsid w:val="00A26F20"/>
    <w:rsid w:val="00A3395A"/>
    <w:rsid w:val="00A33F6A"/>
    <w:rsid w:val="00A35325"/>
    <w:rsid w:val="00A46835"/>
    <w:rsid w:val="00A46DED"/>
    <w:rsid w:val="00A55495"/>
    <w:rsid w:val="00A62115"/>
    <w:rsid w:val="00A63CD3"/>
    <w:rsid w:val="00A72D7E"/>
    <w:rsid w:val="00A82C88"/>
    <w:rsid w:val="00A83F84"/>
    <w:rsid w:val="00A84262"/>
    <w:rsid w:val="00A84D6A"/>
    <w:rsid w:val="00A907EC"/>
    <w:rsid w:val="00A91150"/>
    <w:rsid w:val="00A91501"/>
    <w:rsid w:val="00AA234A"/>
    <w:rsid w:val="00AA36AF"/>
    <w:rsid w:val="00AB1856"/>
    <w:rsid w:val="00AB1CCA"/>
    <w:rsid w:val="00AC48E2"/>
    <w:rsid w:val="00AD0925"/>
    <w:rsid w:val="00AD5D39"/>
    <w:rsid w:val="00AE295A"/>
    <w:rsid w:val="00AE5F6F"/>
    <w:rsid w:val="00AE5F93"/>
    <w:rsid w:val="00AE63A9"/>
    <w:rsid w:val="00AE709E"/>
    <w:rsid w:val="00AE7992"/>
    <w:rsid w:val="00AF0289"/>
    <w:rsid w:val="00AF25E1"/>
    <w:rsid w:val="00AF41A1"/>
    <w:rsid w:val="00B00019"/>
    <w:rsid w:val="00B0128B"/>
    <w:rsid w:val="00B02019"/>
    <w:rsid w:val="00B02950"/>
    <w:rsid w:val="00B10DDD"/>
    <w:rsid w:val="00B12C2C"/>
    <w:rsid w:val="00B24B72"/>
    <w:rsid w:val="00B371F0"/>
    <w:rsid w:val="00B42F9B"/>
    <w:rsid w:val="00B474B5"/>
    <w:rsid w:val="00B512D6"/>
    <w:rsid w:val="00B5240C"/>
    <w:rsid w:val="00B64ADE"/>
    <w:rsid w:val="00B66339"/>
    <w:rsid w:val="00B7051E"/>
    <w:rsid w:val="00B755B3"/>
    <w:rsid w:val="00B8315E"/>
    <w:rsid w:val="00B84CCB"/>
    <w:rsid w:val="00B86106"/>
    <w:rsid w:val="00B93A15"/>
    <w:rsid w:val="00B94F8E"/>
    <w:rsid w:val="00B960CE"/>
    <w:rsid w:val="00BA1BB1"/>
    <w:rsid w:val="00BA1FBD"/>
    <w:rsid w:val="00BA2F80"/>
    <w:rsid w:val="00BB3B24"/>
    <w:rsid w:val="00BC4DD4"/>
    <w:rsid w:val="00BC697B"/>
    <w:rsid w:val="00BC71F7"/>
    <w:rsid w:val="00BD1AF8"/>
    <w:rsid w:val="00BD4DEC"/>
    <w:rsid w:val="00BD6B48"/>
    <w:rsid w:val="00BD781C"/>
    <w:rsid w:val="00BF4CF3"/>
    <w:rsid w:val="00C0143C"/>
    <w:rsid w:val="00C01A2C"/>
    <w:rsid w:val="00C027BB"/>
    <w:rsid w:val="00C048D0"/>
    <w:rsid w:val="00C06FA0"/>
    <w:rsid w:val="00C33BC6"/>
    <w:rsid w:val="00C41BCF"/>
    <w:rsid w:val="00C52BC6"/>
    <w:rsid w:val="00C52F4C"/>
    <w:rsid w:val="00C54BBF"/>
    <w:rsid w:val="00C6081A"/>
    <w:rsid w:val="00C70848"/>
    <w:rsid w:val="00C72AB7"/>
    <w:rsid w:val="00C7434E"/>
    <w:rsid w:val="00C746F4"/>
    <w:rsid w:val="00C857E4"/>
    <w:rsid w:val="00C965B0"/>
    <w:rsid w:val="00CA05D7"/>
    <w:rsid w:val="00CA073D"/>
    <w:rsid w:val="00CA135F"/>
    <w:rsid w:val="00CA2632"/>
    <w:rsid w:val="00CA2E58"/>
    <w:rsid w:val="00CA3E84"/>
    <w:rsid w:val="00CB6D4F"/>
    <w:rsid w:val="00CD250F"/>
    <w:rsid w:val="00CD5892"/>
    <w:rsid w:val="00CD7830"/>
    <w:rsid w:val="00CD7AA5"/>
    <w:rsid w:val="00CE051B"/>
    <w:rsid w:val="00CE0DD6"/>
    <w:rsid w:val="00CE64D5"/>
    <w:rsid w:val="00CF192C"/>
    <w:rsid w:val="00CF6E55"/>
    <w:rsid w:val="00D10211"/>
    <w:rsid w:val="00D1137A"/>
    <w:rsid w:val="00D140D6"/>
    <w:rsid w:val="00D1468F"/>
    <w:rsid w:val="00D162A0"/>
    <w:rsid w:val="00D24AF4"/>
    <w:rsid w:val="00D27502"/>
    <w:rsid w:val="00D3307E"/>
    <w:rsid w:val="00D343ED"/>
    <w:rsid w:val="00D355A5"/>
    <w:rsid w:val="00D37409"/>
    <w:rsid w:val="00D4330E"/>
    <w:rsid w:val="00D525CF"/>
    <w:rsid w:val="00D66295"/>
    <w:rsid w:val="00D72211"/>
    <w:rsid w:val="00D75857"/>
    <w:rsid w:val="00D87BCB"/>
    <w:rsid w:val="00D97CB3"/>
    <w:rsid w:val="00DA5ED2"/>
    <w:rsid w:val="00DB3988"/>
    <w:rsid w:val="00DC32BC"/>
    <w:rsid w:val="00DD1131"/>
    <w:rsid w:val="00DD17D6"/>
    <w:rsid w:val="00DE09C9"/>
    <w:rsid w:val="00DE0C6E"/>
    <w:rsid w:val="00DF22B3"/>
    <w:rsid w:val="00DF3589"/>
    <w:rsid w:val="00DF5A8D"/>
    <w:rsid w:val="00DF7538"/>
    <w:rsid w:val="00E05CAD"/>
    <w:rsid w:val="00E10120"/>
    <w:rsid w:val="00E20149"/>
    <w:rsid w:val="00E23354"/>
    <w:rsid w:val="00E3181A"/>
    <w:rsid w:val="00E4468D"/>
    <w:rsid w:val="00E476D2"/>
    <w:rsid w:val="00E50A4E"/>
    <w:rsid w:val="00E51C98"/>
    <w:rsid w:val="00E528A5"/>
    <w:rsid w:val="00E53595"/>
    <w:rsid w:val="00E536E1"/>
    <w:rsid w:val="00E623D9"/>
    <w:rsid w:val="00E628BE"/>
    <w:rsid w:val="00E6601E"/>
    <w:rsid w:val="00E67A30"/>
    <w:rsid w:val="00E701CB"/>
    <w:rsid w:val="00E7506A"/>
    <w:rsid w:val="00E80975"/>
    <w:rsid w:val="00E81839"/>
    <w:rsid w:val="00E84201"/>
    <w:rsid w:val="00EA15D9"/>
    <w:rsid w:val="00EA5FBC"/>
    <w:rsid w:val="00EC19C3"/>
    <w:rsid w:val="00EC2722"/>
    <w:rsid w:val="00EC37BD"/>
    <w:rsid w:val="00EC40D6"/>
    <w:rsid w:val="00EC66BD"/>
    <w:rsid w:val="00ED094F"/>
    <w:rsid w:val="00ED1BA8"/>
    <w:rsid w:val="00ED6BFF"/>
    <w:rsid w:val="00EF7C65"/>
    <w:rsid w:val="00F00013"/>
    <w:rsid w:val="00F025C7"/>
    <w:rsid w:val="00F03F21"/>
    <w:rsid w:val="00F06858"/>
    <w:rsid w:val="00F22C79"/>
    <w:rsid w:val="00F22DE5"/>
    <w:rsid w:val="00F24DAC"/>
    <w:rsid w:val="00F3282E"/>
    <w:rsid w:val="00F34A25"/>
    <w:rsid w:val="00F4061F"/>
    <w:rsid w:val="00F40D00"/>
    <w:rsid w:val="00F45E3D"/>
    <w:rsid w:val="00F7258B"/>
    <w:rsid w:val="00F73216"/>
    <w:rsid w:val="00F7359F"/>
    <w:rsid w:val="00F742FB"/>
    <w:rsid w:val="00F85B81"/>
    <w:rsid w:val="00F87489"/>
    <w:rsid w:val="00F92D4A"/>
    <w:rsid w:val="00F93465"/>
    <w:rsid w:val="00FA1C22"/>
    <w:rsid w:val="00FA2787"/>
    <w:rsid w:val="00FA57F8"/>
    <w:rsid w:val="00FB521A"/>
    <w:rsid w:val="00FC02D4"/>
    <w:rsid w:val="00FC2E6B"/>
    <w:rsid w:val="00FC3DA0"/>
    <w:rsid w:val="00FC7D31"/>
    <w:rsid w:val="00FD23F7"/>
    <w:rsid w:val="00FD4EAC"/>
    <w:rsid w:val="00FD5F42"/>
    <w:rsid w:val="00FE282E"/>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432C77-9452-4153-9767-16FACA53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paragraph" w:styleId="NormalWeb">
    <w:name w:val="Normal (Web)"/>
    <w:basedOn w:val="Normal"/>
    <w:uiPriority w:val="99"/>
    <w:unhideWhenUsed/>
    <w:rsid w:val="003F7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missing">
    <w:name w:val="reflex3-missing"/>
    <w:basedOn w:val="DefaultParagraphFont"/>
    <w:rsid w:val="003F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gov.nt.ca/en/en/glossary/policy" TargetMode="External"/><Relationship Id="rId13" Type="http://schemas.openxmlformats.org/officeDocument/2006/relationships/hyperlink" Target="https://www.fin.gov.nt.ca/en/en/glossary/cred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fin.gov.nt.ca/en/en/glossary/credit" TargetMode="External"/><Relationship Id="rId12" Type="http://schemas.openxmlformats.org/officeDocument/2006/relationships/hyperlink" Target="https://www.fin.gov.nt.ca/en/en/glossary/credit" TargetMode="External"/><Relationship Id="rId17" Type="http://schemas.openxmlformats.org/officeDocument/2006/relationships/hyperlink" Target="https://www.fin.gov.nt.ca/en/en/glossary/public-sector" TargetMode="External"/><Relationship Id="rId2" Type="http://schemas.openxmlformats.org/officeDocument/2006/relationships/styles" Target="styles.xml"/><Relationship Id="rId16" Type="http://schemas.openxmlformats.org/officeDocument/2006/relationships/hyperlink" Target="https://www.fin.gov.nt.ca/en/en/glossary/credi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gov.nt.ca/en/en/glossary/credit" TargetMode="External"/><Relationship Id="rId5" Type="http://schemas.openxmlformats.org/officeDocument/2006/relationships/footnotes" Target="footnotes.xml"/><Relationship Id="rId15" Type="http://schemas.openxmlformats.org/officeDocument/2006/relationships/hyperlink" Target="https://www.fin.gov.nt.ca/en/en/glossary/credit" TargetMode="External"/><Relationship Id="rId23" Type="http://schemas.openxmlformats.org/officeDocument/2006/relationships/theme" Target="theme/theme1.xml"/><Relationship Id="rId10" Type="http://schemas.openxmlformats.org/officeDocument/2006/relationships/hyperlink" Target="https://www.fin.gov.nt.ca/en/en/glossary/ta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in.gov.nt.ca/en/en/glossary/credit" TargetMode="External"/><Relationship Id="rId14" Type="http://schemas.openxmlformats.org/officeDocument/2006/relationships/hyperlink" Target="https://www.fin.gov.nt.ca/en/en/glossary/comptroller-gener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dc:creator>
  <cp:keywords/>
  <dc:description/>
  <cp:lastModifiedBy>Shirley Mair</cp:lastModifiedBy>
  <cp:revision>5</cp:revision>
  <cp:lastPrinted>2022-06-14T17:10:00Z</cp:lastPrinted>
  <dcterms:created xsi:type="dcterms:W3CDTF">2022-06-14T17:30:00Z</dcterms:created>
  <dcterms:modified xsi:type="dcterms:W3CDTF">2022-06-14T19:15:00Z</dcterms:modified>
</cp:coreProperties>
</file>