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5A" w:rsidRPr="00A3475A" w:rsidRDefault="00A3475A" w:rsidP="00A3475A">
      <w:pPr>
        <w:autoSpaceDE w:val="0"/>
        <w:autoSpaceDN w:val="0"/>
        <w:adjustRightInd w:val="0"/>
        <w:spacing w:after="0" w:line="240" w:lineRule="auto"/>
        <w:jc w:val="center"/>
        <w:rPr>
          <w:rFonts w:ascii="Times New Roman" w:eastAsia="Calibri" w:hAnsi="Times New Roman" w:cs="Times New Roman"/>
          <w:b/>
          <w:bCs/>
          <w:sz w:val="24"/>
          <w:szCs w:val="24"/>
          <w:lang w:val="en-CA"/>
        </w:rPr>
      </w:pPr>
      <w:r w:rsidRPr="00A3475A">
        <w:rPr>
          <w:rFonts w:ascii="Times New Roman" w:eastAsia="Calibri" w:hAnsi="Times New Roman" w:cs="Times New Roman"/>
          <w:b/>
          <w:bCs/>
          <w:sz w:val="24"/>
          <w:szCs w:val="24"/>
          <w:lang w:val="en-CA"/>
        </w:rPr>
        <w:t>MEMORANDUM</w:t>
      </w:r>
    </w:p>
    <w:p w:rsidR="00A3475A" w:rsidRPr="00A3475A" w:rsidRDefault="00A3475A" w:rsidP="00A3475A">
      <w:pPr>
        <w:autoSpaceDE w:val="0"/>
        <w:autoSpaceDN w:val="0"/>
        <w:adjustRightInd w:val="0"/>
        <w:spacing w:after="0" w:line="240" w:lineRule="auto"/>
        <w:rPr>
          <w:rFonts w:ascii="Times New Roman" w:eastAsia="Calibri" w:hAnsi="Times New Roman" w:cs="Times New Roman"/>
          <w:b/>
          <w:bCs/>
          <w:sz w:val="24"/>
          <w:szCs w:val="24"/>
          <w:lang w:val="en-CA"/>
        </w:rPr>
      </w:pPr>
    </w:p>
    <w:p w:rsidR="00A3475A" w:rsidRPr="00A3475A" w:rsidRDefault="00A3475A" w:rsidP="00A3475A">
      <w:pPr>
        <w:autoSpaceDE w:val="0"/>
        <w:autoSpaceDN w:val="0"/>
        <w:adjustRightInd w:val="0"/>
        <w:spacing w:after="0" w:line="240" w:lineRule="auto"/>
        <w:jc w:val="right"/>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June 4, 2020</w:t>
      </w:r>
    </w:p>
    <w:p w:rsidR="00A3475A" w:rsidRPr="00A3475A" w:rsidRDefault="00A3475A" w:rsidP="00A3475A">
      <w:pPr>
        <w:autoSpaceDE w:val="0"/>
        <w:autoSpaceDN w:val="0"/>
        <w:adjustRightInd w:val="0"/>
        <w:spacing w:after="0" w:line="240" w:lineRule="auto"/>
        <w:jc w:val="right"/>
        <w:rPr>
          <w:rFonts w:ascii="Times New Roman" w:eastAsia="Calibri" w:hAnsi="Times New Roman" w:cs="Times New Roman"/>
          <w:sz w:val="24"/>
          <w:szCs w:val="24"/>
          <w:lang w:val="en-CA"/>
        </w:rPr>
      </w:pPr>
    </w:p>
    <w:p w:rsidR="00A3475A" w:rsidRPr="00A3475A" w:rsidRDefault="00A3475A" w:rsidP="00A3475A">
      <w:pPr>
        <w:tabs>
          <w:tab w:val="left" w:pos="720"/>
          <w:tab w:val="left" w:pos="1440"/>
        </w:tabs>
        <w:autoSpaceDE w:val="0"/>
        <w:autoSpaceDN w:val="0"/>
        <w:adjustRightInd w:val="0"/>
        <w:spacing w:after="0" w:line="240" w:lineRule="auto"/>
        <w:ind w:left="1440" w:hanging="1440"/>
        <w:jc w:val="both"/>
        <w:rPr>
          <w:rFonts w:ascii="Times New Roman" w:eastAsia="Calibri" w:hAnsi="Times New Roman" w:cs="Times New Roman"/>
          <w:b/>
          <w:bCs/>
          <w:sz w:val="24"/>
          <w:szCs w:val="24"/>
          <w:lang w:val="en-CA"/>
        </w:rPr>
      </w:pPr>
      <w:r w:rsidRPr="00A3475A">
        <w:rPr>
          <w:rFonts w:ascii="Times New Roman" w:eastAsia="Calibri" w:hAnsi="Times New Roman" w:cs="Times New Roman"/>
          <w:b/>
          <w:bCs/>
          <w:sz w:val="24"/>
          <w:szCs w:val="24"/>
          <w:lang w:val="en-CA"/>
        </w:rPr>
        <w:t xml:space="preserve">TO:         </w:t>
      </w:r>
      <w:r w:rsidRPr="00A3475A">
        <w:rPr>
          <w:rFonts w:ascii="Times New Roman" w:eastAsia="Calibri" w:hAnsi="Times New Roman" w:cs="Times New Roman"/>
          <w:sz w:val="24"/>
          <w:szCs w:val="24"/>
          <w:lang w:val="en-CA"/>
        </w:rPr>
        <w:t xml:space="preserve">  </w:t>
      </w:r>
      <w:r w:rsidRPr="00A3475A">
        <w:rPr>
          <w:rFonts w:ascii="Times New Roman" w:eastAsia="Calibri" w:hAnsi="Times New Roman" w:cs="Times New Roman"/>
          <w:sz w:val="24"/>
          <w:szCs w:val="24"/>
          <w:lang w:val="en-CA"/>
        </w:rPr>
        <w:tab/>
        <w:t>DISTRIBUTION LIST</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b/>
          <w:bCs/>
          <w:sz w:val="24"/>
          <w:szCs w:val="24"/>
          <w:lang w:val="en-CA"/>
        </w:rPr>
      </w:pPr>
    </w:p>
    <w:p w:rsidR="00A3475A" w:rsidRPr="00A3475A" w:rsidRDefault="00A3475A" w:rsidP="00A3475A">
      <w:pPr>
        <w:tabs>
          <w:tab w:val="left" w:pos="720"/>
          <w:tab w:val="left" w:pos="1440"/>
        </w:tabs>
        <w:autoSpaceDE w:val="0"/>
        <w:autoSpaceDN w:val="0"/>
        <w:adjustRightInd w:val="0"/>
        <w:spacing w:after="0" w:line="240" w:lineRule="auto"/>
        <w:ind w:left="1440" w:hanging="1440"/>
        <w:jc w:val="both"/>
        <w:rPr>
          <w:rFonts w:ascii="Times New Roman" w:eastAsia="Calibri" w:hAnsi="Times New Roman" w:cs="Times New Roman"/>
          <w:sz w:val="24"/>
          <w:szCs w:val="24"/>
          <w:lang w:val="en-CA"/>
        </w:rPr>
      </w:pPr>
      <w:r w:rsidRPr="00A3475A">
        <w:rPr>
          <w:rFonts w:ascii="Times New Roman" w:eastAsia="Calibri" w:hAnsi="Times New Roman" w:cs="Times New Roman"/>
          <w:b/>
          <w:bCs/>
          <w:sz w:val="24"/>
          <w:szCs w:val="24"/>
          <w:lang w:val="en-CA"/>
        </w:rPr>
        <w:t xml:space="preserve">FROM:  </w:t>
      </w:r>
      <w:r w:rsidRPr="00A3475A">
        <w:rPr>
          <w:rFonts w:ascii="Times New Roman" w:eastAsia="Calibri" w:hAnsi="Times New Roman" w:cs="Times New Roman"/>
          <w:sz w:val="24"/>
          <w:szCs w:val="24"/>
          <w:lang w:val="en-CA"/>
        </w:rPr>
        <w:tab/>
        <w:t>Shirley Mair</w:t>
      </w:r>
    </w:p>
    <w:p w:rsidR="00A3475A" w:rsidRPr="00A3475A" w:rsidRDefault="00A3475A" w:rsidP="00A3475A">
      <w:pPr>
        <w:tabs>
          <w:tab w:val="left" w:pos="720"/>
          <w:tab w:val="left" w:pos="1440"/>
        </w:tabs>
        <w:autoSpaceDE w:val="0"/>
        <w:autoSpaceDN w:val="0"/>
        <w:adjustRightInd w:val="0"/>
        <w:spacing w:after="0" w:line="240" w:lineRule="auto"/>
        <w:ind w:left="1440" w:hanging="1440"/>
        <w:jc w:val="both"/>
        <w:rPr>
          <w:rFonts w:ascii="Times New Roman" w:eastAsia="Calibri" w:hAnsi="Times New Roman" w:cs="Times New Roman"/>
          <w:sz w:val="24"/>
          <w:szCs w:val="24"/>
          <w:lang w:val="en-CA"/>
        </w:rPr>
      </w:pPr>
      <w:r w:rsidRPr="00A3475A">
        <w:rPr>
          <w:rFonts w:ascii="Times New Roman" w:eastAsia="Calibri" w:hAnsi="Times New Roman" w:cs="Times New Roman"/>
          <w:b/>
          <w:bCs/>
          <w:sz w:val="24"/>
          <w:szCs w:val="24"/>
          <w:lang w:val="en-CA"/>
        </w:rPr>
        <w:tab/>
      </w:r>
      <w:r w:rsidRPr="00A3475A">
        <w:rPr>
          <w:rFonts w:ascii="Times New Roman" w:eastAsia="Calibri" w:hAnsi="Times New Roman" w:cs="Times New Roman"/>
          <w:b/>
          <w:bCs/>
          <w:sz w:val="24"/>
          <w:szCs w:val="24"/>
          <w:lang w:val="en-CA"/>
        </w:rPr>
        <w:tab/>
        <w:t>Senior Judicial EA</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t>Supreme Court Judges’ Chambers</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p>
    <w:p w:rsidR="00A3475A" w:rsidRPr="00A3475A" w:rsidRDefault="00A3475A" w:rsidP="00A3475A">
      <w:pPr>
        <w:tabs>
          <w:tab w:val="left" w:pos="720"/>
          <w:tab w:val="left" w:pos="1440"/>
        </w:tabs>
        <w:autoSpaceDE w:val="0"/>
        <w:autoSpaceDN w:val="0"/>
        <w:adjustRightInd w:val="0"/>
        <w:spacing w:after="0" w:line="240" w:lineRule="auto"/>
        <w:ind w:left="1440" w:hanging="1440"/>
        <w:jc w:val="both"/>
        <w:rPr>
          <w:rFonts w:ascii="Times New Roman" w:eastAsia="Calibri" w:hAnsi="Times New Roman" w:cs="Times New Roman"/>
          <w:sz w:val="24"/>
          <w:szCs w:val="24"/>
          <w:lang w:val="en-CA"/>
        </w:rPr>
      </w:pPr>
      <w:r w:rsidRPr="00A3475A">
        <w:rPr>
          <w:rFonts w:ascii="Times New Roman" w:eastAsia="Calibri" w:hAnsi="Times New Roman" w:cs="Times New Roman"/>
          <w:b/>
          <w:bCs/>
          <w:sz w:val="24"/>
          <w:szCs w:val="24"/>
          <w:lang w:val="en-CA"/>
        </w:rPr>
        <w:t>RE:</w:t>
      </w:r>
      <w:r w:rsidRPr="00A3475A">
        <w:rPr>
          <w:rFonts w:ascii="Times New Roman" w:eastAsia="Calibri" w:hAnsi="Times New Roman" w:cs="Times New Roman"/>
          <w:sz w:val="24"/>
          <w:szCs w:val="24"/>
          <w:lang w:val="en-CA"/>
        </w:rPr>
        <w:t xml:space="preserve"> </w:t>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i/>
          <w:sz w:val="24"/>
          <w:szCs w:val="24"/>
          <w:lang w:val="en-CA"/>
        </w:rPr>
        <w:t xml:space="preserve">R v Lafferty, </w:t>
      </w:r>
      <w:r w:rsidRPr="00A3475A">
        <w:rPr>
          <w:rFonts w:ascii="Times New Roman" w:eastAsia="Calibri" w:hAnsi="Times New Roman" w:cs="Times New Roman"/>
          <w:sz w:val="24"/>
          <w:szCs w:val="24"/>
          <w:lang w:val="en-CA"/>
        </w:rPr>
        <w:t>2020 NWTSC 25</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p>
    <w:p w:rsidR="00A3475A" w:rsidRPr="00A3475A" w:rsidRDefault="00A3475A" w:rsidP="00A3475A">
      <w:pPr>
        <w:tabs>
          <w:tab w:val="right" w:pos="9360"/>
        </w:tabs>
        <w:autoSpaceDE w:val="0"/>
        <w:autoSpaceDN w:val="0"/>
        <w:adjustRightInd w:val="0"/>
        <w:spacing w:after="0" w:line="240" w:lineRule="auto"/>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ab/>
        <w:t xml:space="preserve">File No.: </w:t>
      </w:r>
      <w:r w:rsidRPr="00A3475A">
        <w:rPr>
          <w:rFonts w:ascii="Times New Roman" w:eastAsia="Calibri" w:hAnsi="Times New Roman" w:cs="Times New Roman"/>
          <w:sz w:val="24"/>
          <w:szCs w:val="24"/>
          <w:lang w:val="en-US"/>
        </w:rPr>
        <w:t>S-1-CR-2017-000-168</w:t>
      </w:r>
    </w:p>
    <w:p w:rsidR="00A3475A" w:rsidRPr="00A3475A" w:rsidRDefault="00A3475A" w:rsidP="00A3475A">
      <w:pPr>
        <w:autoSpaceDE w:val="0"/>
        <w:autoSpaceDN w:val="0"/>
        <w:adjustRightInd w:val="0"/>
        <w:spacing w:after="0" w:line="240" w:lineRule="auto"/>
        <w:rPr>
          <w:rFonts w:ascii="Times New Roman" w:eastAsia="Calibri" w:hAnsi="Times New Roman" w:cs="Times New Roman"/>
          <w:sz w:val="24"/>
          <w:szCs w:val="24"/>
          <w:lang w:val="en-CA"/>
        </w:rPr>
      </w:pPr>
    </w:p>
    <w:p w:rsidR="00A3475A" w:rsidRPr="00A3475A" w:rsidRDefault="00A3475A" w:rsidP="00A3475A">
      <w:pPr>
        <w:autoSpaceDE w:val="0"/>
        <w:autoSpaceDN w:val="0"/>
        <w:adjustRightInd w:val="0"/>
        <w:spacing w:after="0" w:line="240" w:lineRule="auto"/>
        <w:rPr>
          <w:rFonts w:ascii="Times New Roman" w:eastAsia="Calibri" w:hAnsi="Times New Roman" w:cs="Times New Roman"/>
          <w:b/>
          <w:bCs/>
          <w:sz w:val="24"/>
          <w:szCs w:val="24"/>
          <w:u w:val="single"/>
          <w:lang w:val="en-CA"/>
        </w:rPr>
      </w:pPr>
    </w:p>
    <w:p w:rsidR="00A3475A" w:rsidRPr="00A3475A" w:rsidRDefault="00A3475A" w:rsidP="00A3475A">
      <w:pPr>
        <w:autoSpaceDE w:val="0"/>
        <w:autoSpaceDN w:val="0"/>
        <w:adjustRightInd w:val="0"/>
        <w:spacing w:after="0" w:line="240" w:lineRule="auto"/>
        <w:jc w:val="center"/>
        <w:rPr>
          <w:rFonts w:ascii="Times New Roman" w:eastAsia="Calibri" w:hAnsi="Times New Roman" w:cs="Times New Roman"/>
          <w:b/>
          <w:bCs/>
          <w:sz w:val="24"/>
          <w:szCs w:val="24"/>
          <w:u w:val="single"/>
          <w:lang w:val="en-CA"/>
        </w:rPr>
      </w:pPr>
      <w:r w:rsidRPr="00A3475A">
        <w:rPr>
          <w:rFonts w:ascii="Times New Roman" w:eastAsia="Calibri" w:hAnsi="Times New Roman" w:cs="Times New Roman"/>
          <w:b/>
          <w:bCs/>
          <w:sz w:val="24"/>
          <w:szCs w:val="24"/>
          <w:u w:val="single"/>
          <w:lang w:val="en-CA"/>
        </w:rPr>
        <w:t>ERRATUM</w:t>
      </w:r>
    </w:p>
    <w:p w:rsidR="00A3475A" w:rsidRPr="00A3475A" w:rsidRDefault="00A3475A" w:rsidP="00A3475A">
      <w:pPr>
        <w:autoSpaceDE w:val="0"/>
        <w:autoSpaceDN w:val="0"/>
        <w:adjustRightInd w:val="0"/>
        <w:spacing w:after="0" w:line="240" w:lineRule="auto"/>
        <w:jc w:val="center"/>
        <w:rPr>
          <w:rFonts w:ascii="Times New Roman" w:eastAsia="Calibri" w:hAnsi="Times New Roman" w:cs="Times New Roman"/>
          <w:b/>
          <w:bCs/>
          <w:sz w:val="24"/>
          <w:szCs w:val="24"/>
          <w:u w:val="single"/>
          <w:lang w:val="en-CA"/>
        </w:rPr>
      </w:pP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On page 13 after paragraph [74] the heading reads:</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p>
    <w:p w:rsidR="00A3475A" w:rsidRPr="00A3475A" w:rsidRDefault="00A3475A" w:rsidP="00A3475A">
      <w:pPr>
        <w:autoSpaceDE w:val="0"/>
        <w:autoSpaceDN w:val="0"/>
        <w:adjustRightInd w:val="0"/>
        <w:spacing w:after="0" w:line="240" w:lineRule="auto"/>
        <w:ind w:left="720"/>
        <w:jc w:val="both"/>
        <w:rPr>
          <w:rFonts w:ascii="Times New Roman" w:eastAsia="Calibri" w:hAnsi="Times New Roman" w:cs="Times New Roman"/>
          <w:sz w:val="24"/>
          <w:szCs w:val="24"/>
          <w:lang w:val="en-CA"/>
        </w:rPr>
      </w:pPr>
    </w:p>
    <w:p w:rsidR="00A3475A" w:rsidRPr="00A3475A" w:rsidRDefault="00A3475A" w:rsidP="00A3475A">
      <w:pPr>
        <w:autoSpaceDE w:val="0"/>
        <w:autoSpaceDN w:val="0"/>
        <w:adjustRightInd w:val="0"/>
        <w:spacing w:after="0" w:line="240" w:lineRule="auto"/>
        <w:jc w:val="center"/>
        <w:rPr>
          <w:rFonts w:ascii="Times New Roman" w:eastAsia="Calibri" w:hAnsi="Times New Roman" w:cs="Times New Roman"/>
          <w:i/>
          <w:sz w:val="28"/>
          <w:szCs w:val="28"/>
          <w:lang w:val="en-US"/>
        </w:rPr>
      </w:pPr>
      <w:r w:rsidRPr="00A3475A">
        <w:rPr>
          <w:rFonts w:ascii="Times New Roman" w:eastAsia="Calibri" w:hAnsi="Times New Roman" w:cs="Times New Roman"/>
          <w:i/>
          <w:sz w:val="28"/>
          <w:szCs w:val="28"/>
          <w:lang w:val="en-US"/>
        </w:rPr>
        <w:t>Evidence of Prior Discreditable Conduct</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US"/>
        </w:rPr>
      </w:pP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US"/>
        </w:rPr>
      </w:pPr>
      <w:r w:rsidRPr="00A3475A">
        <w:rPr>
          <w:rFonts w:ascii="Times New Roman" w:eastAsia="Calibri" w:hAnsi="Times New Roman" w:cs="Times New Roman"/>
          <w:sz w:val="24"/>
          <w:szCs w:val="24"/>
          <w:lang w:val="en-US"/>
        </w:rPr>
        <w:t>It should read:</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US"/>
        </w:rPr>
      </w:pPr>
    </w:p>
    <w:p w:rsidR="00A3475A" w:rsidRPr="00A3475A" w:rsidRDefault="00A3475A" w:rsidP="00A3475A">
      <w:pPr>
        <w:autoSpaceDE w:val="0"/>
        <w:autoSpaceDN w:val="0"/>
        <w:adjustRightInd w:val="0"/>
        <w:spacing w:after="0" w:line="240" w:lineRule="auto"/>
        <w:jc w:val="center"/>
        <w:rPr>
          <w:rFonts w:ascii="Times New Roman" w:eastAsia="Calibri" w:hAnsi="Times New Roman" w:cs="Times New Roman"/>
          <w:b/>
          <w:sz w:val="28"/>
          <w:szCs w:val="28"/>
          <w:u w:val="single"/>
          <w:lang w:val="en-US"/>
        </w:rPr>
      </w:pPr>
      <w:r w:rsidRPr="00A3475A">
        <w:rPr>
          <w:rFonts w:ascii="Times New Roman" w:eastAsia="Calibri" w:hAnsi="Times New Roman" w:cs="Times New Roman"/>
          <w:sz w:val="28"/>
          <w:szCs w:val="28"/>
          <w:u w:val="single"/>
          <w:lang w:val="en-US"/>
        </w:rPr>
        <w:t>Evidence of Prior Discreditable Conduct</w:t>
      </w:r>
    </w:p>
    <w:p w:rsidR="00A3475A" w:rsidRPr="00A3475A" w:rsidRDefault="00A3475A" w:rsidP="00A3475A">
      <w:pPr>
        <w:autoSpaceDE w:val="0"/>
        <w:autoSpaceDN w:val="0"/>
        <w:adjustRightInd w:val="0"/>
        <w:spacing w:after="0" w:line="240" w:lineRule="auto"/>
        <w:rPr>
          <w:rFonts w:ascii="Times New Roman" w:eastAsia="Calibri" w:hAnsi="Times New Roman" w:cs="Times New Roman"/>
          <w:sz w:val="28"/>
          <w:szCs w:val="28"/>
          <w:lang w:val="en-US"/>
        </w:rPr>
      </w:pP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US"/>
        </w:rPr>
        <w:tab/>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Please replace Page 13 with the attached.</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t>Shirley Mair</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t>Senior Judicial EA</w:t>
      </w:r>
    </w:p>
    <w:p w:rsidR="00A3475A" w:rsidRPr="00A3475A" w:rsidRDefault="00A3475A" w:rsidP="00A3475A">
      <w:pPr>
        <w:autoSpaceDE w:val="0"/>
        <w:autoSpaceDN w:val="0"/>
        <w:adjustRightInd w:val="0"/>
        <w:spacing w:after="0" w:line="240" w:lineRule="auto"/>
        <w:jc w:val="both"/>
        <w:rPr>
          <w:rFonts w:ascii="Times New Roman" w:eastAsia="Calibri" w:hAnsi="Times New Roman" w:cs="Times New Roman"/>
          <w:sz w:val="24"/>
          <w:szCs w:val="24"/>
          <w:lang w:val="en-CA"/>
        </w:rPr>
      </w:pPr>
    </w:p>
    <w:p w:rsidR="00A3475A" w:rsidRPr="00A3475A" w:rsidRDefault="00A3475A" w:rsidP="00A3475A">
      <w:pPr>
        <w:autoSpaceDE w:val="0"/>
        <w:autoSpaceDN w:val="0"/>
        <w:adjustRightInd w:val="0"/>
        <w:spacing w:after="0" w:line="240" w:lineRule="auto"/>
        <w:jc w:val="center"/>
        <w:rPr>
          <w:rFonts w:ascii="Times New Roman" w:eastAsia="Calibri" w:hAnsi="Times New Roman" w:cs="Times New Roman"/>
          <w:sz w:val="24"/>
          <w:szCs w:val="24"/>
          <w:lang w:val="en-CA"/>
        </w:rPr>
      </w:pP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r w:rsidRPr="00A3475A">
        <w:rPr>
          <w:rFonts w:ascii="Times New Roman" w:eastAsia="Calibri" w:hAnsi="Times New Roman" w:cs="Times New Roman"/>
          <w:sz w:val="24"/>
          <w:szCs w:val="24"/>
          <w:lang w:val="en-CA"/>
        </w:rPr>
        <w:tab/>
      </w:r>
    </w:p>
    <w:p w:rsidR="00A3475A" w:rsidRDefault="00A3475A" w:rsidP="00D6219B">
      <w:pPr>
        <w:spacing w:after="0" w:line="240" w:lineRule="auto"/>
        <w:rPr>
          <w:rFonts w:ascii="Times New Roman" w:hAnsi="Times New Roman" w:cs="Times New Roman"/>
          <w:i/>
          <w:color w:val="000000" w:themeColor="text1"/>
          <w:sz w:val="24"/>
          <w:szCs w:val="24"/>
        </w:rPr>
        <w:sectPr w:rsidR="00A3475A" w:rsidSect="004F235C">
          <w:headerReference w:type="default" r:id="rId8"/>
          <w:pgSz w:w="12240" w:h="15840"/>
          <w:pgMar w:top="1296" w:right="1440" w:bottom="1296" w:left="1440" w:header="720" w:footer="720" w:gutter="0"/>
          <w:cols w:space="720"/>
          <w:titlePg/>
          <w:docGrid w:linePitch="360"/>
        </w:sectPr>
      </w:pPr>
    </w:p>
    <w:p w:rsidR="00D6219B" w:rsidRPr="00082535" w:rsidRDefault="00D6219B" w:rsidP="00D6219B">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R v Lafferty,</w:t>
      </w:r>
      <w:r w:rsidRPr="00506689">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2020</w:t>
      </w:r>
      <w:r w:rsidRPr="00506689">
        <w:rPr>
          <w:rFonts w:ascii="Times New Roman" w:hAnsi="Times New Roman" w:cs="Times New Roman"/>
          <w:color w:val="000000" w:themeColor="text1"/>
          <w:sz w:val="24"/>
          <w:szCs w:val="24"/>
        </w:rPr>
        <w:t xml:space="preserve"> NWTSC </w:t>
      </w:r>
      <w:r>
        <w:rPr>
          <w:rFonts w:ascii="Times New Roman" w:hAnsi="Times New Roman" w:cs="Times New Roman"/>
          <w:color w:val="000000" w:themeColor="text1"/>
          <w:sz w:val="24"/>
          <w:szCs w:val="24"/>
        </w:rPr>
        <w:t>25</w:t>
      </w:r>
    </w:p>
    <w:p w:rsidR="00D6219B" w:rsidRPr="00506689" w:rsidRDefault="00D6219B" w:rsidP="00D6219B">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Date:</w:t>
      </w:r>
      <w:bookmarkStart w:id="0" w:name="1"/>
      <w:bookmarkEnd w:id="0"/>
      <w:r w:rsidRPr="00506689">
        <w:rPr>
          <w:rFonts w:ascii="Times New Roman" w:hAnsi="Times New Roman" w:cs="Times New Roman"/>
          <w:color w:val="000000" w:themeColor="text1"/>
          <w:sz w:val="28"/>
          <w:szCs w:val="28"/>
        </w:rPr>
        <w:t xml:space="preserve"> 20</w:t>
      </w:r>
      <w:r>
        <w:rPr>
          <w:rFonts w:ascii="Times New Roman" w:hAnsi="Times New Roman" w:cs="Times New Roman"/>
          <w:color w:val="000000" w:themeColor="text1"/>
          <w:sz w:val="28"/>
          <w:szCs w:val="28"/>
        </w:rPr>
        <w:t>20</w:t>
      </w:r>
      <w:r w:rsidRPr="00506689">
        <w:rPr>
          <w:rFonts w:ascii="Times New Roman" w:hAnsi="Times New Roman" w:cs="Times New Roman"/>
          <w:color w:val="000000" w:themeColor="text1"/>
          <w:sz w:val="28"/>
          <w:szCs w:val="28"/>
        </w:rPr>
        <w:t xml:space="preserve"> </w:t>
      </w:r>
      <w:r w:rsidR="000D3FFE">
        <w:rPr>
          <w:rFonts w:ascii="Times New Roman" w:hAnsi="Times New Roman" w:cs="Times New Roman"/>
          <w:color w:val="000000" w:themeColor="text1"/>
          <w:sz w:val="28"/>
          <w:szCs w:val="28"/>
        </w:rPr>
        <w:t>06</w:t>
      </w:r>
      <w:r w:rsidRPr="00506689">
        <w:rPr>
          <w:rFonts w:ascii="Times New Roman" w:hAnsi="Times New Roman" w:cs="Times New Roman"/>
          <w:color w:val="000000" w:themeColor="text1"/>
          <w:sz w:val="28"/>
          <w:szCs w:val="28"/>
        </w:rPr>
        <w:t xml:space="preserve"> </w:t>
      </w:r>
      <w:r w:rsidR="000D3FFE">
        <w:rPr>
          <w:rFonts w:ascii="Times New Roman" w:hAnsi="Times New Roman" w:cs="Times New Roman"/>
          <w:color w:val="000000" w:themeColor="text1"/>
          <w:sz w:val="28"/>
          <w:szCs w:val="28"/>
        </w:rPr>
        <w:t>01</w:t>
      </w:r>
    </w:p>
    <w:p w:rsidR="00D6219B" w:rsidRPr="00506689" w:rsidRDefault="00D6219B" w:rsidP="00D6219B">
      <w:pPr>
        <w:spacing w:after="0" w:line="240" w:lineRule="auto"/>
        <w:jc w:val="right"/>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fldChar w:fldCharType="begin"/>
      </w:r>
      <w:r w:rsidRPr="00506689">
        <w:rPr>
          <w:rFonts w:ascii="Times New Roman" w:hAnsi="Times New Roman" w:cs="Times New Roman"/>
          <w:color w:val="000000" w:themeColor="text1"/>
          <w:sz w:val="28"/>
          <w:szCs w:val="28"/>
        </w:rPr>
        <w:instrText xml:space="preserve"> SEQ CHAPTER \h \r 1</w:instrText>
      </w:r>
      <w:r w:rsidRPr="00506689">
        <w:rPr>
          <w:rFonts w:ascii="Times New Roman" w:hAnsi="Times New Roman" w:cs="Times New Roman"/>
          <w:color w:val="000000" w:themeColor="text1"/>
          <w:sz w:val="28"/>
          <w:szCs w:val="28"/>
        </w:rPr>
        <w:fldChar w:fldCharType="end"/>
      </w:r>
      <w:r w:rsidRPr="00506689">
        <w:rPr>
          <w:rFonts w:ascii="Times New Roman" w:hAnsi="Times New Roman" w:cs="Times New Roman"/>
          <w:color w:val="000000" w:themeColor="text1"/>
          <w:sz w:val="28"/>
          <w:szCs w:val="28"/>
        </w:rPr>
        <w:t xml:space="preserve">Docket: </w:t>
      </w:r>
      <w:bookmarkStart w:id="1" w:name="2"/>
      <w:bookmarkEnd w:id="1"/>
      <w:r>
        <w:rPr>
          <w:rFonts w:ascii="Times New Roman" w:hAnsi="Times New Roman" w:cs="Times New Roman"/>
          <w:color w:val="000000" w:themeColor="text1"/>
          <w:sz w:val="28"/>
          <w:szCs w:val="28"/>
        </w:rPr>
        <w:t>S-1-CR-</w:t>
      </w:r>
      <w:r w:rsidRPr="00506689">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7-</w:t>
      </w:r>
      <w:r w:rsidRPr="00506689">
        <w:rPr>
          <w:rFonts w:ascii="Times New Roman" w:hAnsi="Times New Roman" w:cs="Times New Roman"/>
          <w:color w:val="000000" w:themeColor="text1"/>
          <w:sz w:val="28"/>
          <w:szCs w:val="28"/>
        </w:rPr>
        <w:t>000</w:t>
      </w:r>
      <w:r w:rsidR="00E9600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68</w:t>
      </w:r>
    </w:p>
    <w:p w:rsidR="00D6219B" w:rsidRPr="00D6219B" w:rsidRDefault="00D6219B" w:rsidP="00D6219B">
      <w:pPr>
        <w:spacing w:after="0" w:line="240" w:lineRule="auto"/>
        <w:rPr>
          <w:rFonts w:ascii="Arial" w:eastAsia="Times New Roman" w:hAnsi="Arial" w:cs="Arial"/>
          <w:color w:val="000000"/>
          <w:lang w:val="en-CA" w:eastAsia="en-CA"/>
        </w:rPr>
      </w:pPr>
    </w:p>
    <w:p w:rsidR="00D6219B" w:rsidRPr="00192029" w:rsidRDefault="00D6219B" w:rsidP="00192029">
      <w:pPr>
        <w:rPr>
          <w:rFonts w:ascii="Times New Roman" w:hAnsi="Times New Roman" w:cs="Times New Roman"/>
          <w:sz w:val="28"/>
          <w:szCs w:val="28"/>
        </w:rPr>
      </w:pPr>
    </w:p>
    <w:p w:rsidR="00192029" w:rsidRPr="00D6219B" w:rsidRDefault="00192029" w:rsidP="00192029">
      <w:pPr>
        <w:tabs>
          <w:tab w:val="center" w:pos="4680"/>
        </w:tabs>
        <w:rPr>
          <w:rFonts w:ascii="Times New Roman" w:hAnsi="Times New Roman" w:cs="Times New Roman"/>
          <w:b/>
          <w:sz w:val="28"/>
          <w:szCs w:val="28"/>
        </w:rPr>
      </w:pPr>
      <w:r w:rsidRPr="00192029">
        <w:rPr>
          <w:rFonts w:ascii="Times New Roman" w:hAnsi="Times New Roman" w:cs="Times New Roman"/>
          <w:sz w:val="28"/>
          <w:szCs w:val="28"/>
        </w:rPr>
        <w:tab/>
      </w:r>
      <w:r w:rsidRPr="00D6219B">
        <w:rPr>
          <w:rFonts w:ascii="Times New Roman" w:hAnsi="Times New Roman" w:cs="Times New Roman"/>
          <w:b/>
          <w:sz w:val="28"/>
          <w:szCs w:val="28"/>
        </w:rPr>
        <w:t>IN THE SUPREME COURT OF THE NORTHWEST TERRITORIES</w:t>
      </w:r>
    </w:p>
    <w:p w:rsidR="00192029" w:rsidRPr="00192029" w:rsidRDefault="00192029" w:rsidP="00192029">
      <w:pPr>
        <w:rPr>
          <w:rFonts w:ascii="Times New Roman" w:hAnsi="Times New Roman" w:cs="Times New Roman"/>
          <w:sz w:val="28"/>
          <w:szCs w:val="28"/>
        </w:rPr>
      </w:pPr>
    </w:p>
    <w:p w:rsidR="00192029" w:rsidRPr="00192029" w:rsidRDefault="00192029" w:rsidP="00192029">
      <w:pPr>
        <w:rPr>
          <w:rFonts w:ascii="Times New Roman" w:hAnsi="Times New Roman" w:cs="Times New Roman"/>
          <w:sz w:val="28"/>
          <w:szCs w:val="28"/>
        </w:rPr>
      </w:pPr>
      <w:r w:rsidRPr="00D6219B">
        <w:rPr>
          <w:rFonts w:ascii="Times New Roman" w:hAnsi="Times New Roman" w:cs="Times New Roman"/>
          <w:b/>
          <w:sz w:val="28"/>
          <w:szCs w:val="28"/>
        </w:rPr>
        <w:t>BETWEEN</w:t>
      </w:r>
      <w:r w:rsidRPr="00192029">
        <w:rPr>
          <w:rFonts w:ascii="Times New Roman" w:hAnsi="Times New Roman" w:cs="Times New Roman"/>
          <w:sz w:val="28"/>
          <w:szCs w:val="28"/>
        </w:rPr>
        <w:t>:</w:t>
      </w:r>
      <w:r w:rsidRPr="00192029">
        <w:rPr>
          <w:rFonts w:ascii="Times New Roman" w:hAnsi="Times New Roman" w:cs="Times New Roman"/>
          <w:sz w:val="28"/>
          <w:szCs w:val="28"/>
        </w:rPr>
        <w:tab/>
      </w:r>
      <w:r w:rsidRPr="00192029">
        <w:rPr>
          <w:rFonts w:ascii="Times New Roman" w:hAnsi="Times New Roman" w:cs="Times New Roman"/>
          <w:sz w:val="28"/>
          <w:szCs w:val="28"/>
        </w:rPr>
        <w:tab/>
      </w:r>
      <w:r w:rsidRPr="00192029">
        <w:rPr>
          <w:rFonts w:ascii="Times New Roman" w:hAnsi="Times New Roman" w:cs="Times New Roman"/>
          <w:sz w:val="28"/>
          <w:szCs w:val="28"/>
        </w:rPr>
        <w:tab/>
      </w:r>
    </w:p>
    <w:p w:rsidR="00192029" w:rsidRPr="00192029" w:rsidRDefault="00192029" w:rsidP="00192029">
      <w:pPr>
        <w:jc w:val="center"/>
        <w:rPr>
          <w:rFonts w:ascii="Times New Roman" w:hAnsi="Times New Roman" w:cs="Times New Roman"/>
          <w:sz w:val="28"/>
          <w:szCs w:val="28"/>
        </w:rPr>
      </w:pPr>
      <w:r w:rsidRPr="00192029">
        <w:rPr>
          <w:rFonts w:ascii="Times New Roman" w:hAnsi="Times New Roman" w:cs="Times New Roman"/>
          <w:sz w:val="28"/>
          <w:szCs w:val="28"/>
        </w:rPr>
        <w:t>HER MAJESTY THE QUEEN</w:t>
      </w:r>
    </w:p>
    <w:p w:rsidR="00192029" w:rsidRPr="00192029" w:rsidRDefault="00192029" w:rsidP="00192029">
      <w:pPr>
        <w:jc w:val="right"/>
        <w:rPr>
          <w:rFonts w:ascii="Times New Roman" w:hAnsi="Times New Roman" w:cs="Times New Roman"/>
          <w:sz w:val="28"/>
          <w:szCs w:val="28"/>
        </w:rPr>
      </w:pPr>
      <w:r w:rsidRPr="00192029">
        <w:rPr>
          <w:rFonts w:ascii="Times New Roman" w:hAnsi="Times New Roman" w:cs="Times New Roman"/>
          <w:sz w:val="28"/>
          <w:szCs w:val="28"/>
        </w:rPr>
        <w:t>Respondent</w:t>
      </w:r>
    </w:p>
    <w:p w:rsidR="00192029" w:rsidRPr="00192029" w:rsidRDefault="00192029" w:rsidP="00192029">
      <w:pPr>
        <w:rPr>
          <w:rFonts w:ascii="Times New Roman" w:hAnsi="Times New Roman" w:cs="Times New Roman"/>
          <w:sz w:val="28"/>
          <w:szCs w:val="28"/>
        </w:rPr>
      </w:pPr>
    </w:p>
    <w:p w:rsidR="00192029" w:rsidRPr="00192029" w:rsidRDefault="00192029" w:rsidP="00192029">
      <w:pPr>
        <w:tabs>
          <w:tab w:val="center" w:pos="4680"/>
        </w:tabs>
        <w:jc w:val="center"/>
        <w:rPr>
          <w:rFonts w:ascii="Times New Roman" w:hAnsi="Times New Roman" w:cs="Times New Roman"/>
          <w:sz w:val="28"/>
          <w:szCs w:val="28"/>
        </w:rPr>
      </w:pPr>
      <w:r w:rsidRPr="00192029">
        <w:rPr>
          <w:rFonts w:ascii="Times New Roman" w:hAnsi="Times New Roman" w:cs="Times New Roman"/>
          <w:sz w:val="28"/>
          <w:szCs w:val="28"/>
        </w:rPr>
        <w:t>- and -</w:t>
      </w:r>
    </w:p>
    <w:p w:rsidR="00192029" w:rsidRPr="00192029" w:rsidRDefault="00192029" w:rsidP="00192029">
      <w:pPr>
        <w:rPr>
          <w:rFonts w:ascii="Times New Roman" w:hAnsi="Times New Roman" w:cs="Times New Roman"/>
          <w:sz w:val="28"/>
          <w:szCs w:val="28"/>
        </w:rPr>
      </w:pPr>
    </w:p>
    <w:p w:rsidR="00192029" w:rsidRPr="00192029" w:rsidRDefault="00EF383A" w:rsidP="00192029">
      <w:pPr>
        <w:jc w:val="center"/>
        <w:rPr>
          <w:rFonts w:ascii="Times New Roman" w:hAnsi="Times New Roman" w:cs="Times New Roman"/>
          <w:sz w:val="28"/>
          <w:szCs w:val="28"/>
        </w:rPr>
      </w:pPr>
      <w:r>
        <w:rPr>
          <w:rFonts w:ascii="Times New Roman" w:hAnsi="Times New Roman" w:cs="Times New Roman"/>
          <w:sz w:val="28"/>
          <w:szCs w:val="28"/>
        </w:rPr>
        <w:t>KELVIN AARON LAFFERTY</w:t>
      </w:r>
    </w:p>
    <w:p w:rsidR="00192029" w:rsidRPr="00192029" w:rsidRDefault="00192029" w:rsidP="00192029">
      <w:pPr>
        <w:jc w:val="right"/>
        <w:rPr>
          <w:rFonts w:ascii="Times New Roman" w:hAnsi="Times New Roman" w:cs="Times New Roman"/>
          <w:sz w:val="28"/>
          <w:szCs w:val="28"/>
        </w:rPr>
      </w:pPr>
      <w:r w:rsidRPr="00192029">
        <w:rPr>
          <w:rFonts w:ascii="Times New Roman" w:hAnsi="Times New Roman" w:cs="Times New Roman"/>
          <w:sz w:val="28"/>
          <w:szCs w:val="28"/>
        </w:rPr>
        <w:tab/>
      </w:r>
      <w:r w:rsidRPr="00192029">
        <w:rPr>
          <w:rFonts w:ascii="Times New Roman" w:hAnsi="Times New Roman" w:cs="Times New Roman"/>
          <w:sz w:val="28"/>
          <w:szCs w:val="28"/>
        </w:rPr>
        <w:tab/>
      </w:r>
      <w:r w:rsidRPr="00192029">
        <w:rPr>
          <w:rFonts w:ascii="Times New Roman" w:hAnsi="Times New Roman" w:cs="Times New Roman"/>
          <w:sz w:val="28"/>
          <w:szCs w:val="28"/>
        </w:rPr>
        <w:tab/>
        <w:t>Appellant</w:t>
      </w:r>
    </w:p>
    <w:p w:rsidR="00192029" w:rsidRPr="00192029" w:rsidRDefault="00192029" w:rsidP="00192029">
      <w:pPr>
        <w:jc w:val="center"/>
        <w:rPr>
          <w:rFonts w:ascii="Times New Roman" w:hAnsi="Times New Roman" w:cs="Times New Roman"/>
          <w:sz w:val="28"/>
          <w:szCs w:val="28"/>
          <w:u w:val="single"/>
        </w:rPr>
      </w:pPr>
    </w:p>
    <w:p w:rsidR="00192029" w:rsidRPr="00D6219B" w:rsidRDefault="00192029" w:rsidP="00192029">
      <w:pPr>
        <w:jc w:val="center"/>
        <w:rPr>
          <w:rFonts w:ascii="Times New Roman" w:hAnsi="Times New Roman" w:cs="Times New Roman"/>
          <w:b/>
          <w:sz w:val="28"/>
          <w:szCs w:val="28"/>
          <w:u w:val="single"/>
        </w:rPr>
      </w:pPr>
      <w:r w:rsidRPr="00D6219B">
        <w:rPr>
          <w:rFonts w:ascii="Times New Roman" w:hAnsi="Times New Roman" w:cs="Times New Roman"/>
          <w:b/>
          <w:sz w:val="28"/>
          <w:szCs w:val="28"/>
          <w:u w:val="single"/>
        </w:rPr>
        <w:t>MEMORANDUM OF JUDGMENT</w:t>
      </w:r>
    </w:p>
    <w:p w:rsidR="008D6ADC" w:rsidRDefault="008D6ADC" w:rsidP="00192029">
      <w:pPr>
        <w:rPr>
          <w:rFonts w:ascii="Times New Roman" w:hAnsi="Times New Roman" w:cs="Times New Roman"/>
          <w:sz w:val="28"/>
          <w:szCs w:val="28"/>
        </w:rPr>
      </w:pPr>
    </w:p>
    <w:p w:rsidR="00192029" w:rsidRPr="00D6219B" w:rsidRDefault="00192029" w:rsidP="00192029">
      <w:pPr>
        <w:rPr>
          <w:rFonts w:ascii="Times New Roman" w:hAnsi="Times New Roman" w:cs="Times New Roman"/>
          <w:b/>
          <w:sz w:val="28"/>
          <w:szCs w:val="28"/>
        </w:rPr>
      </w:pPr>
      <w:r w:rsidRPr="00D6219B">
        <w:rPr>
          <w:rFonts w:ascii="Times New Roman" w:hAnsi="Times New Roman" w:cs="Times New Roman"/>
          <w:b/>
          <w:sz w:val="28"/>
          <w:szCs w:val="28"/>
        </w:rPr>
        <w:t>INTRODUCTION</w:t>
      </w:r>
    </w:p>
    <w:p w:rsidR="00192029" w:rsidRPr="00192029" w:rsidRDefault="00192029" w:rsidP="00192029">
      <w:pPr>
        <w:pStyle w:val="ListParagraph"/>
        <w:numPr>
          <w:ilvl w:val="0"/>
          <w:numId w:val="9"/>
        </w:numPr>
        <w:spacing w:after="280" w:line="240" w:lineRule="auto"/>
        <w:ind w:left="0" w:firstLine="0"/>
        <w:jc w:val="both"/>
        <w:rPr>
          <w:rFonts w:ascii="Times New Roman" w:hAnsi="Times New Roman" w:cs="Times New Roman"/>
          <w:sz w:val="28"/>
          <w:szCs w:val="28"/>
          <w:lang w:val="en-US"/>
        </w:rPr>
      </w:pPr>
      <w:r w:rsidRPr="00192029">
        <w:rPr>
          <w:rFonts w:ascii="Times New Roman" w:hAnsi="Times New Roman" w:cs="Times New Roman"/>
          <w:sz w:val="28"/>
          <w:szCs w:val="28"/>
          <w:lang w:val="en-US"/>
        </w:rPr>
        <w:t xml:space="preserve">This is an appeal from conviction </w:t>
      </w:r>
      <w:r w:rsidR="00DA1B52">
        <w:rPr>
          <w:rFonts w:ascii="Times New Roman" w:hAnsi="Times New Roman" w:cs="Times New Roman"/>
          <w:sz w:val="28"/>
          <w:szCs w:val="28"/>
          <w:lang w:val="en-US"/>
        </w:rPr>
        <w:t xml:space="preserve">following a trial held in Territorial Court.  The Appellant was convicted of </w:t>
      </w:r>
      <w:r w:rsidR="003D453A">
        <w:rPr>
          <w:rFonts w:ascii="Times New Roman" w:hAnsi="Times New Roman" w:cs="Times New Roman"/>
          <w:sz w:val="28"/>
          <w:szCs w:val="28"/>
          <w:lang w:val="en-US"/>
        </w:rPr>
        <w:t>four</w:t>
      </w:r>
      <w:r w:rsidRPr="00192029">
        <w:rPr>
          <w:rFonts w:ascii="Times New Roman" w:hAnsi="Times New Roman" w:cs="Times New Roman"/>
          <w:sz w:val="28"/>
          <w:szCs w:val="28"/>
          <w:lang w:val="en-US"/>
        </w:rPr>
        <w:t xml:space="preserve"> offences</w:t>
      </w:r>
      <w:r w:rsidR="002E7EDF">
        <w:rPr>
          <w:rFonts w:ascii="Times New Roman" w:hAnsi="Times New Roman" w:cs="Times New Roman"/>
          <w:sz w:val="28"/>
          <w:szCs w:val="28"/>
          <w:lang w:val="en-US"/>
        </w:rPr>
        <w:t>:</w:t>
      </w:r>
      <w:r w:rsidR="00DA1B52">
        <w:rPr>
          <w:rFonts w:ascii="Times New Roman" w:hAnsi="Times New Roman" w:cs="Times New Roman"/>
          <w:sz w:val="28"/>
          <w:szCs w:val="28"/>
          <w:lang w:val="en-US"/>
        </w:rPr>
        <w:t xml:space="preserve"> </w:t>
      </w:r>
      <w:r w:rsidR="003D453A">
        <w:rPr>
          <w:rFonts w:ascii="Times New Roman" w:hAnsi="Times New Roman" w:cs="Times New Roman"/>
          <w:sz w:val="28"/>
          <w:szCs w:val="28"/>
          <w:lang w:val="en-US"/>
        </w:rPr>
        <w:t>one count of sexual assault</w:t>
      </w:r>
      <w:r w:rsidR="00DA1B52">
        <w:rPr>
          <w:rFonts w:ascii="Times New Roman" w:hAnsi="Times New Roman" w:cs="Times New Roman"/>
          <w:sz w:val="28"/>
          <w:szCs w:val="28"/>
          <w:lang w:val="en-US"/>
        </w:rPr>
        <w:t xml:space="preserve"> and </w:t>
      </w:r>
      <w:r w:rsidR="003D453A">
        <w:rPr>
          <w:rFonts w:ascii="Times New Roman" w:hAnsi="Times New Roman" w:cs="Times New Roman"/>
          <w:sz w:val="28"/>
          <w:szCs w:val="28"/>
          <w:lang w:val="en-US"/>
        </w:rPr>
        <w:t>three</w:t>
      </w:r>
      <w:r w:rsidRPr="00192029">
        <w:rPr>
          <w:rFonts w:ascii="Times New Roman" w:hAnsi="Times New Roman" w:cs="Times New Roman"/>
          <w:sz w:val="28"/>
          <w:szCs w:val="28"/>
          <w:lang w:val="en-US"/>
        </w:rPr>
        <w:t xml:space="preserve"> count</w:t>
      </w:r>
      <w:r w:rsidR="003D453A">
        <w:rPr>
          <w:rFonts w:ascii="Times New Roman" w:hAnsi="Times New Roman" w:cs="Times New Roman"/>
          <w:sz w:val="28"/>
          <w:szCs w:val="28"/>
          <w:lang w:val="en-US"/>
        </w:rPr>
        <w:t>s of assault</w:t>
      </w:r>
      <w:r w:rsidRPr="00192029">
        <w:rPr>
          <w:rFonts w:ascii="Times New Roman" w:hAnsi="Times New Roman" w:cs="Times New Roman"/>
          <w:sz w:val="28"/>
          <w:szCs w:val="28"/>
          <w:lang w:val="en-US"/>
        </w:rPr>
        <w:t>.</w:t>
      </w:r>
    </w:p>
    <w:p w:rsidR="008D6ADC" w:rsidRPr="008D6ADC" w:rsidRDefault="00326EFB" w:rsidP="008D6ADC">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For the reasons </w:t>
      </w:r>
      <w:r w:rsidR="00A46F22">
        <w:rPr>
          <w:rFonts w:ascii="Times New Roman" w:hAnsi="Times New Roman" w:cs="Times New Roman"/>
          <w:sz w:val="28"/>
          <w:szCs w:val="28"/>
          <w:lang w:val="en-US"/>
        </w:rPr>
        <w:t>that follow, I conclude that the appeal should be</w:t>
      </w:r>
      <w:r w:rsidR="00616577">
        <w:rPr>
          <w:rFonts w:ascii="Times New Roman" w:hAnsi="Times New Roman" w:cs="Times New Roman"/>
          <w:sz w:val="28"/>
          <w:szCs w:val="28"/>
          <w:lang w:val="en-US"/>
        </w:rPr>
        <w:t xml:space="preserve"> dismissed.</w:t>
      </w:r>
    </w:p>
    <w:p w:rsidR="00DF51D1" w:rsidRPr="00D6219B" w:rsidRDefault="00391BEA" w:rsidP="008D6ADC">
      <w:pPr>
        <w:autoSpaceDE w:val="0"/>
        <w:autoSpaceDN w:val="0"/>
        <w:adjustRightInd w:val="0"/>
        <w:spacing w:after="280" w:line="240" w:lineRule="auto"/>
        <w:jc w:val="both"/>
        <w:rPr>
          <w:rFonts w:ascii="Times New Roman" w:hAnsi="Times New Roman" w:cs="Times New Roman"/>
          <w:b/>
          <w:sz w:val="28"/>
          <w:szCs w:val="28"/>
          <w:u w:val="single"/>
          <w:lang w:val="en-US"/>
        </w:rPr>
      </w:pPr>
      <w:r w:rsidRPr="00D6219B">
        <w:rPr>
          <w:rFonts w:ascii="Times New Roman" w:hAnsi="Times New Roman" w:cs="Times New Roman"/>
          <w:b/>
          <w:sz w:val="28"/>
          <w:szCs w:val="28"/>
          <w:lang w:val="en-US"/>
        </w:rPr>
        <w:t>TRIAL</w:t>
      </w:r>
    </w:p>
    <w:p w:rsidR="00B7037C" w:rsidRPr="00EC1C56" w:rsidRDefault="00DA1B52"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FE4226">
        <w:rPr>
          <w:rFonts w:ascii="Times New Roman" w:hAnsi="Times New Roman" w:cs="Times New Roman"/>
          <w:sz w:val="28"/>
          <w:szCs w:val="28"/>
          <w:lang w:val="en-US"/>
        </w:rPr>
        <w:t xml:space="preserve">The Appellant was charged with five counts on January 2, 2017 </w:t>
      </w:r>
      <w:r>
        <w:rPr>
          <w:rFonts w:ascii="Times New Roman" w:hAnsi="Times New Roman" w:cs="Times New Roman"/>
          <w:sz w:val="28"/>
          <w:szCs w:val="28"/>
          <w:lang w:val="en-US"/>
        </w:rPr>
        <w:t>arising from incidents</w:t>
      </w:r>
      <w:r w:rsidRPr="00FE4226">
        <w:rPr>
          <w:rFonts w:ascii="Times New Roman" w:hAnsi="Times New Roman" w:cs="Times New Roman"/>
          <w:sz w:val="28"/>
          <w:szCs w:val="28"/>
          <w:lang w:val="en-US"/>
        </w:rPr>
        <w:t xml:space="preserve"> which occurred in December 2016 in </w:t>
      </w:r>
      <w:r w:rsidR="00B86D97" w:rsidRPr="00B86D97">
        <w:rPr>
          <w:rFonts w:ascii="Times New Roman" w:hAnsi="Times New Roman" w:cs="Times New Roman"/>
          <w:sz w:val="28"/>
          <w:szCs w:val="28"/>
        </w:rPr>
        <w:t>Behchokǫ̀</w:t>
      </w:r>
      <w:r w:rsidRPr="00FE4226">
        <w:rPr>
          <w:rFonts w:ascii="Times New Roman" w:hAnsi="Times New Roman" w:cs="Times New Roman"/>
          <w:sz w:val="28"/>
          <w:szCs w:val="28"/>
          <w:lang w:val="en-US"/>
        </w:rPr>
        <w:t>, Northwest Territories</w:t>
      </w:r>
      <w:r>
        <w:rPr>
          <w:rFonts w:ascii="Times New Roman" w:hAnsi="Times New Roman" w:cs="Times New Roman"/>
          <w:sz w:val="28"/>
          <w:szCs w:val="28"/>
          <w:lang w:val="en-US"/>
        </w:rPr>
        <w:t xml:space="preserve"> and which involved the same complainant</w:t>
      </w:r>
      <w:r w:rsidRPr="00FE4226">
        <w:rPr>
          <w:rFonts w:ascii="Times New Roman" w:hAnsi="Times New Roman" w:cs="Times New Roman"/>
          <w:sz w:val="28"/>
          <w:szCs w:val="28"/>
          <w:lang w:val="en-US"/>
        </w:rPr>
        <w:t xml:space="preserve">.  The Appellant plead not guilty to all charges and the matter was set for trial. </w:t>
      </w:r>
    </w:p>
    <w:p w:rsidR="00EC1C56" w:rsidRPr="006C178C" w:rsidRDefault="002D48A0"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On May 25, 2017, the matter was set for trial in </w:t>
      </w:r>
      <w:r w:rsidR="00B86D97">
        <w:rPr>
          <w:rFonts w:ascii="Times New Roman" w:hAnsi="Times New Roman" w:cs="Times New Roman"/>
          <w:color w:val="333333"/>
          <w:sz w:val="28"/>
          <w:szCs w:val="28"/>
          <w:lang w:val="en"/>
        </w:rPr>
        <w:t>Behchokǫ̀.</w:t>
      </w:r>
      <w:r>
        <w:rPr>
          <w:rFonts w:ascii="Times New Roman" w:hAnsi="Times New Roman" w:cs="Times New Roman"/>
          <w:sz w:val="28"/>
          <w:szCs w:val="28"/>
          <w:lang w:val="en-US"/>
        </w:rPr>
        <w:t xml:space="preserve">  The complainant was subpoenaed for the trial but did not attend.  The Crown sought a warrant for the complainant advising that the Crown had been in communication with her and was hoping that she would attend.</w:t>
      </w:r>
      <w:r w:rsidR="006C178C">
        <w:rPr>
          <w:rFonts w:ascii="Times New Roman" w:hAnsi="Times New Roman" w:cs="Times New Roman"/>
          <w:sz w:val="28"/>
          <w:szCs w:val="28"/>
          <w:lang w:val="en-US"/>
        </w:rPr>
        <w:t xml:space="preserve">  A warrant was issued for her arrest and the matter was adjourned to the following day.</w:t>
      </w:r>
    </w:p>
    <w:p w:rsidR="006C178C" w:rsidRPr="00C47854" w:rsidRDefault="006C178C"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The following day, the Crown was prepared to proceed and the complainant was present.  Counsel for the Appellant applied to be removed from the record citing a breakdown in the solicitor-client relationship.  The application was granted.  The Appellant sought an adjournment to retain new counsel.  The Crown opposed the adjournment</w:t>
      </w:r>
      <w:r w:rsidR="00EC14DE">
        <w:rPr>
          <w:rFonts w:ascii="Times New Roman" w:hAnsi="Times New Roman" w:cs="Times New Roman"/>
          <w:sz w:val="28"/>
          <w:szCs w:val="28"/>
          <w:lang w:val="en-US"/>
        </w:rPr>
        <w:t xml:space="preserve"> stating that the Crown was prepared to proceed, the complainant was “very reticent” to come to court and </w:t>
      </w:r>
      <w:r w:rsidR="000244D3">
        <w:rPr>
          <w:rFonts w:ascii="Times New Roman" w:hAnsi="Times New Roman" w:cs="Times New Roman"/>
          <w:sz w:val="28"/>
          <w:szCs w:val="28"/>
          <w:lang w:val="en-US"/>
        </w:rPr>
        <w:t>was</w:t>
      </w:r>
      <w:r w:rsidR="00EC14DE">
        <w:rPr>
          <w:rFonts w:ascii="Times New Roman" w:hAnsi="Times New Roman" w:cs="Times New Roman"/>
          <w:sz w:val="28"/>
          <w:szCs w:val="28"/>
          <w:lang w:val="en-US"/>
        </w:rPr>
        <w:t xml:space="preserve"> “very traumatized and wants to get this over with</w:t>
      </w:r>
      <w:r w:rsidR="00EC14DE" w:rsidRPr="00C47854">
        <w:rPr>
          <w:rFonts w:ascii="Times New Roman" w:hAnsi="Times New Roman" w:cs="Times New Roman"/>
          <w:sz w:val="28"/>
          <w:szCs w:val="28"/>
          <w:lang w:val="en-US"/>
        </w:rPr>
        <w:t>.”</w:t>
      </w:r>
    </w:p>
    <w:p w:rsidR="00EC14DE" w:rsidRPr="00B7037C" w:rsidRDefault="00EC14DE"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Trial Judge granted </w:t>
      </w:r>
      <w:r w:rsidR="000244D3">
        <w:rPr>
          <w:rFonts w:ascii="Times New Roman" w:hAnsi="Times New Roman" w:cs="Times New Roman"/>
          <w:sz w:val="28"/>
          <w:szCs w:val="28"/>
          <w:lang w:val="en-US"/>
        </w:rPr>
        <w:t xml:space="preserve">the application to adjourn </w:t>
      </w:r>
      <w:r>
        <w:rPr>
          <w:rFonts w:ascii="Times New Roman" w:hAnsi="Times New Roman" w:cs="Times New Roman"/>
          <w:sz w:val="28"/>
          <w:szCs w:val="28"/>
          <w:lang w:val="en-US"/>
        </w:rPr>
        <w:t xml:space="preserve">the trial.  The complainant, who </w:t>
      </w:r>
      <w:r w:rsidR="00814E5C">
        <w:rPr>
          <w:rFonts w:ascii="Times New Roman" w:hAnsi="Times New Roman" w:cs="Times New Roman"/>
          <w:sz w:val="28"/>
          <w:szCs w:val="28"/>
          <w:lang w:val="en-US"/>
        </w:rPr>
        <w:t xml:space="preserve">had been arrested and </w:t>
      </w:r>
      <w:r w:rsidR="0053426A">
        <w:rPr>
          <w:rFonts w:ascii="Times New Roman" w:hAnsi="Times New Roman" w:cs="Times New Roman"/>
          <w:sz w:val="28"/>
          <w:szCs w:val="28"/>
          <w:lang w:val="en-US"/>
        </w:rPr>
        <w:t>was</w:t>
      </w:r>
      <w:r>
        <w:rPr>
          <w:rFonts w:ascii="Times New Roman" w:hAnsi="Times New Roman" w:cs="Times New Roman"/>
          <w:sz w:val="28"/>
          <w:szCs w:val="28"/>
          <w:lang w:val="en-US"/>
        </w:rPr>
        <w:t xml:space="preserve"> </w:t>
      </w:r>
      <w:r w:rsidR="0058441E">
        <w:rPr>
          <w:rFonts w:ascii="Times New Roman" w:hAnsi="Times New Roman" w:cs="Times New Roman"/>
          <w:sz w:val="28"/>
          <w:szCs w:val="28"/>
          <w:lang w:val="en-US"/>
        </w:rPr>
        <w:t xml:space="preserve">held </w:t>
      </w:r>
      <w:r>
        <w:rPr>
          <w:rFonts w:ascii="Times New Roman" w:hAnsi="Times New Roman" w:cs="Times New Roman"/>
          <w:sz w:val="28"/>
          <w:szCs w:val="28"/>
          <w:lang w:val="en-US"/>
        </w:rPr>
        <w:t xml:space="preserve">in custody overnight, was brought into the courtroom with the public excluded.  The Trial Judge advised the complainant that the new trial date would be July 5, 2017 and that she would be released on a recognizance which would require her to attend court on July 5, 2017 at 10:00 a.m.  </w:t>
      </w:r>
      <w:r w:rsidR="000244D3">
        <w:rPr>
          <w:rFonts w:ascii="Times New Roman" w:hAnsi="Times New Roman" w:cs="Times New Roman"/>
          <w:sz w:val="28"/>
          <w:szCs w:val="28"/>
          <w:lang w:val="en-US"/>
        </w:rPr>
        <w:t>The complainant said “okay” and responded “no” when asked if she had any questions.</w:t>
      </w:r>
    </w:p>
    <w:p w:rsidR="0096482B" w:rsidRPr="0096482B" w:rsidRDefault="00DA1B52"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trial was held </w:t>
      </w:r>
      <w:r w:rsidR="0096482B">
        <w:rPr>
          <w:rFonts w:ascii="Times New Roman" w:hAnsi="Times New Roman" w:cs="Times New Roman"/>
          <w:sz w:val="28"/>
          <w:szCs w:val="28"/>
          <w:lang w:val="en-US"/>
        </w:rPr>
        <w:t xml:space="preserve">over several days, </w:t>
      </w:r>
      <w:r>
        <w:rPr>
          <w:rFonts w:ascii="Times New Roman" w:hAnsi="Times New Roman" w:cs="Times New Roman"/>
          <w:sz w:val="28"/>
          <w:szCs w:val="28"/>
          <w:lang w:val="en-US"/>
        </w:rPr>
        <w:t>from July 5</w:t>
      </w:r>
      <w:r w:rsidR="0096482B">
        <w:rPr>
          <w:rFonts w:ascii="Times New Roman" w:hAnsi="Times New Roman" w:cs="Times New Roman"/>
          <w:sz w:val="28"/>
          <w:szCs w:val="28"/>
          <w:lang w:val="en-US"/>
        </w:rPr>
        <w:t xml:space="preserve"> to </w:t>
      </w:r>
      <w:r>
        <w:rPr>
          <w:rFonts w:ascii="Times New Roman" w:hAnsi="Times New Roman" w:cs="Times New Roman"/>
          <w:sz w:val="28"/>
          <w:szCs w:val="28"/>
          <w:lang w:val="en-US"/>
        </w:rPr>
        <w:t>7, 2017 and August 24</w:t>
      </w:r>
      <w:r w:rsidR="0096482B">
        <w:rPr>
          <w:rFonts w:ascii="Times New Roman" w:hAnsi="Times New Roman" w:cs="Times New Roman"/>
          <w:sz w:val="28"/>
          <w:szCs w:val="28"/>
          <w:lang w:val="en-US"/>
        </w:rPr>
        <w:t xml:space="preserve"> to </w:t>
      </w:r>
      <w:r>
        <w:rPr>
          <w:rFonts w:ascii="Times New Roman" w:hAnsi="Times New Roman" w:cs="Times New Roman"/>
          <w:sz w:val="28"/>
          <w:szCs w:val="28"/>
          <w:lang w:val="en-US"/>
        </w:rPr>
        <w:t>25, 2017</w:t>
      </w:r>
      <w:r w:rsidR="0096482B">
        <w:rPr>
          <w:rFonts w:ascii="Times New Roman" w:hAnsi="Times New Roman" w:cs="Times New Roman"/>
          <w:sz w:val="28"/>
          <w:szCs w:val="28"/>
          <w:lang w:val="en-US"/>
        </w:rPr>
        <w:t xml:space="preserve">, in </w:t>
      </w:r>
      <w:r w:rsidR="00803901" w:rsidRPr="00803901">
        <w:rPr>
          <w:rFonts w:ascii="Times New Roman" w:hAnsi="Times New Roman" w:cs="Times New Roman"/>
          <w:color w:val="333333"/>
          <w:sz w:val="28"/>
          <w:szCs w:val="28"/>
          <w:lang w:val="en"/>
        </w:rPr>
        <w:t>Behchokǫ̀</w:t>
      </w:r>
      <w:r w:rsidR="0096482B">
        <w:rPr>
          <w:rFonts w:ascii="Times New Roman" w:hAnsi="Times New Roman" w:cs="Times New Roman"/>
          <w:sz w:val="28"/>
          <w:szCs w:val="28"/>
          <w:lang w:val="en-US"/>
        </w:rPr>
        <w:t xml:space="preserve"> and Yellowknife</w:t>
      </w:r>
      <w:r>
        <w:rPr>
          <w:rFonts w:ascii="Times New Roman" w:hAnsi="Times New Roman" w:cs="Times New Roman"/>
          <w:sz w:val="28"/>
          <w:szCs w:val="28"/>
          <w:lang w:val="en-US"/>
        </w:rPr>
        <w:t>.  During th</w:t>
      </w:r>
      <w:r w:rsidR="004B160B">
        <w:rPr>
          <w:rFonts w:ascii="Times New Roman" w:hAnsi="Times New Roman" w:cs="Times New Roman"/>
          <w:sz w:val="28"/>
          <w:szCs w:val="28"/>
          <w:lang w:val="en-US"/>
        </w:rPr>
        <w:t>e trial, the Crown stayed a breach of probation charge leaving one count of sexual assault and three counts of assault before the court</w:t>
      </w:r>
      <w:r>
        <w:rPr>
          <w:rFonts w:ascii="Times New Roman" w:hAnsi="Times New Roman" w:cs="Times New Roman"/>
          <w:sz w:val="28"/>
          <w:szCs w:val="28"/>
          <w:lang w:val="en-US"/>
        </w:rPr>
        <w:t xml:space="preserve">.  </w:t>
      </w:r>
    </w:p>
    <w:p w:rsidR="0096482B" w:rsidRPr="003C7186" w:rsidRDefault="00753DAB"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When the trial </w:t>
      </w:r>
      <w:r w:rsidR="0078541D">
        <w:rPr>
          <w:rFonts w:ascii="Times New Roman" w:hAnsi="Times New Roman" w:cs="Times New Roman"/>
          <w:sz w:val="28"/>
          <w:szCs w:val="28"/>
          <w:lang w:val="en-US"/>
        </w:rPr>
        <w:t>proceeded</w:t>
      </w:r>
      <w:r>
        <w:rPr>
          <w:rFonts w:ascii="Times New Roman" w:hAnsi="Times New Roman" w:cs="Times New Roman"/>
          <w:sz w:val="28"/>
          <w:szCs w:val="28"/>
          <w:lang w:val="en-US"/>
        </w:rPr>
        <w:t xml:space="preserve">, it was </w:t>
      </w:r>
      <w:r w:rsidR="0078541D">
        <w:rPr>
          <w:rFonts w:ascii="Times New Roman" w:hAnsi="Times New Roman" w:cs="Times New Roman"/>
          <w:sz w:val="28"/>
          <w:szCs w:val="28"/>
          <w:lang w:val="en-US"/>
        </w:rPr>
        <w:t xml:space="preserve">in front of the same judge who had presided in May.  </w:t>
      </w:r>
      <w:r w:rsidR="006A7A0D">
        <w:rPr>
          <w:rFonts w:ascii="Times New Roman" w:hAnsi="Times New Roman" w:cs="Times New Roman"/>
          <w:sz w:val="28"/>
          <w:szCs w:val="28"/>
          <w:lang w:val="en-US"/>
        </w:rPr>
        <w:t xml:space="preserve">The complainant was not present.  The Crown advised the Trial Judge that the Crown was not </w:t>
      </w:r>
      <w:r w:rsidR="003C7186">
        <w:rPr>
          <w:rFonts w:ascii="Times New Roman" w:hAnsi="Times New Roman" w:cs="Times New Roman"/>
          <w:sz w:val="28"/>
          <w:szCs w:val="28"/>
          <w:lang w:val="en-US"/>
        </w:rPr>
        <w:t>seeking a warrant for the arrest of the witness given that one had been issued previously but was prepared to proceed in the complainant’s absence.</w:t>
      </w:r>
    </w:p>
    <w:p w:rsidR="003C7186" w:rsidRPr="00A91790" w:rsidRDefault="003C7186"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541948">
        <w:rPr>
          <w:rFonts w:ascii="Times New Roman" w:hAnsi="Times New Roman" w:cs="Times New Roman"/>
          <w:sz w:val="28"/>
          <w:szCs w:val="28"/>
          <w:lang w:val="en-US"/>
        </w:rPr>
        <w:t xml:space="preserve">A </w:t>
      </w:r>
      <w:r w:rsidRPr="00541948">
        <w:rPr>
          <w:rFonts w:ascii="Times New Roman" w:hAnsi="Times New Roman" w:cs="Times New Roman"/>
          <w:i/>
          <w:sz w:val="28"/>
          <w:szCs w:val="28"/>
          <w:lang w:val="en-US"/>
        </w:rPr>
        <w:t xml:space="preserve">voir dire </w:t>
      </w:r>
      <w:r w:rsidRPr="00541948">
        <w:rPr>
          <w:rFonts w:ascii="Times New Roman" w:hAnsi="Times New Roman" w:cs="Times New Roman"/>
          <w:sz w:val="28"/>
          <w:szCs w:val="28"/>
          <w:lang w:val="en-US"/>
        </w:rPr>
        <w:t>was entered into on the admissibility of the complainant’s out</w:t>
      </w:r>
      <w:r w:rsidR="00702EEB">
        <w:rPr>
          <w:rFonts w:ascii="Times New Roman" w:hAnsi="Times New Roman" w:cs="Times New Roman"/>
          <w:sz w:val="28"/>
          <w:szCs w:val="28"/>
          <w:lang w:val="en-US"/>
        </w:rPr>
        <w:t>-</w:t>
      </w:r>
      <w:r w:rsidRPr="00541948">
        <w:rPr>
          <w:rFonts w:ascii="Times New Roman" w:hAnsi="Times New Roman" w:cs="Times New Roman"/>
          <w:sz w:val="28"/>
          <w:szCs w:val="28"/>
          <w:lang w:val="en-US"/>
        </w:rPr>
        <w:t>of</w:t>
      </w:r>
      <w:r w:rsidR="00702EEB">
        <w:rPr>
          <w:rFonts w:ascii="Times New Roman" w:hAnsi="Times New Roman" w:cs="Times New Roman"/>
          <w:sz w:val="28"/>
          <w:szCs w:val="28"/>
          <w:lang w:val="en-US"/>
        </w:rPr>
        <w:t>-</w:t>
      </w:r>
      <w:r w:rsidRPr="00541948">
        <w:rPr>
          <w:rFonts w:ascii="Times New Roman" w:hAnsi="Times New Roman" w:cs="Times New Roman"/>
          <w:sz w:val="28"/>
          <w:szCs w:val="28"/>
          <w:lang w:val="en-US"/>
        </w:rPr>
        <w:t xml:space="preserve">court statement.  </w:t>
      </w:r>
      <w:r w:rsidR="00F70150" w:rsidRPr="00541948">
        <w:rPr>
          <w:rFonts w:ascii="Times New Roman" w:hAnsi="Times New Roman" w:cs="Times New Roman"/>
          <w:sz w:val="28"/>
          <w:szCs w:val="28"/>
          <w:lang w:val="en-US"/>
        </w:rPr>
        <w:t xml:space="preserve">The investigating officer, Cst. Meko, testified for the Crown.  </w:t>
      </w:r>
      <w:r w:rsidR="0057702A">
        <w:rPr>
          <w:rFonts w:ascii="Times New Roman" w:hAnsi="Times New Roman" w:cs="Times New Roman"/>
          <w:sz w:val="28"/>
          <w:szCs w:val="28"/>
          <w:lang w:val="en-US"/>
        </w:rPr>
        <w:t xml:space="preserve">The complainant’s video-recorded statement and a transcript were played and made exhibits on the </w:t>
      </w:r>
      <w:r w:rsidR="0057702A">
        <w:rPr>
          <w:rFonts w:ascii="Times New Roman" w:hAnsi="Times New Roman" w:cs="Times New Roman"/>
          <w:i/>
          <w:sz w:val="28"/>
          <w:szCs w:val="28"/>
          <w:lang w:val="en-US"/>
        </w:rPr>
        <w:t xml:space="preserve">voir dire.  </w:t>
      </w:r>
      <w:r w:rsidR="00F70150" w:rsidRPr="00541948">
        <w:rPr>
          <w:rFonts w:ascii="Times New Roman" w:hAnsi="Times New Roman" w:cs="Times New Roman"/>
          <w:sz w:val="28"/>
          <w:szCs w:val="28"/>
          <w:lang w:val="en-US"/>
        </w:rPr>
        <w:t xml:space="preserve">The defence called Jenna Cook, </w:t>
      </w:r>
      <w:r w:rsidR="0057702A">
        <w:rPr>
          <w:rFonts w:ascii="Times New Roman" w:hAnsi="Times New Roman" w:cs="Times New Roman"/>
          <w:sz w:val="28"/>
          <w:szCs w:val="28"/>
          <w:lang w:val="en-US"/>
        </w:rPr>
        <w:t xml:space="preserve">who is </w:t>
      </w:r>
      <w:r w:rsidR="00F70150" w:rsidRPr="00541948">
        <w:rPr>
          <w:rFonts w:ascii="Times New Roman" w:hAnsi="Times New Roman" w:cs="Times New Roman"/>
          <w:sz w:val="28"/>
          <w:szCs w:val="28"/>
          <w:lang w:val="en-US"/>
        </w:rPr>
        <w:t xml:space="preserve">a Crown </w:t>
      </w:r>
      <w:r w:rsidR="00F70150" w:rsidRPr="00C47854">
        <w:rPr>
          <w:rFonts w:ascii="Times New Roman" w:hAnsi="Times New Roman" w:cs="Times New Roman"/>
          <w:sz w:val="28"/>
          <w:szCs w:val="28"/>
          <w:lang w:val="en-US"/>
        </w:rPr>
        <w:t>w</w:t>
      </w:r>
      <w:r w:rsidR="00F70150" w:rsidRPr="00541948">
        <w:rPr>
          <w:rFonts w:ascii="Times New Roman" w:hAnsi="Times New Roman" w:cs="Times New Roman"/>
          <w:sz w:val="28"/>
          <w:szCs w:val="28"/>
          <w:lang w:val="en-US"/>
        </w:rPr>
        <w:t xml:space="preserve">itness </w:t>
      </w:r>
      <w:r w:rsidR="00F70150" w:rsidRPr="00C47854">
        <w:rPr>
          <w:rFonts w:ascii="Times New Roman" w:hAnsi="Times New Roman" w:cs="Times New Roman"/>
          <w:sz w:val="28"/>
          <w:szCs w:val="28"/>
          <w:lang w:val="en-US"/>
        </w:rPr>
        <w:t>c</w:t>
      </w:r>
      <w:r w:rsidR="00F70150" w:rsidRPr="00541948">
        <w:rPr>
          <w:rFonts w:ascii="Times New Roman" w:hAnsi="Times New Roman" w:cs="Times New Roman"/>
          <w:sz w:val="28"/>
          <w:szCs w:val="28"/>
          <w:lang w:val="en-US"/>
        </w:rPr>
        <w:t>o-ordinator, Shirley Lafferty</w:t>
      </w:r>
      <w:r w:rsidR="00DF55FC" w:rsidRPr="00541948">
        <w:rPr>
          <w:rFonts w:ascii="Times New Roman" w:hAnsi="Times New Roman" w:cs="Times New Roman"/>
          <w:sz w:val="28"/>
          <w:szCs w:val="28"/>
          <w:lang w:val="en-US"/>
        </w:rPr>
        <w:t xml:space="preserve"> and Marie Lafferty.</w:t>
      </w:r>
      <w:r w:rsidR="00541948">
        <w:rPr>
          <w:rFonts w:ascii="Times New Roman" w:hAnsi="Times New Roman" w:cs="Times New Roman"/>
          <w:sz w:val="28"/>
          <w:szCs w:val="28"/>
          <w:lang w:val="en-US"/>
        </w:rPr>
        <w:t xml:space="preserve">  An Agreed Statement of Facts outlining communications between the complainant and the Crown’s office was entered into evidence.  </w:t>
      </w:r>
    </w:p>
    <w:p w:rsidR="00A91790" w:rsidRPr="007D01C3" w:rsidRDefault="007D01C3"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Following the </w:t>
      </w:r>
      <w:r>
        <w:rPr>
          <w:rFonts w:ascii="Times New Roman" w:hAnsi="Times New Roman" w:cs="Times New Roman"/>
          <w:i/>
          <w:sz w:val="28"/>
          <w:szCs w:val="28"/>
          <w:lang w:val="en-US"/>
        </w:rPr>
        <w:t xml:space="preserve">voir dire, </w:t>
      </w:r>
      <w:r>
        <w:rPr>
          <w:rFonts w:ascii="Times New Roman" w:hAnsi="Times New Roman" w:cs="Times New Roman"/>
          <w:sz w:val="28"/>
          <w:szCs w:val="28"/>
          <w:lang w:val="en-US"/>
        </w:rPr>
        <w:t>t</w:t>
      </w:r>
      <w:r w:rsidR="00A91790">
        <w:rPr>
          <w:rFonts w:ascii="Times New Roman" w:hAnsi="Times New Roman" w:cs="Times New Roman"/>
          <w:sz w:val="28"/>
          <w:szCs w:val="28"/>
          <w:lang w:val="en-US"/>
        </w:rPr>
        <w:t>he complainant’s statement was ruled admissible and made an exhibit at</w:t>
      </w:r>
      <w:r w:rsidR="00D331EC">
        <w:rPr>
          <w:rFonts w:ascii="Times New Roman" w:hAnsi="Times New Roman" w:cs="Times New Roman"/>
          <w:sz w:val="28"/>
          <w:szCs w:val="28"/>
          <w:lang w:val="en-US"/>
        </w:rPr>
        <w:t xml:space="preserve"> the</w:t>
      </w:r>
      <w:r w:rsidR="00A91790">
        <w:rPr>
          <w:rFonts w:ascii="Times New Roman" w:hAnsi="Times New Roman" w:cs="Times New Roman"/>
          <w:sz w:val="28"/>
          <w:szCs w:val="28"/>
          <w:lang w:val="en-US"/>
        </w:rPr>
        <w:t xml:space="preserve"> trial.  </w:t>
      </w:r>
      <w:r w:rsidR="00D331EC">
        <w:rPr>
          <w:rFonts w:ascii="Times New Roman" w:hAnsi="Times New Roman" w:cs="Times New Roman"/>
          <w:sz w:val="28"/>
          <w:szCs w:val="28"/>
          <w:lang w:val="en-US"/>
        </w:rPr>
        <w:t>The Agreed Statement of Facts was also made an exhibit at the trial.</w:t>
      </w:r>
    </w:p>
    <w:p w:rsidR="007D01C3" w:rsidRPr="007A38A3" w:rsidRDefault="0058441E"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Later in the </w:t>
      </w:r>
      <w:r w:rsidR="007D01C3">
        <w:rPr>
          <w:rFonts w:ascii="Times New Roman" w:hAnsi="Times New Roman" w:cs="Times New Roman"/>
          <w:sz w:val="28"/>
          <w:szCs w:val="28"/>
          <w:lang w:val="en-US"/>
        </w:rPr>
        <w:t>trial, the complainant testified</w:t>
      </w:r>
      <w:r w:rsidR="00D030EA">
        <w:rPr>
          <w:rFonts w:ascii="Times New Roman" w:hAnsi="Times New Roman" w:cs="Times New Roman"/>
          <w:sz w:val="28"/>
          <w:szCs w:val="28"/>
          <w:lang w:val="en-US"/>
        </w:rPr>
        <w:t xml:space="preserve"> for the defence.  She testified and denied that the Appellant had assaulted or sexually assaulted her.  She denied that the Appellant bit her nose, claimed that she had consensual sexual intercourse with the Appellant, and that her injuries were caused by her own actions.  She claimed that she was intoxicated when providing her statement</w:t>
      </w:r>
      <w:r w:rsidR="00C5168A">
        <w:rPr>
          <w:rFonts w:ascii="Times New Roman" w:hAnsi="Times New Roman" w:cs="Times New Roman"/>
          <w:sz w:val="28"/>
          <w:szCs w:val="28"/>
          <w:lang w:val="en-US"/>
        </w:rPr>
        <w:t>,</w:t>
      </w:r>
      <w:r w:rsidR="00D030EA">
        <w:rPr>
          <w:rFonts w:ascii="Times New Roman" w:hAnsi="Times New Roman" w:cs="Times New Roman"/>
          <w:sz w:val="28"/>
          <w:szCs w:val="28"/>
          <w:lang w:val="en-US"/>
        </w:rPr>
        <w:t xml:space="preserve"> had an incomplete memory of giving the statement and </w:t>
      </w:r>
      <w:r w:rsidR="00C5168A">
        <w:rPr>
          <w:rFonts w:ascii="Times New Roman" w:hAnsi="Times New Roman" w:cs="Times New Roman"/>
          <w:sz w:val="28"/>
          <w:szCs w:val="28"/>
          <w:lang w:val="en-US"/>
        </w:rPr>
        <w:t>had lied to the police.</w:t>
      </w:r>
    </w:p>
    <w:p w:rsidR="007A38A3" w:rsidRPr="00541948" w:rsidRDefault="00C222CA"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w:t>
      </w:r>
      <w:r w:rsidR="007B70F4">
        <w:rPr>
          <w:rFonts w:ascii="Times New Roman" w:hAnsi="Times New Roman" w:cs="Times New Roman"/>
          <w:sz w:val="28"/>
          <w:szCs w:val="28"/>
          <w:lang w:val="en-US"/>
        </w:rPr>
        <w:t xml:space="preserve">he Crown sought to cross-examine the complainant regarding prior </w:t>
      </w:r>
      <w:r w:rsidR="00685A78">
        <w:rPr>
          <w:rFonts w:ascii="Times New Roman" w:hAnsi="Times New Roman" w:cs="Times New Roman"/>
          <w:sz w:val="28"/>
          <w:szCs w:val="28"/>
          <w:lang w:val="en-US"/>
        </w:rPr>
        <w:t xml:space="preserve">incidents of violence </w:t>
      </w:r>
      <w:r w:rsidR="00BE35B1">
        <w:rPr>
          <w:rFonts w:ascii="Times New Roman" w:hAnsi="Times New Roman" w:cs="Times New Roman"/>
          <w:sz w:val="28"/>
          <w:szCs w:val="28"/>
          <w:lang w:val="en-US"/>
        </w:rPr>
        <w:t xml:space="preserve">involving </w:t>
      </w:r>
      <w:r w:rsidR="00685A78">
        <w:rPr>
          <w:rFonts w:ascii="Times New Roman" w:hAnsi="Times New Roman" w:cs="Times New Roman"/>
          <w:sz w:val="28"/>
          <w:szCs w:val="28"/>
          <w:lang w:val="en-US"/>
        </w:rPr>
        <w:t>the Appellant.</w:t>
      </w:r>
      <w:r w:rsidR="003C6016">
        <w:rPr>
          <w:rFonts w:ascii="Times New Roman" w:hAnsi="Times New Roman" w:cs="Times New Roman"/>
          <w:sz w:val="28"/>
          <w:szCs w:val="28"/>
          <w:lang w:val="en-US"/>
        </w:rPr>
        <w:t xml:space="preserve">  </w:t>
      </w:r>
      <w:r w:rsidR="00BE35B1">
        <w:rPr>
          <w:rFonts w:ascii="Times New Roman" w:hAnsi="Times New Roman" w:cs="Times New Roman"/>
          <w:sz w:val="28"/>
          <w:szCs w:val="28"/>
          <w:lang w:val="en-US"/>
        </w:rPr>
        <w:t xml:space="preserve">The defence objected to this line of questioning.  </w:t>
      </w:r>
      <w:r w:rsidR="00B24B0B">
        <w:rPr>
          <w:rFonts w:ascii="Times New Roman" w:hAnsi="Times New Roman" w:cs="Times New Roman"/>
          <w:sz w:val="28"/>
          <w:szCs w:val="28"/>
          <w:lang w:val="en-US"/>
        </w:rPr>
        <w:t>After hearing submissions from counsel, the Trial Judge allowed the Crown to cross-examine the complainant</w:t>
      </w:r>
      <w:r w:rsidR="006932A3">
        <w:rPr>
          <w:rFonts w:ascii="Times New Roman" w:hAnsi="Times New Roman" w:cs="Times New Roman"/>
          <w:sz w:val="28"/>
          <w:szCs w:val="28"/>
          <w:lang w:val="en-US"/>
        </w:rPr>
        <w:t xml:space="preserve"> in this area</w:t>
      </w:r>
      <w:r w:rsidR="00B24B0B">
        <w:rPr>
          <w:rFonts w:ascii="Times New Roman" w:hAnsi="Times New Roman" w:cs="Times New Roman"/>
          <w:sz w:val="28"/>
          <w:szCs w:val="28"/>
          <w:lang w:val="en-US"/>
        </w:rPr>
        <w:t xml:space="preserve">.  The complainant was asked about her relationship with the Appellant </w:t>
      </w:r>
      <w:r w:rsidR="006B49B9">
        <w:rPr>
          <w:rFonts w:ascii="Times New Roman" w:hAnsi="Times New Roman" w:cs="Times New Roman"/>
          <w:sz w:val="28"/>
          <w:szCs w:val="28"/>
          <w:lang w:val="en-US"/>
        </w:rPr>
        <w:t>including an incident where the Appellant was convicted of</w:t>
      </w:r>
      <w:r w:rsidR="00C47854">
        <w:rPr>
          <w:rFonts w:ascii="Times New Roman" w:hAnsi="Times New Roman" w:cs="Times New Roman"/>
          <w:sz w:val="28"/>
          <w:szCs w:val="28"/>
          <w:lang w:val="en-US"/>
        </w:rPr>
        <w:t xml:space="preserve"> aggravated</w:t>
      </w:r>
      <w:r w:rsidR="006B49B9">
        <w:rPr>
          <w:rFonts w:ascii="Times New Roman" w:hAnsi="Times New Roman" w:cs="Times New Roman"/>
          <w:sz w:val="28"/>
          <w:szCs w:val="28"/>
          <w:lang w:val="en-US"/>
        </w:rPr>
        <w:t xml:space="preserve"> assault in 2015 </w:t>
      </w:r>
      <w:r w:rsidR="009023CF">
        <w:rPr>
          <w:rFonts w:ascii="Times New Roman" w:hAnsi="Times New Roman" w:cs="Times New Roman"/>
          <w:sz w:val="28"/>
          <w:szCs w:val="28"/>
          <w:lang w:val="en-US"/>
        </w:rPr>
        <w:t>for</w:t>
      </w:r>
      <w:r w:rsidR="006B49B9">
        <w:rPr>
          <w:rFonts w:ascii="Times New Roman" w:hAnsi="Times New Roman" w:cs="Times New Roman"/>
          <w:sz w:val="28"/>
          <w:szCs w:val="28"/>
          <w:lang w:val="en-US"/>
        </w:rPr>
        <w:t xml:space="preserve"> biting her nose.</w:t>
      </w:r>
    </w:p>
    <w:p w:rsidR="00DA1B52" w:rsidRPr="00FE4226" w:rsidRDefault="00DA1B52" w:rsidP="00DA1B5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Following the trial, on September 8, 2017, the Appellant was convicted of the four remaining counts</w:t>
      </w:r>
      <w:r w:rsidR="006932A3">
        <w:rPr>
          <w:rFonts w:ascii="Times New Roman" w:hAnsi="Times New Roman" w:cs="Times New Roman"/>
          <w:sz w:val="28"/>
          <w:szCs w:val="28"/>
          <w:lang w:val="en-US"/>
        </w:rPr>
        <w:t>.  On November 24, 2017, he was</w:t>
      </w:r>
      <w:r>
        <w:rPr>
          <w:rFonts w:ascii="Times New Roman" w:hAnsi="Times New Roman" w:cs="Times New Roman"/>
          <w:sz w:val="28"/>
          <w:szCs w:val="28"/>
          <w:lang w:val="en-US"/>
        </w:rPr>
        <w:t xml:space="preserve"> sentenced to 28 months </w:t>
      </w:r>
      <w:r w:rsidR="00391BEA">
        <w:rPr>
          <w:rFonts w:ascii="Times New Roman" w:hAnsi="Times New Roman" w:cs="Times New Roman"/>
          <w:sz w:val="28"/>
          <w:szCs w:val="28"/>
          <w:lang w:val="en-US"/>
        </w:rPr>
        <w:t xml:space="preserve">of </w:t>
      </w:r>
      <w:r>
        <w:rPr>
          <w:rFonts w:ascii="Times New Roman" w:hAnsi="Times New Roman" w:cs="Times New Roman"/>
          <w:sz w:val="28"/>
          <w:szCs w:val="28"/>
          <w:lang w:val="en-US"/>
        </w:rPr>
        <w:t>imprisonment (less remand credit) followed by 3 years of probation.</w:t>
      </w:r>
    </w:p>
    <w:p w:rsidR="00820F6B" w:rsidRPr="00D6219B" w:rsidRDefault="00DC6ADB" w:rsidP="00DC6ADB">
      <w:pPr>
        <w:pStyle w:val="ListParagraph"/>
        <w:spacing w:after="280" w:line="240" w:lineRule="auto"/>
        <w:ind w:left="0"/>
        <w:contextualSpacing w:val="0"/>
        <w:jc w:val="both"/>
        <w:rPr>
          <w:rFonts w:ascii="Times New Roman" w:hAnsi="Times New Roman" w:cs="Times New Roman"/>
          <w:b/>
          <w:sz w:val="28"/>
          <w:szCs w:val="28"/>
          <w:lang w:val="en-US"/>
        </w:rPr>
      </w:pPr>
      <w:r w:rsidRPr="00D6219B">
        <w:rPr>
          <w:rFonts w:ascii="Times New Roman" w:hAnsi="Times New Roman" w:cs="Times New Roman"/>
          <w:b/>
          <w:sz w:val="28"/>
          <w:szCs w:val="28"/>
          <w:lang w:val="en-US"/>
        </w:rPr>
        <w:t>ISSUES ON APPEAL</w:t>
      </w:r>
    </w:p>
    <w:p w:rsidR="008A7DA2" w:rsidRDefault="00DC6ADB" w:rsidP="00DC6ADB">
      <w:pPr>
        <w:pStyle w:val="ListParagraph"/>
        <w:numPr>
          <w:ilvl w:val="0"/>
          <w:numId w:val="9"/>
        </w:numPr>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Appellant claims that the </w:t>
      </w:r>
      <w:r w:rsidR="00B05A14">
        <w:rPr>
          <w:rFonts w:ascii="Times New Roman" w:hAnsi="Times New Roman" w:cs="Times New Roman"/>
          <w:sz w:val="28"/>
          <w:szCs w:val="28"/>
          <w:lang w:val="en-US"/>
        </w:rPr>
        <w:t>Trial Judge</w:t>
      </w:r>
      <w:r>
        <w:rPr>
          <w:rFonts w:ascii="Times New Roman" w:hAnsi="Times New Roman" w:cs="Times New Roman"/>
          <w:sz w:val="28"/>
          <w:szCs w:val="28"/>
          <w:lang w:val="en-US"/>
        </w:rPr>
        <w:t xml:space="preserve"> </w:t>
      </w:r>
      <w:r w:rsidR="008A7DA2">
        <w:rPr>
          <w:rFonts w:ascii="Times New Roman" w:hAnsi="Times New Roman" w:cs="Times New Roman"/>
          <w:sz w:val="28"/>
          <w:szCs w:val="28"/>
          <w:lang w:val="en-US"/>
        </w:rPr>
        <w:t>erred in admitting the complainant’s out-of</w:t>
      </w:r>
      <w:r w:rsidR="00FE3DAC">
        <w:rPr>
          <w:rFonts w:ascii="Times New Roman" w:hAnsi="Times New Roman" w:cs="Times New Roman"/>
          <w:sz w:val="28"/>
          <w:szCs w:val="28"/>
          <w:lang w:val="en-US"/>
        </w:rPr>
        <w:t>-</w:t>
      </w:r>
      <w:r w:rsidR="008A7DA2">
        <w:rPr>
          <w:rFonts w:ascii="Times New Roman" w:hAnsi="Times New Roman" w:cs="Times New Roman"/>
          <w:sz w:val="28"/>
          <w:szCs w:val="28"/>
          <w:lang w:val="en-US"/>
        </w:rPr>
        <w:t xml:space="preserve">court statement because the pre-conditions for admission under the principled approach, necessity and threshold reliability, had not been met.  The Appellant also claims that the Trial Judge erred in allowing the Crown to introduce </w:t>
      </w:r>
      <w:r w:rsidR="00CD7A41">
        <w:rPr>
          <w:rFonts w:ascii="Times New Roman" w:hAnsi="Times New Roman" w:cs="Times New Roman"/>
          <w:sz w:val="28"/>
          <w:szCs w:val="28"/>
          <w:lang w:val="en-US"/>
        </w:rPr>
        <w:t xml:space="preserve">evidence of </w:t>
      </w:r>
      <w:r w:rsidR="008A7DA2">
        <w:rPr>
          <w:rFonts w:ascii="Times New Roman" w:hAnsi="Times New Roman" w:cs="Times New Roman"/>
          <w:sz w:val="28"/>
          <w:szCs w:val="28"/>
          <w:lang w:val="en-US"/>
        </w:rPr>
        <w:t>prior discreditable conduct without properly assessing the probative value and prejudicial effect of th</w:t>
      </w:r>
      <w:r w:rsidR="00CD7A41">
        <w:rPr>
          <w:rFonts w:ascii="Times New Roman" w:hAnsi="Times New Roman" w:cs="Times New Roman"/>
          <w:sz w:val="28"/>
          <w:szCs w:val="28"/>
          <w:lang w:val="en-US"/>
        </w:rPr>
        <w:t xml:space="preserve">e </w:t>
      </w:r>
      <w:r w:rsidR="008A7DA2">
        <w:rPr>
          <w:rFonts w:ascii="Times New Roman" w:hAnsi="Times New Roman" w:cs="Times New Roman"/>
          <w:sz w:val="28"/>
          <w:szCs w:val="28"/>
          <w:lang w:val="en-US"/>
        </w:rPr>
        <w:t xml:space="preserve">evidence.  </w:t>
      </w:r>
    </w:p>
    <w:p w:rsidR="00FA5F81" w:rsidRPr="00FA5F81" w:rsidRDefault="00044E3C"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Respondent </w:t>
      </w:r>
      <w:r w:rsidR="002438F7">
        <w:rPr>
          <w:rFonts w:ascii="Times New Roman" w:hAnsi="Times New Roman" w:cs="Times New Roman"/>
          <w:sz w:val="28"/>
          <w:szCs w:val="28"/>
          <w:lang w:val="en-US"/>
        </w:rPr>
        <w:t>argues</w:t>
      </w:r>
      <w:r w:rsidR="007879A5">
        <w:rPr>
          <w:rFonts w:ascii="Times New Roman" w:hAnsi="Times New Roman" w:cs="Times New Roman"/>
          <w:sz w:val="28"/>
          <w:szCs w:val="28"/>
          <w:lang w:val="en-US"/>
        </w:rPr>
        <w:t xml:space="preserve"> that the </w:t>
      </w:r>
      <w:r w:rsidR="00B05A14">
        <w:rPr>
          <w:rFonts w:ascii="Times New Roman" w:hAnsi="Times New Roman" w:cs="Times New Roman"/>
          <w:sz w:val="28"/>
          <w:szCs w:val="28"/>
          <w:lang w:val="en-US"/>
        </w:rPr>
        <w:t>Trial Judge</w:t>
      </w:r>
      <w:r w:rsidR="007879A5">
        <w:rPr>
          <w:rFonts w:ascii="Times New Roman" w:hAnsi="Times New Roman" w:cs="Times New Roman"/>
          <w:sz w:val="28"/>
          <w:szCs w:val="28"/>
          <w:lang w:val="en-US"/>
        </w:rPr>
        <w:t xml:space="preserve"> </w:t>
      </w:r>
      <w:r w:rsidR="00FE3DAC">
        <w:rPr>
          <w:rFonts w:ascii="Times New Roman" w:hAnsi="Times New Roman" w:cs="Times New Roman"/>
          <w:sz w:val="28"/>
          <w:szCs w:val="28"/>
          <w:lang w:val="en-US"/>
        </w:rPr>
        <w:t xml:space="preserve">did not err in admitting the out-of-court statement </w:t>
      </w:r>
      <w:r w:rsidR="00FA5F81">
        <w:rPr>
          <w:rFonts w:ascii="Times New Roman" w:hAnsi="Times New Roman" w:cs="Times New Roman"/>
          <w:sz w:val="28"/>
          <w:szCs w:val="28"/>
          <w:lang w:val="en-US"/>
        </w:rPr>
        <w:t>of the complainant.  Th</w:t>
      </w:r>
      <w:r w:rsidR="00FE3DAC">
        <w:rPr>
          <w:rFonts w:ascii="Times New Roman" w:hAnsi="Times New Roman" w:cs="Times New Roman"/>
          <w:sz w:val="28"/>
          <w:szCs w:val="28"/>
          <w:lang w:val="en-US"/>
        </w:rPr>
        <w:t>e</w:t>
      </w:r>
      <w:r w:rsidR="00FA5F81">
        <w:rPr>
          <w:rFonts w:ascii="Times New Roman" w:hAnsi="Times New Roman" w:cs="Times New Roman"/>
          <w:sz w:val="28"/>
          <w:szCs w:val="28"/>
          <w:lang w:val="en-US"/>
        </w:rPr>
        <w:t xml:space="preserve"> </w:t>
      </w:r>
      <w:r w:rsidR="00FE3DAC">
        <w:rPr>
          <w:rFonts w:ascii="Times New Roman" w:hAnsi="Times New Roman" w:cs="Times New Roman"/>
          <w:sz w:val="28"/>
          <w:szCs w:val="28"/>
          <w:lang w:val="en-US"/>
        </w:rPr>
        <w:t xml:space="preserve">Trial Judge’s </w:t>
      </w:r>
      <w:r w:rsidR="00FA5F81">
        <w:rPr>
          <w:rFonts w:ascii="Times New Roman" w:hAnsi="Times New Roman" w:cs="Times New Roman"/>
          <w:sz w:val="28"/>
          <w:szCs w:val="28"/>
          <w:lang w:val="en-US"/>
        </w:rPr>
        <w:t xml:space="preserve">conclusion on necessity was reasonable and entitled to deference.  The Trial Judge properly considered procedural and substantive reliability in her assessment of threshold reliability.  The Respondent also argues that </w:t>
      </w:r>
      <w:r w:rsidR="00523CAA">
        <w:rPr>
          <w:rFonts w:ascii="Times New Roman" w:hAnsi="Times New Roman" w:cs="Times New Roman"/>
          <w:sz w:val="28"/>
          <w:szCs w:val="28"/>
          <w:lang w:val="en-US"/>
        </w:rPr>
        <w:t>the Trial Judge did not err in allowing the complainant to be cross-examined about prior violence between the complainant and the Appellant in their relationship.</w:t>
      </w:r>
    </w:p>
    <w:p w:rsidR="004E35B4" w:rsidRDefault="004E35B4" w:rsidP="00B336EB">
      <w:pPr>
        <w:autoSpaceDE w:val="0"/>
        <w:autoSpaceDN w:val="0"/>
        <w:adjustRightInd w:val="0"/>
        <w:spacing w:after="280" w:line="240" w:lineRule="auto"/>
        <w:jc w:val="both"/>
        <w:rPr>
          <w:rFonts w:ascii="Times New Roman" w:hAnsi="Times New Roman" w:cs="Times New Roman"/>
          <w:b/>
          <w:sz w:val="28"/>
          <w:szCs w:val="28"/>
          <w:lang w:val="en-US"/>
        </w:rPr>
      </w:pPr>
    </w:p>
    <w:p w:rsidR="004E35B4" w:rsidRDefault="004E35B4" w:rsidP="00B336EB">
      <w:pPr>
        <w:autoSpaceDE w:val="0"/>
        <w:autoSpaceDN w:val="0"/>
        <w:adjustRightInd w:val="0"/>
        <w:spacing w:after="280" w:line="240" w:lineRule="auto"/>
        <w:jc w:val="both"/>
        <w:rPr>
          <w:rFonts w:ascii="Times New Roman" w:hAnsi="Times New Roman" w:cs="Times New Roman"/>
          <w:b/>
          <w:sz w:val="28"/>
          <w:szCs w:val="28"/>
          <w:lang w:val="en-US"/>
        </w:rPr>
      </w:pPr>
    </w:p>
    <w:p w:rsidR="00B336EB" w:rsidRPr="00D6219B" w:rsidRDefault="00B336EB" w:rsidP="00B336EB">
      <w:pPr>
        <w:autoSpaceDE w:val="0"/>
        <w:autoSpaceDN w:val="0"/>
        <w:adjustRightInd w:val="0"/>
        <w:spacing w:after="280" w:line="240" w:lineRule="auto"/>
        <w:jc w:val="both"/>
        <w:rPr>
          <w:rFonts w:ascii="Times New Roman" w:hAnsi="Times New Roman" w:cs="Times New Roman"/>
          <w:b/>
          <w:sz w:val="28"/>
          <w:szCs w:val="28"/>
          <w:lang w:val="en-US"/>
        </w:rPr>
      </w:pPr>
      <w:r w:rsidRPr="00D6219B">
        <w:rPr>
          <w:rFonts w:ascii="Times New Roman" w:hAnsi="Times New Roman" w:cs="Times New Roman"/>
          <w:b/>
          <w:sz w:val="28"/>
          <w:szCs w:val="28"/>
          <w:lang w:val="en-US"/>
        </w:rPr>
        <w:t>ANALYSIS</w:t>
      </w:r>
    </w:p>
    <w:p w:rsidR="001473E2" w:rsidRPr="001473E2" w:rsidRDefault="001473E2" w:rsidP="00B336EB">
      <w:pPr>
        <w:autoSpaceDE w:val="0"/>
        <w:autoSpaceDN w:val="0"/>
        <w:adjustRightInd w:val="0"/>
        <w:spacing w:after="280" w:line="240" w:lineRule="auto"/>
        <w:jc w:val="both"/>
        <w:rPr>
          <w:rFonts w:ascii="Times New Roman" w:hAnsi="Times New Roman" w:cs="Times New Roman"/>
          <w:sz w:val="28"/>
          <w:szCs w:val="28"/>
          <w:u w:val="single"/>
          <w:lang w:val="en-US"/>
        </w:rPr>
      </w:pPr>
      <w:r w:rsidRPr="001473E2">
        <w:rPr>
          <w:rFonts w:ascii="Times New Roman" w:hAnsi="Times New Roman" w:cs="Times New Roman"/>
          <w:sz w:val="28"/>
          <w:szCs w:val="28"/>
          <w:u w:val="single"/>
          <w:lang w:val="en-US"/>
        </w:rPr>
        <w:t>Admissibility of the Out-of-Court Statement</w:t>
      </w:r>
    </w:p>
    <w:p w:rsidR="00EB6533" w:rsidRPr="00EB6533" w:rsidRDefault="00EB6533" w:rsidP="001473E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364E5B">
        <w:rPr>
          <w:rFonts w:ascii="Times New Roman" w:hAnsi="Times New Roman" w:cs="Times New Roman"/>
          <w:sz w:val="28"/>
          <w:szCs w:val="28"/>
          <w:lang w:val="en-US"/>
        </w:rPr>
        <w:t>Hearsay</w:t>
      </w:r>
      <w:r>
        <w:rPr>
          <w:rFonts w:ascii="Times New Roman" w:hAnsi="Times New Roman" w:cs="Times New Roman"/>
          <w:sz w:val="28"/>
          <w:szCs w:val="28"/>
          <w:lang w:val="en-US"/>
        </w:rPr>
        <w:t xml:space="preserve"> evidence is presumptively inadmissible unless it fall under an exception to the hearsay rule.  It may be admissible under an existing hearsay exception or it may be admitted pursuant to the principled approach if it meet the requirements of necessity and </w:t>
      </w:r>
      <w:r w:rsidR="000D514A">
        <w:rPr>
          <w:rFonts w:ascii="Times New Roman" w:hAnsi="Times New Roman" w:cs="Times New Roman"/>
          <w:sz w:val="28"/>
          <w:szCs w:val="28"/>
          <w:lang w:val="en-US"/>
        </w:rPr>
        <w:t xml:space="preserve">threshold </w:t>
      </w:r>
      <w:r>
        <w:rPr>
          <w:rFonts w:ascii="Times New Roman" w:hAnsi="Times New Roman" w:cs="Times New Roman"/>
          <w:sz w:val="28"/>
          <w:szCs w:val="28"/>
          <w:lang w:val="en-US"/>
        </w:rPr>
        <w:t xml:space="preserve">reliability.  </w:t>
      </w:r>
    </w:p>
    <w:p w:rsidR="00EB6533" w:rsidRPr="00EB6533" w:rsidRDefault="00EB6533" w:rsidP="001473E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Where evidence is admissible pursuant to an exception to the hearsay rule or the principled approach, a trial judge still retains residual discretion to exclude evidence if its prejudicial effect outweighs it</w:t>
      </w:r>
      <w:r w:rsidR="004D595E">
        <w:rPr>
          <w:rFonts w:ascii="Times New Roman" w:hAnsi="Times New Roman" w:cs="Times New Roman"/>
          <w:sz w:val="28"/>
          <w:szCs w:val="28"/>
          <w:lang w:val="en-US"/>
        </w:rPr>
        <w:t>s</w:t>
      </w:r>
      <w:r>
        <w:rPr>
          <w:rFonts w:ascii="Times New Roman" w:hAnsi="Times New Roman" w:cs="Times New Roman"/>
          <w:sz w:val="28"/>
          <w:szCs w:val="28"/>
          <w:lang w:val="en-US"/>
        </w:rPr>
        <w:t xml:space="preserve"> probative value.</w:t>
      </w:r>
    </w:p>
    <w:p w:rsidR="00EB6533" w:rsidRPr="00EB6533" w:rsidRDefault="00EB6533" w:rsidP="00EB6533">
      <w:pPr>
        <w:autoSpaceDE w:val="0"/>
        <w:autoSpaceDN w:val="0"/>
        <w:adjustRightInd w:val="0"/>
        <w:spacing w:after="280" w:line="240" w:lineRule="auto"/>
        <w:jc w:val="both"/>
        <w:rPr>
          <w:rFonts w:ascii="Times New Roman" w:hAnsi="Times New Roman" w:cs="Times New Roman"/>
          <w:b/>
          <w:i/>
          <w:sz w:val="28"/>
          <w:szCs w:val="28"/>
          <w:u w:val="single"/>
          <w:lang w:val="en-US"/>
        </w:rPr>
      </w:pPr>
      <w:r w:rsidRPr="00EB6533">
        <w:rPr>
          <w:rFonts w:ascii="Times New Roman" w:hAnsi="Times New Roman" w:cs="Times New Roman"/>
          <w:i/>
          <w:sz w:val="28"/>
          <w:szCs w:val="28"/>
          <w:lang w:val="en-US"/>
        </w:rPr>
        <w:t>Standard of Review</w:t>
      </w:r>
    </w:p>
    <w:p w:rsidR="001473E2" w:rsidRPr="001473E2" w:rsidRDefault="001473E2" w:rsidP="001473E2">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The standard of review</w:t>
      </w:r>
      <w:r>
        <w:rPr>
          <w:rFonts w:ascii="Times New Roman" w:hAnsi="Times New Roman" w:cs="Times New Roman"/>
          <w:b/>
          <w:sz w:val="28"/>
          <w:szCs w:val="28"/>
          <w:lang w:val="en-US"/>
        </w:rPr>
        <w:t xml:space="preserve"> </w:t>
      </w:r>
      <w:r w:rsidR="0070369A" w:rsidRPr="001473E2">
        <w:rPr>
          <w:rFonts w:ascii="Times New Roman" w:hAnsi="Times New Roman" w:cs="Times New Roman"/>
          <w:sz w:val="28"/>
          <w:szCs w:val="28"/>
          <w:lang w:val="en-US"/>
        </w:rPr>
        <w:t xml:space="preserve">in an appeal </w:t>
      </w:r>
      <w:r>
        <w:rPr>
          <w:rFonts w:ascii="Times New Roman" w:hAnsi="Times New Roman" w:cs="Times New Roman"/>
          <w:sz w:val="28"/>
          <w:szCs w:val="28"/>
          <w:lang w:val="en-US"/>
        </w:rPr>
        <w:t xml:space="preserve">relating to the admissibility of hearsay evidence was re-stated in </w:t>
      </w:r>
      <w:r>
        <w:rPr>
          <w:rFonts w:ascii="Times New Roman" w:hAnsi="Times New Roman" w:cs="Times New Roman"/>
          <w:i/>
          <w:sz w:val="28"/>
          <w:szCs w:val="28"/>
          <w:lang w:val="en-US"/>
        </w:rPr>
        <w:t xml:space="preserve">R v Youvarajah, </w:t>
      </w:r>
      <w:r>
        <w:rPr>
          <w:rFonts w:ascii="Times New Roman" w:hAnsi="Times New Roman" w:cs="Times New Roman"/>
          <w:sz w:val="28"/>
          <w:szCs w:val="28"/>
          <w:lang w:val="en-US"/>
        </w:rPr>
        <w:t>2013 SCC 41at para 31:</w:t>
      </w:r>
    </w:p>
    <w:p w:rsidR="001473E2" w:rsidRPr="004E35B4" w:rsidRDefault="001473E2" w:rsidP="004E35B4">
      <w:pPr>
        <w:autoSpaceDE w:val="0"/>
        <w:autoSpaceDN w:val="0"/>
        <w:adjustRightInd w:val="0"/>
        <w:spacing w:after="280" w:line="240" w:lineRule="auto"/>
        <w:ind w:left="720" w:right="720"/>
        <w:jc w:val="both"/>
        <w:rPr>
          <w:rFonts w:ascii="Times New Roman" w:hAnsi="Times New Roman" w:cs="Times New Roman"/>
          <w:b/>
          <w:sz w:val="24"/>
          <w:szCs w:val="24"/>
          <w:u w:val="single"/>
          <w:lang w:val="en-US"/>
        </w:rPr>
      </w:pPr>
      <w:r w:rsidRPr="004E35B4">
        <w:rPr>
          <w:rFonts w:ascii="Times New Roman" w:hAnsi="Times New Roman" w:cs="Times New Roman"/>
          <w:sz w:val="24"/>
          <w:szCs w:val="24"/>
          <w:lang w:val="en-US"/>
        </w:rPr>
        <w:t>The admissibility of hearsay evidence, such as the prior inconsistent statement in this case, is a question of law.  Of course, the factual findings that go into that determination are entitled to deference and are not challenged in this case.  As well, a trial judge is well placed to assess the hearsay dangers in a particular case and the effectiveness of any safeguards to assist in overcoming them.  Th</w:t>
      </w:r>
      <w:r w:rsidR="004D595E" w:rsidRPr="004E35B4">
        <w:rPr>
          <w:rFonts w:ascii="Times New Roman" w:hAnsi="Times New Roman" w:cs="Times New Roman"/>
          <w:sz w:val="24"/>
          <w:szCs w:val="24"/>
          <w:lang w:val="en-US"/>
        </w:rPr>
        <w:t>u</w:t>
      </w:r>
      <w:r w:rsidRPr="004E35B4">
        <w:rPr>
          <w:rFonts w:ascii="Times New Roman" w:hAnsi="Times New Roman" w:cs="Times New Roman"/>
          <w:sz w:val="24"/>
          <w:szCs w:val="24"/>
          <w:lang w:val="en-US"/>
        </w:rPr>
        <w:t xml:space="preserve">s, absent an error in principle, the trial judge’s determination of threshold reliability is entitled to deference:  </w:t>
      </w:r>
      <w:r w:rsidRPr="004E35B4">
        <w:rPr>
          <w:rFonts w:ascii="Times New Roman" w:hAnsi="Times New Roman" w:cs="Times New Roman"/>
          <w:i/>
          <w:sz w:val="24"/>
          <w:szCs w:val="24"/>
          <w:lang w:val="en-US"/>
        </w:rPr>
        <w:t>R</w:t>
      </w:r>
      <w:r w:rsidR="005327EC" w:rsidRPr="004E35B4">
        <w:rPr>
          <w:rFonts w:ascii="Times New Roman" w:hAnsi="Times New Roman" w:cs="Times New Roman"/>
          <w:i/>
          <w:sz w:val="24"/>
          <w:szCs w:val="24"/>
          <w:lang w:val="en-US"/>
        </w:rPr>
        <w:t>.</w:t>
      </w:r>
      <w:r w:rsidRPr="004E35B4">
        <w:rPr>
          <w:rFonts w:ascii="Times New Roman" w:hAnsi="Times New Roman" w:cs="Times New Roman"/>
          <w:i/>
          <w:sz w:val="24"/>
          <w:szCs w:val="24"/>
          <w:lang w:val="en-US"/>
        </w:rPr>
        <w:t xml:space="preserve"> v</w:t>
      </w:r>
      <w:r w:rsidR="005327EC" w:rsidRPr="004E35B4">
        <w:rPr>
          <w:rFonts w:ascii="Times New Roman" w:hAnsi="Times New Roman" w:cs="Times New Roman"/>
          <w:i/>
          <w:sz w:val="24"/>
          <w:szCs w:val="24"/>
          <w:lang w:val="en-US"/>
        </w:rPr>
        <w:t>.</w:t>
      </w:r>
      <w:r w:rsidRPr="004E35B4">
        <w:rPr>
          <w:rFonts w:ascii="Times New Roman" w:hAnsi="Times New Roman" w:cs="Times New Roman"/>
          <w:i/>
          <w:sz w:val="24"/>
          <w:szCs w:val="24"/>
          <w:lang w:val="en-US"/>
        </w:rPr>
        <w:t xml:space="preserve"> Couture, </w:t>
      </w:r>
      <w:r w:rsidRPr="004E35B4">
        <w:rPr>
          <w:rFonts w:ascii="Times New Roman" w:hAnsi="Times New Roman" w:cs="Times New Roman"/>
          <w:sz w:val="24"/>
          <w:szCs w:val="24"/>
          <w:lang w:val="en-US"/>
        </w:rPr>
        <w:t xml:space="preserve">2007 </w:t>
      </w:r>
      <w:r w:rsidR="005327EC" w:rsidRPr="004E35B4">
        <w:rPr>
          <w:rFonts w:ascii="Times New Roman" w:hAnsi="Times New Roman" w:cs="Times New Roman"/>
          <w:sz w:val="24"/>
          <w:szCs w:val="24"/>
          <w:lang w:val="en-US"/>
        </w:rPr>
        <w:t>SCC 28, [2007] 2 S.C.R. 517 (S.C.C.), at para 81.</w:t>
      </w:r>
    </w:p>
    <w:p w:rsidR="00364E5B" w:rsidRPr="00EB6533" w:rsidRDefault="00EB6533" w:rsidP="00EB6533">
      <w:pPr>
        <w:autoSpaceDE w:val="0"/>
        <w:autoSpaceDN w:val="0"/>
        <w:adjustRightInd w:val="0"/>
        <w:spacing w:after="28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Necessity</w:t>
      </w:r>
    </w:p>
    <w:p w:rsidR="00EB6533" w:rsidRDefault="004B4E17" w:rsidP="001473E2">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trials, witnesses testify before </w:t>
      </w:r>
      <w:r w:rsidR="00E76893">
        <w:rPr>
          <w:rFonts w:ascii="Times New Roman" w:hAnsi="Times New Roman" w:cs="Times New Roman"/>
          <w:sz w:val="28"/>
          <w:szCs w:val="28"/>
          <w:lang w:val="en-US"/>
        </w:rPr>
        <w:t>a</w:t>
      </w:r>
      <w:r>
        <w:rPr>
          <w:rFonts w:ascii="Times New Roman" w:hAnsi="Times New Roman" w:cs="Times New Roman"/>
          <w:sz w:val="28"/>
          <w:szCs w:val="28"/>
          <w:lang w:val="en-US"/>
        </w:rPr>
        <w:t xml:space="preserve"> trier of fact who is able to observe their evidence and assess their </w:t>
      </w:r>
      <w:r w:rsidRPr="00C47854">
        <w:rPr>
          <w:rFonts w:ascii="Times New Roman" w:hAnsi="Times New Roman" w:cs="Times New Roman"/>
          <w:sz w:val="28"/>
          <w:szCs w:val="28"/>
          <w:lang w:val="en-US"/>
        </w:rPr>
        <w:t>demeanour.</w:t>
      </w:r>
      <w:r>
        <w:rPr>
          <w:rFonts w:ascii="Times New Roman" w:hAnsi="Times New Roman" w:cs="Times New Roman"/>
          <w:sz w:val="28"/>
          <w:szCs w:val="28"/>
          <w:lang w:val="en-US"/>
        </w:rPr>
        <w:t xml:space="preserve">  Their testimony can also be tested by cross-examination.  </w:t>
      </w:r>
      <w:r w:rsidR="00E81E52">
        <w:rPr>
          <w:rFonts w:ascii="Times New Roman" w:hAnsi="Times New Roman" w:cs="Times New Roman"/>
          <w:sz w:val="28"/>
          <w:szCs w:val="28"/>
          <w:lang w:val="en-US"/>
        </w:rPr>
        <w:t xml:space="preserve">The introduction of an out-of-court statement, hearsay evidence, makes </w:t>
      </w:r>
      <w:r w:rsidR="00AB6F9D">
        <w:rPr>
          <w:rFonts w:ascii="Times New Roman" w:hAnsi="Times New Roman" w:cs="Times New Roman"/>
          <w:sz w:val="28"/>
          <w:szCs w:val="28"/>
          <w:lang w:val="en-US"/>
        </w:rPr>
        <w:t>it</w:t>
      </w:r>
      <w:r w:rsidR="00E81E52">
        <w:rPr>
          <w:rFonts w:ascii="Times New Roman" w:hAnsi="Times New Roman" w:cs="Times New Roman"/>
          <w:sz w:val="28"/>
          <w:szCs w:val="28"/>
          <w:lang w:val="en-US"/>
        </w:rPr>
        <w:t xml:space="preserve"> </w:t>
      </w:r>
      <w:r w:rsidR="004D640F">
        <w:rPr>
          <w:rFonts w:ascii="Times New Roman" w:hAnsi="Times New Roman" w:cs="Times New Roman"/>
          <w:sz w:val="28"/>
          <w:szCs w:val="28"/>
          <w:lang w:val="en-US"/>
        </w:rPr>
        <w:t xml:space="preserve">more </w:t>
      </w:r>
      <w:r w:rsidR="00E81E52">
        <w:rPr>
          <w:rFonts w:ascii="Times New Roman" w:hAnsi="Times New Roman" w:cs="Times New Roman"/>
          <w:sz w:val="28"/>
          <w:szCs w:val="28"/>
          <w:lang w:val="en-US"/>
        </w:rPr>
        <w:t>difficult for a trier</w:t>
      </w:r>
      <w:r w:rsidR="00AB6F9D">
        <w:rPr>
          <w:rFonts w:ascii="Times New Roman" w:hAnsi="Times New Roman" w:cs="Times New Roman"/>
          <w:sz w:val="28"/>
          <w:szCs w:val="28"/>
          <w:lang w:val="en-US"/>
        </w:rPr>
        <w:t xml:space="preserve"> of fact to assess the witnes</w:t>
      </w:r>
      <w:r w:rsidR="00AB6F9D" w:rsidRPr="00C47854">
        <w:rPr>
          <w:rFonts w:ascii="Times New Roman" w:hAnsi="Times New Roman" w:cs="Times New Roman"/>
          <w:sz w:val="28"/>
          <w:szCs w:val="28"/>
          <w:lang w:val="en-US"/>
        </w:rPr>
        <w:t>s’</w:t>
      </w:r>
      <w:r w:rsidR="00E81E52">
        <w:rPr>
          <w:rFonts w:ascii="Times New Roman" w:hAnsi="Times New Roman" w:cs="Times New Roman"/>
          <w:sz w:val="28"/>
          <w:szCs w:val="28"/>
          <w:lang w:val="en-US"/>
        </w:rPr>
        <w:t xml:space="preserve"> evidence because they are unable to observe the witness testify and the evidence is not subject to cross-examination.  </w:t>
      </w:r>
      <w:r>
        <w:rPr>
          <w:rFonts w:ascii="Times New Roman" w:hAnsi="Times New Roman" w:cs="Times New Roman"/>
          <w:sz w:val="28"/>
          <w:szCs w:val="28"/>
          <w:lang w:val="en-US"/>
        </w:rPr>
        <w:t xml:space="preserve">One of the greatest dangers </w:t>
      </w:r>
      <w:r w:rsidR="003B67EF">
        <w:rPr>
          <w:rFonts w:ascii="Times New Roman" w:hAnsi="Times New Roman" w:cs="Times New Roman"/>
          <w:sz w:val="28"/>
          <w:szCs w:val="28"/>
          <w:lang w:val="en-US"/>
        </w:rPr>
        <w:t xml:space="preserve">associated with the admission of </w:t>
      </w:r>
      <w:r>
        <w:rPr>
          <w:rFonts w:ascii="Times New Roman" w:hAnsi="Times New Roman" w:cs="Times New Roman"/>
          <w:sz w:val="28"/>
          <w:szCs w:val="28"/>
          <w:lang w:val="en-US"/>
        </w:rPr>
        <w:t xml:space="preserve">hearsay evidence is the inability to cross-examine the </w:t>
      </w:r>
      <w:r w:rsidR="003B67EF">
        <w:rPr>
          <w:rFonts w:ascii="Times New Roman" w:hAnsi="Times New Roman" w:cs="Times New Roman"/>
          <w:sz w:val="28"/>
          <w:szCs w:val="28"/>
          <w:lang w:val="en-US"/>
        </w:rPr>
        <w:t>maker of the statement.</w:t>
      </w:r>
    </w:p>
    <w:p w:rsidR="003B67EF" w:rsidRDefault="003B67EF" w:rsidP="001473E2">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also recognized that a blanket exclusion of hearsay evidence would result in the loss of valuable evidence, evidence which </w:t>
      </w:r>
      <w:r w:rsidR="00E76893">
        <w:rPr>
          <w:rFonts w:ascii="Times New Roman" w:hAnsi="Times New Roman" w:cs="Times New Roman"/>
          <w:sz w:val="28"/>
          <w:szCs w:val="28"/>
          <w:lang w:val="en-US"/>
        </w:rPr>
        <w:t>might be</w:t>
      </w:r>
      <w:r>
        <w:rPr>
          <w:rFonts w:ascii="Times New Roman" w:hAnsi="Times New Roman" w:cs="Times New Roman"/>
          <w:sz w:val="28"/>
          <w:szCs w:val="28"/>
          <w:lang w:val="en-US"/>
        </w:rPr>
        <w:t xml:space="preserve"> necessary and reliable.  </w:t>
      </w:r>
    </w:p>
    <w:p w:rsidR="00AA27EE" w:rsidRDefault="00AA27EE" w:rsidP="00AA27EE">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considering whether the admission of the evidence is necessary, it is </w:t>
      </w:r>
      <w:r w:rsidR="00816FCD">
        <w:rPr>
          <w:rFonts w:ascii="Times New Roman" w:hAnsi="Times New Roman" w:cs="Times New Roman"/>
          <w:sz w:val="28"/>
          <w:szCs w:val="28"/>
          <w:lang w:val="en-US"/>
        </w:rPr>
        <w:t xml:space="preserve">most </w:t>
      </w:r>
      <w:r>
        <w:rPr>
          <w:rFonts w:ascii="Times New Roman" w:hAnsi="Times New Roman" w:cs="Times New Roman"/>
          <w:sz w:val="28"/>
          <w:szCs w:val="28"/>
          <w:lang w:val="en-US"/>
        </w:rPr>
        <w:t>often because the maker of the statement is unavailable for some reason</w:t>
      </w:r>
      <w:r w:rsidR="00816FCD">
        <w:rPr>
          <w:rFonts w:ascii="Times New Roman" w:hAnsi="Times New Roman" w:cs="Times New Roman"/>
          <w:sz w:val="28"/>
          <w:szCs w:val="28"/>
          <w:lang w:val="en-US"/>
        </w:rPr>
        <w:t xml:space="preserve"> such as the witness is out of the jurisdiction, deceased, refuses to attend court or is otherwise unavailable.</w:t>
      </w:r>
      <w:r>
        <w:rPr>
          <w:rFonts w:ascii="Times New Roman" w:hAnsi="Times New Roman" w:cs="Times New Roman"/>
          <w:sz w:val="28"/>
          <w:szCs w:val="28"/>
          <w:lang w:val="en-US"/>
        </w:rPr>
        <w:t xml:space="preserve">  </w:t>
      </w:r>
      <w:r w:rsidR="00816FCD">
        <w:rPr>
          <w:rFonts w:ascii="Times New Roman" w:hAnsi="Times New Roman" w:cs="Times New Roman"/>
          <w:sz w:val="28"/>
          <w:szCs w:val="28"/>
          <w:lang w:val="en-US"/>
        </w:rPr>
        <w:t xml:space="preserve">Necessity can arise in a number of situations.  </w:t>
      </w:r>
    </w:p>
    <w:p w:rsidR="007A440B" w:rsidRDefault="00816FCD" w:rsidP="007A440B">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sidRPr="008527CF">
        <w:rPr>
          <w:rFonts w:ascii="Times New Roman" w:hAnsi="Times New Roman" w:cs="Times New Roman"/>
          <w:sz w:val="28"/>
          <w:szCs w:val="28"/>
          <w:lang w:val="en-US"/>
        </w:rPr>
        <w:t xml:space="preserve">Necessity </w:t>
      </w:r>
      <w:r w:rsidR="000C4DA6">
        <w:rPr>
          <w:rFonts w:ascii="Times New Roman" w:hAnsi="Times New Roman" w:cs="Times New Roman"/>
          <w:sz w:val="28"/>
          <w:szCs w:val="28"/>
          <w:lang w:val="en-US"/>
        </w:rPr>
        <w:t xml:space="preserve">is </w:t>
      </w:r>
      <w:r w:rsidRPr="008527CF">
        <w:rPr>
          <w:rFonts w:ascii="Times New Roman" w:hAnsi="Times New Roman" w:cs="Times New Roman"/>
          <w:sz w:val="28"/>
          <w:szCs w:val="28"/>
          <w:lang w:val="en-US"/>
        </w:rPr>
        <w:t xml:space="preserve">to be considered flexibly and is interpreted as being “reasonably necessary”.  </w:t>
      </w:r>
      <w:r w:rsidR="00057214" w:rsidRPr="008527CF">
        <w:rPr>
          <w:rFonts w:ascii="Times New Roman" w:hAnsi="Times New Roman" w:cs="Times New Roman"/>
          <w:sz w:val="28"/>
          <w:szCs w:val="28"/>
          <w:lang w:val="en-US"/>
        </w:rPr>
        <w:t xml:space="preserve">Reasonable necessity requires that “all reasonable efforts” be made to obtain the evidence of the witness.  </w:t>
      </w:r>
      <w:r w:rsidR="008527CF" w:rsidRPr="008527CF">
        <w:rPr>
          <w:rFonts w:ascii="Times New Roman" w:hAnsi="Times New Roman" w:cs="Times New Roman"/>
          <w:i/>
          <w:sz w:val="28"/>
          <w:szCs w:val="28"/>
          <w:lang w:val="en-US"/>
        </w:rPr>
        <w:t xml:space="preserve">R v Khan, </w:t>
      </w:r>
      <w:r w:rsidR="008527CF" w:rsidRPr="008527CF">
        <w:rPr>
          <w:rFonts w:ascii="Times New Roman" w:hAnsi="Times New Roman" w:cs="Times New Roman"/>
          <w:sz w:val="28"/>
          <w:szCs w:val="28"/>
          <w:lang w:val="en-US"/>
        </w:rPr>
        <w:t xml:space="preserve">[1990] 2 S.C.R. 531 at para 29; </w:t>
      </w:r>
      <w:r w:rsidR="00057214" w:rsidRPr="008527CF">
        <w:rPr>
          <w:rFonts w:ascii="Times New Roman" w:hAnsi="Times New Roman" w:cs="Times New Roman"/>
          <w:i/>
          <w:sz w:val="28"/>
          <w:szCs w:val="28"/>
          <w:lang w:val="en-US"/>
        </w:rPr>
        <w:t xml:space="preserve">R v Khelawon, </w:t>
      </w:r>
      <w:r w:rsidR="00057214" w:rsidRPr="008527CF">
        <w:rPr>
          <w:rFonts w:ascii="Times New Roman" w:hAnsi="Times New Roman" w:cs="Times New Roman"/>
          <w:sz w:val="28"/>
          <w:szCs w:val="28"/>
          <w:lang w:val="en-US"/>
        </w:rPr>
        <w:t>2006 SCC 57 at para 104.</w:t>
      </w:r>
    </w:p>
    <w:p w:rsidR="007A440B" w:rsidRPr="007A440B" w:rsidRDefault="007E4E20" w:rsidP="007A440B">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sidRPr="007A440B">
        <w:rPr>
          <w:rFonts w:ascii="Times New Roman" w:hAnsi="Times New Roman" w:cs="Times New Roman"/>
          <w:sz w:val="28"/>
          <w:szCs w:val="28"/>
          <w:lang w:val="en-US"/>
        </w:rPr>
        <w:t xml:space="preserve">Where a witness is not present in court, necessity is not satisfied simply because the proponent of the statement claims that the witness is unavailable.  As stated in </w:t>
      </w:r>
      <w:r w:rsidRPr="007A440B">
        <w:rPr>
          <w:rFonts w:ascii="Times New Roman" w:hAnsi="Times New Roman" w:cs="Times New Roman"/>
          <w:i/>
          <w:sz w:val="28"/>
          <w:szCs w:val="28"/>
          <w:lang w:val="en-US"/>
        </w:rPr>
        <w:t>R v O’Connor</w:t>
      </w:r>
      <w:r w:rsidRPr="007A440B">
        <w:rPr>
          <w:rFonts w:ascii="Times New Roman" w:hAnsi="Times New Roman" w:cs="Times New Roman"/>
          <w:sz w:val="28"/>
          <w:szCs w:val="28"/>
          <w:lang w:val="en-US"/>
        </w:rPr>
        <w:t>, [</w:t>
      </w:r>
      <w:r w:rsidRPr="007A440B">
        <w:rPr>
          <w:rFonts w:ascii="Times New Roman" w:eastAsia="Times New Roman" w:hAnsi="Times New Roman" w:cs="Times New Roman"/>
          <w:sz w:val="28"/>
          <w:szCs w:val="28"/>
          <w:lang w:val="en"/>
        </w:rPr>
        <w:t xml:space="preserve">2002] OJ No 4410 </w:t>
      </w:r>
      <w:r w:rsidR="00843387">
        <w:rPr>
          <w:rFonts w:ascii="Times New Roman" w:eastAsia="Times New Roman" w:hAnsi="Times New Roman" w:cs="Times New Roman"/>
          <w:sz w:val="28"/>
          <w:szCs w:val="28"/>
          <w:lang w:val="en"/>
        </w:rPr>
        <w:t xml:space="preserve">(CA) </w:t>
      </w:r>
      <w:r w:rsidR="007A440B" w:rsidRPr="007A440B">
        <w:rPr>
          <w:rFonts w:ascii="Times New Roman" w:eastAsia="Times New Roman" w:hAnsi="Times New Roman" w:cs="Times New Roman"/>
          <w:sz w:val="28"/>
          <w:szCs w:val="28"/>
          <w:lang w:val="en"/>
        </w:rPr>
        <w:t xml:space="preserve">at para 57:  </w:t>
      </w:r>
    </w:p>
    <w:p w:rsidR="007A440B" w:rsidRPr="006F1923" w:rsidRDefault="007A440B" w:rsidP="006F1923">
      <w:pPr>
        <w:autoSpaceDE w:val="0"/>
        <w:autoSpaceDN w:val="0"/>
        <w:adjustRightInd w:val="0"/>
        <w:spacing w:after="280" w:line="240" w:lineRule="auto"/>
        <w:ind w:left="720" w:right="720"/>
        <w:jc w:val="both"/>
        <w:rPr>
          <w:rFonts w:ascii="Times New Roman" w:hAnsi="Times New Roman" w:cs="Times New Roman"/>
          <w:sz w:val="24"/>
          <w:szCs w:val="24"/>
          <w:lang w:val="en-US"/>
        </w:rPr>
      </w:pPr>
      <w:r w:rsidRPr="006F1923">
        <w:rPr>
          <w:rFonts w:ascii="Times New Roman" w:eastAsia="Times New Roman" w:hAnsi="Times New Roman" w:cs="Times New Roman"/>
          <w:sz w:val="24"/>
          <w:szCs w:val="24"/>
          <w:lang w:val="en"/>
        </w:rPr>
        <w:t>Necessity cannot be equated with the unavailability of a witness. Rather, it must be shown that hearsay is the only available means of putting the evidence before the court.</w:t>
      </w:r>
    </w:p>
    <w:p w:rsidR="002107EA" w:rsidRDefault="002107EA" w:rsidP="002107EA">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concerns expressed in </w:t>
      </w:r>
      <w:r>
        <w:rPr>
          <w:rFonts w:ascii="Times New Roman" w:hAnsi="Times New Roman" w:cs="Times New Roman"/>
          <w:i/>
          <w:sz w:val="28"/>
          <w:szCs w:val="28"/>
          <w:lang w:val="en-US"/>
        </w:rPr>
        <w:t xml:space="preserve">R v Kopalie, </w:t>
      </w:r>
      <w:r>
        <w:rPr>
          <w:rFonts w:ascii="Times New Roman" w:hAnsi="Times New Roman" w:cs="Times New Roman"/>
          <w:sz w:val="28"/>
          <w:szCs w:val="28"/>
          <w:lang w:val="en-US"/>
        </w:rPr>
        <w:t xml:space="preserve">2009 NUCJ 09, was that the police and Crown could not expect to </w:t>
      </w:r>
      <w:r w:rsidR="00EA2566">
        <w:rPr>
          <w:rFonts w:ascii="Times New Roman" w:hAnsi="Times New Roman" w:cs="Times New Roman"/>
          <w:sz w:val="28"/>
          <w:szCs w:val="28"/>
          <w:lang w:val="en-US"/>
        </w:rPr>
        <w:t xml:space="preserve">routinely </w:t>
      </w:r>
      <w:r>
        <w:rPr>
          <w:rFonts w:ascii="Times New Roman" w:hAnsi="Times New Roman" w:cs="Times New Roman"/>
          <w:sz w:val="28"/>
          <w:szCs w:val="28"/>
          <w:lang w:val="en-US"/>
        </w:rPr>
        <w:t xml:space="preserve">rely on the introduction of an out-of-court statement when a witness does not </w:t>
      </w:r>
      <w:r w:rsidR="00B83FAD">
        <w:rPr>
          <w:rFonts w:ascii="Times New Roman" w:hAnsi="Times New Roman" w:cs="Times New Roman"/>
          <w:sz w:val="28"/>
          <w:szCs w:val="28"/>
          <w:lang w:val="en-US"/>
        </w:rPr>
        <w:t xml:space="preserve">attend court </w:t>
      </w:r>
      <w:r>
        <w:rPr>
          <w:rFonts w:ascii="Times New Roman" w:hAnsi="Times New Roman" w:cs="Times New Roman"/>
          <w:sz w:val="28"/>
          <w:szCs w:val="28"/>
          <w:lang w:val="en-US"/>
        </w:rPr>
        <w:t xml:space="preserve">without evidence of the efforts made to obtain the evidence of the witness.  That is a valid concern.  Necessity is a flexible concept but it still requires that the </w:t>
      </w:r>
      <w:r w:rsidR="00EA2566">
        <w:rPr>
          <w:rFonts w:ascii="Times New Roman" w:hAnsi="Times New Roman" w:cs="Times New Roman"/>
          <w:sz w:val="28"/>
          <w:szCs w:val="28"/>
          <w:lang w:val="en-US"/>
        </w:rPr>
        <w:t xml:space="preserve">proponent of the statement </w:t>
      </w:r>
      <w:r>
        <w:rPr>
          <w:rFonts w:ascii="Times New Roman" w:hAnsi="Times New Roman" w:cs="Times New Roman"/>
          <w:sz w:val="28"/>
          <w:szCs w:val="28"/>
          <w:lang w:val="en-US"/>
        </w:rPr>
        <w:t>demonstrate that reasonable efforts to obtain the evidence of the witness were made before it will be met.</w:t>
      </w:r>
    </w:p>
    <w:p w:rsidR="00B83FAD" w:rsidRDefault="00B83FAD" w:rsidP="00B83FAD">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Whether necessity has been satisfied will depend on the </w:t>
      </w:r>
      <w:r w:rsidR="009A201D">
        <w:rPr>
          <w:rFonts w:ascii="Times New Roman" w:hAnsi="Times New Roman" w:cs="Times New Roman"/>
          <w:sz w:val="28"/>
          <w:szCs w:val="28"/>
          <w:lang w:val="en-US"/>
        </w:rPr>
        <w:t xml:space="preserve">particular facts and circumstances of each </w:t>
      </w:r>
      <w:r w:rsidR="006F1923">
        <w:rPr>
          <w:rFonts w:ascii="Times New Roman" w:hAnsi="Times New Roman" w:cs="Times New Roman"/>
          <w:sz w:val="28"/>
          <w:szCs w:val="28"/>
          <w:lang w:val="en-US"/>
        </w:rPr>
        <w:t xml:space="preserve">case: </w:t>
      </w:r>
      <w:r>
        <w:rPr>
          <w:rFonts w:ascii="Times New Roman" w:hAnsi="Times New Roman" w:cs="Times New Roman"/>
          <w:sz w:val="28"/>
          <w:szCs w:val="28"/>
          <w:lang w:val="en-US"/>
        </w:rPr>
        <w:t xml:space="preserve">why the witness </w:t>
      </w:r>
      <w:r w:rsidR="00EA2566">
        <w:rPr>
          <w:rFonts w:ascii="Times New Roman" w:hAnsi="Times New Roman" w:cs="Times New Roman"/>
          <w:sz w:val="28"/>
          <w:szCs w:val="28"/>
          <w:lang w:val="en-US"/>
        </w:rPr>
        <w:t xml:space="preserve">is </w:t>
      </w:r>
      <w:r w:rsidR="009A201D">
        <w:rPr>
          <w:rFonts w:ascii="Times New Roman" w:hAnsi="Times New Roman" w:cs="Times New Roman"/>
          <w:sz w:val="28"/>
          <w:szCs w:val="28"/>
          <w:lang w:val="en-US"/>
        </w:rPr>
        <w:t xml:space="preserve">not </w:t>
      </w:r>
      <w:r>
        <w:rPr>
          <w:rFonts w:ascii="Times New Roman" w:hAnsi="Times New Roman" w:cs="Times New Roman"/>
          <w:sz w:val="28"/>
          <w:szCs w:val="28"/>
          <w:lang w:val="en-US"/>
        </w:rPr>
        <w:t xml:space="preserve">available and what efforts have been made to obtain the evidence of the witness.  </w:t>
      </w:r>
    </w:p>
    <w:p w:rsidR="00DF4BFD" w:rsidRDefault="00DF4BFD" w:rsidP="000F3E06">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sidRPr="002E78FE">
        <w:rPr>
          <w:rFonts w:ascii="Times New Roman" w:hAnsi="Times New Roman" w:cs="Times New Roman"/>
          <w:sz w:val="28"/>
          <w:szCs w:val="28"/>
          <w:lang w:val="en-US"/>
        </w:rPr>
        <w:t xml:space="preserve">In submissions on the </w:t>
      </w:r>
      <w:r w:rsidRPr="002E78FE">
        <w:rPr>
          <w:rFonts w:ascii="Times New Roman" w:hAnsi="Times New Roman" w:cs="Times New Roman"/>
          <w:i/>
          <w:sz w:val="28"/>
          <w:szCs w:val="28"/>
          <w:lang w:val="en-US"/>
        </w:rPr>
        <w:t xml:space="preserve">voir dire, </w:t>
      </w:r>
      <w:r w:rsidRPr="002E78FE">
        <w:rPr>
          <w:rFonts w:ascii="Times New Roman" w:hAnsi="Times New Roman" w:cs="Times New Roman"/>
          <w:sz w:val="28"/>
          <w:szCs w:val="28"/>
          <w:lang w:val="en-US"/>
        </w:rPr>
        <w:t xml:space="preserve">counsel specifically addressed the issue of necessity.  </w:t>
      </w:r>
      <w:r w:rsidR="002E78FE" w:rsidRPr="002E78FE">
        <w:rPr>
          <w:rFonts w:ascii="Times New Roman" w:hAnsi="Times New Roman" w:cs="Times New Roman"/>
          <w:sz w:val="28"/>
          <w:szCs w:val="28"/>
          <w:lang w:val="en-US"/>
        </w:rPr>
        <w:t>The Trial Judge questioned both counsel on the issue</w:t>
      </w:r>
      <w:r w:rsidR="000C4DA6">
        <w:rPr>
          <w:rFonts w:ascii="Times New Roman" w:hAnsi="Times New Roman" w:cs="Times New Roman"/>
          <w:sz w:val="28"/>
          <w:szCs w:val="28"/>
          <w:lang w:val="en-US"/>
        </w:rPr>
        <w:t xml:space="preserve"> of</w:t>
      </w:r>
      <w:r w:rsidR="002E78FE" w:rsidRPr="002E78FE">
        <w:rPr>
          <w:rFonts w:ascii="Times New Roman" w:hAnsi="Times New Roman" w:cs="Times New Roman"/>
          <w:sz w:val="28"/>
          <w:szCs w:val="28"/>
          <w:lang w:val="en-US"/>
        </w:rPr>
        <w:t xml:space="preserve"> necessity.  </w:t>
      </w:r>
      <w:r w:rsidRPr="002E78FE">
        <w:rPr>
          <w:rFonts w:ascii="Times New Roman" w:hAnsi="Times New Roman" w:cs="Times New Roman"/>
          <w:sz w:val="28"/>
          <w:szCs w:val="28"/>
          <w:lang w:val="en-US"/>
        </w:rPr>
        <w:t xml:space="preserve">The Crown argued </w:t>
      </w:r>
      <w:r w:rsidR="00EA2566">
        <w:rPr>
          <w:rFonts w:ascii="Times New Roman" w:hAnsi="Times New Roman" w:cs="Times New Roman"/>
          <w:sz w:val="28"/>
          <w:szCs w:val="28"/>
          <w:lang w:val="en-US"/>
        </w:rPr>
        <w:t xml:space="preserve">before the Trial Judge </w:t>
      </w:r>
      <w:r w:rsidRPr="002E78FE">
        <w:rPr>
          <w:rFonts w:ascii="Times New Roman" w:hAnsi="Times New Roman" w:cs="Times New Roman"/>
          <w:sz w:val="28"/>
          <w:szCs w:val="28"/>
          <w:lang w:val="en-US"/>
        </w:rPr>
        <w:t xml:space="preserve">that a witness warrant was not required in the circumstances of the case given the complainant had previously not attended court and </w:t>
      </w:r>
      <w:r w:rsidR="002E78FE">
        <w:rPr>
          <w:rFonts w:ascii="Times New Roman" w:hAnsi="Times New Roman" w:cs="Times New Roman"/>
          <w:sz w:val="28"/>
          <w:szCs w:val="28"/>
          <w:lang w:val="en-US"/>
        </w:rPr>
        <w:t>referr</w:t>
      </w:r>
      <w:r w:rsidR="00B00AF6">
        <w:rPr>
          <w:rFonts w:ascii="Times New Roman" w:hAnsi="Times New Roman" w:cs="Times New Roman"/>
          <w:sz w:val="28"/>
          <w:szCs w:val="28"/>
          <w:lang w:val="en-US"/>
        </w:rPr>
        <w:t>ed</w:t>
      </w:r>
      <w:r w:rsidR="002E78FE">
        <w:rPr>
          <w:rFonts w:ascii="Times New Roman" w:hAnsi="Times New Roman" w:cs="Times New Roman"/>
          <w:sz w:val="28"/>
          <w:szCs w:val="28"/>
          <w:lang w:val="en-US"/>
        </w:rPr>
        <w:t xml:space="preserve"> to </w:t>
      </w:r>
      <w:r w:rsidRPr="002E78FE">
        <w:rPr>
          <w:rFonts w:ascii="Times New Roman" w:hAnsi="Times New Roman" w:cs="Times New Roman"/>
          <w:sz w:val="28"/>
          <w:szCs w:val="28"/>
          <w:lang w:val="en-US"/>
        </w:rPr>
        <w:t xml:space="preserve">evidence on the </w:t>
      </w:r>
      <w:r w:rsidRPr="002E78FE">
        <w:rPr>
          <w:rFonts w:ascii="Times New Roman" w:hAnsi="Times New Roman" w:cs="Times New Roman"/>
          <w:i/>
          <w:sz w:val="28"/>
          <w:szCs w:val="28"/>
          <w:lang w:val="en-US"/>
        </w:rPr>
        <w:t>voir dire</w:t>
      </w:r>
      <w:r w:rsidRPr="002E78FE">
        <w:rPr>
          <w:rFonts w:ascii="Times New Roman" w:hAnsi="Times New Roman" w:cs="Times New Roman"/>
          <w:sz w:val="28"/>
          <w:szCs w:val="28"/>
          <w:lang w:val="en-US"/>
        </w:rPr>
        <w:t xml:space="preserve"> </w:t>
      </w:r>
      <w:r w:rsidR="002E78FE">
        <w:rPr>
          <w:rFonts w:ascii="Times New Roman" w:hAnsi="Times New Roman" w:cs="Times New Roman"/>
          <w:sz w:val="28"/>
          <w:szCs w:val="28"/>
          <w:lang w:val="en-US"/>
        </w:rPr>
        <w:t>about</w:t>
      </w:r>
      <w:r w:rsidRPr="002E78FE">
        <w:rPr>
          <w:rFonts w:ascii="Times New Roman" w:hAnsi="Times New Roman" w:cs="Times New Roman"/>
          <w:sz w:val="28"/>
          <w:szCs w:val="28"/>
          <w:lang w:val="en-US"/>
        </w:rPr>
        <w:t xml:space="preserve"> the complainant’s reluctance to testify.  The Trial Judge questioned the Crown </w:t>
      </w:r>
      <w:r w:rsidR="00BE4643">
        <w:rPr>
          <w:rFonts w:ascii="Times New Roman" w:hAnsi="Times New Roman" w:cs="Times New Roman"/>
          <w:sz w:val="28"/>
          <w:szCs w:val="28"/>
          <w:lang w:val="en-US"/>
        </w:rPr>
        <w:t xml:space="preserve">about </w:t>
      </w:r>
      <w:r w:rsidRPr="002E78FE">
        <w:rPr>
          <w:rFonts w:ascii="Times New Roman" w:hAnsi="Times New Roman" w:cs="Times New Roman"/>
          <w:sz w:val="28"/>
          <w:szCs w:val="28"/>
          <w:lang w:val="en-US"/>
        </w:rPr>
        <w:t>whether it had been established that the complainant was unavailable.</w:t>
      </w:r>
    </w:p>
    <w:p w:rsidR="002E78FE" w:rsidRDefault="002E78FE" w:rsidP="002E78FE">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defence argued that because a warrant had not been sought for the arrest of the complainant (as it </w:t>
      </w:r>
      <w:r w:rsidRPr="00C47854">
        <w:rPr>
          <w:rFonts w:ascii="Times New Roman" w:hAnsi="Times New Roman" w:cs="Times New Roman"/>
          <w:sz w:val="28"/>
          <w:szCs w:val="28"/>
          <w:lang w:val="en-US"/>
        </w:rPr>
        <w:t>was</w:t>
      </w:r>
      <w:r>
        <w:rPr>
          <w:rFonts w:ascii="Times New Roman" w:hAnsi="Times New Roman" w:cs="Times New Roman"/>
          <w:sz w:val="28"/>
          <w:szCs w:val="28"/>
          <w:lang w:val="en-US"/>
        </w:rPr>
        <w:t xml:space="preserve"> on the first trial date), that necessity had not been made out.  The Crown had not made reasonable efforts to secure the attendance of the complainant.</w:t>
      </w:r>
    </w:p>
    <w:p w:rsidR="005856DC" w:rsidRDefault="005856DC" w:rsidP="005856DC">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this case, there was no specific evidence </w:t>
      </w:r>
      <w:r w:rsidR="00BE4643">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recent efforts to locate the complainant by the police or the Crown.  </w:t>
      </w:r>
      <w:r w:rsidR="00BE4643">
        <w:rPr>
          <w:rFonts w:ascii="Times New Roman" w:hAnsi="Times New Roman" w:cs="Times New Roman"/>
          <w:sz w:val="28"/>
          <w:szCs w:val="28"/>
          <w:lang w:val="en-US"/>
        </w:rPr>
        <w:t xml:space="preserve">The Crown did not seek a warrant for the arrest of the complainant when she did not attend on the second trial date.  </w:t>
      </w:r>
      <w:r>
        <w:rPr>
          <w:rFonts w:ascii="Times New Roman" w:hAnsi="Times New Roman" w:cs="Times New Roman"/>
          <w:sz w:val="28"/>
          <w:szCs w:val="28"/>
          <w:lang w:val="en-US"/>
        </w:rPr>
        <w:t>This is something that the Trial Judge considered, she acknowledged twice in her ruling that the Crown could have sought a warrant.  Despite this, on the basis of the other evidence before her and her knowledge of what had occurred on the previous trial date, the Trial Judge was satisfied on a balance of probabilities that the complainant was not available for trial and that necessity had been met.</w:t>
      </w:r>
    </w:p>
    <w:p w:rsidR="002E78FE" w:rsidRDefault="002E78FE" w:rsidP="000F3E06">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her ruling on the issue of necessity, the Trial Judge </w:t>
      </w:r>
      <w:r w:rsidR="008E6714">
        <w:rPr>
          <w:rFonts w:ascii="Times New Roman" w:hAnsi="Times New Roman" w:cs="Times New Roman"/>
          <w:sz w:val="28"/>
          <w:szCs w:val="28"/>
          <w:lang w:val="en-US"/>
        </w:rPr>
        <w:t>noted</w:t>
      </w:r>
      <w:r>
        <w:rPr>
          <w:rFonts w:ascii="Times New Roman" w:hAnsi="Times New Roman" w:cs="Times New Roman"/>
          <w:sz w:val="28"/>
          <w:szCs w:val="28"/>
          <w:lang w:val="en-US"/>
        </w:rPr>
        <w:t xml:space="preserve"> that </w:t>
      </w:r>
      <w:r w:rsidR="008E6714">
        <w:rPr>
          <w:rFonts w:ascii="Times New Roman" w:hAnsi="Times New Roman" w:cs="Times New Roman"/>
          <w:sz w:val="28"/>
          <w:szCs w:val="28"/>
          <w:lang w:val="en-US"/>
        </w:rPr>
        <w:t xml:space="preserve">the complainant, while subpoenaed, had not attended on the previous trial date, had been arrested and released on a recognizance to attend court, and had not attended.  The Trial Judge also referred to the evidence of Marie Lafferty who had been in contact with the complainant and it was apparent </w:t>
      </w:r>
      <w:r w:rsidR="00B00AF6">
        <w:rPr>
          <w:rFonts w:ascii="Times New Roman" w:hAnsi="Times New Roman" w:cs="Times New Roman"/>
          <w:sz w:val="28"/>
          <w:szCs w:val="28"/>
          <w:lang w:val="en-US"/>
        </w:rPr>
        <w:t xml:space="preserve">from her evidence </w:t>
      </w:r>
      <w:r w:rsidR="008E6714">
        <w:rPr>
          <w:rFonts w:ascii="Times New Roman" w:hAnsi="Times New Roman" w:cs="Times New Roman"/>
          <w:sz w:val="28"/>
          <w:szCs w:val="28"/>
          <w:lang w:val="en-US"/>
        </w:rPr>
        <w:t>that the complainant knew that the trial was proceeding.  The Trial Judge stated</w:t>
      </w:r>
      <w:r>
        <w:rPr>
          <w:rFonts w:ascii="Times New Roman" w:hAnsi="Times New Roman" w:cs="Times New Roman"/>
          <w:sz w:val="28"/>
          <w:szCs w:val="28"/>
          <w:lang w:val="en-US"/>
        </w:rPr>
        <w:t>:</w:t>
      </w:r>
    </w:p>
    <w:p w:rsidR="002E78FE" w:rsidRPr="006F1923" w:rsidRDefault="008E6714" w:rsidP="006F1923">
      <w:pPr>
        <w:autoSpaceDE w:val="0"/>
        <w:autoSpaceDN w:val="0"/>
        <w:adjustRightInd w:val="0"/>
        <w:spacing w:after="280" w:line="240" w:lineRule="auto"/>
        <w:ind w:left="720" w:right="720"/>
        <w:jc w:val="both"/>
        <w:rPr>
          <w:rFonts w:ascii="Times New Roman" w:hAnsi="Times New Roman" w:cs="Times New Roman"/>
          <w:sz w:val="24"/>
          <w:szCs w:val="24"/>
          <w:lang w:val="en-US"/>
        </w:rPr>
      </w:pPr>
      <w:r w:rsidRPr="006F1923">
        <w:rPr>
          <w:rFonts w:ascii="Times New Roman" w:hAnsi="Times New Roman" w:cs="Times New Roman"/>
          <w:sz w:val="24"/>
          <w:szCs w:val="24"/>
          <w:lang w:val="en-US"/>
        </w:rPr>
        <w:t xml:space="preserve">When I consider the fact that </w:t>
      </w:r>
      <w:r w:rsidR="00C47854">
        <w:rPr>
          <w:rFonts w:ascii="Times New Roman" w:hAnsi="Times New Roman" w:cs="Times New Roman"/>
          <w:sz w:val="24"/>
          <w:szCs w:val="24"/>
          <w:lang w:val="en-US"/>
        </w:rPr>
        <w:t>[the complainant]</w:t>
      </w:r>
      <w:r w:rsidRPr="006F1923">
        <w:rPr>
          <w:rFonts w:ascii="Times New Roman" w:hAnsi="Times New Roman" w:cs="Times New Roman"/>
          <w:sz w:val="24"/>
          <w:szCs w:val="24"/>
          <w:lang w:val="en-US"/>
        </w:rPr>
        <w:t xml:space="preserve"> did not attend at the last trial date, had to be arrested and brought to court in custody, and even though being released in front of a judge, and it was by me, on a recognizance ordering her to attend court this week for </w:t>
      </w:r>
      <w:r w:rsidR="00463A22" w:rsidRPr="006F1923">
        <w:rPr>
          <w:rFonts w:ascii="Times New Roman" w:hAnsi="Times New Roman" w:cs="Times New Roman"/>
          <w:sz w:val="24"/>
          <w:szCs w:val="24"/>
          <w:lang w:val="en-US"/>
        </w:rPr>
        <w:t xml:space="preserve">the trial, she did not appear, I am satisfied on the balance of probabilities that </w:t>
      </w:r>
      <w:r w:rsidR="00C47854">
        <w:rPr>
          <w:rFonts w:ascii="Times New Roman" w:hAnsi="Times New Roman" w:cs="Times New Roman"/>
          <w:sz w:val="24"/>
          <w:szCs w:val="24"/>
          <w:lang w:val="en-US"/>
        </w:rPr>
        <w:t>[the complainant]</w:t>
      </w:r>
      <w:r w:rsidR="00463A22" w:rsidRPr="006F1923">
        <w:rPr>
          <w:rFonts w:ascii="Times New Roman" w:hAnsi="Times New Roman" w:cs="Times New Roman"/>
          <w:sz w:val="24"/>
          <w:szCs w:val="24"/>
          <w:lang w:val="en-US"/>
        </w:rPr>
        <w:t xml:space="preserve"> will not come to court.  And it is not a case simply that she is not available at this proceeding, and perhaps the Crown should have asked for a warrant, they did on the last time and she was arrested.  Constable Meko was asked when the last time he saw </w:t>
      </w:r>
      <w:r w:rsidR="00C47854">
        <w:rPr>
          <w:rFonts w:ascii="Times New Roman" w:hAnsi="Times New Roman" w:cs="Times New Roman"/>
          <w:sz w:val="24"/>
          <w:szCs w:val="24"/>
          <w:lang w:val="en-US"/>
        </w:rPr>
        <w:t>[the complainant]</w:t>
      </w:r>
      <w:r w:rsidR="00463A22" w:rsidRPr="006F1923">
        <w:rPr>
          <w:rFonts w:ascii="Times New Roman" w:hAnsi="Times New Roman" w:cs="Times New Roman"/>
          <w:sz w:val="24"/>
          <w:szCs w:val="24"/>
          <w:lang w:val="en-US"/>
        </w:rPr>
        <w:t xml:space="preserve"> in the community was, and he testified it was likely the last day when she was in court in May.  Marie Lafferty, who is looking after her grandchild and in contact with her does not know where she is.</w:t>
      </w:r>
    </w:p>
    <w:p w:rsidR="00463A22" w:rsidRPr="006F1923" w:rsidRDefault="00463A22" w:rsidP="006F1923">
      <w:pPr>
        <w:autoSpaceDE w:val="0"/>
        <w:autoSpaceDN w:val="0"/>
        <w:adjustRightInd w:val="0"/>
        <w:spacing w:after="280" w:line="240" w:lineRule="auto"/>
        <w:ind w:left="720" w:right="720"/>
        <w:jc w:val="both"/>
        <w:rPr>
          <w:rFonts w:ascii="Times New Roman" w:hAnsi="Times New Roman" w:cs="Times New Roman"/>
          <w:sz w:val="24"/>
          <w:szCs w:val="24"/>
          <w:lang w:val="en-US"/>
        </w:rPr>
      </w:pPr>
      <w:r w:rsidRPr="006F1923">
        <w:rPr>
          <w:rFonts w:ascii="Times New Roman" w:hAnsi="Times New Roman" w:cs="Times New Roman"/>
          <w:sz w:val="24"/>
          <w:szCs w:val="24"/>
          <w:lang w:val="en-US"/>
        </w:rPr>
        <w:t xml:space="preserve">I do draw an inference that </w:t>
      </w:r>
      <w:r w:rsidR="00C47854">
        <w:rPr>
          <w:rFonts w:ascii="Times New Roman" w:hAnsi="Times New Roman" w:cs="Times New Roman"/>
          <w:sz w:val="24"/>
          <w:szCs w:val="24"/>
          <w:lang w:val="en-US"/>
        </w:rPr>
        <w:t>[the complainant]</w:t>
      </w:r>
      <w:r w:rsidRPr="006F1923">
        <w:rPr>
          <w:rFonts w:ascii="Times New Roman" w:hAnsi="Times New Roman" w:cs="Times New Roman"/>
          <w:sz w:val="24"/>
          <w:szCs w:val="24"/>
          <w:lang w:val="en-US"/>
        </w:rPr>
        <w:t xml:space="preserve"> does not want to be found.  Whether the Crown should have once again asked for a warrant and an adjournment of the trial, that may have been a step they could have taken, but I am not about to find that it is necessary to take that step.  The Crown made a decision to proceed with the matter.</w:t>
      </w:r>
    </w:p>
    <w:p w:rsidR="00463A22" w:rsidRPr="006F1923" w:rsidRDefault="00463A22" w:rsidP="006F1923">
      <w:pPr>
        <w:autoSpaceDE w:val="0"/>
        <w:autoSpaceDN w:val="0"/>
        <w:adjustRightInd w:val="0"/>
        <w:spacing w:after="280" w:line="240" w:lineRule="auto"/>
        <w:ind w:left="720" w:right="720"/>
        <w:jc w:val="both"/>
        <w:rPr>
          <w:rFonts w:ascii="Times New Roman" w:hAnsi="Times New Roman" w:cs="Times New Roman"/>
          <w:sz w:val="24"/>
          <w:szCs w:val="24"/>
          <w:lang w:val="en-US"/>
        </w:rPr>
      </w:pPr>
      <w:r w:rsidRPr="006F1923">
        <w:rPr>
          <w:rFonts w:ascii="Times New Roman" w:hAnsi="Times New Roman" w:cs="Times New Roman"/>
          <w:sz w:val="24"/>
          <w:szCs w:val="24"/>
          <w:lang w:val="en-US"/>
        </w:rPr>
        <w:t>So I am satisfied on the balance of probabilities that the witness was not available for trial.</w:t>
      </w:r>
    </w:p>
    <w:p w:rsidR="00B275E2" w:rsidRPr="00B275E2" w:rsidRDefault="00C75FE2" w:rsidP="000F3E06">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sidRPr="00B275E2">
        <w:rPr>
          <w:rFonts w:ascii="Times New Roman" w:hAnsi="Times New Roman" w:cs="Times New Roman"/>
          <w:sz w:val="28"/>
          <w:szCs w:val="28"/>
          <w:lang w:val="en-US"/>
        </w:rPr>
        <w:t xml:space="preserve">In determining whether reasonable efforts were made to obtain the evidence of a witness, consideration of </w:t>
      </w:r>
      <w:r w:rsidR="00F94038">
        <w:rPr>
          <w:rFonts w:ascii="Times New Roman" w:hAnsi="Times New Roman" w:cs="Times New Roman"/>
          <w:sz w:val="28"/>
          <w:szCs w:val="28"/>
          <w:lang w:val="en-US"/>
        </w:rPr>
        <w:t>what has occurred on prior dates during the proceeding c</w:t>
      </w:r>
      <w:r w:rsidR="004556A8">
        <w:rPr>
          <w:rFonts w:ascii="Times New Roman" w:hAnsi="Times New Roman" w:cs="Times New Roman"/>
          <w:sz w:val="28"/>
          <w:szCs w:val="28"/>
          <w:lang w:val="en-US"/>
        </w:rPr>
        <w:t>an be</w:t>
      </w:r>
      <w:r w:rsidRPr="00B275E2">
        <w:rPr>
          <w:rFonts w:ascii="Times New Roman" w:hAnsi="Times New Roman" w:cs="Times New Roman"/>
          <w:sz w:val="28"/>
          <w:szCs w:val="28"/>
          <w:lang w:val="en-US"/>
        </w:rPr>
        <w:t xml:space="preserve"> relevant.  The Trial Judge was entitled to consider the previous </w:t>
      </w:r>
      <w:r w:rsidR="00F94038">
        <w:rPr>
          <w:rFonts w:ascii="Times New Roman" w:hAnsi="Times New Roman" w:cs="Times New Roman"/>
          <w:sz w:val="28"/>
          <w:szCs w:val="28"/>
          <w:lang w:val="en-US"/>
        </w:rPr>
        <w:t xml:space="preserve">trial date </w:t>
      </w:r>
      <w:r w:rsidRPr="00B275E2">
        <w:rPr>
          <w:rFonts w:ascii="Times New Roman" w:hAnsi="Times New Roman" w:cs="Times New Roman"/>
          <w:sz w:val="28"/>
          <w:szCs w:val="28"/>
          <w:lang w:val="en-US"/>
        </w:rPr>
        <w:t xml:space="preserve">and the complainant’s failure to attend on that date.  The witness had been subpoenaed for the May 2017 trial date, had not attended and a warrant had been issued for her arrest.  The complainant had been arrested, held in custody overnight and brought to court the next morning.  The trial could have proceeded on that date with the complainant’s </w:t>
      </w:r>
      <w:r w:rsidR="00FD4D9E">
        <w:rPr>
          <w:rFonts w:ascii="Times New Roman" w:hAnsi="Times New Roman" w:cs="Times New Roman"/>
          <w:sz w:val="28"/>
          <w:szCs w:val="28"/>
          <w:lang w:val="en-US"/>
        </w:rPr>
        <w:t>evidence</w:t>
      </w:r>
      <w:r w:rsidRPr="00B275E2">
        <w:rPr>
          <w:rFonts w:ascii="Times New Roman" w:hAnsi="Times New Roman" w:cs="Times New Roman"/>
          <w:sz w:val="28"/>
          <w:szCs w:val="28"/>
          <w:lang w:val="en-US"/>
        </w:rPr>
        <w:t xml:space="preserve">, however, the Appellant </w:t>
      </w:r>
      <w:r w:rsidR="00B275E2" w:rsidRPr="00B275E2">
        <w:rPr>
          <w:rFonts w:ascii="Times New Roman" w:hAnsi="Times New Roman" w:cs="Times New Roman"/>
          <w:sz w:val="28"/>
          <w:szCs w:val="28"/>
          <w:lang w:val="en-US"/>
        </w:rPr>
        <w:t xml:space="preserve">obtained an adjournment of the trial after his counsel was removed from the record </w:t>
      </w:r>
      <w:r w:rsidR="003518A3">
        <w:rPr>
          <w:rFonts w:ascii="Times New Roman" w:hAnsi="Times New Roman" w:cs="Times New Roman"/>
          <w:sz w:val="28"/>
          <w:szCs w:val="28"/>
          <w:lang w:val="en-US"/>
        </w:rPr>
        <w:t xml:space="preserve">on the basis of a </w:t>
      </w:r>
      <w:r w:rsidR="00B275E2" w:rsidRPr="00B275E2">
        <w:rPr>
          <w:rFonts w:ascii="Times New Roman" w:hAnsi="Times New Roman" w:cs="Times New Roman"/>
          <w:sz w:val="28"/>
          <w:szCs w:val="28"/>
          <w:lang w:val="en-US"/>
        </w:rPr>
        <w:t xml:space="preserve">breakdown of the solicitor-client relationship. </w:t>
      </w:r>
      <w:r w:rsidR="006F1923">
        <w:rPr>
          <w:rFonts w:ascii="Times New Roman" w:hAnsi="Times New Roman" w:cs="Times New Roman"/>
          <w:sz w:val="28"/>
          <w:szCs w:val="28"/>
          <w:lang w:val="en-US"/>
        </w:rPr>
        <w:t xml:space="preserve"> </w:t>
      </w:r>
      <w:r w:rsidR="00B275E2" w:rsidRPr="00B275E2">
        <w:rPr>
          <w:rFonts w:ascii="Times New Roman" w:hAnsi="Times New Roman" w:cs="Times New Roman"/>
          <w:sz w:val="28"/>
          <w:szCs w:val="28"/>
          <w:lang w:val="en-US"/>
        </w:rPr>
        <w:t xml:space="preserve">The complainant was </w:t>
      </w:r>
      <w:r w:rsidR="00B275E2">
        <w:rPr>
          <w:rFonts w:ascii="Times New Roman" w:hAnsi="Times New Roman" w:cs="Times New Roman"/>
          <w:sz w:val="28"/>
          <w:szCs w:val="28"/>
          <w:lang w:val="en-US"/>
        </w:rPr>
        <w:t xml:space="preserve">then </w:t>
      </w:r>
      <w:r w:rsidR="00B275E2" w:rsidRPr="00B275E2">
        <w:rPr>
          <w:rFonts w:ascii="Times New Roman" w:hAnsi="Times New Roman" w:cs="Times New Roman"/>
          <w:sz w:val="28"/>
          <w:szCs w:val="28"/>
          <w:lang w:val="en-US"/>
        </w:rPr>
        <w:t>released on a recognizance to attend for the trial in July 2017 whereupon she did not attend.</w:t>
      </w:r>
      <w:r w:rsidR="00A06ABF">
        <w:rPr>
          <w:rFonts w:ascii="Times New Roman" w:hAnsi="Times New Roman" w:cs="Times New Roman"/>
          <w:sz w:val="28"/>
          <w:szCs w:val="28"/>
          <w:lang w:val="en-US"/>
        </w:rPr>
        <w:t xml:space="preserve">  </w:t>
      </w:r>
    </w:p>
    <w:p w:rsidR="00B275E2" w:rsidRDefault="00B275E2" w:rsidP="0015629C">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There was also the evidence of the investigator regarding his contact with the complainant</w:t>
      </w:r>
      <w:r w:rsidR="004556A8">
        <w:rPr>
          <w:rFonts w:ascii="Times New Roman" w:hAnsi="Times New Roman" w:cs="Times New Roman"/>
          <w:sz w:val="28"/>
          <w:szCs w:val="28"/>
          <w:lang w:val="en-US"/>
        </w:rPr>
        <w:t>, that he had not seen her since</w:t>
      </w:r>
      <w:r w:rsidR="00F94038">
        <w:rPr>
          <w:rFonts w:ascii="Times New Roman" w:hAnsi="Times New Roman" w:cs="Times New Roman"/>
          <w:sz w:val="28"/>
          <w:szCs w:val="28"/>
          <w:lang w:val="en-US"/>
        </w:rPr>
        <w:t xml:space="preserve"> </w:t>
      </w:r>
      <w:r w:rsidR="004556A8">
        <w:rPr>
          <w:rFonts w:ascii="Times New Roman" w:hAnsi="Times New Roman" w:cs="Times New Roman"/>
          <w:sz w:val="28"/>
          <w:szCs w:val="28"/>
          <w:lang w:val="en-US"/>
        </w:rPr>
        <w:t xml:space="preserve">the last trial date </w:t>
      </w:r>
      <w:r>
        <w:rPr>
          <w:rFonts w:ascii="Times New Roman" w:hAnsi="Times New Roman" w:cs="Times New Roman"/>
          <w:sz w:val="28"/>
          <w:szCs w:val="28"/>
          <w:lang w:val="en-US"/>
        </w:rPr>
        <w:t xml:space="preserve">and </w:t>
      </w:r>
      <w:r w:rsidR="003102C9">
        <w:rPr>
          <w:rFonts w:ascii="Times New Roman" w:hAnsi="Times New Roman" w:cs="Times New Roman"/>
          <w:sz w:val="28"/>
          <w:szCs w:val="28"/>
          <w:lang w:val="en-US"/>
        </w:rPr>
        <w:t>the</w:t>
      </w:r>
      <w:r>
        <w:rPr>
          <w:rFonts w:ascii="Times New Roman" w:hAnsi="Times New Roman" w:cs="Times New Roman"/>
          <w:sz w:val="28"/>
          <w:szCs w:val="28"/>
          <w:lang w:val="en-US"/>
        </w:rPr>
        <w:t xml:space="preserve"> ambivalence that she had expressed </w:t>
      </w:r>
      <w:r w:rsidR="00E6141A">
        <w:rPr>
          <w:rFonts w:ascii="Times New Roman" w:hAnsi="Times New Roman" w:cs="Times New Roman"/>
          <w:sz w:val="28"/>
          <w:szCs w:val="28"/>
          <w:lang w:val="en-US"/>
        </w:rPr>
        <w:t xml:space="preserve">to him </w:t>
      </w:r>
      <w:r>
        <w:rPr>
          <w:rFonts w:ascii="Times New Roman" w:hAnsi="Times New Roman" w:cs="Times New Roman"/>
          <w:sz w:val="28"/>
          <w:szCs w:val="28"/>
          <w:lang w:val="en-US"/>
        </w:rPr>
        <w:t xml:space="preserve">about proceeding with the charges.  </w:t>
      </w:r>
      <w:r w:rsidR="003102C9">
        <w:rPr>
          <w:rFonts w:ascii="Times New Roman" w:hAnsi="Times New Roman" w:cs="Times New Roman"/>
          <w:sz w:val="28"/>
          <w:szCs w:val="28"/>
          <w:lang w:val="en-US"/>
        </w:rPr>
        <w:t>Two family members of the Appellant, Shirley Lafferty and Marie Lafferty, also testified</w:t>
      </w:r>
      <w:r w:rsidR="00FD4D9E">
        <w:rPr>
          <w:rFonts w:ascii="Times New Roman" w:hAnsi="Times New Roman" w:cs="Times New Roman"/>
          <w:sz w:val="28"/>
          <w:szCs w:val="28"/>
          <w:lang w:val="en-US"/>
        </w:rPr>
        <w:t xml:space="preserve"> that they had not seen </w:t>
      </w:r>
      <w:r w:rsidR="003102C9">
        <w:rPr>
          <w:rFonts w:ascii="Times New Roman" w:hAnsi="Times New Roman" w:cs="Times New Roman"/>
          <w:sz w:val="28"/>
          <w:szCs w:val="28"/>
          <w:lang w:val="en-US"/>
        </w:rPr>
        <w:t>the complainant and referr</w:t>
      </w:r>
      <w:r w:rsidR="00F76200">
        <w:rPr>
          <w:rFonts w:ascii="Times New Roman" w:hAnsi="Times New Roman" w:cs="Times New Roman"/>
          <w:sz w:val="28"/>
          <w:szCs w:val="28"/>
          <w:lang w:val="en-US"/>
        </w:rPr>
        <w:t>ed</w:t>
      </w:r>
      <w:r w:rsidR="003102C9">
        <w:rPr>
          <w:rFonts w:ascii="Times New Roman" w:hAnsi="Times New Roman" w:cs="Times New Roman"/>
          <w:sz w:val="28"/>
          <w:szCs w:val="28"/>
          <w:lang w:val="en-US"/>
        </w:rPr>
        <w:t xml:space="preserve"> to emails that she had apparently sent to the Crown Witness Coordinator seeking to have the charges dropped.</w:t>
      </w:r>
    </w:p>
    <w:p w:rsidR="003102C9" w:rsidRDefault="003102C9" w:rsidP="0015629C">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Jenna Cook, a Crown Witness Coordinator, also testified regarding her contact with the complainant and the complainant’s communications with her including an e-mail that she had received apparently from the complainant on July 5, 2017</w:t>
      </w:r>
      <w:r w:rsidR="00E6141A">
        <w:rPr>
          <w:rFonts w:ascii="Times New Roman" w:hAnsi="Times New Roman" w:cs="Times New Roman"/>
          <w:sz w:val="28"/>
          <w:szCs w:val="28"/>
          <w:lang w:val="en-US"/>
        </w:rPr>
        <w:t>,</w:t>
      </w:r>
      <w:r>
        <w:rPr>
          <w:rFonts w:ascii="Times New Roman" w:hAnsi="Times New Roman" w:cs="Times New Roman"/>
          <w:sz w:val="28"/>
          <w:szCs w:val="28"/>
          <w:lang w:val="en-US"/>
        </w:rPr>
        <w:t xml:space="preserve"> which was the first day of the </w:t>
      </w:r>
      <w:r>
        <w:rPr>
          <w:rFonts w:ascii="Times New Roman" w:hAnsi="Times New Roman" w:cs="Times New Roman"/>
          <w:i/>
          <w:sz w:val="28"/>
          <w:szCs w:val="28"/>
          <w:lang w:val="en-US"/>
        </w:rPr>
        <w:t>voir dire</w:t>
      </w:r>
      <w:r>
        <w:rPr>
          <w:rFonts w:ascii="Times New Roman" w:hAnsi="Times New Roman" w:cs="Times New Roman"/>
          <w:sz w:val="28"/>
          <w:szCs w:val="28"/>
          <w:lang w:val="en-US"/>
        </w:rPr>
        <w:t xml:space="preserve">, stating that </w:t>
      </w:r>
      <w:r w:rsidR="00FD4D9E">
        <w:rPr>
          <w:rFonts w:ascii="Times New Roman" w:hAnsi="Times New Roman" w:cs="Times New Roman"/>
          <w:sz w:val="28"/>
          <w:szCs w:val="28"/>
          <w:lang w:val="en-US"/>
        </w:rPr>
        <w:t>the complainant</w:t>
      </w:r>
      <w:r>
        <w:rPr>
          <w:rFonts w:ascii="Times New Roman" w:hAnsi="Times New Roman" w:cs="Times New Roman"/>
          <w:sz w:val="28"/>
          <w:szCs w:val="28"/>
          <w:lang w:val="en-US"/>
        </w:rPr>
        <w:t xml:space="preserve"> “was intoxicated” and “wanted to punish him over my jealousy</w:t>
      </w:r>
      <w:r w:rsidR="00F76200">
        <w:rPr>
          <w:rFonts w:ascii="Times New Roman" w:hAnsi="Times New Roman" w:cs="Times New Roman"/>
          <w:sz w:val="28"/>
          <w:szCs w:val="28"/>
          <w:lang w:val="en-US"/>
        </w:rPr>
        <w:t>.</w:t>
      </w:r>
      <w:r>
        <w:rPr>
          <w:rFonts w:ascii="Times New Roman" w:hAnsi="Times New Roman" w:cs="Times New Roman"/>
          <w:sz w:val="28"/>
          <w:szCs w:val="28"/>
          <w:lang w:val="en-US"/>
        </w:rPr>
        <w:t>”</w:t>
      </w:r>
    </w:p>
    <w:p w:rsidR="00807990" w:rsidRDefault="00127F7E" w:rsidP="0015629C">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Trial Judge is entitled to deference on her as</w:t>
      </w:r>
      <w:r w:rsidR="0044208E">
        <w:rPr>
          <w:rFonts w:ascii="Times New Roman" w:hAnsi="Times New Roman" w:cs="Times New Roman"/>
          <w:sz w:val="28"/>
          <w:szCs w:val="28"/>
          <w:lang w:val="en-US"/>
        </w:rPr>
        <w:t>sessment of the evidence and her</w:t>
      </w:r>
      <w:r>
        <w:rPr>
          <w:rFonts w:ascii="Times New Roman" w:hAnsi="Times New Roman" w:cs="Times New Roman"/>
          <w:sz w:val="28"/>
          <w:szCs w:val="28"/>
          <w:lang w:val="en-US"/>
        </w:rPr>
        <w:t xml:space="preserve"> findings of fact.  </w:t>
      </w:r>
      <w:r w:rsidR="00A06ABF">
        <w:rPr>
          <w:rFonts w:ascii="Times New Roman" w:hAnsi="Times New Roman" w:cs="Times New Roman"/>
          <w:sz w:val="28"/>
          <w:szCs w:val="28"/>
          <w:lang w:val="en-US"/>
        </w:rPr>
        <w:t xml:space="preserve">On the record before the Trial Judge and based upon her knowledge of the matter, it was clear that the complainant was not interested in participating in the trial at that point.  </w:t>
      </w:r>
      <w:r w:rsidR="00807990">
        <w:rPr>
          <w:rFonts w:ascii="Times New Roman" w:hAnsi="Times New Roman" w:cs="Times New Roman"/>
          <w:sz w:val="28"/>
          <w:szCs w:val="28"/>
          <w:lang w:val="en-US"/>
        </w:rPr>
        <w:t>A review of the record reveals that th</w:t>
      </w:r>
      <w:r w:rsidR="005856DC">
        <w:rPr>
          <w:rFonts w:ascii="Times New Roman" w:hAnsi="Times New Roman" w:cs="Times New Roman"/>
          <w:sz w:val="28"/>
          <w:szCs w:val="28"/>
          <w:lang w:val="en-US"/>
        </w:rPr>
        <w:t>e Trial Judge’s conclusions with respect to necessity were</w:t>
      </w:r>
      <w:r w:rsidR="00807990">
        <w:rPr>
          <w:rFonts w:ascii="Times New Roman" w:hAnsi="Times New Roman" w:cs="Times New Roman"/>
          <w:sz w:val="28"/>
          <w:szCs w:val="28"/>
          <w:lang w:val="en-US"/>
        </w:rPr>
        <w:t xml:space="preserve"> reasonably supported by the evidence.  </w:t>
      </w:r>
      <w:r w:rsidR="005856DC">
        <w:rPr>
          <w:rFonts w:ascii="Times New Roman" w:hAnsi="Times New Roman" w:cs="Times New Roman"/>
          <w:sz w:val="28"/>
          <w:szCs w:val="28"/>
          <w:lang w:val="en-US"/>
        </w:rPr>
        <w:t>The Trial Judge’s decision that necessity had been met in this case was not unreasonable and is entitled to deference.</w:t>
      </w:r>
    </w:p>
    <w:p w:rsidR="00F771BE" w:rsidRPr="00F771BE" w:rsidRDefault="005856DC" w:rsidP="00F771BE">
      <w:pPr>
        <w:autoSpaceDE w:val="0"/>
        <w:autoSpaceDN w:val="0"/>
        <w:adjustRightInd w:val="0"/>
        <w:spacing w:after="280" w:line="240" w:lineRule="auto"/>
        <w:jc w:val="both"/>
        <w:rPr>
          <w:rFonts w:ascii="Times New Roman" w:hAnsi="Times New Roman" w:cs="Times New Roman"/>
          <w:b/>
          <w:i/>
          <w:sz w:val="28"/>
          <w:szCs w:val="28"/>
          <w:u w:val="single"/>
          <w:lang w:val="en-US"/>
        </w:rPr>
      </w:pPr>
      <w:r>
        <w:rPr>
          <w:rFonts w:ascii="Times New Roman" w:hAnsi="Times New Roman" w:cs="Times New Roman"/>
          <w:i/>
          <w:sz w:val="28"/>
          <w:szCs w:val="28"/>
          <w:lang w:val="en-US"/>
        </w:rPr>
        <w:t>Threshold Reliability</w:t>
      </w:r>
    </w:p>
    <w:p w:rsidR="00D3355A" w:rsidRPr="00A82E6B" w:rsidRDefault="000D514A"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A </w:t>
      </w:r>
      <w:r w:rsidR="00182AAB">
        <w:rPr>
          <w:rFonts w:ascii="Times New Roman" w:hAnsi="Times New Roman" w:cs="Times New Roman"/>
          <w:sz w:val="28"/>
          <w:szCs w:val="28"/>
          <w:lang w:val="en-US"/>
        </w:rPr>
        <w:t>t</w:t>
      </w:r>
      <w:r>
        <w:rPr>
          <w:rFonts w:ascii="Times New Roman" w:hAnsi="Times New Roman" w:cs="Times New Roman"/>
          <w:sz w:val="28"/>
          <w:szCs w:val="28"/>
          <w:lang w:val="en-US"/>
        </w:rPr>
        <w:t xml:space="preserve">rial </w:t>
      </w:r>
      <w:r w:rsidR="00182AAB">
        <w:rPr>
          <w:rFonts w:ascii="Times New Roman" w:hAnsi="Times New Roman" w:cs="Times New Roman"/>
          <w:sz w:val="28"/>
          <w:szCs w:val="28"/>
          <w:lang w:val="en-US"/>
        </w:rPr>
        <w:t>j</w:t>
      </w:r>
      <w:r>
        <w:rPr>
          <w:rFonts w:ascii="Times New Roman" w:hAnsi="Times New Roman" w:cs="Times New Roman"/>
          <w:sz w:val="28"/>
          <w:szCs w:val="28"/>
          <w:lang w:val="en-US"/>
        </w:rPr>
        <w:t xml:space="preserve">udge is required to consider whether the statement meets the requirement of threshold reliability in order for </w:t>
      </w:r>
      <w:r w:rsidR="00D3355A">
        <w:rPr>
          <w:rFonts w:ascii="Times New Roman" w:hAnsi="Times New Roman" w:cs="Times New Roman"/>
          <w:sz w:val="28"/>
          <w:szCs w:val="28"/>
          <w:lang w:val="en-US"/>
        </w:rPr>
        <w:t>an out-of-court statement</w:t>
      </w:r>
      <w:r>
        <w:rPr>
          <w:rFonts w:ascii="Times New Roman" w:hAnsi="Times New Roman" w:cs="Times New Roman"/>
          <w:sz w:val="28"/>
          <w:szCs w:val="28"/>
          <w:lang w:val="en-US"/>
        </w:rPr>
        <w:t xml:space="preserve"> to be admissible.  A statement must be “sufficiently reliable to overcome the dangers arising from the difficulty of testing it.” </w:t>
      </w:r>
      <w:r w:rsidR="006F1923">
        <w:rPr>
          <w:rFonts w:ascii="Times New Roman" w:hAnsi="Times New Roman" w:cs="Times New Roman"/>
          <w:sz w:val="28"/>
          <w:szCs w:val="28"/>
          <w:lang w:val="en-US"/>
        </w:rPr>
        <w:t xml:space="preserve"> </w:t>
      </w:r>
      <w:r w:rsidR="00D3355A">
        <w:rPr>
          <w:rFonts w:ascii="Times New Roman" w:hAnsi="Times New Roman" w:cs="Times New Roman"/>
          <w:i/>
          <w:sz w:val="28"/>
          <w:szCs w:val="28"/>
          <w:lang w:val="en-US"/>
        </w:rPr>
        <w:t xml:space="preserve">Khelawon, </w:t>
      </w:r>
      <w:r w:rsidR="00D3355A">
        <w:rPr>
          <w:rFonts w:ascii="Times New Roman" w:hAnsi="Times New Roman" w:cs="Times New Roman"/>
          <w:sz w:val="28"/>
          <w:szCs w:val="28"/>
          <w:lang w:val="en-US"/>
        </w:rPr>
        <w:t>para 49.</w:t>
      </w:r>
    </w:p>
    <w:p w:rsidR="00A82E6B" w:rsidRPr="000C6CFA" w:rsidRDefault="00916925"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inability to contemporaneously cross-examine </w:t>
      </w:r>
      <w:r w:rsidR="002C0655">
        <w:rPr>
          <w:rFonts w:ascii="Times New Roman" w:hAnsi="Times New Roman" w:cs="Times New Roman"/>
          <w:sz w:val="28"/>
          <w:szCs w:val="28"/>
          <w:lang w:val="en-US"/>
        </w:rPr>
        <w:t xml:space="preserve">the maker of the statement is one </w:t>
      </w:r>
      <w:r w:rsidR="000C6CFA">
        <w:rPr>
          <w:rFonts w:ascii="Times New Roman" w:hAnsi="Times New Roman" w:cs="Times New Roman"/>
          <w:sz w:val="28"/>
          <w:szCs w:val="28"/>
          <w:lang w:val="en-US"/>
        </w:rPr>
        <w:t xml:space="preserve">of the central concerns with the admissibility of hearsay evidence.  The focus of the inquiry is whether this concern is sufficiently overcome to justify admitting the evidence as an exception to the exclusionary rule.  </w:t>
      </w:r>
      <w:r w:rsidR="000C6CFA">
        <w:rPr>
          <w:rFonts w:ascii="Times New Roman" w:hAnsi="Times New Roman" w:cs="Times New Roman"/>
          <w:i/>
          <w:sz w:val="28"/>
          <w:szCs w:val="28"/>
          <w:lang w:val="en-US"/>
        </w:rPr>
        <w:t xml:space="preserve">Khelawon, </w:t>
      </w:r>
      <w:r w:rsidR="000C6CFA">
        <w:rPr>
          <w:rFonts w:ascii="Times New Roman" w:hAnsi="Times New Roman" w:cs="Times New Roman"/>
          <w:sz w:val="28"/>
          <w:szCs w:val="28"/>
          <w:lang w:val="en-US"/>
        </w:rPr>
        <w:t>para 61.</w:t>
      </w:r>
    </w:p>
    <w:p w:rsidR="000C6CFA" w:rsidRPr="003728F4" w:rsidRDefault="00D30E8E"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threshold reliability of an out-of-court statement can be </w:t>
      </w:r>
      <w:r w:rsidR="00250FFA">
        <w:rPr>
          <w:rFonts w:ascii="Times New Roman" w:hAnsi="Times New Roman" w:cs="Times New Roman"/>
          <w:sz w:val="28"/>
          <w:szCs w:val="28"/>
          <w:lang w:val="en-US"/>
        </w:rPr>
        <w:t xml:space="preserve">established by showing the substantive reliability or procedural reliability of the statement.  Substantive reliability </w:t>
      </w:r>
      <w:r w:rsidR="003728F4">
        <w:rPr>
          <w:rFonts w:ascii="Times New Roman" w:hAnsi="Times New Roman" w:cs="Times New Roman"/>
          <w:sz w:val="28"/>
          <w:szCs w:val="28"/>
          <w:lang w:val="en-US"/>
        </w:rPr>
        <w:t xml:space="preserve">is concerned with whether there are sufficient circumstantial or evidentiary guarantees that the statement is inherently trustworthy.  Procedural reliability is concerned with whether there are adequate substitutes for testing the truth and accuracy of the statement.  </w:t>
      </w:r>
      <w:r w:rsidR="003728F4">
        <w:rPr>
          <w:rFonts w:ascii="Times New Roman" w:hAnsi="Times New Roman" w:cs="Times New Roman"/>
          <w:i/>
          <w:sz w:val="28"/>
          <w:szCs w:val="28"/>
          <w:lang w:val="en-US"/>
        </w:rPr>
        <w:t>R v Bradshaw</w:t>
      </w:r>
      <w:r w:rsidR="003728F4">
        <w:rPr>
          <w:rFonts w:ascii="Times New Roman" w:hAnsi="Times New Roman" w:cs="Times New Roman"/>
          <w:sz w:val="28"/>
          <w:szCs w:val="28"/>
          <w:lang w:val="en-US"/>
        </w:rPr>
        <w:t>, 2017 SCC 35 at para 27.</w:t>
      </w:r>
    </w:p>
    <w:p w:rsidR="003728F4" w:rsidRPr="00A47D69" w:rsidRDefault="00911F3B"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To determine whether a statement is inherently trustworthy, </w:t>
      </w:r>
      <w:r w:rsidR="00182AAB">
        <w:rPr>
          <w:rFonts w:ascii="Times New Roman" w:hAnsi="Times New Roman" w:cs="Times New Roman"/>
          <w:sz w:val="28"/>
          <w:szCs w:val="28"/>
          <w:lang w:val="en-US"/>
        </w:rPr>
        <w:t xml:space="preserve">the trial judge can consider the circumstances in which it was made and any evidence that corroborates or conflicts with it.  </w:t>
      </w:r>
      <w:r w:rsidR="00A47D69">
        <w:rPr>
          <w:rFonts w:ascii="Times New Roman" w:hAnsi="Times New Roman" w:cs="Times New Roman"/>
          <w:i/>
          <w:sz w:val="28"/>
          <w:szCs w:val="28"/>
          <w:lang w:val="en-US"/>
        </w:rPr>
        <w:t xml:space="preserve">Bradshaw, </w:t>
      </w:r>
      <w:r w:rsidR="00A47D69">
        <w:rPr>
          <w:rFonts w:ascii="Times New Roman" w:hAnsi="Times New Roman" w:cs="Times New Roman"/>
          <w:sz w:val="28"/>
          <w:szCs w:val="28"/>
          <w:lang w:val="en-US"/>
        </w:rPr>
        <w:t>para 30.</w:t>
      </w:r>
    </w:p>
    <w:p w:rsidR="00A47D69" w:rsidRPr="00A47D69" w:rsidRDefault="00A47D69"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In </w:t>
      </w:r>
      <w:r>
        <w:rPr>
          <w:rFonts w:ascii="Times New Roman" w:hAnsi="Times New Roman" w:cs="Times New Roman"/>
          <w:i/>
          <w:sz w:val="28"/>
          <w:szCs w:val="28"/>
          <w:lang w:val="en-US"/>
        </w:rPr>
        <w:t xml:space="preserve">Bradshaw, </w:t>
      </w:r>
      <w:r>
        <w:rPr>
          <w:rFonts w:ascii="Times New Roman" w:hAnsi="Times New Roman" w:cs="Times New Roman"/>
          <w:sz w:val="28"/>
          <w:szCs w:val="28"/>
          <w:lang w:val="en-US"/>
        </w:rPr>
        <w:t>the Supreme Court of Canada set out a framework for determining whether corroborative evidence can assist in the substantive reliability inquiry</w:t>
      </w:r>
      <w:r w:rsidR="00837EA7">
        <w:rPr>
          <w:rFonts w:ascii="Times New Roman" w:hAnsi="Times New Roman" w:cs="Times New Roman"/>
          <w:sz w:val="28"/>
          <w:szCs w:val="28"/>
          <w:lang w:val="en-US"/>
        </w:rPr>
        <w:t xml:space="preserve"> (at para 57)</w:t>
      </w:r>
      <w:r>
        <w:rPr>
          <w:rFonts w:ascii="Times New Roman" w:hAnsi="Times New Roman" w:cs="Times New Roman"/>
          <w:sz w:val="28"/>
          <w:szCs w:val="28"/>
          <w:lang w:val="en-US"/>
        </w:rPr>
        <w:t>:</w:t>
      </w:r>
    </w:p>
    <w:p w:rsidR="00A47D69" w:rsidRPr="00D85974" w:rsidRDefault="00A47D69" w:rsidP="00D85974">
      <w:pPr>
        <w:pStyle w:val="ListParagraph"/>
        <w:numPr>
          <w:ilvl w:val="0"/>
          <w:numId w:val="12"/>
        </w:numPr>
        <w:autoSpaceDE w:val="0"/>
        <w:autoSpaceDN w:val="0"/>
        <w:adjustRightInd w:val="0"/>
        <w:spacing w:after="280" w:line="240" w:lineRule="auto"/>
        <w:ind w:left="1077" w:right="720" w:hanging="357"/>
        <w:jc w:val="both"/>
        <w:rPr>
          <w:rFonts w:ascii="Times New Roman" w:hAnsi="Times New Roman" w:cs="Times New Roman"/>
          <w:b/>
          <w:sz w:val="24"/>
          <w:szCs w:val="24"/>
          <w:u w:val="single"/>
          <w:lang w:val="en-US"/>
        </w:rPr>
      </w:pPr>
      <w:r w:rsidRPr="00D85974">
        <w:rPr>
          <w:rFonts w:ascii="Times New Roman" w:hAnsi="Times New Roman" w:cs="Times New Roman"/>
          <w:sz w:val="24"/>
          <w:szCs w:val="24"/>
          <w:lang w:val="en-US"/>
        </w:rPr>
        <w:t>identify the material aspects of the hearsay statement that are tendered for their truth;</w:t>
      </w:r>
    </w:p>
    <w:p w:rsidR="00A47D69" w:rsidRPr="00D85974" w:rsidRDefault="00A47D69" w:rsidP="00D85974">
      <w:pPr>
        <w:pStyle w:val="ListParagraph"/>
        <w:numPr>
          <w:ilvl w:val="0"/>
          <w:numId w:val="12"/>
        </w:numPr>
        <w:autoSpaceDE w:val="0"/>
        <w:autoSpaceDN w:val="0"/>
        <w:adjustRightInd w:val="0"/>
        <w:spacing w:after="280" w:line="240" w:lineRule="auto"/>
        <w:ind w:left="1077" w:right="720" w:hanging="357"/>
        <w:jc w:val="both"/>
        <w:rPr>
          <w:rFonts w:ascii="Times New Roman" w:hAnsi="Times New Roman" w:cs="Times New Roman"/>
          <w:b/>
          <w:sz w:val="24"/>
          <w:szCs w:val="24"/>
          <w:u w:val="single"/>
          <w:lang w:val="en-US"/>
        </w:rPr>
      </w:pPr>
      <w:r w:rsidRPr="00D85974">
        <w:rPr>
          <w:rFonts w:ascii="Times New Roman" w:hAnsi="Times New Roman" w:cs="Times New Roman"/>
          <w:sz w:val="24"/>
          <w:szCs w:val="24"/>
          <w:lang w:val="en-US"/>
        </w:rPr>
        <w:t>identify the specific hearsay dangers raised by those aspects of the statement in the particular circumstances of the case;</w:t>
      </w:r>
    </w:p>
    <w:p w:rsidR="00A47D69" w:rsidRPr="00D85974" w:rsidRDefault="00A47D69" w:rsidP="00D85974">
      <w:pPr>
        <w:pStyle w:val="ListParagraph"/>
        <w:numPr>
          <w:ilvl w:val="0"/>
          <w:numId w:val="12"/>
        </w:numPr>
        <w:autoSpaceDE w:val="0"/>
        <w:autoSpaceDN w:val="0"/>
        <w:adjustRightInd w:val="0"/>
        <w:spacing w:after="280" w:line="240" w:lineRule="auto"/>
        <w:ind w:left="1077" w:right="720" w:hanging="357"/>
        <w:jc w:val="both"/>
        <w:rPr>
          <w:rFonts w:ascii="Times New Roman" w:hAnsi="Times New Roman" w:cs="Times New Roman"/>
          <w:b/>
          <w:sz w:val="24"/>
          <w:szCs w:val="24"/>
          <w:u w:val="single"/>
          <w:lang w:val="en-US"/>
        </w:rPr>
      </w:pPr>
      <w:r w:rsidRPr="00D85974">
        <w:rPr>
          <w:rFonts w:ascii="Times New Roman" w:hAnsi="Times New Roman" w:cs="Times New Roman"/>
          <w:sz w:val="24"/>
          <w:szCs w:val="24"/>
          <w:lang w:val="en-US"/>
        </w:rPr>
        <w:t xml:space="preserve">based on the circumstances and these dangers, consider alternative, even speculative, explanations for the statement; and </w:t>
      </w:r>
    </w:p>
    <w:p w:rsidR="004C1162" w:rsidRPr="00D85974" w:rsidRDefault="00A47D69" w:rsidP="00D85974">
      <w:pPr>
        <w:pStyle w:val="ListParagraph"/>
        <w:numPr>
          <w:ilvl w:val="0"/>
          <w:numId w:val="12"/>
        </w:numPr>
        <w:autoSpaceDE w:val="0"/>
        <w:autoSpaceDN w:val="0"/>
        <w:adjustRightInd w:val="0"/>
        <w:spacing w:after="280" w:line="240" w:lineRule="auto"/>
        <w:ind w:left="1077" w:right="720" w:hanging="357"/>
        <w:jc w:val="both"/>
        <w:rPr>
          <w:rFonts w:ascii="Times New Roman" w:hAnsi="Times New Roman" w:cs="Times New Roman"/>
          <w:b/>
          <w:sz w:val="24"/>
          <w:szCs w:val="24"/>
          <w:u w:val="single"/>
          <w:lang w:val="en-US"/>
        </w:rPr>
      </w:pPr>
      <w:r w:rsidRPr="00D85974">
        <w:rPr>
          <w:rFonts w:ascii="Times New Roman" w:hAnsi="Times New Roman" w:cs="Times New Roman"/>
          <w:sz w:val="24"/>
          <w:szCs w:val="24"/>
          <w:lang w:val="en-US"/>
        </w:rPr>
        <w:t xml:space="preserve">determine whether, given the circumstances of the case, the corroborative evidence led at the </w:t>
      </w:r>
      <w:r w:rsidRPr="00D85974">
        <w:rPr>
          <w:rFonts w:ascii="Times New Roman" w:hAnsi="Times New Roman" w:cs="Times New Roman"/>
          <w:i/>
          <w:sz w:val="24"/>
          <w:szCs w:val="24"/>
          <w:lang w:val="en-US"/>
        </w:rPr>
        <w:t xml:space="preserve">voir dire </w:t>
      </w:r>
      <w:r w:rsidRPr="00D85974">
        <w:rPr>
          <w:rFonts w:ascii="Times New Roman" w:hAnsi="Times New Roman" w:cs="Times New Roman"/>
          <w:sz w:val="24"/>
          <w:szCs w:val="24"/>
          <w:lang w:val="en-US"/>
        </w:rPr>
        <w:t>rules out these alternative explanations such that the only remaining likely explanation for the statement is the declarant’s truthfulness about, or the accuracy of, the material aspects of the statement.</w:t>
      </w:r>
    </w:p>
    <w:p w:rsidR="00237F0D" w:rsidRPr="00237F0D" w:rsidRDefault="00152BB6"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In considering corroborative evidence, it must s</w:t>
      </w:r>
      <w:r w:rsidR="00237F0D">
        <w:rPr>
          <w:rFonts w:ascii="Times New Roman" w:hAnsi="Times New Roman" w:cs="Times New Roman"/>
          <w:sz w:val="28"/>
          <w:szCs w:val="28"/>
          <w:lang w:val="en-US"/>
        </w:rPr>
        <w:t>h</w:t>
      </w:r>
      <w:r>
        <w:rPr>
          <w:rFonts w:ascii="Times New Roman" w:hAnsi="Times New Roman" w:cs="Times New Roman"/>
          <w:sz w:val="28"/>
          <w:szCs w:val="28"/>
          <w:lang w:val="en-US"/>
        </w:rPr>
        <w:t>ow that the only like</w:t>
      </w:r>
      <w:r w:rsidR="00237F0D">
        <w:rPr>
          <w:rFonts w:ascii="Times New Roman" w:hAnsi="Times New Roman" w:cs="Times New Roman"/>
          <w:sz w:val="28"/>
          <w:szCs w:val="28"/>
          <w:lang w:val="en-US"/>
        </w:rPr>
        <w:t>ly explanation for the statement is the truthfulness or accuracy of the material aspects of the statement.  Corroborative evidence which is equally consistent with truthfulness and accuracy as with an alternative, even speculative, explanation is of no assistance in the inquiry.</w:t>
      </w:r>
      <w:r w:rsidR="00237F0D">
        <w:rPr>
          <w:rFonts w:ascii="Times New Roman" w:hAnsi="Times New Roman" w:cs="Times New Roman"/>
          <w:i/>
          <w:sz w:val="28"/>
          <w:szCs w:val="28"/>
          <w:lang w:val="en-US"/>
        </w:rPr>
        <w:t xml:space="preserve">  Bradshaw, </w:t>
      </w:r>
      <w:r w:rsidR="00237F0D">
        <w:rPr>
          <w:rFonts w:ascii="Times New Roman" w:hAnsi="Times New Roman" w:cs="Times New Roman"/>
          <w:sz w:val="28"/>
          <w:szCs w:val="28"/>
          <w:lang w:val="en-US"/>
        </w:rPr>
        <w:t>para</w:t>
      </w:r>
      <w:r w:rsidR="00614590">
        <w:rPr>
          <w:rFonts w:ascii="Times New Roman" w:hAnsi="Times New Roman" w:cs="Times New Roman"/>
          <w:sz w:val="28"/>
          <w:szCs w:val="28"/>
          <w:lang w:val="en-US"/>
        </w:rPr>
        <w:t>s</w:t>
      </w:r>
      <w:r w:rsidR="00237F0D">
        <w:rPr>
          <w:rFonts w:ascii="Times New Roman" w:hAnsi="Times New Roman" w:cs="Times New Roman"/>
          <w:sz w:val="28"/>
          <w:szCs w:val="28"/>
          <w:lang w:val="en-US"/>
        </w:rPr>
        <w:t xml:space="preserve"> 47-48.</w:t>
      </w:r>
    </w:p>
    <w:p w:rsidR="00572FC4" w:rsidRPr="00572FC4" w:rsidRDefault="00572FC4"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Procedural reliability is concerned with w</w:t>
      </w:r>
      <w:r w:rsidR="00E95805">
        <w:rPr>
          <w:rFonts w:ascii="Times New Roman" w:hAnsi="Times New Roman" w:cs="Times New Roman"/>
          <w:sz w:val="28"/>
          <w:szCs w:val="28"/>
          <w:lang w:val="en-US"/>
        </w:rPr>
        <w:t>hether the</w:t>
      </w:r>
      <w:r>
        <w:rPr>
          <w:rFonts w:ascii="Times New Roman" w:hAnsi="Times New Roman" w:cs="Times New Roman"/>
          <w:sz w:val="28"/>
          <w:szCs w:val="28"/>
          <w:lang w:val="en-US"/>
        </w:rPr>
        <w:t>re are adequate substitutes for testing the truth and accuracy of the statement.  These substitutes can include video recording of the statement, the presence of an oath</w:t>
      </w:r>
      <w:r w:rsidR="002877DC">
        <w:rPr>
          <w:rFonts w:ascii="Times New Roman" w:hAnsi="Times New Roman" w:cs="Times New Roman"/>
          <w:sz w:val="28"/>
          <w:szCs w:val="28"/>
          <w:lang w:val="en-US"/>
        </w:rPr>
        <w:t>,</w:t>
      </w:r>
      <w:r>
        <w:rPr>
          <w:rFonts w:ascii="Times New Roman" w:hAnsi="Times New Roman" w:cs="Times New Roman"/>
          <w:sz w:val="28"/>
          <w:szCs w:val="28"/>
          <w:lang w:val="en-US"/>
        </w:rPr>
        <w:t xml:space="preserve"> a warning about the consequences of lying and some form of cross-examination of the witness, such as at the preliminary inquiry or at trial.  </w:t>
      </w:r>
      <w:r>
        <w:rPr>
          <w:rFonts w:ascii="Times New Roman" w:hAnsi="Times New Roman" w:cs="Times New Roman"/>
          <w:i/>
          <w:sz w:val="28"/>
          <w:szCs w:val="28"/>
          <w:lang w:val="en-US"/>
        </w:rPr>
        <w:t xml:space="preserve">Bradshaw, </w:t>
      </w:r>
      <w:r>
        <w:rPr>
          <w:rFonts w:ascii="Times New Roman" w:hAnsi="Times New Roman" w:cs="Times New Roman"/>
          <w:sz w:val="28"/>
          <w:szCs w:val="28"/>
          <w:lang w:val="en-US"/>
        </w:rPr>
        <w:t>para 28.</w:t>
      </w:r>
    </w:p>
    <w:p w:rsidR="00572FC4" w:rsidRPr="0077104D" w:rsidRDefault="00572FC4"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Substantive reliability and procedural reliability may work in tandem and are not mutually exclusive.  The factors that are relevant to one may also be relevant to the other.  The threshold reliability standard is, however, high and the </w:t>
      </w:r>
      <w:r w:rsidR="0077104D">
        <w:rPr>
          <w:rFonts w:ascii="Times New Roman" w:hAnsi="Times New Roman" w:cs="Times New Roman"/>
          <w:sz w:val="28"/>
          <w:szCs w:val="28"/>
          <w:lang w:val="en-US"/>
        </w:rPr>
        <w:t xml:space="preserve">statement must be sufficiently reliable to overcome the specific hearsay dangers.  A combined approach must not lead to the admission of statements with procedural safeguards and guarantees of inherent trustworthiness that are insufficient to overcome the hearsay dangers.  </w:t>
      </w:r>
      <w:r w:rsidR="0077104D">
        <w:rPr>
          <w:rFonts w:ascii="Times New Roman" w:hAnsi="Times New Roman" w:cs="Times New Roman"/>
          <w:i/>
          <w:sz w:val="28"/>
          <w:szCs w:val="28"/>
          <w:lang w:val="en-US"/>
        </w:rPr>
        <w:t xml:space="preserve">Bradshaw, </w:t>
      </w:r>
      <w:r w:rsidR="0077104D">
        <w:rPr>
          <w:rFonts w:ascii="Times New Roman" w:hAnsi="Times New Roman" w:cs="Times New Roman"/>
          <w:sz w:val="28"/>
          <w:szCs w:val="28"/>
          <w:lang w:val="en-US"/>
        </w:rPr>
        <w:t>para 32.</w:t>
      </w:r>
    </w:p>
    <w:p w:rsidR="0077104D" w:rsidRPr="00FB37BF" w:rsidRDefault="007F4F8F"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w:t>
      </w:r>
      <w:r w:rsidR="00FB37BF">
        <w:rPr>
          <w:rFonts w:ascii="Times New Roman" w:hAnsi="Times New Roman" w:cs="Times New Roman"/>
          <w:sz w:val="28"/>
          <w:szCs w:val="28"/>
          <w:lang w:val="en-US"/>
        </w:rPr>
        <w:t xml:space="preserve">he Appellant claims that the Trial Judge erred in the consideration of the threshold reliability </w:t>
      </w:r>
      <w:r w:rsidR="00E01F78">
        <w:rPr>
          <w:rFonts w:ascii="Times New Roman" w:hAnsi="Times New Roman" w:cs="Times New Roman"/>
          <w:sz w:val="28"/>
          <w:szCs w:val="28"/>
          <w:lang w:val="en-US"/>
        </w:rPr>
        <w:t xml:space="preserve">of the statement </w:t>
      </w:r>
      <w:r w:rsidR="00D85974">
        <w:rPr>
          <w:rFonts w:ascii="Times New Roman" w:hAnsi="Times New Roman" w:cs="Times New Roman"/>
          <w:sz w:val="28"/>
          <w:szCs w:val="28"/>
          <w:lang w:val="en-US"/>
        </w:rPr>
        <w:t xml:space="preserve">in two respects: </w:t>
      </w:r>
      <w:r w:rsidR="00FB37BF">
        <w:rPr>
          <w:rFonts w:ascii="Times New Roman" w:hAnsi="Times New Roman" w:cs="Times New Roman"/>
          <w:sz w:val="28"/>
          <w:szCs w:val="28"/>
          <w:lang w:val="en-US"/>
        </w:rPr>
        <w:t>1) by failing to consider whether contemporaneous cross-examination of the complainant would add anything to the trial process; and 2) by failing to consider or identify any alternative explanations for the hearsay statement.</w:t>
      </w:r>
    </w:p>
    <w:p w:rsidR="00D21E57" w:rsidRPr="00AC7F48" w:rsidRDefault="00D21E57" w:rsidP="00D21E57">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The Appellant argues that the Trial Judge failed to meaningfully consider whether contemporaneous cross-examination of the complainant would add anything to the trial process.</w:t>
      </w:r>
    </w:p>
    <w:p w:rsidR="00FB37BF" w:rsidRPr="005B5FDD" w:rsidRDefault="00051E97"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In the ruling on the </w:t>
      </w:r>
      <w:r>
        <w:rPr>
          <w:rFonts w:ascii="Times New Roman" w:hAnsi="Times New Roman" w:cs="Times New Roman"/>
          <w:i/>
          <w:sz w:val="28"/>
          <w:szCs w:val="28"/>
          <w:lang w:val="en-US"/>
        </w:rPr>
        <w:t xml:space="preserve">voir dire, </w:t>
      </w:r>
      <w:r>
        <w:rPr>
          <w:rFonts w:ascii="Times New Roman" w:hAnsi="Times New Roman" w:cs="Times New Roman"/>
          <w:sz w:val="28"/>
          <w:szCs w:val="28"/>
          <w:lang w:val="en-US"/>
        </w:rPr>
        <w:t>the Trial Judge considered the reliability of the statement</w:t>
      </w:r>
      <w:r w:rsidR="00090427">
        <w:rPr>
          <w:rFonts w:ascii="Times New Roman" w:hAnsi="Times New Roman" w:cs="Times New Roman"/>
          <w:sz w:val="28"/>
          <w:szCs w:val="28"/>
          <w:lang w:val="en-US"/>
        </w:rPr>
        <w:t xml:space="preserve"> in her analysis</w:t>
      </w:r>
      <w:r>
        <w:rPr>
          <w:rFonts w:ascii="Times New Roman" w:hAnsi="Times New Roman" w:cs="Times New Roman"/>
          <w:sz w:val="28"/>
          <w:szCs w:val="28"/>
          <w:lang w:val="en-US"/>
        </w:rPr>
        <w:t xml:space="preserve">.  </w:t>
      </w:r>
      <w:r w:rsidR="005B5FDD">
        <w:rPr>
          <w:rFonts w:ascii="Times New Roman" w:hAnsi="Times New Roman" w:cs="Times New Roman"/>
          <w:sz w:val="28"/>
          <w:szCs w:val="28"/>
          <w:lang w:val="en-US"/>
        </w:rPr>
        <w:t>The Trial Judge reviewed the circumstances surrounding the taking of the statement, the statement itself, the corroborative or confirmatory evidence and the evidence of the intoxication of the complainant.</w:t>
      </w:r>
    </w:p>
    <w:p w:rsidR="005B5FDD" w:rsidRPr="005B5FDD" w:rsidRDefault="005B5FDD"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The Trial Judge then stated:</w:t>
      </w:r>
    </w:p>
    <w:p w:rsidR="005B5FDD" w:rsidRPr="00E15902" w:rsidRDefault="005B5FDD" w:rsidP="00E15902">
      <w:pPr>
        <w:autoSpaceDE w:val="0"/>
        <w:autoSpaceDN w:val="0"/>
        <w:adjustRightInd w:val="0"/>
        <w:spacing w:after="280" w:line="240" w:lineRule="auto"/>
        <w:ind w:left="720" w:right="720"/>
        <w:jc w:val="both"/>
        <w:rPr>
          <w:rFonts w:ascii="Times New Roman" w:hAnsi="Times New Roman" w:cs="Times New Roman"/>
          <w:b/>
          <w:sz w:val="24"/>
          <w:szCs w:val="24"/>
          <w:u w:val="single"/>
          <w:lang w:val="en-US"/>
        </w:rPr>
      </w:pPr>
      <w:r w:rsidRPr="00E15902">
        <w:rPr>
          <w:rFonts w:ascii="Times New Roman" w:hAnsi="Times New Roman" w:cs="Times New Roman"/>
          <w:sz w:val="24"/>
          <w:szCs w:val="24"/>
          <w:lang w:val="en-US"/>
        </w:rPr>
        <w:t xml:space="preserve">Also I have considered that there is no cross-examination, which is often said to be one of the best ways to test the evidence of a person, </w:t>
      </w:r>
      <w:r w:rsidR="00C64163" w:rsidRPr="00E15902">
        <w:rPr>
          <w:rFonts w:ascii="Times New Roman" w:hAnsi="Times New Roman" w:cs="Times New Roman"/>
          <w:sz w:val="24"/>
          <w:szCs w:val="24"/>
          <w:lang w:val="en-US"/>
        </w:rPr>
        <w:t>and because she is not here, she has not been able to be cross-examined.  I am not deciding whether or not what she says in the statement is true, simply whether or not it is sufficiently reliable to be considered on the trial as evidence.  So I am not making any findings of credibility, simply whether there is a threshold reliability with respect to the statement.</w:t>
      </w:r>
    </w:p>
    <w:p w:rsidR="00AC7F48" w:rsidRPr="00B86740" w:rsidRDefault="00AC7F48" w:rsidP="00AC7F48">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In a trial, cross-examination of a witness is the ideal</w:t>
      </w:r>
      <w:r w:rsidR="000A4F5C">
        <w:rPr>
          <w:rFonts w:ascii="Times New Roman" w:hAnsi="Times New Roman" w:cs="Times New Roman"/>
          <w:sz w:val="28"/>
          <w:szCs w:val="28"/>
          <w:lang w:val="en-US"/>
        </w:rPr>
        <w:t xml:space="preserve"> and it permits the evidence of the witness to be tested</w:t>
      </w:r>
      <w:r>
        <w:rPr>
          <w:rFonts w:ascii="Times New Roman" w:hAnsi="Times New Roman" w:cs="Times New Roman"/>
          <w:sz w:val="28"/>
          <w:szCs w:val="28"/>
          <w:lang w:val="en-US"/>
        </w:rPr>
        <w:t xml:space="preserve">.  In considering the admission of an out-of-court statement, the inability to cross-examine the witness, as mentioned above, is one of the greatest dangers associated with the admission of hearsay evidence.  </w:t>
      </w:r>
    </w:p>
    <w:p w:rsidR="00AC7F48" w:rsidRPr="00B86740" w:rsidRDefault="00AC7F48" w:rsidP="00AC7F48">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In the analysis of threshold reliability, the trial judge’s “pre-occupation” is whether contemporaneous cross-examination would add anything to the trial process.  </w:t>
      </w:r>
      <w:r>
        <w:rPr>
          <w:rFonts w:ascii="Times New Roman" w:hAnsi="Times New Roman" w:cs="Times New Roman"/>
          <w:i/>
          <w:sz w:val="28"/>
          <w:szCs w:val="28"/>
          <w:lang w:val="en-US"/>
        </w:rPr>
        <w:t xml:space="preserve">Bradshaw, </w:t>
      </w:r>
      <w:r>
        <w:rPr>
          <w:rFonts w:ascii="Times New Roman" w:hAnsi="Times New Roman" w:cs="Times New Roman"/>
          <w:sz w:val="28"/>
          <w:szCs w:val="28"/>
          <w:lang w:val="en-US"/>
        </w:rPr>
        <w:t>para 40.</w:t>
      </w:r>
    </w:p>
    <w:p w:rsidR="00AC7F48" w:rsidRPr="0062272E" w:rsidRDefault="00E44EC1"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In this case, t</w:t>
      </w:r>
      <w:r w:rsidR="00CE3641">
        <w:rPr>
          <w:rFonts w:ascii="Times New Roman" w:hAnsi="Times New Roman" w:cs="Times New Roman"/>
          <w:sz w:val="28"/>
          <w:szCs w:val="28"/>
          <w:lang w:val="en-US"/>
        </w:rPr>
        <w:t xml:space="preserve">he focus of the </w:t>
      </w:r>
      <w:r>
        <w:rPr>
          <w:rFonts w:ascii="Times New Roman" w:hAnsi="Times New Roman" w:cs="Times New Roman"/>
          <w:i/>
          <w:sz w:val="28"/>
          <w:szCs w:val="28"/>
          <w:lang w:val="en-US"/>
        </w:rPr>
        <w:t xml:space="preserve">voir dire </w:t>
      </w:r>
      <w:r>
        <w:rPr>
          <w:rFonts w:ascii="Times New Roman" w:hAnsi="Times New Roman" w:cs="Times New Roman"/>
          <w:sz w:val="28"/>
          <w:szCs w:val="28"/>
          <w:lang w:val="en-US"/>
        </w:rPr>
        <w:t xml:space="preserve">was on the unavailability of the complainant and whether the statement was sufficiently reliable to warrant its admission. </w:t>
      </w:r>
      <w:r w:rsidR="00E15902">
        <w:rPr>
          <w:rFonts w:ascii="Times New Roman" w:hAnsi="Times New Roman" w:cs="Times New Roman"/>
          <w:sz w:val="28"/>
          <w:szCs w:val="28"/>
          <w:lang w:val="en-US"/>
        </w:rPr>
        <w:t xml:space="preserve"> </w:t>
      </w:r>
      <w:r>
        <w:rPr>
          <w:rFonts w:ascii="Times New Roman" w:hAnsi="Times New Roman" w:cs="Times New Roman"/>
          <w:sz w:val="28"/>
          <w:szCs w:val="28"/>
          <w:lang w:val="en-US"/>
        </w:rPr>
        <w:t>Underlying this</w:t>
      </w:r>
      <w:r w:rsidR="001E1DEE">
        <w:rPr>
          <w:rFonts w:ascii="Times New Roman" w:hAnsi="Times New Roman" w:cs="Times New Roman"/>
          <w:sz w:val="28"/>
          <w:szCs w:val="28"/>
          <w:lang w:val="en-US"/>
        </w:rPr>
        <w:t xml:space="preserve"> consideration</w:t>
      </w:r>
      <w:r>
        <w:rPr>
          <w:rFonts w:ascii="Times New Roman" w:hAnsi="Times New Roman" w:cs="Times New Roman"/>
          <w:sz w:val="28"/>
          <w:szCs w:val="28"/>
          <w:lang w:val="en-US"/>
        </w:rPr>
        <w:t xml:space="preserve"> was the concern about whether contemporaneous cross-examination of the complainant would add anything to the trial.  </w:t>
      </w:r>
      <w:r w:rsidR="00670D08">
        <w:rPr>
          <w:rFonts w:ascii="Times New Roman" w:hAnsi="Times New Roman" w:cs="Times New Roman"/>
          <w:sz w:val="28"/>
          <w:szCs w:val="28"/>
          <w:lang w:val="en-US"/>
        </w:rPr>
        <w:t xml:space="preserve">The Appellant’s counsel at trial specifically raised the inability to cross-examine the complainant in his submissions before the Trial Judge.  </w:t>
      </w:r>
      <w:r w:rsidR="00564419">
        <w:rPr>
          <w:rFonts w:ascii="Times New Roman" w:hAnsi="Times New Roman" w:cs="Times New Roman"/>
          <w:sz w:val="28"/>
          <w:szCs w:val="28"/>
          <w:lang w:val="en-US"/>
        </w:rPr>
        <w:t>At that point, no one expected that the complainant would be available for</w:t>
      </w:r>
      <w:r w:rsidR="00A55290">
        <w:rPr>
          <w:rFonts w:ascii="Times New Roman" w:hAnsi="Times New Roman" w:cs="Times New Roman"/>
          <w:sz w:val="28"/>
          <w:szCs w:val="28"/>
          <w:lang w:val="en-US"/>
        </w:rPr>
        <w:t xml:space="preserve"> cross-examination.  </w:t>
      </w:r>
    </w:p>
    <w:p w:rsidR="0062272E" w:rsidRPr="00564419" w:rsidRDefault="0062272E"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Trial Judge concluded that the complainant was unavailable </w:t>
      </w:r>
      <w:r w:rsidR="001E1DEE">
        <w:rPr>
          <w:rFonts w:ascii="Times New Roman" w:hAnsi="Times New Roman" w:cs="Times New Roman"/>
          <w:sz w:val="28"/>
          <w:szCs w:val="28"/>
          <w:lang w:val="en-US"/>
        </w:rPr>
        <w:t xml:space="preserve">to testify </w:t>
      </w:r>
      <w:r>
        <w:rPr>
          <w:rFonts w:ascii="Times New Roman" w:hAnsi="Times New Roman" w:cs="Times New Roman"/>
          <w:sz w:val="28"/>
          <w:szCs w:val="28"/>
          <w:lang w:val="en-US"/>
        </w:rPr>
        <w:t xml:space="preserve">at the trial.  </w:t>
      </w:r>
      <w:r w:rsidR="001E1DEE">
        <w:rPr>
          <w:rFonts w:ascii="Times New Roman" w:hAnsi="Times New Roman" w:cs="Times New Roman"/>
          <w:sz w:val="28"/>
          <w:szCs w:val="28"/>
          <w:lang w:val="en-US"/>
        </w:rPr>
        <w:t>The Trial Judge</w:t>
      </w:r>
      <w:r>
        <w:rPr>
          <w:rFonts w:ascii="Times New Roman" w:hAnsi="Times New Roman" w:cs="Times New Roman"/>
          <w:sz w:val="28"/>
          <w:szCs w:val="28"/>
          <w:lang w:val="en-US"/>
        </w:rPr>
        <w:t xml:space="preserve"> also considered whether there was other evidence which could be adduced instead of the complainant’s statement.  Keith Washie was apparently a witness to part of what occurred but the Trial Judge concluded that while he was present, it was not clear that he witnessed the entire assault.</w:t>
      </w:r>
    </w:p>
    <w:p w:rsidR="00D21E57" w:rsidRPr="005613E7" w:rsidRDefault="005613E7"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5613E7">
        <w:rPr>
          <w:rFonts w:ascii="Times New Roman" w:hAnsi="Times New Roman" w:cs="Times New Roman"/>
          <w:sz w:val="28"/>
          <w:szCs w:val="28"/>
          <w:lang w:val="en-US"/>
        </w:rPr>
        <w:t xml:space="preserve">While the Trial Judge did not specifically ask and answer the question of </w:t>
      </w:r>
      <w:r w:rsidR="009831EE">
        <w:rPr>
          <w:rFonts w:ascii="Times New Roman" w:hAnsi="Times New Roman" w:cs="Times New Roman"/>
          <w:sz w:val="28"/>
          <w:szCs w:val="28"/>
          <w:lang w:val="en-US"/>
        </w:rPr>
        <w:t>“</w:t>
      </w:r>
      <w:r w:rsidRPr="005613E7">
        <w:rPr>
          <w:rFonts w:ascii="Times New Roman" w:hAnsi="Times New Roman" w:cs="Times New Roman"/>
          <w:sz w:val="28"/>
          <w:szCs w:val="28"/>
          <w:lang w:val="en-US"/>
        </w:rPr>
        <w:t>whether contemporaneous cross-examination of the complainant would add anything to the trial process,</w:t>
      </w:r>
      <w:r w:rsidR="009831EE">
        <w:rPr>
          <w:rFonts w:ascii="Times New Roman" w:hAnsi="Times New Roman" w:cs="Times New Roman"/>
          <w:sz w:val="28"/>
          <w:szCs w:val="28"/>
          <w:lang w:val="en-US"/>
        </w:rPr>
        <w:t>”</w:t>
      </w:r>
      <w:r w:rsidRPr="005613E7">
        <w:rPr>
          <w:rFonts w:ascii="Times New Roman" w:hAnsi="Times New Roman" w:cs="Times New Roman"/>
          <w:sz w:val="28"/>
          <w:szCs w:val="28"/>
          <w:lang w:val="en-US"/>
        </w:rPr>
        <w:t xml:space="preserve"> she did consider the issue.  </w:t>
      </w:r>
      <w:r w:rsidR="00D21E57" w:rsidRPr="005613E7">
        <w:rPr>
          <w:rFonts w:ascii="Times New Roman" w:hAnsi="Times New Roman" w:cs="Times New Roman"/>
          <w:sz w:val="28"/>
          <w:szCs w:val="28"/>
          <w:lang w:val="en-US"/>
        </w:rPr>
        <w:t xml:space="preserve">Ultimately, the lack of cross-examination which would occur with the admission of the complainant’s statement was considered by the Trial Judge and </w:t>
      </w:r>
      <w:r w:rsidR="00D975D3">
        <w:rPr>
          <w:rFonts w:ascii="Times New Roman" w:hAnsi="Times New Roman" w:cs="Times New Roman"/>
          <w:sz w:val="28"/>
          <w:szCs w:val="28"/>
          <w:lang w:val="en-US"/>
        </w:rPr>
        <w:t>alluded to</w:t>
      </w:r>
      <w:r w:rsidR="00D21E57" w:rsidRPr="005613E7">
        <w:rPr>
          <w:rFonts w:ascii="Times New Roman" w:hAnsi="Times New Roman" w:cs="Times New Roman"/>
          <w:sz w:val="28"/>
          <w:szCs w:val="28"/>
          <w:lang w:val="en-US"/>
        </w:rPr>
        <w:t xml:space="preserve"> in </w:t>
      </w:r>
      <w:r w:rsidR="00D975D3">
        <w:rPr>
          <w:rFonts w:ascii="Times New Roman" w:hAnsi="Times New Roman" w:cs="Times New Roman"/>
          <w:sz w:val="28"/>
          <w:szCs w:val="28"/>
          <w:lang w:val="en-US"/>
        </w:rPr>
        <w:t>her</w:t>
      </w:r>
      <w:r w:rsidR="00D21E57" w:rsidRPr="005613E7">
        <w:rPr>
          <w:rFonts w:ascii="Times New Roman" w:hAnsi="Times New Roman" w:cs="Times New Roman"/>
          <w:sz w:val="28"/>
          <w:szCs w:val="28"/>
          <w:lang w:val="en-US"/>
        </w:rPr>
        <w:t xml:space="preserve"> reasons.</w:t>
      </w:r>
    </w:p>
    <w:p w:rsidR="00D21E57" w:rsidRPr="002877DC" w:rsidRDefault="002877DC" w:rsidP="00D2394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Appellant </w:t>
      </w:r>
      <w:r w:rsidR="00112AE6">
        <w:rPr>
          <w:rFonts w:ascii="Times New Roman" w:hAnsi="Times New Roman" w:cs="Times New Roman"/>
          <w:sz w:val="28"/>
          <w:szCs w:val="28"/>
          <w:lang w:val="en-US"/>
        </w:rPr>
        <w:t xml:space="preserve">also </w:t>
      </w:r>
      <w:r>
        <w:rPr>
          <w:rFonts w:ascii="Times New Roman" w:hAnsi="Times New Roman" w:cs="Times New Roman"/>
          <w:sz w:val="28"/>
          <w:szCs w:val="28"/>
          <w:lang w:val="en-US"/>
        </w:rPr>
        <w:t>argues that the Trial Judge failed to consider or identify any alternative explanations for the hearsay statement</w:t>
      </w:r>
      <w:r w:rsidR="001056ED">
        <w:rPr>
          <w:rFonts w:ascii="Times New Roman" w:hAnsi="Times New Roman" w:cs="Times New Roman"/>
          <w:sz w:val="28"/>
          <w:szCs w:val="28"/>
          <w:lang w:val="en-US"/>
        </w:rPr>
        <w:t xml:space="preserve"> as required in </w:t>
      </w:r>
      <w:r w:rsidR="001056ED">
        <w:rPr>
          <w:rFonts w:ascii="Times New Roman" w:hAnsi="Times New Roman" w:cs="Times New Roman"/>
          <w:i/>
          <w:sz w:val="28"/>
          <w:szCs w:val="28"/>
          <w:lang w:val="en-US"/>
        </w:rPr>
        <w:t>Bradshaw</w:t>
      </w:r>
      <w:r>
        <w:rPr>
          <w:rFonts w:ascii="Times New Roman" w:hAnsi="Times New Roman" w:cs="Times New Roman"/>
          <w:sz w:val="28"/>
          <w:szCs w:val="28"/>
          <w:lang w:val="en-US"/>
        </w:rPr>
        <w:t xml:space="preserve"> and</w:t>
      </w:r>
      <w:r w:rsidR="009831EE">
        <w:rPr>
          <w:rFonts w:ascii="Times New Roman" w:hAnsi="Times New Roman" w:cs="Times New Roman"/>
          <w:sz w:val="28"/>
          <w:szCs w:val="28"/>
          <w:lang w:val="en-US"/>
        </w:rPr>
        <w:t>,</w:t>
      </w:r>
      <w:r>
        <w:rPr>
          <w:rFonts w:ascii="Times New Roman" w:hAnsi="Times New Roman" w:cs="Times New Roman"/>
          <w:sz w:val="28"/>
          <w:szCs w:val="28"/>
          <w:lang w:val="en-US"/>
        </w:rPr>
        <w:t xml:space="preserve"> therefore</w:t>
      </w:r>
      <w:r w:rsidR="009831EE">
        <w:rPr>
          <w:rFonts w:ascii="Times New Roman" w:hAnsi="Times New Roman" w:cs="Times New Roman"/>
          <w:sz w:val="28"/>
          <w:szCs w:val="28"/>
          <w:lang w:val="en-US"/>
        </w:rPr>
        <w:t>,</w:t>
      </w:r>
      <w:r>
        <w:rPr>
          <w:rFonts w:ascii="Times New Roman" w:hAnsi="Times New Roman" w:cs="Times New Roman"/>
          <w:sz w:val="28"/>
          <w:szCs w:val="28"/>
          <w:lang w:val="en-US"/>
        </w:rPr>
        <w:t xml:space="preserve"> failed to consider a rational basis to reject the alternative explanations.</w:t>
      </w:r>
    </w:p>
    <w:p w:rsidR="002877DC" w:rsidRPr="00112AE6" w:rsidRDefault="00771097" w:rsidP="00D2394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In </w:t>
      </w:r>
      <w:r>
        <w:rPr>
          <w:rFonts w:ascii="Times New Roman" w:hAnsi="Times New Roman" w:cs="Times New Roman"/>
          <w:i/>
          <w:sz w:val="28"/>
          <w:szCs w:val="28"/>
          <w:lang w:val="en-US"/>
        </w:rPr>
        <w:t xml:space="preserve">Bradshaw, </w:t>
      </w:r>
      <w:r w:rsidR="001A3950">
        <w:rPr>
          <w:rFonts w:ascii="Times New Roman" w:hAnsi="Times New Roman" w:cs="Times New Roman"/>
          <w:sz w:val="28"/>
          <w:szCs w:val="28"/>
          <w:lang w:val="en-US"/>
        </w:rPr>
        <w:t>the Supreme Court of Canada clarified the test for threshold reliability of a hearsay statement a</w:t>
      </w:r>
      <w:r w:rsidR="000D5165">
        <w:rPr>
          <w:rFonts w:ascii="Times New Roman" w:hAnsi="Times New Roman" w:cs="Times New Roman"/>
          <w:sz w:val="28"/>
          <w:szCs w:val="28"/>
          <w:lang w:val="en-US"/>
        </w:rPr>
        <w:t xml:space="preserve">nd </w:t>
      </w:r>
      <w:r w:rsidR="00782CF4">
        <w:rPr>
          <w:rFonts w:ascii="Times New Roman" w:hAnsi="Times New Roman" w:cs="Times New Roman"/>
          <w:sz w:val="28"/>
          <w:szCs w:val="28"/>
          <w:lang w:val="en-US"/>
        </w:rPr>
        <w:t xml:space="preserve">limited </w:t>
      </w:r>
      <w:r w:rsidR="000D5165">
        <w:rPr>
          <w:rFonts w:ascii="Times New Roman" w:hAnsi="Times New Roman" w:cs="Times New Roman"/>
          <w:sz w:val="28"/>
          <w:szCs w:val="28"/>
          <w:lang w:val="en-US"/>
        </w:rPr>
        <w:t>when corroborative evidence could be used to establish substantive reliability.</w:t>
      </w:r>
    </w:p>
    <w:p w:rsidR="00771097" w:rsidRPr="00771097" w:rsidRDefault="00D51A49"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771097">
        <w:rPr>
          <w:rFonts w:ascii="Times New Roman" w:hAnsi="Times New Roman" w:cs="Times New Roman"/>
          <w:sz w:val="28"/>
          <w:szCs w:val="28"/>
          <w:lang w:val="en-US"/>
        </w:rPr>
        <w:t xml:space="preserve">While </w:t>
      </w:r>
      <w:r w:rsidRPr="00771097">
        <w:rPr>
          <w:rFonts w:ascii="Times New Roman" w:hAnsi="Times New Roman" w:cs="Times New Roman"/>
          <w:i/>
          <w:sz w:val="28"/>
          <w:szCs w:val="28"/>
          <w:lang w:val="en-US"/>
        </w:rPr>
        <w:t xml:space="preserve">Bradshaw </w:t>
      </w:r>
      <w:r w:rsidR="0031564F" w:rsidRPr="00771097">
        <w:rPr>
          <w:rFonts w:ascii="Times New Roman" w:hAnsi="Times New Roman" w:cs="Times New Roman"/>
          <w:sz w:val="28"/>
          <w:szCs w:val="28"/>
          <w:lang w:val="en-US"/>
        </w:rPr>
        <w:t>was referred to by Crown counsel</w:t>
      </w:r>
      <w:r w:rsidR="00E656B8">
        <w:rPr>
          <w:rFonts w:ascii="Times New Roman" w:hAnsi="Times New Roman" w:cs="Times New Roman"/>
          <w:sz w:val="28"/>
          <w:szCs w:val="28"/>
          <w:lang w:val="en-US"/>
        </w:rPr>
        <w:t xml:space="preserve"> in submissions</w:t>
      </w:r>
      <w:r w:rsidRPr="00771097">
        <w:rPr>
          <w:rFonts w:ascii="Times New Roman" w:hAnsi="Times New Roman" w:cs="Times New Roman"/>
          <w:sz w:val="28"/>
          <w:szCs w:val="28"/>
          <w:lang w:val="en-US"/>
        </w:rPr>
        <w:t>, t</w:t>
      </w:r>
      <w:r w:rsidR="0031564F" w:rsidRPr="00771097">
        <w:rPr>
          <w:rFonts w:ascii="Times New Roman" w:hAnsi="Times New Roman" w:cs="Times New Roman"/>
          <w:sz w:val="28"/>
          <w:szCs w:val="28"/>
          <w:lang w:val="en-US"/>
        </w:rPr>
        <w:t>he Trial Judge’</w:t>
      </w:r>
      <w:r w:rsidRPr="00771097">
        <w:rPr>
          <w:rFonts w:ascii="Times New Roman" w:hAnsi="Times New Roman" w:cs="Times New Roman"/>
          <w:sz w:val="28"/>
          <w:szCs w:val="28"/>
          <w:lang w:val="en-US"/>
        </w:rPr>
        <w:t xml:space="preserve">s </w:t>
      </w:r>
      <w:r w:rsidR="007C7AED">
        <w:rPr>
          <w:rFonts w:ascii="Times New Roman" w:hAnsi="Times New Roman" w:cs="Times New Roman"/>
          <w:sz w:val="28"/>
          <w:szCs w:val="28"/>
          <w:lang w:val="en-US"/>
        </w:rPr>
        <w:t xml:space="preserve">analysis </w:t>
      </w:r>
      <w:r w:rsidRPr="00771097">
        <w:rPr>
          <w:rFonts w:ascii="Times New Roman" w:hAnsi="Times New Roman" w:cs="Times New Roman"/>
          <w:sz w:val="28"/>
          <w:szCs w:val="28"/>
          <w:lang w:val="en-US"/>
        </w:rPr>
        <w:t xml:space="preserve">of the corroborative evidence was not structured </w:t>
      </w:r>
      <w:r w:rsidR="00771097" w:rsidRPr="00771097">
        <w:rPr>
          <w:rFonts w:ascii="Times New Roman" w:hAnsi="Times New Roman" w:cs="Times New Roman"/>
          <w:sz w:val="28"/>
          <w:szCs w:val="28"/>
          <w:lang w:val="en-US"/>
        </w:rPr>
        <w:t xml:space="preserve">following the four steps outlined in </w:t>
      </w:r>
      <w:r w:rsidR="001B739F">
        <w:rPr>
          <w:rFonts w:ascii="Times New Roman" w:hAnsi="Times New Roman" w:cs="Times New Roman"/>
          <w:i/>
          <w:sz w:val="28"/>
          <w:szCs w:val="28"/>
          <w:lang w:val="en-US"/>
        </w:rPr>
        <w:t>Bradshaw</w:t>
      </w:r>
      <w:r w:rsidR="00771097" w:rsidRPr="00771097">
        <w:rPr>
          <w:rFonts w:ascii="Times New Roman" w:hAnsi="Times New Roman" w:cs="Times New Roman"/>
          <w:i/>
          <w:sz w:val="28"/>
          <w:szCs w:val="28"/>
          <w:lang w:val="en-US"/>
        </w:rPr>
        <w:t xml:space="preserve">.  Bradshaw </w:t>
      </w:r>
      <w:r w:rsidR="00771097" w:rsidRPr="00771097">
        <w:rPr>
          <w:rFonts w:ascii="Times New Roman" w:hAnsi="Times New Roman" w:cs="Times New Roman"/>
          <w:sz w:val="28"/>
          <w:szCs w:val="28"/>
          <w:lang w:val="en-US"/>
        </w:rPr>
        <w:t xml:space="preserve">was released on June 29, 2017 and the Appellant’s trial began a </w:t>
      </w:r>
      <w:r w:rsidR="00771097">
        <w:rPr>
          <w:rFonts w:ascii="Times New Roman" w:hAnsi="Times New Roman" w:cs="Times New Roman"/>
          <w:sz w:val="28"/>
          <w:szCs w:val="28"/>
          <w:lang w:val="en-US"/>
        </w:rPr>
        <w:t>week later</w:t>
      </w:r>
      <w:r w:rsidR="005E7241">
        <w:rPr>
          <w:rFonts w:ascii="Times New Roman" w:hAnsi="Times New Roman" w:cs="Times New Roman"/>
          <w:sz w:val="28"/>
          <w:szCs w:val="28"/>
          <w:lang w:val="en-US"/>
        </w:rPr>
        <w:t>,</w:t>
      </w:r>
      <w:r w:rsidR="00771097">
        <w:rPr>
          <w:rFonts w:ascii="Times New Roman" w:hAnsi="Times New Roman" w:cs="Times New Roman"/>
          <w:sz w:val="28"/>
          <w:szCs w:val="28"/>
          <w:lang w:val="en-US"/>
        </w:rPr>
        <w:t xml:space="preserve"> on July 5, 2017</w:t>
      </w:r>
      <w:r w:rsidR="005E7241">
        <w:rPr>
          <w:rFonts w:ascii="Times New Roman" w:hAnsi="Times New Roman" w:cs="Times New Roman"/>
          <w:sz w:val="28"/>
          <w:szCs w:val="28"/>
          <w:lang w:val="en-US"/>
        </w:rPr>
        <w:t>,</w:t>
      </w:r>
      <w:r w:rsidR="00771097">
        <w:rPr>
          <w:rFonts w:ascii="Times New Roman" w:hAnsi="Times New Roman" w:cs="Times New Roman"/>
          <w:sz w:val="28"/>
          <w:szCs w:val="28"/>
          <w:lang w:val="en-US"/>
        </w:rPr>
        <w:t xml:space="preserve"> so </w:t>
      </w:r>
      <w:r w:rsidR="00782CF4">
        <w:rPr>
          <w:rFonts w:ascii="Times New Roman" w:hAnsi="Times New Roman" w:cs="Times New Roman"/>
          <w:sz w:val="28"/>
          <w:szCs w:val="28"/>
          <w:lang w:val="en-US"/>
        </w:rPr>
        <w:t xml:space="preserve">perhaps </w:t>
      </w:r>
      <w:r w:rsidR="00771097">
        <w:rPr>
          <w:rFonts w:ascii="Times New Roman" w:hAnsi="Times New Roman" w:cs="Times New Roman"/>
          <w:sz w:val="28"/>
          <w:szCs w:val="28"/>
          <w:lang w:val="en-US"/>
        </w:rPr>
        <w:t xml:space="preserve">it is not surprising that the Trial Judge’s analysis did not follow the four step analysis </w:t>
      </w:r>
      <w:r w:rsidR="00C6304B">
        <w:rPr>
          <w:rFonts w:ascii="Times New Roman" w:hAnsi="Times New Roman" w:cs="Times New Roman"/>
          <w:sz w:val="28"/>
          <w:szCs w:val="28"/>
          <w:lang w:val="en-US"/>
        </w:rPr>
        <w:t xml:space="preserve">outlined </w:t>
      </w:r>
      <w:r w:rsidR="00771097">
        <w:rPr>
          <w:rFonts w:ascii="Times New Roman" w:hAnsi="Times New Roman" w:cs="Times New Roman"/>
          <w:sz w:val="28"/>
          <w:szCs w:val="28"/>
          <w:lang w:val="en-US"/>
        </w:rPr>
        <w:t xml:space="preserve">in </w:t>
      </w:r>
      <w:r w:rsidR="00771097">
        <w:rPr>
          <w:rFonts w:ascii="Times New Roman" w:hAnsi="Times New Roman" w:cs="Times New Roman"/>
          <w:i/>
          <w:sz w:val="28"/>
          <w:szCs w:val="28"/>
          <w:lang w:val="en-US"/>
        </w:rPr>
        <w:t>Bradshaw.</w:t>
      </w:r>
      <w:r w:rsidR="00771097">
        <w:rPr>
          <w:rFonts w:ascii="Times New Roman" w:hAnsi="Times New Roman" w:cs="Times New Roman"/>
          <w:sz w:val="28"/>
          <w:szCs w:val="28"/>
          <w:lang w:val="en-US"/>
        </w:rPr>
        <w:t xml:space="preserve"> </w:t>
      </w:r>
      <w:r w:rsidR="00E15902">
        <w:rPr>
          <w:rFonts w:ascii="Times New Roman" w:hAnsi="Times New Roman" w:cs="Times New Roman"/>
          <w:sz w:val="28"/>
          <w:szCs w:val="28"/>
          <w:lang w:val="en-US"/>
        </w:rPr>
        <w:t xml:space="preserve"> </w:t>
      </w:r>
      <w:r w:rsidR="00782CF4">
        <w:rPr>
          <w:rFonts w:ascii="Times New Roman" w:hAnsi="Times New Roman" w:cs="Times New Roman"/>
          <w:sz w:val="28"/>
          <w:szCs w:val="28"/>
          <w:lang w:val="en-US"/>
        </w:rPr>
        <w:t xml:space="preserve">What has to be considered is whether the Trial Judge’s ruling considered the substance of those steps in the </w:t>
      </w:r>
      <w:r w:rsidR="007C7AED">
        <w:rPr>
          <w:rFonts w:ascii="Times New Roman" w:hAnsi="Times New Roman" w:cs="Times New Roman"/>
          <w:sz w:val="28"/>
          <w:szCs w:val="28"/>
          <w:lang w:val="en-US"/>
        </w:rPr>
        <w:t>context</w:t>
      </w:r>
      <w:r w:rsidR="00782CF4">
        <w:rPr>
          <w:rFonts w:ascii="Times New Roman" w:hAnsi="Times New Roman" w:cs="Times New Roman"/>
          <w:sz w:val="28"/>
          <w:szCs w:val="28"/>
          <w:lang w:val="en-US"/>
        </w:rPr>
        <w:t xml:space="preserve"> of the circumstances of the case in determining whether threshold reliability had been met.</w:t>
      </w:r>
    </w:p>
    <w:p w:rsidR="000C13B5" w:rsidRPr="00842F99" w:rsidRDefault="000C13B5"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first step is to identify the materials aspects of the hearsay statement that are tendered for their truth.  </w:t>
      </w:r>
      <w:r w:rsidR="00797ECB">
        <w:rPr>
          <w:rFonts w:ascii="Times New Roman" w:hAnsi="Times New Roman" w:cs="Times New Roman"/>
          <w:sz w:val="28"/>
          <w:szCs w:val="28"/>
          <w:lang w:val="en-US"/>
        </w:rPr>
        <w:t xml:space="preserve">The complainant’s statement </w:t>
      </w:r>
      <w:r w:rsidR="001D3F56">
        <w:rPr>
          <w:rFonts w:ascii="Times New Roman" w:hAnsi="Times New Roman" w:cs="Times New Roman"/>
          <w:sz w:val="28"/>
          <w:szCs w:val="28"/>
          <w:lang w:val="en-US"/>
        </w:rPr>
        <w:t xml:space="preserve">detailed several violent </w:t>
      </w:r>
      <w:r w:rsidR="001B739F">
        <w:rPr>
          <w:rFonts w:ascii="Times New Roman" w:hAnsi="Times New Roman" w:cs="Times New Roman"/>
          <w:sz w:val="28"/>
          <w:szCs w:val="28"/>
          <w:lang w:val="en-US"/>
        </w:rPr>
        <w:t xml:space="preserve">incidents involving the </w:t>
      </w:r>
      <w:r w:rsidR="001D3F56">
        <w:rPr>
          <w:rFonts w:ascii="Times New Roman" w:hAnsi="Times New Roman" w:cs="Times New Roman"/>
          <w:sz w:val="28"/>
          <w:szCs w:val="28"/>
          <w:lang w:val="en-US"/>
        </w:rPr>
        <w:t xml:space="preserve">Appellant over a period of approximately two weeks.  </w:t>
      </w:r>
      <w:r w:rsidR="00F027AA">
        <w:rPr>
          <w:rFonts w:ascii="Times New Roman" w:hAnsi="Times New Roman" w:cs="Times New Roman"/>
          <w:sz w:val="28"/>
          <w:szCs w:val="28"/>
          <w:lang w:val="en-US"/>
        </w:rPr>
        <w:t>The materials aspects of the statement that were tendered for their truth w</w:t>
      </w:r>
      <w:r w:rsidR="001B739F">
        <w:rPr>
          <w:rFonts w:ascii="Times New Roman" w:hAnsi="Times New Roman" w:cs="Times New Roman"/>
          <w:sz w:val="28"/>
          <w:szCs w:val="28"/>
          <w:lang w:val="en-US"/>
        </w:rPr>
        <w:t>ere</w:t>
      </w:r>
      <w:r w:rsidR="00F027AA">
        <w:rPr>
          <w:rFonts w:ascii="Times New Roman" w:hAnsi="Times New Roman" w:cs="Times New Roman"/>
          <w:sz w:val="28"/>
          <w:szCs w:val="28"/>
          <w:lang w:val="en-US"/>
        </w:rPr>
        <w:t xml:space="preserve"> an assault where the Appellant bit the complainant’s nose and sexually assaulted her on December 20, 2016, an assault where the Appellant hit the complainant’s head and another assault where he pushed her to the ground, both of which occurred between December 4-9, 2016.</w:t>
      </w:r>
    </w:p>
    <w:p w:rsidR="00ED6293" w:rsidRPr="007B7719" w:rsidRDefault="00842F99"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ED6293">
        <w:rPr>
          <w:rFonts w:ascii="Times New Roman" w:hAnsi="Times New Roman" w:cs="Times New Roman"/>
          <w:sz w:val="28"/>
          <w:szCs w:val="28"/>
          <w:lang w:val="en-US"/>
        </w:rPr>
        <w:t xml:space="preserve">The specific hearsay dangers raised by the statement were the sincerity and accuracy of the out-of-court statement.  </w:t>
      </w:r>
      <w:r w:rsidR="00ED6293" w:rsidRPr="00ED6293">
        <w:rPr>
          <w:rFonts w:ascii="Times New Roman" w:hAnsi="Times New Roman" w:cs="Times New Roman"/>
          <w:sz w:val="28"/>
          <w:szCs w:val="28"/>
          <w:lang w:val="en-US"/>
        </w:rPr>
        <w:t xml:space="preserve">The accuracy of the statement was a danger because the complainant had consumed alcohol and was intoxicated during the incident and when providing the statement. </w:t>
      </w:r>
      <w:r w:rsidR="00ED6293">
        <w:rPr>
          <w:rFonts w:ascii="Times New Roman" w:hAnsi="Times New Roman" w:cs="Times New Roman"/>
          <w:sz w:val="28"/>
          <w:szCs w:val="28"/>
          <w:lang w:val="en-US"/>
        </w:rPr>
        <w:t xml:space="preserve"> </w:t>
      </w:r>
      <w:r w:rsidR="00ED6293" w:rsidRPr="00ED6293">
        <w:rPr>
          <w:rFonts w:ascii="Times New Roman" w:hAnsi="Times New Roman" w:cs="Times New Roman"/>
          <w:sz w:val="28"/>
          <w:szCs w:val="28"/>
          <w:lang w:val="en-US"/>
        </w:rPr>
        <w:t>The sincerity of the statement was a danger because the</w:t>
      </w:r>
      <w:r w:rsidR="007B7719">
        <w:rPr>
          <w:rFonts w:ascii="Times New Roman" w:hAnsi="Times New Roman" w:cs="Times New Roman"/>
          <w:sz w:val="28"/>
          <w:szCs w:val="28"/>
          <w:lang w:val="en-US"/>
        </w:rPr>
        <w:t>re was evidence that the complainant was motivated to lie because of jealousy.</w:t>
      </w:r>
    </w:p>
    <w:p w:rsidR="008359A8" w:rsidRPr="008359A8" w:rsidRDefault="008359A8"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intoxication of the declarant of the statement is a concern </w:t>
      </w:r>
      <w:r w:rsidR="00AC7957">
        <w:rPr>
          <w:rFonts w:ascii="Times New Roman" w:hAnsi="Times New Roman" w:cs="Times New Roman"/>
          <w:sz w:val="28"/>
          <w:szCs w:val="28"/>
          <w:lang w:val="en-US"/>
        </w:rPr>
        <w:t xml:space="preserve">when considering threshold reliability </w:t>
      </w:r>
      <w:r>
        <w:rPr>
          <w:rFonts w:ascii="Times New Roman" w:hAnsi="Times New Roman" w:cs="Times New Roman"/>
          <w:sz w:val="28"/>
          <w:szCs w:val="28"/>
          <w:lang w:val="en-US"/>
        </w:rPr>
        <w:t xml:space="preserve">because of the impact that the consumption of alcohol and/or drugs can have on the memory and perception of the declarant and whether she accurately recounted the events in question in her statement.  </w:t>
      </w:r>
    </w:p>
    <w:p w:rsidR="0033191B" w:rsidRPr="0033191B" w:rsidRDefault="0033191B"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In her ruling, the Trial Judge considered the intoxication of the complainant.  The Trial Judge acknowledged that the complainant was intoxicated to some degree but that there was nothing to cause her to conclude that the complainant was “so drunk that she did not know what she was doing or what she was saying.”</w:t>
      </w:r>
    </w:p>
    <w:p w:rsidR="0045467D" w:rsidRPr="0045467D" w:rsidRDefault="0033191B"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957992">
        <w:rPr>
          <w:rFonts w:ascii="Times New Roman" w:hAnsi="Times New Roman" w:cs="Times New Roman"/>
          <w:sz w:val="28"/>
          <w:szCs w:val="28"/>
          <w:lang w:val="en-US"/>
        </w:rPr>
        <w:t xml:space="preserve">The Trial Judge reviewed the complainant’s statement and noted that the complainant </w:t>
      </w:r>
      <w:r w:rsidR="00300C56" w:rsidRPr="00957992">
        <w:rPr>
          <w:rFonts w:ascii="Times New Roman" w:hAnsi="Times New Roman" w:cs="Times New Roman"/>
          <w:sz w:val="28"/>
          <w:szCs w:val="28"/>
          <w:lang w:val="en-US"/>
        </w:rPr>
        <w:t xml:space="preserve">did not appear too intoxicated, </w:t>
      </w:r>
      <w:r w:rsidRPr="00957992">
        <w:rPr>
          <w:rFonts w:ascii="Times New Roman" w:hAnsi="Times New Roman" w:cs="Times New Roman"/>
          <w:sz w:val="28"/>
          <w:szCs w:val="28"/>
          <w:lang w:val="en-US"/>
        </w:rPr>
        <w:t xml:space="preserve">was fairly clear and quite detailed about some aspects of the statement, that the complainant made sense, appeared to understand </w:t>
      </w:r>
      <w:r w:rsidR="00275786">
        <w:rPr>
          <w:rFonts w:ascii="Times New Roman" w:hAnsi="Times New Roman" w:cs="Times New Roman"/>
          <w:sz w:val="28"/>
          <w:szCs w:val="28"/>
          <w:lang w:val="en-US"/>
        </w:rPr>
        <w:t xml:space="preserve">the </w:t>
      </w:r>
      <w:r w:rsidRPr="00957992">
        <w:rPr>
          <w:rFonts w:ascii="Times New Roman" w:hAnsi="Times New Roman" w:cs="Times New Roman"/>
          <w:sz w:val="28"/>
          <w:szCs w:val="28"/>
          <w:lang w:val="en-US"/>
        </w:rPr>
        <w:t xml:space="preserve">questions and corrected herself at one point.  </w:t>
      </w:r>
      <w:r w:rsidR="00300C56" w:rsidRPr="00957992">
        <w:rPr>
          <w:rFonts w:ascii="Times New Roman" w:hAnsi="Times New Roman" w:cs="Times New Roman"/>
          <w:sz w:val="28"/>
          <w:szCs w:val="28"/>
          <w:lang w:val="en-US"/>
        </w:rPr>
        <w:t xml:space="preserve">The Trial Judge also observed that the questions asked by the police officer were not leading questions.  </w:t>
      </w:r>
    </w:p>
    <w:p w:rsidR="00300C56" w:rsidRPr="00A42F06" w:rsidRDefault="005D50B2"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In reviewing the </w:t>
      </w:r>
      <w:r w:rsidR="00AF14A0">
        <w:rPr>
          <w:rFonts w:ascii="Times New Roman" w:hAnsi="Times New Roman" w:cs="Times New Roman"/>
          <w:sz w:val="28"/>
          <w:szCs w:val="28"/>
          <w:lang w:val="en-US"/>
        </w:rPr>
        <w:t>record</w:t>
      </w:r>
      <w:r>
        <w:rPr>
          <w:rFonts w:ascii="Times New Roman" w:hAnsi="Times New Roman" w:cs="Times New Roman"/>
          <w:sz w:val="28"/>
          <w:szCs w:val="28"/>
          <w:lang w:val="en-US"/>
        </w:rPr>
        <w:t xml:space="preserve">, the conclusions of the Trial Judge </w:t>
      </w:r>
      <w:r w:rsidR="00D67092">
        <w:rPr>
          <w:rFonts w:ascii="Times New Roman" w:hAnsi="Times New Roman" w:cs="Times New Roman"/>
          <w:sz w:val="28"/>
          <w:szCs w:val="28"/>
          <w:lang w:val="en-US"/>
        </w:rPr>
        <w:t xml:space="preserve">on the issue of intoxication were </w:t>
      </w:r>
      <w:r w:rsidR="00336814">
        <w:rPr>
          <w:rFonts w:ascii="Times New Roman" w:hAnsi="Times New Roman" w:cs="Times New Roman"/>
          <w:sz w:val="28"/>
          <w:szCs w:val="28"/>
          <w:lang w:val="en-US"/>
        </w:rPr>
        <w:t xml:space="preserve">reasonably </w:t>
      </w:r>
      <w:r w:rsidR="00D67092">
        <w:rPr>
          <w:rFonts w:ascii="Times New Roman" w:hAnsi="Times New Roman" w:cs="Times New Roman"/>
          <w:sz w:val="28"/>
          <w:szCs w:val="28"/>
          <w:lang w:val="en-US"/>
        </w:rPr>
        <w:t xml:space="preserve">supported by the evidence and are entitled to deference.  </w:t>
      </w:r>
      <w:r w:rsidR="00300C56" w:rsidRPr="00957992">
        <w:rPr>
          <w:rFonts w:ascii="Times New Roman" w:hAnsi="Times New Roman" w:cs="Times New Roman"/>
          <w:sz w:val="28"/>
          <w:szCs w:val="28"/>
          <w:lang w:val="en-US"/>
        </w:rPr>
        <w:t xml:space="preserve">The Trial Judge adequately considered the issue of the </w:t>
      </w:r>
      <w:r w:rsidR="006910F6" w:rsidRPr="00957992">
        <w:rPr>
          <w:rFonts w:ascii="Times New Roman" w:hAnsi="Times New Roman" w:cs="Times New Roman"/>
          <w:sz w:val="28"/>
          <w:szCs w:val="28"/>
          <w:lang w:val="en-US"/>
        </w:rPr>
        <w:t xml:space="preserve">intoxication of the complainant.  </w:t>
      </w:r>
    </w:p>
    <w:p w:rsidR="00A42F06" w:rsidRPr="0033191B" w:rsidRDefault="00A42F06" w:rsidP="00A42F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analysis set out in </w:t>
      </w:r>
      <w:r>
        <w:rPr>
          <w:rFonts w:ascii="Times New Roman" w:hAnsi="Times New Roman" w:cs="Times New Roman"/>
          <w:i/>
          <w:sz w:val="28"/>
          <w:szCs w:val="28"/>
          <w:lang w:val="en-US"/>
        </w:rPr>
        <w:t xml:space="preserve">Bradshaw </w:t>
      </w:r>
      <w:r>
        <w:rPr>
          <w:rFonts w:ascii="Times New Roman" w:hAnsi="Times New Roman" w:cs="Times New Roman"/>
          <w:sz w:val="28"/>
          <w:szCs w:val="28"/>
          <w:lang w:val="en-US"/>
        </w:rPr>
        <w:t xml:space="preserve">requires the court to consider alternative, even speculative, explanations for the statement.  In submissions on the </w:t>
      </w:r>
      <w:r>
        <w:rPr>
          <w:rFonts w:ascii="Times New Roman" w:hAnsi="Times New Roman" w:cs="Times New Roman"/>
          <w:i/>
          <w:sz w:val="28"/>
          <w:szCs w:val="28"/>
          <w:lang w:val="en-US"/>
        </w:rPr>
        <w:t>voir dire</w:t>
      </w:r>
      <w:r>
        <w:rPr>
          <w:rFonts w:ascii="Times New Roman" w:hAnsi="Times New Roman" w:cs="Times New Roman"/>
          <w:sz w:val="28"/>
          <w:szCs w:val="28"/>
          <w:lang w:val="en-US"/>
        </w:rPr>
        <w:t>, the Appellant’s counsel proposed alternative e</w:t>
      </w:r>
      <w:r w:rsidR="00E15902">
        <w:rPr>
          <w:rFonts w:ascii="Times New Roman" w:hAnsi="Times New Roman" w:cs="Times New Roman"/>
          <w:sz w:val="28"/>
          <w:szCs w:val="28"/>
          <w:lang w:val="en-US"/>
        </w:rPr>
        <w:t xml:space="preserve">xplanations for the statement: </w:t>
      </w:r>
      <w:r>
        <w:rPr>
          <w:rFonts w:ascii="Times New Roman" w:hAnsi="Times New Roman" w:cs="Times New Roman"/>
          <w:sz w:val="28"/>
          <w:szCs w:val="28"/>
          <w:lang w:val="en-US"/>
        </w:rPr>
        <w:t>that the complainant was motivated by jealousy and that another person, possibly Mr. Washie or another unknown person, was responsible for the complainant’s injuries.</w:t>
      </w:r>
    </w:p>
    <w:p w:rsidR="00A42F06" w:rsidRPr="002752D0" w:rsidRDefault="00A42F06" w:rsidP="00A42F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On appeal, the Appellant raised another alternative explanation which was not argued before the Trial Judge at the </w:t>
      </w:r>
      <w:r>
        <w:rPr>
          <w:rFonts w:ascii="Times New Roman" w:hAnsi="Times New Roman" w:cs="Times New Roman"/>
          <w:i/>
          <w:sz w:val="28"/>
          <w:szCs w:val="28"/>
          <w:lang w:val="en-US"/>
        </w:rPr>
        <w:t>voir dire:</w:t>
      </w:r>
      <w:r>
        <w:rPr>
          <w:rFonts w:ascii="Times New Roman" w:hAnsi="Times New Roman" w:cs="Times New Roman"/>
          <w:sz w:val="28"/>
          <w:szCs w:val="28"/>
          <w:lang w:val="en-US"/>
        </w:rPr>
        <w:t xml:space="preserve"> that the complainant injured herself by falling while intoxicated, which was what was claimed by the complainant later in the trial when she testified.  While this was not argued before the Trial Judge</w:t>
      </w:r>
      <w:r w:rsidR="0033242A">
        <w:rPr>
          <w:rFonts w:ascii="Times New Roman" w:hAnsi="Times New Roman" w:cs="Times New Roman"/>
          <w:sz w:val="28"/>
          <w:szCs w:val="28"/>
          <w:lang w:val="en-US"/>
        </w:rPr>
        <w:t xml:space="preserve"> on the </w:t>
      </w:r>
      <w:r w:rsidR="0033242A">
        <w:rPr>
          <w:rFonts w:ascii="Times New Roman" w:hAnsi="Times New Roman" w:cs="Times New Roman"/>
          <w:i/>
          <w:sz w:val="28"/>
          <w:szCs w:val="28"/>
          <w:lang w:val="en-US"/>
        </w:rPr>
        <w:t>voir dire</w:t>
      </w:r>
      <w:r>
        <w:rPr>
          <w:rFonts w:ascii="Times New Roman" w:hAnsi="Times New Roman" w:cs="Times New Roman"/>
          <w:sz w:val="28"/>
          <w:szCs w:val="28"/>
          <w:lang w:val="en-US"/>
        </w:rPr>
        <w:t>, she did address the issue in her reasons convicting the Appellant.</w:t>
      </w:r>
      <w:r w:rsidR="0033242A">
        <w:rPr>
          <w:rFonts w:ascii="Times New Roman" w:hAnsi="Times New Roman" w:cs="Times New Roman"/>
          <w:sz w:val="28"/>
          <w:szCs w:val="28"/>
          <w:lang w:val="en-US"/>
        </w:rPr>
        <w:t xml:space="preserve">  It can be inferred that had this alternative explanation been raised at the </w:t>
      </w:r>
      <w:r w:rsidR="0033242A">
        <w:rPr>
          <w:rFonts w:ascii="Times New Roman" w:hAnsi="Times New Roman" w:cs="Times New Roman"/>
          <w:i/>
          <w:sz w:val="28"/>
          <w:szCs w:val="28"/>
          <w:lang w:val="en-US"/>
        </w:rPr>
        <w:t xml:space="preserve">voir dire, </w:t>
      </w:r>
      <w:r w:rsidR="0033242A">
        <w:rPr>
          <w:rFonts w:ascii="Times New Roman" w:hAnsi="Times New Roman" w:cs="Times New Roman"/>
          <w:sz w:val="28"/>
          <w:szCs w:val="28"/>
          <w:lang w:val="en-US"/>
        </w:rPr>
        <w:t>the Trial Judge would have addressed the issue in the same manner as she did in her reasons</w:t>
      </w:r>
      <w:r w:rsidR="00473567">
        <w:rPr>
          <w:rFonts w:ascii="Times New Roman" w:hAnsi="Times New Roman" w:cs="Times New Roman"/>
          <w:sz w:val="28"/>
          <w:szCs w:val="28"/>
          <w:lang w:val="en-US"/>
        </w:rPr>
        <w:t xml:space="preserve"> convicting the Appellant</w:t>
      </w:r>
      <w:r w:rsidR="0033242A">
        <w:rPr>
          <w:rFonts w:ascii="Times New Roman" w:hAnsi="Times New Roman" w:cs="Times New Roman"/>
          <w:sz w:val="28"/>
          <w:szCs w:val="28"/>
          <w:lang w:val="en-US"/>
        </w:rPr>
        <w:t>.</w:t>
      </w:r>
    </w:p>
    <w:p w:rsidR="006910F6" w:rsidRPr="00CC6009" w:rsidRDefault="00957992"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Trial Judge considered </w:t>
      </w:r>
      <w:r w:rsidR="00CC6009">
        <w:rPr>
          <w:rFonts w:ascii="Times New Roman" w:hAnsi="Times New Roman" w:cs="Times New Roman"/>
          <w:sz w:val="28"/>
          <w:szCs w:val="28"/>
          <w:lang w:val="en-US"/>
        </w:rPr>
        <w:t xml:space="preserve">whether the complainant was motivated to lie by </w:t>
      </w:r>
      <w:r w:rsidR="002752D0">
        <w:rPr>
          <w:rFonts w:ascii="Times New Roman" w:hAnsi="Times New Roman" w:cs="Times New Roman"/>
          <w:sz w:val="28"/>
          <w:szCs w:val="28"/>
          <w:lang w:val="en-US"/>
        </w:rPr>
        <w:t xml:space="preserve">jealousy.  The Trial Judge noted that there was some evidence that the complainant or the Appellant may have been jealous and that the complainant may have a motive to be untruthful.  The Trial Judge acknowledged that the complainant said “I was jealous.”  </w:t>
      </w:r>
      <w:r w:rsidR="00CC6009">
        <w:rPr>
          <w:rFonts w:ascii="Times New Roman" w:hAnsi="Times New Roman" w:cs="Times New Roman"/>
          <w:sz w:val="28"/>
          <w:szCs w:val="28"/>
          <w:lang w:val="en-US"/>
        </w:rPr>
        <w:t>However, t</w:t>
      </w:r>
      <w:r w:rsidR="002752D0">
        <w:rPr>
          <w:rFonts w:ascii="Times New Roman" w:hAnsi="Times New Roman" w:cs="Times New Roman"/>
          <w:sz w:val="28"/>
          <w:szCs w:val="28"/>
          <w:lang w:val="en-US"/>
        </w:rPr>
        <w:t xml:space="preserve">he Trial Judge concluded that </w:t>
      </w:r>
      <w:r w:rsidR="00CC6009">
        <w:rPr>
          <w:rFonts w:ascii="Times New Roman" w:hAnsi="Times New Roman" w:cs="Times New Roman"/>
          <w:sz w:val="28"/>
          <w:szCs w:val="28"/>
          <w:lang w:val="en-US"/>
        </w:rPr>
        <w:t xml:space="preserve">she could not find that </w:t>
      </w:r>
      <w:r w:rsidR="002752D0">
        <w:rPr>
          <w:rFonts w:ascii="Times New Roman" w:hAnsi="Times New Roman" w:cs="Times New Roman"/>
          <w:sz w:val="28"/>
          <w:szCs w:val="28"/>
          <w:lang w:val="en-US"/>
        </w:rPr>
        <w:t xml:space="preserve">there was </w:t>
      </w:r>
      <w:r w:rsidR="00CC6009">
        <w:rPr>
          <w:rFonts w:ascii="Times New Roman" w:hAnsi="Times New Roman" w:cs="Times New Roman"/>
          <w:sz w:val="28"/>
          <w:szCs w:val="28"/>
          <w:lang w:val="en-US"/>
        </w:rPr>
        <w:t>a</w:t>
      </w:r>
      <w:r w:rsidR="002752D0">
        <w:rPr>
          <w:rFonts w:ascii="Times New Roman" w:hAnsi="Times New Roman" w:cs="Times New Roman"/>
          <w:sz w:val="28"/>
          <w:szCs w:val="28"/>
          <w:lang w:val="en-US"/>
        </w:rPr>
        <w:t xml:space="preserve"> motive to fabricate </w:t>
      </w:r>
      <w:r w:rsidR="00CC6009">
        <w:rPr>
          <w:rFonts w:ascii="Times New Roman" w:hAnsi="Times New Roman" w:cs="Times New Roman"/>
          <w:sz w:val="28"/>
          <w:szCs w:val="28"/>
          <w:lang w:val="en-US"/>
        </w:rPr>
        <w:t xml:space="preserve">simply </w:t>
      </w:r>
      <w:r w:rsidR="002752D0">
        <w:rPr>
          <w:rFonts w:ascii="Times New Roman" w:hAnsi="Times New Roman" w:cs="Times New Roman"/>
          <w:sz w:val="28"/>
          <w:szCs w:val="28"/>
          <w:lang w:val="en-US"/>
        </w:rPr>
        <w:t>because of that</w:t>
      </w:r>
      <w:r w:rsidR="00CC6009">
        <w:rPr>
          <w:rFonts w:ascii="Times New Roman" w:hAnsi="Times New Roman" w:cs="Times New Roman"/>
          <w:sz w:val="28"/>
          <w:szCs w:val="28"/>
          <w:lang w:val="en-US"/>
        </w:rPr>
        <w:t xml:space="preserve"> statement</w:t>
      </w:r>
      <w:r w:rsidR="002752D0">
        <w:rPr>
          <w:rFonts w:ascii="Times New Roman" w:hAnsi="Times New Roman" w:cs="Times New Roman"/>
          <w:sz w:val="28"/>
          <w:szCs w:val="28"/>
          <w:lang w:val="en-US"/>
        </w:rPr>
        <w:t>.  In coming to that conclusion, the Trial Judge considered</w:t>
      </w:r>
      <w:r w:rsidR="00CC6009">
        <w:rPr>
          <w:rFonts w:ascii="Times New Roman" w:hAnsi="Times New Roman" w:cs="Times New Roman"/>
          <w:sz w:val="28"/>
          <w:szCs w:val="28"/>
          <w:lang w:val="en-US"/>
        </w:rPr>
        <w:t xml:space="preserve"> the evidence of the bloody sheet and the complainant’s injuries which she had found corroborative of what the complainant had said occurred.</w:t>
      </w:r>
    </w:p>
    <w:p w:rsidR="00CC6009" w:rsidRPr="00656097" w:rsidRDefault="00CC6009"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The Trial Judge concluded that the photographs of the complainant’s injury to her nose which showed a wound in the crease of her nose and bruising around the tip were consistent with the complainant’s claim that the Appellant had bit her causing h</w:t>
      </w:r>
      <w:r w:rsidR="00E73515">
        <w:rPr>
          <w:rFonts w:ascii="Times New Roman" w:hAnsi="Times New Roman" w:cs="Times New Roman"/>
          <w:sz w:val="28"/>
          <w:szCs w:val="28"/>
          <w:lang w:val="en-US"/>
        </w:rPr>
        <w:t>er to bleed profusely.  The photographs of the bloody bed sheet were also found to be corroborative of the complainant’s claim.</w:t>
      </w:r>
    </w:p>
    <w:p w:rsidR="002752D0" w:rsidRPr="00E85EEE" w:rsidRDefault="00F6635B"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Trial Judge </w:t>
      </w:r>
      <w:r w:rsidR="00E85EEE">
        <w:rPr>
          <w:rFonts w:ascii="Times New Roman" w:hAnsi="Times New Roman" w:cs="Times New Roman"/>
          <w:sz w:val="28"/>
          <w:szCs w:val="28"/>
          <w:lang w:val="en-US"/>
        </w:rPr>
        <w:t>rejected the complainant’s testimony at trial about how she had received the injury stating:</w:t>
      </w:r>
    </w:p>
    <w:p w:rsidR="00E85EEE" w:rsidRPr="00E15902" w:rsidRDefault="00E85EEE" w:rsidP="00E15902">
      <w:pPr>
        <w:autoSpaceDE w:val="0"/>
        <w:autoSpaceDN w:val="0"/>
        <w:adjustRightInd w:val="0"/>
        <w:spacing w:after="280" w:line="240" w:lineRule="auto"/>
        <w:ind w:left="720" w:right="720"/>
        <w:jc w:val="both"/>
        <w:rPr>
          <w:rFonts w:ascii="Times New Roman" w:hAnsi="Times New Roman" w:cs="Times New Roman"/>
          <w:b/>
          <w:sz w:val="24"/>
          <w:szCs w:val="24"/>
          <w:u w:val="single"/>
          <w:lang w:val="en-US"/>
        </w:rPr>
      </w:pPr>
      <w:r w:rsidRPr="00E15902">
        <w:rPr>
          <w:rFonts w:ascii="Times New Roman" w:hAnsi="Times New Roman" w:cs="Times New Roman"/>
          <w:sz w:val="24"/>
          <w:szCs w:val="24"/>
          <w:lang w:val="en-US"/>
        </w:rPr>
        <w:t>That story is ridiculous and completely at odds with the photographs of both the injury and the blood on the sheet and the blood on the mattress topper.</w:t>
      </w:r>
    </w:p>
    <w:p w:rsidR="001D3F56" w:rsidRPr="005A1B61" w:rsidRDefault="00E85EEE"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In rejecting the complainant’s evidence, the Trial Judge found that it did not explain the wound or the injury to her face</w:t>
      </w:r>
      <w:r w:rsidR="005A1B61">
        <w:rPr>
          <w:rFonts w:ascii="Times New Roman" w:hAnsi="Times New Roman" w:cs="Times New Roman"/>
          <w:sz w:val="28"/>
          <w:szCs w:val="28"/>
          <w:lang w:val="en-US"/>
        </w:rPr>
        <w:t xml:space="preserve"> or</w:t>
      </w:r>
      <w:r>
        <w:rPr>
          <w:rFonts w:ascii="Times New Roman" w:hAnsi="Times New Roman" w:cs="Times New Roman"/>
          <w:sz w:val="28"/>
          <w:szCs w:val="28"/>
          <w:lang w:val="en-US"/>
        </w:rPr>
        <w:t xml:space="preserve"> the fact that </w:t>
      </w:r>
      <w:r w:rsidR="005A1B61">
        <w:rPr>
          <w:rFonts w:ascii="Times New Roman" w:hAnsi="Times New Roman" w:cs="Times New Roman"/>
          <w:sz w:val="28"/>
          <w:szCs w:val="28"/>
          <w:lang w:val="en-US"/>
        </w:rPr>
        <w:t xml:space="preserve">the complainant </w:t>
      </w:r>
      <w:r>
        <w:rPr>
          <w:rFonts w:ascii="Times New Roman" w:hAnsi="Times New Roman" w:cs="Times New Roman"/>
          <w:sz w:val="28"/>
          <w:szCs w:val="28"/>
          <w:lang w:val="en-US"/>
        </w:rPr>
        <w:t>was crying and upset and frantic when the police officer fi</w:t>
      </w:r>
      <w:r w:rsidR="005A1B61">
        <w:rPr>
          <w:rFonts w:ascii="Times New Roman" w:hAnsi="Times New Roman" w:cs="Times New Roman"/>
          <w:sz w:val="28"/>
          <w:szCs w:val="28"/>
          <w:lang w:val="en-US"/>
        </w:rPr>
        <w:t>rst encountered her.</w:t>
      </w:r>
    </w:p>
    <w:p w:rsidR="006A2099" w:rsidRPr="0046264E" w:rsidRDefault="005A1B61"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At trial, the complainant had testified that she had assaulted the Appellant.  She testified that he “moved me” and then she fell down on the floor.  She bled out of her nose after she hit it on the floor or on the side table</w:t>
      </w:r>
      <w:r w:rsidR="0033242A">
        <w:rPr>
          <w:rFonts w:ascii="Times New Roman" w:hAnsi="Times New Roman" w:cs="Times New Roman"/>
          <w:sz w:val="28"/>
          <w:szCs w:val="28"/>
          <w:lang w:val="en-US"/>
        </w:rPr>
        <w:t xml:space="preserve">.  The </w:t>
      </w:r>
      <w:r w:rsidR="006A2099">
        <w:rPr>
          <w:rFonts w:ascii="Times New Roman" w:hAnsi="Times New Roman" w:cs="Times New Roman"/>
          <w:sz w:val="28"/>
          <w:szCs w:val="28"/>
          <w:lang w:val="en-US"/>
        </w:rPr>
        <w:t xml:space="preserve">complainant </w:t>
      </w:r>
      <w:r w:rsidR="0033242A">
        <w:rPr>
          <w:rFonts w:ascii="Times New Roman" w:hAnsi="Times New Roman" w:cs="Times New Roman"/>
          <w:sz w:val="28"/>
          <w:szCs w:val="28"/>
          <w:lang w:val="en-US"/>
        </w:rPr>
        <w:t xml:space="preserve">also </w:t>
      </w:r>
      <w:r w:rsidR="006A2099">
        <w:rPr>
          <w:rFonts w:ascii="Times New Roman" w:hAnsi="Times New Roman" w:cs="Times New Roman"/>
          <w:sz w:val="28"/>
          <w:szCs w:val="28"/>
          <w:lang w:val="en-US"/>
        </w:rPr>
        <w:t>described receiving a “scratch” on the side of her nose</w:t>
      </w:r>
      <w:r w:rsidR="0033242A">
        <w:rPr>
          <w:rFonts w:ascii="Times New Roman" w:hAnsi="Times New Roman" w:cs="Times New Roman"/>
          <w:sz w:val="28"/>
          <w:szCs w:val="28"/>
          <w:lang w:val="en-US"/>
        </w:rPr>
        <w:t xml:space="preserve"> which healed quickly</w:t>
      </w:r>
      <w:r w:rsidR="006A2099">
        <w:rPr>
          <w:rFonts w:ascii="Times New Roman" w:hAnsi="Times New Roman" w:cs="Times New Roman"/>
          <w:sz w:val="28"/>
          <w:szCs w:val="28"/>
          <w:lang w:val="en-US"/>
        </w:rPr>
        <w:t>.</w:t>
      </w:r>
    </w:p>
    <w:p w:rsidR="006A2099" w:rsidRPr="0046264E" w:rsidRDefault="0046264E" w:rsidP="000F3E06">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46264E">
        <w:rPr>
          <w:rFonts w:ascii="Times New Roman" w:hAnsi="Times New Roman" w:cs="Times New Roman"/>
          <w:sz w:val="28"/>
          <w:szCs w:val="28"/>
          <w:lang w:val="en-US"/>
        </w:rPr>
        <w:t>The complainant’s evidence about her injury was contradicted by Cst. Meko, the officer who responded to the call</w:t>
      </w:r>
      <w:r w:rsidR="0033242A">
        <w:rPr>
          <w:rFonts w:ascii="Times New Roman" w:hAnsi="Times New Roman" w:cs="Times New Roman"/>
          <w:sz w:val="28"/>
          <w:szCs w:val="28"/>
          <w:lang w:val="en-US"/>
        </w:rPr>
        <w:t>,</w:t>
      </w:r>
      <w:r>
        <w:rPr>
          <w:rFonts w:ascii="Times New Roman" w:hAnsi="Times New Roman" w:cs="Times New Roman"/>
          <w:sz w:val="28"/>
          <w:szCs w:val="28"/>
          <w:lang w:val="en-US"/>
        </w:rPr>
        <w:t xml:space="preserve"> and the photographs</w:t>
      </w:r>
      <w:r w:rsidRPr="0046264E">
        <w:rPr>
          <w:rFonts w:ascii="Times New Roman" w:hAnsi="Times New Roman" w:cs="Times New Roman"/>
          <w:sz w:val="28"/>
          <w:szCs w:val="28"/>
          <w:lang w:val="en-US"/>
        </w:rPr>
        <w:t xml:space="preserve">.  </w:t>
      </w:r>
      <w:r w:rsidR="006A2099" w:rsidRPr="0046264E">
        <w:rPr>
          <w:rFonts w:ascii="Times New Roman" w:hAnsi="Times New Roman" w:cs="Times New Roman"/>
          <w:sz w:val="28"/>
          <w:szCs w:val="28"/>
          <w:lang w:val="en-US"/>
        </w:rPr>
        <w:t xml:space="preserve">Cst. Meko testified that when he encountered the complainant, she was bleeding substantially and there was a slit in the crease </w:t>
      </w:r>
      <w:r w:rsidR="00A42F06" w:rsidRPr="0046264E">
        <w:rPr>
          <w:rFonts w:ascii="Times New Roman" w:hAnsi="Times New Roman" w:cs="Times New Roman"/>
          <w:sz w:val="28"/>
          <w:szCs w:val="28"/>
          <w:lang w:val="en-US"/>
        </w:rPr>
        <w:t>of her nose and cheek and that her nose was red like it was bruised.</w:t>
      </w:r>
    </w:p>
    <w:p w:rsidR="005A1B61" w:rsidRPr="00E42833" w:rsidRDefault="0046264E"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photographs (which are in black and white in the Appeal Book) depict a </w:t>
      </w:r>
      <w:r w:rsidR="007B2C04">
        <w:rPr>
          <w:rFonts w:ascii="Times New Roman" w:hAnsi="Times New Roman" w:cs="Times New Roman"/>
          <w:sz w:val="28"/>
          <w:szCs w:val="28"/>
          <w:lang w:val="en-US"/>
        </w:rPr>
        <w:t>wound</w:t>
      </w:r>
      <w:r>
        <w:rPr>
          <w:rFonts w:ascii="Times New Roman" w:hAnsi="Times New Roman" w:cs="Times New Roman"/>
          <w:sz w:val="28"/>
          <w:szCs w:val="28"/>
          <w:lang w:val="en-US"/>
        </w:rPr>
        <w:t xml:space="preserve"> between the complainant’s nose and cheek and a darker area at the tip of her nose, </w:t>
      </w:r>
      <w:r w:rsidR="007B2C04">
        <w:rPr>
          <w:rFonts w:ascii="Times New Roman" w:hAnsi="Times New Roman" w:cs="Times New Roman"/>
          <w:sz w:val="28"/>
          <w:szCs w:val="28"/>
          <w:lang w:val="en-US"/>
        </w:rPr>
        <w:t xml:space="preserve">which is </w:t>
      </w:r>
      <w:r>
        <w:rPr>
          <w:rFonts w:ascii="Times New Roman" w:hAnsi="Times New Roman" w:cs="Times New Roman"/>
          <w:sz w:val="28"/>
          <w:szCs w:val="28"/>
          <w:lang w:val="en-US"/>
        </w:rPr>
        <w:t>consistent with the evidence of Cst. Meko and appearing to be more than the scratch described by the complainant.</w:t>
      </w:r>
    </w:p>
    <w:p w:rsidR="007B2C04" w:rsidRPr="00934F7C" w:rsidRDefault="007B2C04"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The Trial Judge’s conclusion that the complainant’s explanation that she injured herself was contradicted by the photographs of the injury and the blood on the sheet and mattress topper and that the injury was consistent with a bite were reasonably supported by the evidence and are entitled to deference.</w:t>
      </w:r>
    </w:p>
    <w:p w:rsidR="00934F7C" w:rsidRPr="00934F7C" w:rsidRDefault="00934F7C"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While the Trial Judge’s decision does not explicitly address the issue of alternative explanations for the statement</w:t>
      </w:r>
      <w:r w:rsidR="0063397B">
        <w:rPr>
          <w:rFonts w:ascii="Times New Roman" w:hAnsi="Times New Roman" w:cs="Times New Roman"/>
          <w:sz w:val="28"/>
          <w:szCs w:val="28"/>
          <w:lang w:val="en-US"/>
        </w:rPr>
        <w:t xml:space="preserve"> as contemplated by </w:t>
      </w:r>
      <w:r w:rsidR="0063397B">
        <w:rPr>
          <w:rFonts w:ascii="Times New Roman" w:hAnsi="Times New Roman" w:cs="Times New Roman"/>
          <w:i/>
          <w:sz w:val="28"/>
          <w:szCs w:val="28"/>
          <w:lang w:val="en-US"/>
        </w:rPr>
        <w:t>Bradshaw</w:t>
      </w:r>
      <w:r>
        <w:rPr>
          <w:rFonts w:ascii="Times New Roman" w:hAnsi="Times New Roman" w:cs="Times New Roman"/>
          <w:sz w:val="28"/>
          <w:szCs w:val="28"/>
          <w:lang w:val="en-US"/>
        </w:rPr>
        <w:t>, those issues were raised before the Trial Judge</w:t>
      </w:r>
      <w:r w:rsidR="00E42833">
        <w:rPr>
          <w:rFonts w:ascii="Times New Roman" w:hAnsi="Times New Roman" w:cs="Times New Roman"/>
          <w:sz w:val="28"/>
          <w:szCs w:val="28"/>
          <w:lang w:val="en-US"/>
        </w:rPr>
        <w:t xml:space="preserve"> and </w:t>
      </w:r>
      <w:r w:rsidR="000246F5">
        <w:rPr>
          <w:rFonts w:ascii="Times New Roman" w:hAnsi="Times New Roman" w:cs="Times New Roman"/>
          <w:sz w:val="28"/>
          <w:szCs w:val="28"/>
          <w:lang w:val="en-US"/>
        </w:rPr>
        <w:t xml:space="preserve">a review of the </w:t>
      </w:r>
      <w:r w:rsidR="00E42833">
        <w:rPr>
          <w:rFonts w:ascii="Times New Roman" w:hAnsi="Times New Roman" w:cs="Times New Roman"/>
          <w:sz w:val="28"/>
          <w:szCs w:val="28"/>
          <w:lang w:val="en-US"/>
        </w:rPr>
        <w:t>Trial Judge</w:t>
      </w:r>
      <w:r w:rsidR="000246F5">
        <w:rPr>
          <w:rFonts w:ascii="Times New Roman" w:hAnsi="Times New Roman" w:cs="Times New Roman"/>
          <w:sz w:val="28"/>
          <w:szCs w:val="28"/>
          <w:lang w:val="en-US"/>
        </w:rPr>
        <w:t>’s reasons demonstrate that she considered the alternative explanations that were raised before her.</w:t>
      </w:r>
      <w:r>
        <w:rPr>
          <w:rFonts w:ascii="Times New Roman" w:hAnsi="Times New Roman" w:cs="Times New Roman"/>
          <w:sz w:val="28"/>
          <w:szCs w:val="28"/>
          <w:lang w:val="en-US"/>
        </w:rPr>
        <w:t xml:space="preserve">  </w:t>
      </w:r>
    </w:p>
    <w:p w:rsidR="008A6698" w:rsidRPr="008A6698" w:rsidRDefault="008A6698"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The Appellant also argue</w:t>
      </w:r>
      <w:r w:rsidR="0046264E">
        <w:rPr>
          <w:rFonts w:ascii="Times New Roman" w:hAnsi="Times New Roman" w:cs="Times New Roman"/>
          <w:sz w:val="28"/>
          <w:szCs w:val="28"/>
          <w:lang w:val="en-US"/>
        </w:rPr>
        <w:t>d</w:t>
      </w:r>
      <w:r>
        <w:rPr>
          <w:rFonts w:ascii="Times New Roman" w:hAnsi="Times New Roman" w:cs="Times New Roman"/>
          <w:sz w:val="28"/>
          <w:szCs w:val="28"/>
          <w:lang w:val="en-US"/>
        </w:rPr>
        <w:t xml:space="preserve"> that the Trial Judge erred in admitting the complainant’s statement without ever considering whether threshold reliability had been established for all of the incidents detailed in the statement.</w:t>
      </w:r>
    </w:p>
    <w:p w:rsidR="008A6698" w:rsidRPr="000724A0" w:rsidRDefault="00C0132E"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The most serious allegations were the incidents that occurred on December 20, 2016.  These allegations constituted the bulk of the complainant’s statement.  The analysis of the Trial Judge with respect to reliability focused on those events and the corroborative evidence which was considered related to those events.  The incidents had occurred shortly before the complainant provided her statement to the police officer.  They had resulted in injuries to the complainant.  Naturally, the focus of the complainant and the police officer </w:t>
      </w:r>
      <w:r w:rsidR="00D02966">
        <w:rPr>
          <w:rFonts w:ascii="Times New Roman" w:hAnsi="Times New Roman" w:cs="Times New Roman"/>
          <w:sz w:val="28"/>
          <w:szCs w:val="28"/>
          <w:lang w:val="en-US"/>
        </w:rPr>
        <w:t xml:space="preserve">during the statement </w:t>
      </w:r>
      <w:r>
        <w:rPr>
          <w:rFonts w:ascii="Times New Roman" w:hAnsi="Times New Roman" w:cs="Times New Roman"/>
          <w:sz w:val="28"/>
          <w:szCs w:val="28"/>
          <w:lang w:val="en-US"/>
        </w:rPr>
        <w:t>was on the December 20, 2016 incidents.</w:t>
      </w:r>
    </w:p>
    <w:p w:rsidR="000724A0" w:rsidRPr="000724A0" w:rsidRDefault="006D2E1F" w:rsidP="000724A0">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sidRPr="000724A0">
        <w:rPr>
          <w:rFonts w:ascii="Times New Roman" w:hAnsi="Times New Roman" w:cs="Times New Roman"/>
          <w:sz w:val="28"/>
          <w:szCs w:val="28"/>
          <w:lang w:val="en-US"/>
        </w:rPr>
        <w:t xml:space="preserve">I do not understand that the law </w:t>
      </w:r>
      <w:r w:rsidR="00D02966">
        <w:rPr>
          <w:rFonts w:ascii="Times New Roman" w:hAnsi="Times New Roman" w:cs="Times New Roman"/>
          <w:sz w:val="28"/>
          <w:szCs w:val="28"/>
          <w:lang w:val="en-US"/>
        </w:rPr>
        <w:t>requires</w:t>
      </w:r>
      <w:r w:rsidRPr="000724A0">
        <w:rPr>
          <w:rFonts w:ascii="Times New Roman" w:hAnsi="Times New Roman" w:cs="Times New Roman"/>
          <w:sz w:val="28"/>
          <w:szCs w:val="28"/>
          <w:lang w:val="en-US"/>
        </w:rPr>
        <w:t xml:space="preserve"> that </w:t>
      </w:r>
      <w:r w:rsidRPr="000724A0">
        <w:rPr>
          <w:rFonts w:ascii="Times New Roman" w:hAnsi="Times New Roman" w:cs="Times New Roman"/>
          <w:sz w:val="28"/>
          <w:szCs w:val="28"/>
          <w:lang w:val="en"/>
        </w:rPr>
        <w:t xml:space="preserve">every material aspect of the statement must be corroborated by evidence on the </w:t>
      </w:r>
      <w:r w:rsidRPr="000724A0">
        <w:rPr>
          <w:rFonts w:ascii="Times New Roman" w:hAnsi="Times New Roman" w:cs="Times New Roman"/>
          <w:i/>
          <w:sz w:val="28"/>
          <w:szCs w:val="28"/>
          <w:lang w:val="en"/>
        </w:rPr>
        <w:t>voir dire</w:t>
      </w:r>
      <w:r w:rsidRPr="000724A0">
        <w:rPr>
          <w:rFonts w:ascii="Times New Roman" w:hAnsi="Times New Roman" w:cs="Times New Roman"/>
          <w:sz w:val="28"/>
          <w:szCs w:val="28"/>
          <w:lang w:val="en"/>
        </w:rPr>
        <w:t xml:space="preserve"> before the statement can be found to be admissible.</w:t>
      </w:r>
      <w:r w:rsidR="000724A0" w:rsidRPr="000724A0">
        <w:rPr>
          <w:rFonts w:ascii="Times New Roman" w:hAnsi="Times New Roman" w:cs="Times New Roman"/>
          <w:sz w:val="28"/>
          <w:szCs w:val="28"/>
          <w:lang w:val="en"/>
        </w:rPr>
        <w:t xml:space="preserve">  The fact that not all of the statement was corroborated by other evidence and, in particular, the other incidents of assault described by the complainant, is not </w:t>
      </w:r>
      <w:r w:rsidR="00D02966">
        <w:rPr>
          <w:rFonts w:ascii="Times New Roman" w:hAnsi="Times New Roman" w:cs="Times New Roman"/>
          <w:sz w:val="28"/>
          <w:szCs w:val="28"/>
          <w:lang w:val="en"/>
        </w:rPr>
        <w:t xml:space="preserve">determinative of </w:t>
      </w:r>
      <w:r w:rsidR="000724A0" w:rsidRPr="000724A0">
        <w:rPr>
          <w:rFonts w:ascii="Times New Roman" w:hAnsi="Times New Roman" w:cs="Times New Roman"/>
          <w:sz w:val="28"/>
          <w:szCs w:val="28"/>
          <w:lang w:val="en"/>
        </w:rPr>
        <w:t>whether the statement could be found to be substantively reliable.  The issue is whether the statement as a whole can be considered substantively reliable.</w:t>
      </w:r>
      <w:r w:rsidR="0068658B">
        <w:rPr>
          <w:rFonts w:ascii="Times New Roman" w:hAnsi="Times New Roman" w:cs="Times New Roman"/>
          <w:sz w:val="28"/>
          <w:szCs w:val="28"/>
          <w:lang w:val="en"/>
        </w:rPr>
        <w:t xml:space="preserve"> </w:t>
      </w:r>
      <w:r w:rsidR="000724A0" w:rsidRPr="000724A0">
        <w:rPr>
          <w:rFonts w:ascii="Times New Roman" w:hAnsi="Times New Roman" w:cs="Times New Roman"/>
          <w:sz w:val="28"/>
          <w:szCs w:val="28"/>
          <w:lang w:val="en"/>
        </w:rPr>
        <w:t xml:space="preserve"> See </w:t>
      </w:r>
      <w:r w:rsidR="000724A0" w:rsidRPr="000724A0">
        <w:rPr>
          <w:rFonts w:ascii="Times New Roman" w:eastAsia="Times New Roman" w:hAnsi="Times New Roman" w:cs="Times New Roman"/>
          <w:i/>
          <w:sz w:val="28"/>
          <w:szCs w:val="28"/>
          <w:lang w:val="en"/>
        </w:rPr>
        <w:t>R v Hall</w:t>
      </w:r>
      <w:r w:rsidR="000724A0" w:rsidRPr="000724A0">
        <w:rPr>
          <w:rFonts w:ascii="Times New Roman" w:eastAsia="Times New Roman" w:hAnsi="Times New Roman" w:cs="Times New Roman"/>
          <w:sz w:val="28"/>
          <w:szCs w:val="28"/>
          <w:lang w:val="en"/>
        </w:rPr>
        <w:t>, 2018 MBCA 122 at para</w:t>
      </w:r>
      <w:r w:rsidR="00AB058C">
        <w:rPr>
          <w:rFonts w:ascii="Times New Roman" w:eastAsia="Times New Roman" w:hAnsi="Times New Roman" w:cs="Times New Roman"/>
          <w:sz w:val="28"/>
          <w:szCs w:val="28"/>
          <w:lang w:val="en"/>
        </w:rPr>
        <w:t>s</w:t>
      </w:r>
      <w:r w:rsidR="000724A0" w:rsidRPr="000724A0">
        <w:rPr>
          <w:rFonts w:ascii="Times New Roman" w:eastAsia="Times New Roman" w:hAnsi="Times New Roman" w:cs="Times New Roman"/>
          <w:sz w:val="28"/>
          <w:szCs w:val="28"/>
          <w:lang w:val="en"/>
        </w:rPr>
        <w:t xml:space="preserve"> 79-85</w:t>
      </w:r>
      <w:r w:rsidR="00D02966">
        <w:rPr>
          <w:rFonts w:ascii="Times New Roman" w:eastAsia="Times New Roman" w:hAnsi="Times New Roman" w:cs="Times New Roman"/>
          <w:sz w:val="28"/>
          <w:szCs w:val="28"/>
          <w:lang w:val="en"/>
        </w:rPr>
        <w:t>.</w:t>
      </w:r>
    </w:p>
    <w:p w:rsidR="00E42833" w:rsidRPr="00E42833" w:rsidRDefault="00E42833" w:rsidP="00192029">
      <w:pPr>
        <w:numPr>
          <w:ilvl w:val="0"/>
          <w:numId w:val="9"/>
        </w:numPr>
        <w:autoSpaceDE w:val="0"/>
        <w:autoSpaceDN w:val="0"/>
        <w:adjustRightInd w:val="0"/>
        <w:spacing w:after="280" w:line="240" w:lineRule="auto"/>
        <w:ind w:left="0" w:firstLine="0"/>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An analysis of the Trial Judge’s reasons, read as a whole and considering the submissions of counsel and the trial record, demonstrate that she adequately considered the substance of the steps outlined in </w:t>
      </w:r>
      <w:r>
        <w:rPr>
          <w:rFonts w:ascii="Times New Roman" w:hAnsi="Times New Roman" w:cs="Times New Roman"/>
          <w:i/>
          <w:sz w:val="28"/>
          <w:szCs w:val="28"/>
          <w:lang w:val="en-US"/>
        </w:rPr>
        <w:t>Bradshaw</w:t>
      </w:r>
      <w:r>
        <w:rPr>
          <w:rFonts w:ascii="Times New Roman" w:hAnsi="Times New Roman" w:cs="Times New Roman"/>
          <w:sz w:val="28"/>
          <w:szCs w:val="28"/>
          <w:lang w:val="en-US"/>
        </w:rPr>
        <w:t xml:space="preserve"> in the context of the facts and the issues of the case.  Absent an error in principle, the Trial Judge’s determination on threshold reliability is entitled to deference. </w:t>
      </w:r>
    </w:p>
    <w:p w:rsidR="0057076C" w:rsidRPr="00AF3AFF" w:rsidRDefault="00077CAD" w:rsidP="0057076C">
      <w:pPr>
        <w:autoSpaceDE w:val="0"/>
        <w:autoSpaceDN w:val="0"/>
        <w:adjustRightInd w:val="0"/>
        <w:spacing w:after="280" w:line="240" w:lineRule="auto"/>
        <w:jc w:val="both"/>
        <w:rPr>
          <w:rFonts w:ascii="Times New Roman" w:hAnsi="Times New Roman" w:cs="Times New Roman"/>
          <w:b/>
          <w:sz w:val="28"/>
          <w:szCs w:val="28"/>
          <w:u w:val="single"/>
          <w:lang w:val="en-US"/>
        </w:rPr>
      </w:pPr>
      <w:r w:rsidRPr="00AF3AFF">
        <w:rPr>
          <w:rFonts w:ascii="Times New Roman" w:hAnsi="Times New Roman" w:cs="Times New Roman"/>
          <w:sz w:val="28"/>
          <w:szCs w:val="28"/>
          <w:u w:val="single"/>
          <w:lang w:val="en-US"/>
        </w:rPr>
        <w:t>Evidence of Prior Discreditable Conduct</w:t>
      </w:r>
    </w:p>
    <w:p w:rsidR="001E157F" w:rsidRDefault="001E157F" w:rsidP="00506211">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be admissible in a trial, evidence must be relevant, material and not subject to an exclusionary rule.  Evidence of prior discreditable conduct of an accused, or bad character evidence, is a form of propensity evidence and is presumptively inadmissible.  While this type of evidence is often relevant, it is presumptively inadmissible to introduce propensity evidence against an accused person.  </w:t>
      </w:r>
    </w:p>
    <w:p w:rsidR="001E157F" w:rsidRDefault="001E157F" w:rsidP="001E157F">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evidence can be admitted, exceptionally, where the probative value of the evidence in relation to an issue in question outweighs the prejudicial effect of the evidence.  </w:t>
      </w:r>
      <w:r>
        <w:rPr>
          <w:rFonts w:ascii="Times New Roman" w:hAnsi="Times New Roman" w:cs="Times New Roman"/>
          <w:i/>
          <w:sz w:val="28"/>
          <w:szCs w:val="28"/>
          <w:lang w:val="en-US"/>
        </w:rPr>
        <w:t xml:space="preserve">R v Handy, </w:t>
      </w:r>
      <w:r>
        <w:rPr>
          <w:rFonts w:ascii="Times New Roman" w:hAnsi="Times New Roman" w:cs="Times New Roman"/>
          <w:sz w:val="28"/>
          <w:szCs w:val="28"/>
          <w:lang w:val="en-US"/>
        </w:rPr>
        <w:t>2002 SCC 56.</w:t>
      </w:r>
    </w:p>
    <w:p w:rsidR="00A2464C" w:rsidRDefault="00A2464C" w:rsidP="00A2464C">
      <w:pPr>
        <w:pStyle w:val="ListParagraph"/>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Evidence of prior discreditable conduct in a domestic relationship </w:t>
      </w:r>
      <w:r w:rsidR="00C91F94">
        <w:rPr>
          <w:rFonts w:ascii="Times New Roman" w:hAnsi="Times New Roman" w:cs="Times New Roman"/>
          <w:sz w:val="28"/>
          <w:szCs w:val="28"/>
          <w:lang w:val="en-US"/>
        </w:rPr>
        <w:t xml:space="preserve">is usually </w:t>
      </w:r>
      <w:r>
        <w:rPr>
          <w:rFonts w:ascii="Times New Roman" w:hAnsi="Times New Roman" w:cs="Times New Roman"/>
          <w:sz w:val="28"/>
          <w:szCs w:val="28"/>
          <w:lang w:val="en-US"/>
        </w:rPr>
        <w:t xml:space="preserve">relevant because it can provide a contextual narrative to the relationship, it can demonstrate an animus on the accused’s part toward the complainant, consistent with the offences charged, and it can be relevant to the complainant’s explanation for her failure to leave the relationship and to report the abuse earlier.  The evidence can also be relevant to the credibility of the complainant.  </w:t>
      </w:r>
      <w:r>
        <w:rPr>
          <w:rFonts w:ascii="Times New Roman" w:hAnsi="Times New Roman" w:cs="Times New Roman"/>
          <w:i/>
          <w:sz w:val="28"/>
          <w:szCs w:val="28"/>
          <w:lang w:val="en-US"/>
        </w:rPr>
        <w:t xml:space="preserve">R v F(DS), </w:t>
      </w:r>
      <w:r>
        <w:rPr>
          <w:rFonts w:ascii="Times New Roman" w:hAnsi="Times New Roman" w:cs="Times New Roman"/>
          <w:sz w:val="28"/>
          <w:szCs w:val="28"/>
          <w:lang w:val="en-US"/>
        </w:rPr>
        <w:t>[1999] OJ No 688 (CA).</w:t>
      </w:r>
    </w:p>
    <w:p w:rsidR="0036548C" w:rsidRDefault="0036548C" w:rsidP="0036548C">
      <w:pPr>
        <w:autoSpaceDE w:val="0"/>
        <w:autoSpaceDN w:val="0"/>
        <w:adjustRightInd w:val="0"/>
        <w:spacing w:after="280" w:line="240"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Standard of Review</w:t>
      </w:r>
    </w:p>
    <w:p w:rsidR="0036548C" w:rsidRDefault="0036548C" w:rsidP="001A6D97">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standard of review with respect to the admissibility of evidence was stated in </w:t>
      </w:r>
      <w:r>
        <w:rPr>
          <w:rFonts w:ascii="Times New Roman" w:hAnsi="Times New Roman" w:cs="Times New Roman"/>
          <w:i/>
          <w:sz w:val="28"/>
          <w:szCs w:val="28"/>
          <w:lang w:val="en-US"/>
        </w:rPr>
        <w:t xml:space="preserve">R v Larsen, </w:t>
      </w:r>
      <w:r>
        <w:rPr>
          <w:rFonts w:ascii="Times New Roman" w:hAnsi="Times New Roman" w:cs="Times New Roman"/>
          <w:sz w:val="28"/>
          <w:szCs w:val="28"/>
          <w:lang w:val="en-US"/>
        </w:rPr>
        <w:t>2012 NWTCA 9 at para. 10:</w:t>
      </w:r>
    </w:p>
    <w:p w:rsidR="0036548C" w:rsidRPr="00221BEA" w:rsidRDefault="0036548C" w:rsidP="00221BEA">
      <w:pPr>
        <w:autoSpaceDE w:val="0"/>
        <w:autoSpaceDN w:val="0"/>
        <w:adjustRightInd w:val="0"/>
        <w:spacing w:after="280" w:line="240" w:lineRule="auto"/>
        <w:ind w:left="720" w:right="72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 xml:space="preserve">The admissibility of evidence is usually an extricable question of law reviewable on the correctness standard, although underlying fact findings are reviewed for palpable and overriding error:  </w:t>
      </w:r>
      <w:r w:rsidRPr="00221BEA">
        <w:rPr>
          <w:rFonts w:ascii="Times New Roman" w:hAnsi="Times New Roman" w:cs="Times New Roman"/>
          <w:i/>
          <w:sz w:val="24"/>
          <w:szCs w:val="24"/>
          <w:lang w:val="en-US"/>
        </w:rPr>
        <w:t xml:space="preserve">R v Blea, </w:t>
      </w:r>
      <w:r w:rsidRPr="00221BEA">
        <w:rPr>
          <w:rFonts w:ascii="Times New Roman" w:hAnsi="Times New Roman" w:cs="Times New Roman"/>
          <w:sz w:val="24"/>
          <w:szCs w:val="24"/>
          <w:lang w:val="en-US"/>
        </w:rPr>
        <w:t>2012 ABCA 41, [2012] AJ No 106 (QL)</w:t>
      </w:r>
      <w:r w:rsidR="00061AA5" w:rsidRPr="00221BEA">
        <w:rPr>
          <w:rFonts w:ascii="Times New Roman" w:hAnsi="Times New Roman" w:cs="Times New Roman"/>
          <w:sz w:val="24"/>
          <w:szCs w:val="24"/>
          <w:lang w:val="en-US"/>
        </w:rPr>
        <w:t xml:space="preserve"> at para 31.  As the task of balancing probative value against prejudicial effect involves an exercise of judicial discretion, in the absence of a clear error of law, a trial judge’s decision to admit similar fact evidence is entitled to substantial deference:  </w:t>
      </w:r>
      <w:r w:rsidR="00061AA5" w:rsidRPr="00221BEA">
        <w:rPr>
          <w:rFonts w:ascii="Times New Roman" w:hAnsi="Times New Roman" w:cs="Times New Roman"/>
          <w:i/>
          <w:sz w:val="24"/>
          <w:szCs w:val="24"/>
          <w:lang w:val="en-US"/>
        </w:rPr>
        <w:t xml:space="preserve">Blea </w:t>
      </w:r>
      <w:r w:rsidR="00061AA5" w:rsidRPr="00221BEA">
        <w:rPr>
          <w:rFonts w:ascii="Times New Roman" w:hAnsi="Times New Roman" w:cs="Times New Roman"/>
          <w:sz w:val="24"/>
          <w:szCs w:val="24"/>
          <w:lang w:val="en-US"/>
        </w:rPr>
        <w:t xml:space="preserve">at para 33; </w:t>
      </w:r>
      <w:r w:rsidR="00061AA5" w:rsidRPr="00221BEA">
        <w:rPr>
          <w:rFonts w:ascii="Times New Roman" w:hAnsi="Times New Roman" w:cs="Times New Roman"/>
          <w:i/>
          <w:sz w:val="24"/>
          <w:szCs w:val="24"/>
          <w:lang w:val="en-US"/>
        </w:rPr>
        <w:t xml:space="preserve">R v Buna, </w:t>
      </w:r>
      <w:r w:rsidR="00061AA5" w:rsidRPr="00221BEA">
        <w:rPr>
          <w:rFonts w:ascii="Times New Roman" w:hAnsi="Times New Roman" w:cs="Times New Roman"/>
          <w:sz w:val="24"/>
          <w:szCs w:val="24"/>
          <w:lang w:val="en-US"/>
        </w:rPr>
        <w:t>2009 BCCA 536, 249 CCC (3d) 156 at para 53.</w:t>
      </w:r>
    </w:p>
    <w:p w:rsidR="000079E9" w:rsidRPr="000079E9" w:rsidRDefault="000079E9" w:rsidP="000079E9">
      <w:pPr>
        <w:autoSpaceDE w:val="0"/>
        <w:autoSpaceDN w:val="0"/>
        <w:adjustRightInd w:val="0"/>
        <w:spacing w:after="280" w:line="240" w:lineRule="auto"/>
        <w:jc w:val="both"/>
        <w:rPr>
          <w:rFonts w:ascii="Times New Roman" w:hAnsi="Times New Roman" w:cs="Times New Roman"/>
          <w:i/>
          <w:sz w:val="28"/>
          <w:szCs w:val="28"/>
          <w:lang w:val="en-US"/>
        </w:rPr>
      </w:pPr>
      <w:r w:rsidRPr="000079E9">
        <w:rPr>
          <w:rFonts w:ascii="Times New Roman" w:hAnsi="Times New Roman" w:cs="Times New Roman"/>
          <w:i/>
          <w:sz w:val="28"/>
          <w:szCs w:val="28"/>
          <w:lang w:val="en-US"/>
        </w:rPr>
        <w:t>Admissibility of Prior Discreditable Conduct</w:t>
      </w:r>
    </w:p>
    <w:p w:rsidR="0036548C" w:rsidRDefault="00CF4281" w:rsidP="001A6D97">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w:t>
      </w:r>
      <w:r>
        <w:rPr>
          <w:rFonts w:ascii="Times New Roman" w:hAnsi="Times New Roman" w:cs="Times New Roman"/>
          <w:i/>
          <w:sz w:val="28"/>
          <w:szCs w:val="28"/>
          <w:lang w:val="en-US"/>
        </w:rPr>
        <w:t xml:space="preserve">Handy, </w:t>
      </w:r>
      <w:r>
        <w:rPr>
          <w:rFonts w:ascii="Times New Roman" w:hAnsi="Times New Roman" w:cs="Times New Roman"/>
          <w:sz w:val="28"/>
          <w:szCs w:val="28"/>
          <w:lang w:val="en-US"/>
        </w:rPr>
        <w:t xml:space="preserve">the Supreme Court of Canada established a framework for the analysis of the admissibility of this type of evidence.  In </w:t>
      </w:r>
      <w:r>
        <w:rPr>
          <w:rFonts w:ascii="Times New Roman" w:hAnsi="Times New Roman" w:cs="Times New Roman"/>
          <w:i/>
          <w:sz w:val="28"/>
          <w:szCs w:val="28"/>
          <w:lang w:val="en-US"/>
        </w:rPr>
        <w:t>Watt’s Manual of Criminal Evidence</w:t>
      </w:r>
      <w:r>
        <w:rPr>
          <w:rFonts w:ascii="Times New Roman" w:hAnsi="Times New Roman" w:cs="Times New Roman"/>
          <w:sz w:val="28"/>
          <w:szCs w:val="28"/>
          <w:lang w:val="en-US"/>
        </w:rPr>
        <w:t>, 2019 (Toronto:  Thomson Reuters) at p. 605, the framework was described as follows:</w:t>
      </w:r>
    </w:p>
    <w:p w:rsidR="00CF4281" w:rsidRDefault="00CF4281" w:rsidP="00B86D97">
      <w:pPr>
        <w:pStyle w:val="ListParagraph"/>
        <w:autoSpaceDE w:val="0"/>
        <w:autoSpaceDN w:val="0"/>
        <w:adjustRightInd w:val="0"/>
        <w:spacing w:after="280" w:line="240" w:lineRule="auto"/>
        <w:ind w:left="1607" w:right="720"/>
        <w:jc w:val="both"/>
        <w:rPr>
          <w:rFonts w:ascii="Times New Roman" w:hAnsi="Times New Roman" w:cs="Times New Roman"/>
          <w:sz w:val="24"/>
          <w:szCs w:val="24"/>
          <w:lang w:val="en-US"/>
        </w:rPr>
      </w:pPr>
      <w:r w:rsidRPr="00F76200">
        <w:rPr>
          <w:rFonts w:ascii="Times New Roman" w:hAnsi="Times New Roman" w:cs="Times New Roman"/>
          <w:sz w:val="24"/>
          <w:szCs w:val="24"/>
          <w:lang w:val="en-US"/>
        </w:rPr>
        <w:t>The admissibility of evidence of similar acts is determined by</w:t>
      </w:r>
    </w:p>
    <w:p w:rsidR="00BD2D12" w:rsidRDefault="00BD2D12" w:rsidP="00BD2D12">
      <w:pPr>
        <w:pStyle w:val="ListParagraph"/>
        <w:autoSpaceDE w:val="0"/>
        <w:autoSpaceDN w:val="0"/>
        <w:adjustRightInd w:val="0"/>
        <w:spacing w:after="280" w:line="240" w:lineRule="auto"/>
        <w:ind w:left="1607" w:right="720"/>
        <w:jc w:val="both"/>
        <w:rPr>
          <w:rFonts w:ascii="Times New Roman" w:hAnsi="Times New Roman" w:cs="Times New Roman"/>
          <w:sz w:val="24"/>
          <w:szCs w:val="24"/>
          <w:lang w:val="en-US"/>
        </w:rPr>
      </w:pPr>
    </w:p>
    <w:p w:rsidR="00BD2D12" w:rsidRPr="00BD2D12" w:rsidRDefault="00CF4281" w:rsidP="00BD2D12">
      <w:pPr>
        <w:pStyle w:val="ListParagraph"/>
        <w:numPr>
          <w:ilvl w:val="0"/>
          <w:numId w:val="18"/>
        </w:numPr>
        <w:autoSpaceDE w:val="0"/>
        <w:autoSpaceDN w:val="0"/>
        <w:adjustRightInd w:val="0"/>
        <w:spacing w:after="0" w:line="240" w:lineRule="auto"/>
        <w:ind w:right="720"/>
        <w:jc w:val="both"/>
        <w:rPr>
          <w:rFonts w:ascii="Times New Roman" w:hAnsi="Times New Roman" w:cs="Times New Roman"/>
          <w:sz w:val="24"/>
          <w:szCs w:val="24"/>
          <w:lang w:val="en-US"/>
        </w:rPr>
      </w:pPr>
      <w:r w:rsidRPr="00BD2D12">
        <w:rPr>
          <w:rFonts w:ascii="Times New Roman" w:hAnsi="Times New Roman" w:cs="Times New Roman"/>
          <w:sz w:val="24"/>
          <w:szCs w:val="24"/>
          <w:lang w:val="en-US"/>
        </w:rPr>
        <w:t xml:space="preserve">the relevance of the evidence to an issue in the case, otherwise than by demonstrating propensity of </w:t>
      </w:r>
      <w:r w:rsidR="002068A1" w:rsidRPr="00BD2D12">
        <w:rPr>
          <w:rFonts w:ascii="Times New Roman" w:hAnsi="Times New Roman" w:cs="Times New Roman"/>
          <w:sz w:val="24"/>
          <w:szCs w:val="24"/>
          <w:lang w:val="en-US"/>
        </w:rPr>
        <w:t>[the accused] to commit crimes or otherwise disreputable acts;</w:t>
      </w:r>
    </w:p>
    <w:p w:rsidR="002068A1" w:rsidRPr="00221BEA" w:rsidRDefault="002068A1" w:rsidP="00BD2D12">
      <w:pPr>
        <w:pStyle w:val="ListParagraph"/>
        <w:numPr>
          <w:ilvl w:val="0"/>
          <w:numId w:val="18"/>
        </w:numPr>
        <w:autoSpaceDE w:val="0"/>
        <w:autoSpaceDN w:val="0"/>
        <w:adjustRightInd w:val="0"/>
        <w:spacing w:after="0" w:line="240" w:lineRule="auto"/>
        <w:ind w:right="72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the probative value of the evidence;</w:t>
      </w:r>
    </w:p>
    <w:p w:rsidR="002068A1" w:rsidRPr="00221BEA" w:rsidRDefault="00797B77" w:rsidP="00BD2D12">
      <w:pPr>
        <w:pStyle w:val="ListParagraph"/>
        <w:numPr>
          <w:ilvl w:val="0"/>
          <w:numId w:val="18"/>
        </w:numPr>
        <w:autoSpaceDE w:val="0"/>
        <w:autoSpaceDN w:val="0"/>
        <w:adjustRightInd w:val="0"/>
        <w:spacing w:after="0" w:line="240" w:lineRule="auto"/>
        <w:ind w:right="72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t</w:t>
      </w:r>
      <w:r w:rsidR="002068A1" w:rsidRPr="00221BEA">
        <w:rPr>
          <w:rFonts w:ascii="Times New Roman" w:hAnsi="Times New Roman" w:cs="Times New Roman"/>
          <w:sz w:val="24"/>
          <w:szCs w:val="24"/>
          <w:lang w:val="en-US"/>
        </w:rPr>
        <w:t xml:space="preserve">he prejudicial effect of the evidence; and </w:t>
      </w:r>
    </w:p>
    <w:p w:rsidR="002068A1" w:rsidRPr="00221BEA" w:rsidRDefault="00797B77" w:rsidP="00BD2D12">
      <w:pPr>
        <w:pStyle w:val="ListParagraph"/>
        <w:numPr>
          <w:ilvl w:val="0"/>
          <w:numId w:val="18"/>
        </w:numPr>
        <w:autoSpaceDE w:val="0"/>
        <w:autoSpaceDN w:val="0"/>
        <w:adjustRightInd w:val="0"/>
        <w:spacing w:after="0" w:line="240" w:lineRule="auto"/>
        <w:ind w:right="72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a</w:t>
      </w:r>
      <w:r w:rsidR="002068A1" w:rsidRPr="00221BEA">
        <w:rPr>
          <w:rFonts w:ascii="Times New Roman" w:hAnsi="Times New Roman" w:cs="Times New Roman"/>
          <w:sz w:val="24"/>
          <w:szCs w:val="24"/>
          <w:lang w:val="en-US"/>
        </w:rPr>
        <w:t xml:space="preserve"> balancing of the probative value against the prejudicial effect of the </w:t>
      </w:r>
      <w:r w:rsidRPr="00221BEA">
        <w:rPr>
          <w:rFonts w:ascii="Times New Roman" w:hAnsi="Times New Roman" w:cs="Times New Roman"/>
          <w:sz w:val="24"/>
          <w:szCs w:val="24"/>
          <w:lang w:val="en-US"/>
        </w:rPr>
        <w:t>e</w:t>
      </w:r>
      <w:r w:rsidR="002068A1" w:rsidRPr="00221BEA">
        <w:rPr>
          <w:rFonts w:ascii="Times New Roman" w:hAnsi="Times New Roman" w:cs="Times New Roman"/>
          <w:sz w:val="24"/>
          <w:szCs w:val="24"/>
          <w:lang w:val="en-US"/>
        </w:rPr>
        <w:t xml:space="preserve">vidence. </w:t>
      </w:r>
    </w:p>
    <w:p w:rsidR="00797B77" w:rsidRPr="00797B77" w:rsidRDefault="00797B77" w:rsidP="00221BEA">
      <w:pPr>
        <w:pStyle w:val="ListParagraph"/>
        <w:ind w:left="1247"/>
        <w:rPr>
          <w:rFonts w:ascii="Times New Roman" w:hAnsi="Times New Roman" w:cs="Times New Roman"/>
          <w:sz w:val="28"/>
          <w:szCs w:val="28"/>
          <w:lang w:val="en-US"/>
        </w:rPr>
      </w:pPr>
    </w:p>
    <w:p w:rsidR="00D10B27" w:rsidRDefault="00A82B6D" w:rsidP="00FC04BC">
      <w:pPr>
        <w:pStyle w:val="ListParagraph"/>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Trial Judge’s role in this analysis </w:t>
      </w:r>
      <w:r w:rsidR="0041792C">
        <w:rPr>
          <w:rFonts w:ascii="Times New Roman" w:hAnsi="Times New Roman" w:cs="Times New Roman"/>
          <w:sz w:val="28"/>
          <w:szCs w:val="28"/>
          <w:lang w:val="en-US"/>
        </w:rPr>
        <w:t>is</w:t>
      </w:r>
      <w:r>
        <w:rPr>
          <w:rFonts w:ascii="Times New Roman" w:hAnsi="Times New Roman" w:cs="Times New Roman"/>
          <w:sz w:val="28"/>
          <w:szCs w:val="28"/>
          <w:lang w:val="en-US"/>
        </w:rPr>
        <w:t xml:space="preserve"> one of a gatekeeper which involves the exercise of </w:t>
      </w:r>
      <w:r w:rsidR="00FC04BC">
        <w:rPr>
          <w:rFonts w:ascii="Times New Roman" w:hAnsi="Times New Roman" w:cs="Times New Roman"/>
          <w:sz w:val="28"/>
          <w:szCs w:val="28"/>
          <w:lang w:val="en-US"/>
        </w:rPr>
        <w:t xml:space="preserve">considerable </w:t>
      </w:r>
      <w:r>
        <w:rPr>
          <w:rFonts w:ascii="Times New Roman" w:hAnsi="Times New Roman" w:cs="Times New Roman"/>
          <w:sz w:val="28"/>
          <w:szCs w:val="28"/>
          <w:lang w:val="en-US"/>
        </w:rPr>
        <w:t>discretion.  The Trial Judge must assess the relevance and the weight of the proposed evidence to determine the probative value of the evidence</w:t>
      </w:r>
      <w:r w:rsidR="00D10B27">
        <w:rPr>
          <w:rFonts w:ascii="Times New Roman" w:hAnsi="Times New Roman" w:cs="Times New Roman"/>
          <w:sz w:val="28"/>
          <w:szCs w:val="28"/>
          <w:lang w:val="en-US"/>
        </w:rPr>
        <w:t xml:space="preserve"> </w:t>
      </w:r>
      <w:r w:rsidR="00824634">
        <w:rPr>
          <w:rFonts w:ascii="Times New Roman" w:hAnsi="Times New Roman" w:cs="Times New Roman"/>
          <w:sz w:val="28"/>
          <w:szCs w:val="28"/>
          <w:lang w:val="en-US"/>
        </w:rPr>
        <w:t xml:space="preserve">and then </w:t>
      </w:r>
      <w:r w:rsidR="00D10B27">
        <w:rPr>
          <w:rFonts w:ascii="Times New Roman" w:hAnsi="Times New Roman" w:cs="Times New Roman"/>
          <w:sz w:val="28"/>
          <w:szCs w:val="28"/>
          <w:lang w:val="en-US"/>
        </w:rPr>
        <w:t>determin</w:t>
      </w:r>
      <w:r w:rsidR="00824634">
        <w:rPr>
          <w:rFonts w:ascii="Times New Roman" w:hAnsi="Times New Roman" w:cs="Times New Roman"/>
          <w:sz w:val="28"/>
          <w:szCs w:val="28"/>
          <w:lang w:val="en-US"/>
        </w:rPr>
        <w:t>e</w:t>
      </w:r>
      <w:r w:rsidR="00D10B27">
        <w:rPr>
          <w:rFonts w:ascii="Times New Roman" w:hAnsi="Times New Roman" w:cs="Times New Roman"/>
          <w:sz w:val="28"/>
          <w:szCs w:val="28"/>
          <w:lang w:val="en-US"/>
        </w:rPr>
        <w:t xml:space="preserve"> if the probative value of the evidence is sufficiently great that it exceeds the prejudicial effect.  There will always be a prejudicial effect </w:t>
      </w:r>
      <w:r w:rsidR="00824634">
        <w:rPr>
          <w:rFonts w:ascii="Times New Roman" w:hAnsi="Times New Roman" w:cs="Times New Roman"/>
          <w:sz w:val="28"/>
          <w:szCs w:val="28"/>
          <w:lang w:val="en-US"/>
        </w:rPr>
        <w:t xml:space="preserve">to this type of evidence </w:t>
      </w:r>
      <w:r w:rsidR="00D10B27">
        <w:rPr>
          <w:rFonts w:ascii="Times New Roman" w:hAnsi="Times New Roman" w:cs="Times New Roman"/>
          <w:sz w:val="28"/>
          <w:szCs w:val="28"/>
          <w:lang w:val="en-US"/>
        </w:rPr>
        <w:t>and the</w:t>
      </w:r>
      <w:r w:rsidR="00824634">
        <w:rPr>
          <w:rFonts w:ascii="Times New Roman" w:hAnsi="Times New Roman" w:cs="Times New Roman"/>
          <w:sz w:val="28"/>
          <w:szCs w:val="28"/>
          <w:lang w:val="en-US"/>
        </w:rPr>
        <w:t xml:space="preserve">re is a </w:t>
      </w:r>
      <w:r w:rsidR="00D10B27">
        <w:rPr>
          <w:rFonts w:ascii="Times New Roman" w:hAnsi="Times New Roman" w:cs="Times New Roman"/>
          <w:sz w:val="28"/>
          <w:szCs w:val="28"/>
          <w:lang w:val="en-US"/>
        </w:rPr>
        <w:t xml:space="preserve">risk that the trier of fact will engage in </w:t>
      </w:r>
      <w:r w:rsidR="00FC04BC">
        <w:rPr>
          <w:rFonts w:ascii="Times New Roman" w:hAnsi="Times New Roman" w:cs="Times New Roman"/>
          <w:sz w:val="28"/>
          <w:szCs w:val="28"/>
          <w:lang w:val="en-US"/>
        </w:rPr>
        <w:t>a forbidden chain of reasoning</w:t>
      </w:r>
      <w:r w:rsidR="0041792C">
        <w:rPr>
          <w:rFonts w:ascii="Times New Roman" w:hAnsi="Times New Roman" w:cs="Times New Roman"/>
          <w:sz w:val="28"/>
          <w:szCs w:val="28"/>
          <w:lang w:val="en-US"/>
        </w:rPr>
        <w:t xml:space="preserve"> in considering this type of evidence</w:t>
      </w:r>
      <w:r w:rsidR="00FC04BC">
        <w:rPr>
          <w:rFonts w:ascii="Times New Roman" w:hAnsi="Times New Roman" w:cs="Times New Roman"/>
          <w:sz w:val="28"/>
          <w:szCs w:val="28"/>
          <w:lang w:val="en-US"/>
        </w:rPr>
        <w:t>.  M</w:t>
      </w:r>
      <w:r w:rsidR="00D10B27">
        <w:rPr>
          <w:rFonts w:ascii="Times New Roman" w:hAnsi="Times New Roman" w:cs="Times New Roman"/>
          <w:sz w:val="28"/>
          <w:szCs w:val="28"/>
          <w:lang w:val="en-US"/>
        </w:rPr>
        <w:t xml:space="preserve">oral prejudice and reasoning </w:t>
      </w:r>
      <w:r w:rsidR="00FC04BC">
        <w:rPr>
          <w:rFonts w:ascii="Times New Roman" w:hAnsi="Times New Roman" w:cs="Times New Roman"/>
          <w:sz w:val="28"/>
          <w:szCs w:val="28"/>
          <w:lang w:val="en-US"/>
        </w:rPr>
        <w:t xml:space="preserve">prejudice can arise when this type of evidence is admitted at trial.  </w:t>
      </w:r>
    </w:p>
    <w:p w:rsidR="001E157F" w:rsidRDefault="00824634" w:rsidP="001E157F">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In this trial, t</w:t>
      </w:r>
      <w:r w:rsidR="001E157F">
        <w:rPr>
          <w:rFonts w:ascii="Times New Roman" w:hAnsi="Times New Roman" w:cs="Times New Roman"/>
          <w:sz w:val="28"/>
          <w:szCs w:val="28"/>
          <w:lang w:val="en-US"/>
        </w:rPr>
        <w:t>he complainant testified for the defence</w:t>
      </w:r>
      <w:r>
        <w:rPr>
          <w:rFonts w:ascii="Times New Roman" w:hAnsi="Times New Roman" w:cs="Times New Roman"/>
          <w:sz w:val="28"/>
          <w:szCs w:val="28"/>
          <w:lang w:val="en-US"/>
        </w:rPr>
        <w:t xml:space="preserve"> and recanted her statement, testifying to a different version of events that did not implicate the Appellant</w:t>
      </w:r>
      <w:r w:rsidR="001E157F">
        <w:rPr>
          <w:rFonts w:ascii="Times New Roman" w:hAnsi="Times New Roman" w:cs="Times New Roman"/>
          <w:sz w:val="28"/>
          <w:szCs w:val="28"/>
          <w:lang w:val="en-US"/>
        </w:rPr>
        <w:t xml:space="preserve">.  During the cross-examination of the complainant, the Crown sought leave to cross-examine the complainant regarding previous violence between the complainant and Appellant.  </w:t>
      </w:r>
      <w:r w:rsidR="002A06CB">
        <w:rPr>
          <w:rFonts w:ascii="Times New Roman" w:hAnsi="Times New Roman" w:cs="Times New Roman"/>
          <w:sz w:val="28"/>
          <w:szCs w:val="28"/>
          <w:lang w:val="en-US"/>
        </w:rPr>
        <w:t xml:space="preserve">While initially the application was framed as something that had been brought up by the complainant in her evidence, a review of court reporter’s notes did not reveal that to be the case.  </w:t>
      </w:r>
      <w:r w:rsidR="001E157F">
        <w:rPr>
          <w:rFonts w:ascii="Times New Roman" w:hAnsi="Times New Roman" w:cs="Times New Roman"/>
          <w:sz w:val="28"/>
          <w:szCs w:val="28"/>
          <w:lang w:val="en-US"/>
        </w:rPr>
        <w:t xml:space="preserve">The Crown </w:t>
      </w:r>
      <w:r w:rsidR="002A06CB">
        <w:rPr>
          <w:rFonts w:ascii="Times New Roman" w:hAnsi="Times New Roman" w:cs="Times New Roman"/>
          <w:sz w:val="28"/>
          <w:szCs w:val="28"/>
          <w:lang w:val="en-US"/>
        </w:rPr>
        <w:t xml:space="preserve">subsequently </w:t>
      </w:r>
      <w:r w:rsidR="001E157F">
        <w:rPr>
          <w:rFonts w:ascii="Times New Roman" w:hAnsi="Times New Roman" w:cs="Times New Roman"/>
          <w:sz w:val="28"/>
          <w:szCs w:val="28"/>
          <w:lang w:val="en-US"/>
        </w:rPr>
        <w:t>argued that it was for the limited purpose of understanding the dynamic in their relationship.  The relationship dynamic was important to the determination of ultimate reliability of the complainant’s statement.</w:t>
      </w:r>
    </w:p>
    <w:p w:rsidR="001E157F" w:rsidRDefault="001E157F" w:rsidP="001E157F">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defence objected to the line of questioning arguing that it raised the issue of propensity evidence and that it permitted the Crown to introduce the Appellant’s criminal record through the complainant.  The defence conceded that the relationship had been tumultuous but argued that it was not necessary to delve into the details of the previous offences.  The defence pointed out that prior convictions and the facts underlying them could only be admitted for a limited purpose.</w:t>
      </w:r>
    </w:p>
    <w:p w:rsidR="001E157F" w:rsidRDefault="001E157F" w:rsidP="001E157F">
      <w:pPr>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Trial Judge permitted the line of questioning stating:</w:t>
      </w:r>
    </w:p>
    <w:p w:rsidR="001E157F" w:rsidRPr="00221BEA" w:rsidRDefault="001E157F" w:rsidP="00221BEA">
      <w:pPr>
        <w:autoSpaceDE w:val="0"/>
        <w:autoSpaceDN w:val="0"/>
        <w:adjustRightInd w:val="0"/>
        <w:spacing w:after="280" w:line="240" w:lineRule="auto"/>
        <w:ind w:left="720" w:right="72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Clearly, from what we know of the nature of domestic violence, it is not unusual for a witness to recant, and the evidence that the Crown seeks to elicit may be very helpful.  I am not sure what it will be, but it may be very helpful in understanding the position that [the complainant] is in and to assist in assessing her credibility.</w:t>
      </w:r>
    </w:p>
    <w:p w:rsidR="001E157F" w:rsidRPr="00221BEA" w:rsidRDefault="001E157F" w:rsidP="00221BEA">
      <w:pPr>
        <w:autoSpaceDE w:val="0"/>
        <w:autoSpaceDN w:val="0"/>
        <w:adjustRightInd w:val="0"/>
        <w:spacing w:after="280" w:line="240" w:lineRule="auto"/>
        <w:ind w:left="720" w:right="72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The circumstances of this case, as I said, I realize this evidence will not go to propensity, nor is it to be considered as evidence of bad character.  That is at the forefront of my mind, but I will allow the Crown to cross-examine on the areas that the Crown has sought to.</w:t>
      </w:r>
    </w:p>
    <w:p w:rsidR="00FC04BC" w:rsidRDefault="001E157F" w:rsidP="00506211">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Appellant claims that the Trial Judge could not properly assess the admissibility of the proposed evidence without knowing what the evidence was and why it might be relevant.  The Appellant argues that the Trial Judge failed in her role as an evidentiary gatekeeper because she did not properly assess the evidence and whether its probative value outweighed its prejudicial effect.</w:t>
      </w:r>
    </w:p>
    <w:p w:rsidR="00793449" w:rsidRDefault="00793449" w:rsidP="00793449">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trial judge cannot rule upon the admissibility of similar fact evidence without knowing what the proposed evidence is and its relevance to the issues in question.  Similarly, a determination about whether probative value outweighs prejudicial effect cannot be made without knowing what the evidence is.  </w:t>
      </w:r>
      <w:r>
        <w:rPr>
          <w:rFonts w:ascii="Times New Roman" w:hAnsi="Times New Roman" w:cs="Times New Roman"/>
          <w:i/>
          <w:sz w:val="28"/>
          <w:szCs w:val="28"/>
          <w:lang w:val="en-US"/>
        </w:rPr>
        <w:t xml:space="preserve">R v Roberts, </w:t>
      </w:r>
      <w:r>
        <w:rPr>
          <w:rFonts w:ascii="Times New Roman" w:hAnsi="Times New Roman" w:cs="Times New Roman"/>
          <w:sz w:val="28"/>
          <w:szCs w:val="28"/>
          <w:lang w:val="en-US"/>
        </w:rPr>
        <w:t>2004 ABCA 114 at para 39.</w:t>
      </w:r>
    </w:p>
    <w:p w:rsidR="00D5043D" w:rsidRDefault="0017472A" w:rsidP="00CF2401">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sidRPr="00D5043D">
        <w:rPr>
          <w:rFonts w:ascii="Times New Roman" w:hAnsi="Times New Roman" w:cs="Times New Roman"/>
          <w:sz w:val="28"/>
          <w:szCs w:val="28"/>
          <w:lang w:val="en-US"/>
        </w:rPr>
        <w:t>A</w:t>
      </w:r>
      <w:r w:rsidR="00387C21" w:rsidRPr="00D5043D">
        <w:rPr>
          <w:rFonts w:ascii="Times New Roman" w:hAnsi="Times New Roman" w:cs="Times New Roman"/>
          <w:sz w:val="28"/>
          <w:szCs w:val="28"/>
          <w:lang w:val="en-US"/>
        </w:rPr>
        <w:t xml:space="preserve"> </w:t>
      </w:r>
      <w:r w:rsidR="00387C21" w:rsidRPr="00D5043D">
        <w:rPr>
          <w:rFonts w:ascii="Times New Roman" w:hAnsi="Times New Roman" w:cs="Times New Roman"/>
          <w:i/>
          <w:sz w:val="28"/>
          <w:szCs w:val="28"/>
          <w:lang w:val="en-US"/>
        </w:rPr>
        <w:t>voir dire</w:t>
      </w:r>
      <w:r w:rsidR="00387C21" w:rsidRPr="00D5043D">
        <w:rPr>
          <w:rFonts w:ascii="Times New Roman" w:hAnsi="Times New Roman" w:cs="Times New Roman"/>
          <w:sz w:val="28"/>
          <w:szCs w:val="28"/>
          <w:lang w:val="en-US"/>
        </w:rPr>
        <w:t xml:space="preserve"> into the admissibility of the evidence was not held.  When this issue was raised, it was suggested by the Crown that a </w:t>
      </w:r>
      <w:r w:rsidR="00387C21" w:rsidRPr="00D5043D">
        <w:rPr>
          <w:rFonts w:ascii="Times New Roman" w:hAnsi="Times New Roman" w:cs="Times New Roman"/>
          <w:i/>
          <w:sz w:val="28"/>
          <w:szCs w:val="28"/>
          <w:lang w:val="en-US"/>
        </w:rPr>
        <w:t xml:space="preserve">voir dire </w:t>
      </w:r>
      <w:r w:rsidR="00387C21" w:rsidRPr="00D5043D">
        <w:rPr>
          <w:rFonts w:ascii="Times New Roman" w:hAnsi="Times New Roman" w:cs="Times New Roman"/>
          <w:sz w:val="28"/>
          <w:szCs w:val="28"/>
          <w:lang w:val="en-US"/>
        </w:rPr>
        <w:t xml:space="preserve">be entered into and the Trial Judge declined to do so, stating that it was not required if the witness was being excused.  The complainant was excused from the courtroom during counsel’s submissions and the Trial Judge’s ruling.  </w:t>
      </w:r>
    </w:p>
    <w:p w:rsidR="00F04B23" w:rsidRDefault="00F04B23" w:rsidP="00F04B23">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At this point in the trial, the complainant had testified and provided a version of events which differed significantly from the statement she had provided to the police.  In addition, the motive of jealousy had been raised by the complainant in her e-mail communication with the Crown Witness Coordinator.  The credibility of the complainant was going to be a significant issue in the trial.</w:t>
      </w:r>
    </w:p>
    <w:p w:rsidR="00F04B23" w:rsidRDefault="00F04B23" w:rsidP="00F04B23">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The evidence of prior violence in the relationship between the Appellant and complainant was a relevant consideration.  It could provide context to the dynamics of the relationship and be relevant to the issue of the complainant’s potential motive to fabricate evidence.</w:t>
      </w:r>
    </w:p>
    <w:p w:rsidR="00D5043D" w:rsidRDefault="00F04B23" w:rsidP="00D5043D">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The Trial Judge did not need to hear the evidence to make a determination about the relevance of the proposed evidence</w:t>
      </w:r>
      <w:r w:rsidR="0017472A">
        <w:rPr>
          <w:rFonts w:ascii="Times New Roman" w:hAnsi="Times New Roman" w:cs="Times New Roman"/>
          <w:sz w:val="28"/>
          <w:szCs w:val="28"/>
          <w:lang w:val="en-US"/>
        </w:rPr>
        <w:t xml:space="preserve"> given that it is not unusual for incidents of prior violence to arise during a domestic violence trial</w:t>
      </w:r>
      <w:r>
        <w:rPr>
          <w:rFonts w:ascii="Times New Roman" w:hAnsi="Times New Roman" w:cs="Times New Roman"/>
          <w:sz w:val="28"/>
          <w:szCs w:val="28"/>
          <w:lang w:val="en-US"/>
        </w:rPr>
        <w:t xml:space="preserve">.  </w:t>
      </w:r>
      <w:r w:rsidR="00A720E3">
        <w:rPr>
          <w:rFonts w:ascii="Times New Roman" w:hAnsi="Times New Roman" w:cs="Times New Roman"/>
          <w:sz w:val="28"/>
          <w:szCs w:val="28"/>
          <w:lang w:val="en-US"/>
        </w:rPr>
        <w:t xml:space="preserve">Evidence of prior violence does not </w:t>
      </w:r>
      <w:r w:rsidR="00D5043D">
        <w:rPr>
          <w:rFonts w:ascii="Times New Roman" w:hAnsi="Times New Roman" w:cs="Times New Roman"/>
          <w:sz w:val="28"/>
          <w:szCs w:val="28"/>
          <w:lang w:val="en-US"/>
        </w:rPr>
        <w:t xml:space="preserve">require </w:t>
      </w:r>
      <w:r w:rsidR="00D5043D">
        <w:rPr>
          <w:rFonts w:ascii="Times New Roman" w:hAnsi="Times New Roman" w:cs="Times New Roman"/>
          <w:i/>
          <w:sz w:val="28"/>
          <w:szCs w:val="28"/>
          <w:lang w:val="en-US"/>
        </w:rPr>
        <w:t xml:space="preserve">viva voce </w:t>
      </w:r>
      <w:r w:rsidR="00D5043D">
        <w:rPr>
          <w:rFonts w:ascii="Times New Roman" w:hAnsi="Times New Roman" w:cs="Times New Roman"/>
          <w:sz w:val="28"/>
          <w:szCs w:val="28"/>
          <w:lang w:val="en-US"/>
        </w:rPr>
        <w:t xml:space="preserve">evidence, provided that the Crown has advised the Trial Judge about the evidence that the Crown proposes to adduce.  </w:t>
      </w:r>
      <w:r w:rsidR="00D5043D">
        <w:rPr>
          <w:rFonts w:ascii="Times New Roman" w:hAnsi="Times New Roman" w:cs="Times New Roman"/>
          <w:i/>
          <w:sz w:val="28"/>
          <w:szCs w:val="28"/>
          <w:lang w:val="en-US"/>
        </w:rPr>
        <w:t xml:space="preserve">R v Vernacchia </w:t>
      </w:r>
      <w:r w:rsidR="00D5043D">
        <w:rPr>
          <w:rFonts w:ascii="Times New Roman" w:hAnsi="Times New Roman" w:cs="Times New Roman"/>
          <w:sz w:val="28"/>
          <w:szCs w:val="28"/>
          <w:lang w:val="en-US"/>
        </w:rPr>
        <w:t>(1988), 40 CCC (3d) 561 (Que CA)</w:t>
      </w:r>
      <w:r w:rsidR="005D5821">
        <w:rPr>
          <w:rFonts w:ascii="Times New Roman" w:hAnsi="Times New Roman" w:cs="Times New Roman"/>
          <w:sz w:val="28"/>
          <w:szCs w:val="28"/>
          <w:lang w:val="en-US"/>
        </w:rPr>
        <w:t xml:space="preserve">; </w:t>
      </w:r>
      <w:r w:rsidR="005D5821">
        <w:rPr>
          <w:rFonts w:ascii="Times New Roman" w:hAnsi="Times New Roman" w:cs="Times New Roman"/>
          <w:i/>
          <w:sz w:val="28"/>
          <w:szCs w:val="28"/>
          <w:lang w:val="en-US"/>
        </w:rPr>
        <w:t xml:space="preserve">R v Snow, </w:t>
      </w:r>
      <w:r w:rsidR="005D5821">
        <w:rPr>
          <w:rFonts w:ascii="Times New Roman" w:hAnsi="Times New Roman" w:cs="Times New Roman"/>
          <w:sz w:val="28"/>
          <w:szCs w:val="28"/>
          <w:lang w:val="en-US"/>
        </w:rPr>
        <w:t>190 CCC (3d) 317 (Ont CA).</w:t>
      </w:r>
    </w:p>
    <w:p w:rsidR="000F1420" w:rsidRDefault="00D5043D" w:rsidP="00D5043D">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 this case, t</w:t>
      </w:r>
      <w:r w:rsidRPr="00D5043D">
        <w:rPr>
          <w:rFonts w:ascii="Times New Roman" w:hAnsi="Times New Roman" w:cs="Times New Roman"/>
          <w:sz w:val="28"/>
          <w:szCs w:val="28"/>
          <w:lang w:val="en-US"/>
        </w:rPr>
        <w:t xml:space="preserve">he </w:t>
      </w:r>
      <w:r w:rsidR="00C56457">
        <w:rPr>
          <w:rFonts w:ascii="Times New Roman" w:hAnsi="Times New Roman" w:cs="Times New Roman"/>
          <w:sz w:val="28"/>
          <w:szCs w:val="28"/>
          <w:lang w:val="en-US"/>
        </w:rPr>
        <w:t xml:space="preserve">complainant had recanted her statement, was not a cooperative witness for the Crown, testified on behalf of the defence and was subject to cross-examination by the Crown.  </w:t>
      </w:r>
      <w:r w:rsidR="000F1420">
        <w:rPr>
          <w:rFonts w:ascii="Times New Roman" w:hAnsi="Times New Roman" w:cs="Times New Roman"/>
          <w:sz w:val="28"/>
          <w:szCs w:val="28"/>
          <w:lang w:val="en-US"/>
        </w:rPr>
        <w:t>As a result, i</w:t>
      </w:r>
      <w:r w:rsidR="00C56457">
        <w:rPr>
          <w:rFonts w:ascii="Times New Roman" w:hAnsi="Times New Roman" w:cs="Times New Roman"/>
          <w:sz w:val="28"/>
          <w:szCs w:val="28"/>
          <w:lang w:val="en-US"/>
        </w:rPr>
        <w:t xml:space="preserve">t would have been awkward to </w:t>
      </w:r>
      <w:r w:rsidR="000F1420">
        <w:rPr>
          <w:rFonts w:ascii="Times New Roman" w:hAnsi="Times New Roman" w:cs="Times New Roman"/>
          <w:sz w:val="28"/>
          <w:szCs w:val="28"/>
          <w:lang w:val="en-US"/>
        </w:rPr>
        <w:t xml:space="preserve">attempt to </w:t>
      </w:r>
      <w:r w:rsidR="00C56457">
        <w:rPr>
          <w:rFonts w:ascii="Times New Roman" w:hAnsi="Times New Roman" w:cs="Times New Roman"/>
          <w:sz w:val="28"/>
          <w:szCs w:val="28"/>
          <w:lang w:val="en-US"/>
        </w:rPr>
        <w:t xml:space="preserve">adduce this evidence </w:t>
      </w:r>
      <w:r w:rsidR="000F1420">
        <w:rPr>
          <w:rFonts w:ascii="Times New Roman" w:hAnsi="Times New Roman" w:cs="Times New Roman"/>
          <w:sz w:val="28"/>
          <w:szCs w:val="28"/>
          <w:lang w:val="en-US"/>
        </w:rPr>
        <w:t xml:space="preserve">through the complainant on a </w:t>
      </w:r>
      <w:r w:rsidR="000F1420">
        <w:rPr>
          <w:rFonts w:ascii="Times New Roman" w:hAnsi="Times New Roman" w:cs="Times New Roman"/>
          <w:i/>
          <w:sz w:val="28"/>
          <w:szCs w:val="28"/>
          <w:lang w:val="en-US"/>
        </w:rPr>
        <w:t xml:space="preserve">voir </w:t>
      </w:r>
      <w:r w:rsidR="000F1420" w:rsidRPr="000F1420">
        <w:rPr>
          <w:rFonts w:ascii="Times New Roman" w:hAnsi="Times New Roman" w:cs="Times New Roman"/>
          <w:i/>
          <w:sz w:val="28"/>
          <w:szCs w:val="28"/>
          <w:lang w:val="en-US"/>
        </w:rPr>
        <w:t>dire</w:t>
      </w:r>
      <w:r w:rsidR="000F1420">
        <w:rPr>
          <w:rFonts w:ascii="Times New Roman" w:hAnsi="Times New Roman" w:cs="Times New Roman"/>
          <w:sz w:val="28"/>
          <w:szCs w:val="28"/>
          <w:lang w:val="en-US"/>
        </w:rPr>
        <w:t>.  Advising the Trial Judge about the nature and relevance of the proposed evidence was an acceptable alternative.</w:t>
      </w:r>
    </w:p>
    <w:p w:rsidR="00D5043D" w:rsidRPr="00D5043D" w:rsidRDefault="000F1420" w:rsidP="00D5043D">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D5043D" w:rsidRPr="000F1420">
        <w:rPr>
          <w:rFonts w:ascii="Times New Roman" w:hAnsi="Times New Roman" w:cs="Times New Roman"/>
          <w:sz w:val="28"/>
          <w:szCs w:val="28"/>
          <w:lang w:val="en-US"/>
        </w:rPr>
        <w:t>Crown</w:t>
      </w:r>
      <w:r w:rsidR="00D5043D" w:rsidRPr="00D5043D">
        <w:rPr>
          <w:rFonts w:ascii="Times New Roman" w:hAnsi="Times New Roman" w:cs="Times New Roman"/>
          <w:sz w:val="28"/>
          <w:szCs w:val="28"/>
          <w:lang w:val="en-US"/>
        </w:rPr>
        <w:t xml:space="preserve"> advised the Trial Judge that the Crown was seeking to ask the complainant about “prior assaultive behavior or violent interactions” between the Appellant and the complainant</w:t>
      </w:r>
      <w:r w:rsidR="00D5043D">
        <w:rPr>
          <w:rFonts w:ascii="Times New Roman" w:hAnsi="Times New Roman" w:cs="Times New Roman"/>
          <w:sz w:val="28"/>
          <w:szCs w:val="28"/>
          <w:lang w:val="en-US"/>
        </w:rPr>
        <w:t xml:space="preserve"> but n</w:t>
      </w:r>
      <w:r w:rsidR="00D5043D" w:rsidRPr="00D5043D">
        <w:rPr>
          <w:rFonts w:ascii="Times New Roman" w:hAnsi="Times New Roman" w:cs="Times New Roman"/>
          <w:sz w:val="28"/>
          <w:szCs w:val="28"/>
          <w:lang w:val="en-US"/>
        </w:rPr>
        <w:t>o further details about this evidence were provided to the Trial Judge by the Crown.</w:t>
      </w:r>
    </w:p>
    <w:p w:rsidR="00F04B23" w:rsidRDefault="005D5821" w:rsidP="00F04B23">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F04B23" w:rsidRPr="00674EDE">
        <w:rPr>
          <w:rFonts w:ascii="Times New Roman" w:hAnsi="Times New Roman" w:cs="Times New Roman"/>
          <w:sz w:val="28"/>
          <w:szCs w:val="28"/>
          <w:lang w:val="en-US"/>
        </w:rPr>
        <w:t xml:space="preserve">he Trial Judge proceeded to make a ruling without knowing the nature or the extent of the evidence the Crown was seeking to adduce.  The Trial Judge was aware that the Appellant had a prior conviction for assaulting the complainant as </w:t>
      </w:r>
      <w:r w:rsidR="00F03E4D">
        <w:rPr>
          <w:rFonts w:ascii="Times New Roman" w:hAnsi="Times New Roman" w:cs="Times New Roman"/>
          <w:sz w:val="28"/>
          <w:szCs w:val="28"/>
          <w:lang w:val="en-US"/>
        </w:rPr>
        <w:t xml:space="preserve">the Appellant’s Probation Order for an aggravated assault </w:t>
      </w:r>
      <w:r w:rsidR="00F04B23" w:rsidRPr="00674EDE">
        <w:rPr>
          <w:rFonts w:ascii="Times New Roman" w:hAnsi="Times New Roman" w:cs="Times New Roman"/>
          <w:sz w:val="28"/>
          <w:szCs w:val="28"/>
          <w:lang w:val="en-US"/>
        </w:rPr>
        <w:t>on the complainant</w:t>
      </w:r>
      <w:r w:rsidR="0017472A">
        <w:rPr>
          <w:rFonts w:ascii="Times New Roman" w:hAnsi="Times New Roman" w:cs="Times New Roman"/>
          <w:sz w:val="28"/>
          <w:szCs w:val="28"/>
          <w:lang w:val="en-US"/>
        </w:rPr>
        <w:t xml:space="preserve"> </w:t>
      </w:r>
      <w:r w:rsidR="00F03E4D">
        <w:rPr>
          <w:rFonts w:ascii="Times New Roman" w:hAnsi="Times New Roman" w:cs="Times New Roman"/>
          <w:sz w:val="28"/>
          <w:szCs w:val="28"/>
          <w:lang w:val="en-US"/>
        </w:rPr>
        <w:t xml:space="preserve">was entered as an Exhibit </w:t>
      </w:r>
      <w:r w:rsidR="0017472A">
        <w:rPr>
          <w:rFonts w:ascii="Times New Roman" w:hAnsi="Times New Roman" w:cs="Times New Roman"/>
          <w:sz w:val="28"/>
          <w:szCs w:val="28"/>
          <w:lang w:val="en-US"/>
        </w:rPr>
        <w:t>but s</w:t>
      </w:r>
      <w:r w:rsidR="00F04B23">
        <w:rPr>
          <w:rFonts w:ascii="Times New Roman" w:hAnsi="Times New Roman" w:cs="Times New Roman"/>
          <w:sz w:val="28"/>
          <w:szCs w:val="28"/>
          <w:lang w:val="en-US"/>
        </w:rPr>
        <w:t>he</w:t>
      </w:r>
      <w:r w:rsidR="00F04B23" w:rsidRPr="00674EDE">
        <w:rPr>
          <w:rFonts w:ascii="Times New Roman" w:hAnsi="Times New Roman" w:cs="Times New Roman"/>
          <w:sz w:val="28"/>
          <w:szCs w:val="28"/>
          <w:lang w:val="en-US"/>
        </w:rPr>
        <w:t xml:space="preserve"> did not know </w:t>
      </w:r>
      <w:r w:rsidR="00F04B23">
        <w:rPr>
          <w:rFonts w:ascii="Times New Roman" w:hAnsi="Times New Roman" w:cs="Times New Roman"/>
          <w:sz w:val="28"/>
          <w:szCs w:val="28"/>
          <w:lang w:val="en-US"/>
        </w:rPr>
        <w:t>what other evidence the Crown might be seeking to adduce.</w:t>
      </w:r>
    </w:p>
    <w:p w:rsidR="0017472A" w:rsidRDefault="0017472A" w:rsidP="00F04B23">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The Trial Judge clearly expected the Crown to lead general evidence regarding the nature of the relationship as she stated to the Crown:</w:t>
      </w:r>
    </w:p>
    <w:p w:rsidR="0017472A" w:rsidRPr="00221BEA" w:rsidRDefault="0017472A" w:rsidP="00221BEA">
      <w:pPr>
        <w:pStyle w:val="ListParagraph"/>
        <w:autoSpaceDE w:val="0"/>
        <w:autoSpaceDN w:val="0"/>
        <w:adjustRightInd w:val="0"/>
        <w:spacing w:after="280" w:line="240" w:lineRule="auto"/>
        <w:ind w:right="720"/>
        <w:contextualSpacing w:val="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I’m not sure how much detail you need to get into in here.  As I understand, you’re trying to establish the nature of the relationship between the two.</w:t>
      </w:r>
    </w:p>
    <w:p w:rsidR="008E275D" w:rsidRDefault="0017472A" w:rsidP="006A7072">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Crown </w:t>
      </w:r>
      <w:r w:rsidR="004D3496">
        <w:rPr>
          <w:rFonts w:ascii="Times New Roman" w:hAnsi="Times New Roman" w:cs="Times New Roman"/>
          <w:sz w:val="28"/>
          <w:szCs w:val="28"/>
          <w:lang w:val="en-US"/>
        </w:rPr>
        <w:t xml:space="preserve">then </w:t>
      </w:r>
      <w:r>
        <w:rPr>
          <w:rFonts w:ascii="Times New Roman" w:hAnsi="Times New Roman" w:cs="Times New Roman"/>
          <w:sz w:val="28"/>
          <w:szCs w:val="28"/>
          <w:lang w:val="en-US"/>
        </w:rPr>
        <w:t>proceeded to cros</w:t>
      </w:r>
      <w:r w:rsidR="008E275D">
        <w:rPr>
          <w:rFonts w:ascii="Times New Roman" w:hAnsi="Times New Roman" w:cs="Times New Roman"/>
          <w:sz w:val="28"/>
          <w:szCs w:val="28"/>
          <w:lang w:val="en-US"/>
        </w:rPr>
        <w:t>s</w:t>
      </w:r>
      <w:r>
        <w:rPr>
          <w:rFonts w:ascii="Times New Roman" w:hAnsi="Times New Roman" w:cs="Times New Roman"/>
          <w:sz w:val="28"/>
          <w:szCs w:val="28"/>
          <w:lang w:val="en-US"/>
        </w:rPr>
        <w:t xml:space="preserve">-examine the complainant about specific incidents of violence eliciting </w:t>
      </w:r>
      <w:r w:rsidR="00BD2D12">
        <w:rPr>
          <w:rFonts w:ascii="Times New Roman" w:hAnsi="Times New Roman" w:cs="Times New Roman"/>
          <w:sz w:val="28"/>
          <w:szCs w:val="28"/>
          <w:lang w:val="en-US"/>
        </w:rPr>
        <w:t>details o</w:t>
      </w:r>
      <w:r>
        <w:rPr>
          <w:rFonts w:ascii="Times New Roman" w:hAnsi="Times New Roman" w:cs="Times New Roman"/>
          <w:sz w:val="28"/>
          <w:szCs w:val="28"/>
          <w:lang w:val="en-US"/>
        </w:rPr>
        <w:t xml:space="preserve">f the Appellant’s </w:t>
      </w:r>
      <w:r w:rsidR="008E275D">
        <w:rPr>
          <w:rFonts w:ascii="Times New Roman" w:hAnsi="Times New Roman" w:cs="Times New Roman"/>
          <w:sz w:val="28"/>
          <w:szCs w:val="28"/>
          <w:lang w:val="en-US"/>
        </w:rPr>
        <w:t xml:space="preserve">2015 </w:t>
      </w:r>
      <w:r>
        <w:rPr>
          <w:rFonts w:ascii="Times New Roman" w:hAnsi="Times New Roman" w:cs="Times New Roman"/>
          <w:sz w:val="28"/>
          <w:szCs w:val="28"/>
          <w:lang w:val="en-US"/>
        </w:rPr>
        <w:t xml:space="preserve">conviction for </w:t>
      </w:r>
      <w:r w:rsidR="00F03E4D">
        <w:rPr>
          <w:rFonts w:ascii="Times New Roman" w:hAnsi="Times New Roman" w:cs="Times New Roman"/>
          <w:sz w:val="28"/>
          <w:szCs w:val="28"/>
          <w:lang w:val="en-US"/>
        </w:rPr>
        <w:t xml:space="preserve">aggravated </w:t>
      </w:r>
      <w:r>
        <w:rPr>
          <w:rFonts w:ascii="Times New Roman" w:hAnsi="Times New Roman" w:cs="Times New Roman"/>
          <w:sz w:val="28"/>
          <w:szCs w:val="28"/>
          <w:lang w:val="en-US"/>
        </w:rPr>
        <w:t xml:space="preserve">assault which involved the Appellant biting the complainant on the face and on the nose.  </w:t>
      </w:r>
      <w:r w:rsidR="00647652">
        <w:rPr>
          <w:rFonts w:ascii="Times New Roman" w:hAnsi="Times New Roman" w:cs="Times New Roman"/>
          <w:sz w:val="28"/>
          <w:szCs w:val="28"/>
          <w:lang w:val="en-US"/>
        </w:rPr>
        <w:t xml:space="preserve">The Crown also asked the complainant about incidents in 2011 or 2012 that appeared to be without foundation.  </w:t>
      </w:r>
    </w:p>
    <w:p w:rsidR="008E275D" w:rsidRDefault="002B7D86" w:rsidP="006A7072">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were obvious similarities between the 2015 </w:t>
      </w:r>
      <w:r w:rsidR="00F03E4D">
        <w:rPr>
          <w:rFonts w:ascii="Times New Roman" w:hAnsi="Times New Roman" w:cs="Times New Roman"/>
          <w:sz w:val="28"/>
          <w:szCs w:val="28"/>
          <w:lang w:val="en-US"/>
        </w:rPr>
        <w:t>incident</w:t>
      </w:r>
      <w:r>
        <w:rPr>
          <w:rFonts w:ascii="Times New Roman" w:hAnsi="Times New Roman" w:cs="Times New Roman"/>
          <w:sz w:val="28"/>
          <w:szCs w:val="28"/>
          <w:lang w:val="en-US"/>
        </w:rPr>
        <w:t xml:space="preserve"> and what the complainant tol</w:t>
      </w:r>
      <w:r w:rsidR="008006F1">
        <w:rPr>
          <w:rFonts w:ascii="Times New Roman" w:hAnsi="Times New Roman" w:cs="Times New Roman"/>
          <w:sz w:val="28"/>
          <w:szCs w:val="28"/>
          <w:lang w:val="en-US"/>
        </w:rPr>
        <w:t xml:space="preserve">d Cst. Meko </w:t>
      </w:r>
      <w:r w:rsidR="00F03E4D">
        <w:rPr>
          <w:rFonts w:ascii="Times New Roman" w:hAnsi="Times New Roman" w:cs="Times New Roman"/>
          <w:sz w:val="28"/>
          <w:szCs w:val="28"/>
          <w:lang w:val="en-US"/>
        </w:rPr>
        <w:t xml:space="preserve">had happened </w:t>
      </w:r>
      <w:r w:rsidR="00647652">
        <w:rPr>
          <w:rFonts w:ascii="Times New Roman" w:hAnsi="Times New Roman" w:cs="Times New Roman"/>
          <w:sz w:val="28"/>
          <w:szCs w:val="28"/>
          <w:lang w:val="en-US"/>
        </w:rPr>
        <w:t xml:space="preserve">in her statement.  That both involved the Appellant biting the complainant’s nose </w:t>
      </w:r>
      <w:r w:rsidR="008006F1">
        <w:rPr>
          <w:rFonts w:ascii="Times New Roman" w:hAnsi="Times New Roman" w:cs="Times New Roman"/>
          <w:sz w:val="28"/>
          <w:szCs w:val="28"/>
          <w:lang w:val="en-US"/>
        </w:rPr>
        <w:t>raise</w:t>
      </w:r>
      <w:r w:rsidR="008D0C36">
        <w:rPr>
          <w:rFonts w:ascii="Times New Roman" w:hAnsi="Times New Roman" w:cs="Times New Roman"/>
          <w:sz w:val="28"/>
          <w:szCs w:val="28"/>
          <w:lang w:val="en-US"/>
        </w:rPr>
        <w:t>d</w:t>
      </w:r>
      <w:r w:rsidR="008006F1">
        <w:rPr>
          <w:rFonts w:ascii="Times New Roman" w:hAnsi="Times New Roman" w:cs="Times New Roman"/>
          <w:sz w:val="28"/>
          <w:szCs w:val="28"/>
          <w:lang w:val="en-US"/>
        </w:rPr>
        <w:t xml:space="preserve"> the spectre of </w:t>
      </w:r>
      <w:r w:rsidR="008E275D">
        <w:rPr>
          <w:rFonts w:ascii="Times New Roman" w:hAnsi="Times New Roman" w:cs="Times New Roman"/>
          <w:sz w:val="28"/>
          <w:szCs w:val="28"/>
          <w:lang w:val="en-US"/>
        </w:rPr>
        <w:t>similar act</w:t>
      </w:r>
      <w:r w:rsidR="00647652">
        <w:rPr>
          <w:rFonts w:ascii="Times New Roman" w:hAnsi="Times New Roman" w:cs="Times New Roman"/>
          <w:sz w:val="28"/>
          <w:szCs w:val="28"/>
          <w:lang w:val="en-US"/>
        </w:rPr>
        <w:t xml:space="preserve"> evidence and the danger of </w:t>
      </w:r>
      <w:r w:rsidR="008E275D">
        <w:rPr>
          <w:rFonts w:ascii="Times New Roman" w:hAnsi="Times New Roman" w:cs="Times New Roman"/>
          <w:sz w:val="28"/>
          <w:szCs w:val="28"/>
          <w:lang w:val="en-US"/>
        </w:rPr>
        <w:t xml:space="preserve">propensity </w:t>
      </w:r>
      <w:r w:rsidR="00647652">
        <w:rPr>
          <w:rFonts w:ascii="Times New Roman" w:hAnsi="Times New Roman" w:cs="Times New Roman"/>
          <w:sz w:val="28"/>
          <w:szCs w:val="28"/>
          <w:lang w:val="en-US"/>
        </w:rPr>
        <w:t>reasoning.</w:t>
      </w:r>
    </w:p>
    <w:p w:rsidR="00647652" w:rsidRDefault="00195FC6" w:rsidP="006A7072">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If the Trial Judge had been advised of the </w:t>
      </w:r>
      <w:r w:rsidR="005D5821">
        <w:rPr>
          <w:rFonts w:ascii="Times New Roman" w:hAnsi="Times New Roman" w:cs="Times New Roman"/>
          <w:sz w:val="28"/>
          <w:szCs w:val="28"/>
          <w:lang w:val="en-US"/>
        </w:rPr>
        <w:t xml:space="preserve">details of the </w:t>
      </w:r>
      <w:r>
        <w:rPr>
          <w:rFonts w:ascii="Times New Roman" w:hAnsi="Times New Roman" w:cs="Times New Roman"/>
          <w:sz w:val="28"/>
          <w:szCs w:val="28"/>
          <w:lang w:val="en-US"/>
        </w:rPr>
        <w:t xml:space="preserve">incident that the Crown wished to cross-examine the complainant </w:t>
      </w:r>
      <w:r w:rsidR="005D5821">
        <w:rPr>
          <w:rFonts w:ascii="Times New Roman" w:hAnsi="Times New Roman" w:cs="Times New Roman"/>
          <w:sz w:val="28"/>
          <w:szCs w:val="28"/>
          <w:lang w:val="en-US"/>
        </w:rPr>
        <w:t>about</w:t>
      </w:r>
      <w:r>
        <w:rPr>
          <w:rFonts w:ascii="Times New Roman" w:hAnsi="Times New Roman" w:cs="Times New Roman"/>
          <w:sz w:val="28"/>
          <w:szCs w:val="28"/>
          <w:lang w:val="en-US"/>
        </w:rPr>
        <w:t xml:space="preserve">, she would have been able to properly assess whether this evidence was admissible in the context of the </w:t>
      </w:r>
      <w:r>
        <w:rPr>
          <w:rFonts w:ascii="Times New Roman" w:hAnsi="Times New Roman" w:cs="Times New Roman"/>
          <w:i/>
          <w:sz w:val="28"/>
          <w:szCs w:val="28"/>
          <w:lang w:val="en-US"/>
        </w:rPr>
        <w:t xml:space="preserve">Handy </w:t>
      </w:r>
      <w:r>
        <w:rPr>
          <w:rFonts w:ascii="Times New Roman" w:hAnsi="Times New Roman" w:cs="Times New Roman"/>
          <w:sz w:val="28"/>
          <w:szCs w:val="28"/>
          <w:lang w:val="en-US"/>
        </w:rPr>
        <w:t xml:space="preserve">framework.  </w:t>
      </w:r>
      <w:r w:rsidR="005D5821">
        <w:rPr>
          <w:rFonts w:ascii="Times New Roman" w:hAnsi="Times New Roman" w:cs="Times New Roman"/>
          <w:sz w:val="28"/>
          <w:szCs w:val="28"/>
          <w:lang w:val="en-US"/>
        </w:rPr>
        <w:t xml:space="preserve">Admitting this evidence </w:t>
      </w:r>
      <w:r>
        <w:rPr>
          <w:rFonts w:ascii="Times New Roman" w:hAnsi="Times New Roman" w:cs="Times New Roman"/>
          <w:sz w:val="28"/>
          <w:szCs w:val="28"/>
          <w:lang w:val="en-US"/>
        </w:rPr>
        <w:t>without conducting this analysis</w:t>
      </w:r>
      <w:r w:rsidR="005D5821">
        <w:rPr>
          <w:rFonts w:ascii="Times New Roman" w:hAnsi="Times New Roman" w:cs="Times New Roman"/>
          <w:sz w:val="28"/>
          <w:szCs w:val="28"/>
          <w:lang w:val="en-US"/>
        </w:rPr>
        <w:t xml:space="preserve"> </w:t>
      </w:r>
      <w:r w:rsidR="004B56A5">
        <w:rPr>
          <w:rFonts w:ascii="Times New Roman" w:hAnsi="Times New Roman" w:cs="Times New Roman"/>
          <w:sz w:val="28"/>
          <w:szCs w:val="28"/>
          <w:lang w:val="en-US"/>
        </w:rPr>
        <w:t xml:space="preserve">was </w:t>
      </w:r>
      <w:r w:rsidR="005D5821">
        <w:rPr>
          <w:rFonts w:ascii="Times New Roman" w:hAnsi="Times New Roman" w:cs="Times New Roman"/>
          <w:sz w:val="28"/>
          <w:szCs w:val="28"/>
          <w:lang w:val="en-US"/>
        </w:rPr>
        <w:t>a</w:t>
      </w:r>
      <w:r>
        <w:rPr>
          <w:rFonts w:ascii="Times New Roman" w:hAnsi="Times New Roman" w:cs="Times New Roman"/>
          <w:sz w:val="28"/>
          <w:szCs w:val="28"/>
          <w:lang w:val="en-US"/>
        </w:rPr>
        <w:t>n error.</w:t>
      </w:r>
    </w:p>
    <w:p w:rsidR="004B56A5" w:rsidRDefault="004B56A5" w:rsidP="006A7072">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admission of this evidence may not be fatal because </w:t>
      </w:r>
      <w:r w:rsidR="00AC1601">
        <w:rPr>
          <w:rFonts w:ascii="Times New Roman" w:hAnsi="Times New Roman" w:cs="Times New Roman"/>
          <w:sz w:val="28"/>
          <w:szCs w:val="28"/>
          <w:lang w:val="en-US"/>
        </w:rPr>
        <w:t xml:space="preserve">these issues were addressed in the submissions of counsel and </w:t>
      </w:r>
      <w:r>
        <w:rPr>
          <w:rFonts w:ascii="Times New Roman" w:hAnsi="Times New Roman" w:cs="Times New Roman"/>
          <w:sz w:val="28"/>
          <w:szCs w:val="28"/>
          <w:lang w:val="en-US"/>
        </w:rPr>
        <w:t xml:space="preserve">it was clear from the Trial Judge’s ruling that she was aware of the </w:t>
      </w:r>
      <w:r w:rsidR="00AC1601">
        <w:rPr>
          <w:rFonts w:ascii="Times New Roman" w:hAnsi="Times New Roman" w:cs="Times New Roman"/>
          <w:sz w:val="28"/>
          <w:szCs w:val="28"/>
          <w:lang w:val="en-US"/>
        </w:rPr>
        <w:t xml:space="preserve">dangers of propensity reasoning and bad character evidence.  </w:t>
      </w:r>
    </w:p>
    <w:p w:rsidR="00EE1ABF" w:rsidRPr="00B51BDF" w:rsidRDefault="00B51BDF" w:rsidP="00E10605">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sidRPr="00B51BDF">
        <w:rPr>
          <w:rFonts w:ascii="Times New Roman" w:hAnsi="Times New Roman" w:cs="Times New Roman"/>
          <w:sz w:val="28"/>
          <w:szCs w:val="28"/>
          <w:lang w:val="en-US"/>
        </w:rPr>
        <w:t>Trial judges are presumed to know the law and the proper and improper uses of evidence, and the risk of prejudice is reduced when it is a trial by a judge</w:t>
      </w:r>
      <w:r>
        <w:rPr>
          <w:rFonts w:ascii="Times New Roman" w:hAnsi="Times New Roman" w:cs="Times New Roman"/>
          <w:sz w:val="28"/>
          <w:szCs w:val="28"/>
          <w:lang w:val="en-US"/>
        </w:rPr>
        <w:t xml:space="preserve"> rather than a jury</w:t>
      </w:r>
      <w:r w:rsidRPr="00B51B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trial judge is less likely to be distracted by evidence of similar acts.  </w:t>
      </w:r>
      <w:r>
        <w:rPr>
          <w:rFonts w:ascii="Times New Roman" w:hAnsi="Times New Roman" w:cs="Times New Roman"/>
          <w:i/>
          <w:sz w:val="28"/>
          <w:szCs w:val="28"/>
          <w:lang w:val="en-US"/>
        </w:rPr>
        <w:t xml:space="preserve">R v B(T), </w:t>
      </w:r>
      <w:r>
        <w:rPr>
          <w:rFonts w:ascii="Times New Roman" w:hAnsi="Times New Roman" w:cs="Times New Roman"/>
          <w:sz w:val="28"/>
          <w:szCs w:val="28"/>
          <w:lang w:val="en-US"/>
        </w:rPr>
        <w:t>2009 ONCA 177.</w:t>
      </w:r>
    </w:p>
    <w:p w:rsidR="000C63D0" w:rsidRDefault="000C63D0" w:rsidP="000C63D0">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In the Trial Judge’s reasons for convicting the Appellant, she referred to the Appellant’s prior conviction for aggravated assault against the complainant, stating:</w:t>
      </w:r>
    </w:p>
    <w:p w:rsidR="000C63D0" w:rsidRPr="00221BEA" w:rsidRDefault="00752FB2" w:rsidP="00221BEA">
      <w:pPr>
        <w:pStyle w:val="ListParagraph"/>
        <w:autoSpaceDE w:val="0"/>
        <w:autoSpaceDN w:val="0"/>
        <w:adjustRightInd w:val="0"/>
        <w:spacing w:after="280" w:line="240" w:lineRule="auto"/>
        <w:ind w:right="720"/>
        <w:contextualSpacing w:val="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 xml:space="preserve">I know that </w:t>
      </w:r>
      <w:r w:rsidR="008D46FE" w:rsidRPr="00221BEA">
        <w:rPr>
          <w:rFonts w:ascii="Times New Roman" w:hAnsi="Times New Roman" w:cs="Times New Roman"/>
          <w:sz w:val="24"/>
          <w:szCs w:val="24"/>
          <w:lang w:val="en-US"/>
        </w:rPr>
        <w:t>Mr. Lafferty</w:t>
      </w:r>
      <w:r w:rsidRPr="00221BEA">
        <w:rPr>
          <w:rFonts w:ascii="Times New Roman" w:hAnsi="Times New Roman" w:cs="Times New Roman"/>
          <w:sz w:val="24"/>
          <w:szCs w:val="24"/>
          <w:lang w:val="en-US"/>
        </w:rPr>
        <w:t xml:space="preserve"> has previously been convicted of an aggravated assault on [the complainant], and to be clear, I am not considering the previous conviction as propensity evidence or as evidence that he assaulted her this time, but I am simply taking into account that theirs is a relationship in which there has been violence before.</w:t>
      </w:r>
    </w:p>
    <w:p w:rsidR="000C63D0" w:rsidRDefault="002B7BF1" w:rsidP="000C63D0">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review of the Trial Judge’s reasons demonstrate that she considered the evidence </w:t>
      </w:r>
      <w:r w:rsidR="008D46FE">
        <w:rPr>
          <w:rFonts w:ascii="Times New Roman" w:hAnsi="Times New Roman" w:cs="Times New Roman"/>
          <w:sz w:val="28"/>
          <w:szCs w:val="28"/>
          <w:lang w:val="en-US"/>
        </w:rPr>
        <w:t>that was adduced that showed the nature and dynamics of the domestic relationship for the limited purpose of considering how the case had unfolded:</w:t>
      </w:r>
    </w:p>
    <w:p w:rsidR="008D46FE" w:rsidRPr="00221BEA" w:rsidRDefault="008D46FE" w:rsidP="00221BEA">
      <w:pPr>
        <w:pStyle w:val="ListParagraph"/>
        <w:autoSpaceDE w:val="0"/>
        <w:autoSpaceDN w:val="0"/>
        <w:adjustRightInd w:val="0"/>
        <w:spacing w:after="280" w:line="240" w:lineRule="auto"/>
        <w:ind w:right="720"/>
        <w:contextualSpacing w:val="0"/>
        <w:jc w:val="both"/>
        <w:rPr>
          <w:rFonts w:ascii="Times New Roman" w:hAnsi="Times New Roman" w:cs="Times New Roman"/>
          <w:sz w:val="24"/>
          <w:szCs w:val="24"/>
          <w:lang w:val="en-US"/>
        </w:rPr>
      </w:pPr>
      <w:r w:rsidRPr="00221BEA">
        <w:rPr>
          <w:rFonts w:ascii="Times New Roman" w:hAnsi="Times New Roman" w:cs="Times New Roman"/>
          <w:sz w:val="24"/>
          <w:szCs w:val="24"/>
          <w:lang w:val="en-US"/>
        </w:rPr>
        <w:t>The circumstances and the evidence on this case show the nature and the dynamics of [the complainant’s] and Mr. Lafferty’s relationship.  Her numerous recantations, though at other times willing to cooperate with the prosecution, her reference to she and Mr. Lafferty having a young daughter and the fact that Mr. Lafferty’s parents took care of her daughter and that Mr. Lafferty was going to raise her daughter with his parents give an understanding of the relationship, as does her testimony that she always caused the violence in the relationship, that she wanted to reconcile with Mr. Lafferty, that she still loved him, and she did not want him to go to jail.  While none of this proves whether or not Mr. Lafferty did assault [the complainant], it does help to understand the development of this prosecution or the way this prosecution unfolded.</w:t>
      </w:r>
    </w:p>
    <w:p w:rsidR="000C63D0" w:rsidRDefault="00F42405" w:rsidP="00913541">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sidRPr="00F42405">
        <w:rPr>
          <w:rFonts w:ascii="Times New Roman" w:hAnsi="Times New Roman" w:cs="Times New Roman"/>
          <w:sz w:val="28"/>
          <w:szCs w:val="28"/>
          <w:lang w:val="en-US"/>
        </w:rPr>
        <w:t xml:space="preserve">In addition, the Trial Judge’s reasons for convicting the Appellant focused on the </w:t>
      </w:r>
      <w:r>
        <w:rPr>
          <w:rFonts w:ascii="Times New Roman" w:hAnsi="Times New Roman" w:cs="Times New Roman"/>
          <w:sz w:val="28"/>
          <w:szCs w:val="28"/>
          <w:lang w:val="en-US"/>
        </w:rPr>
        <w:t xml:space="preserve">relevant </w:t>
      </w:r>
      <w:r w:rsidRPr="00F42405">
        <w:rPr>
          <w:rFonts w:ascii="Times New Roman" w:hAnsi="Times New Roman" w:cs="Times New Roman"/>
          <w:sz w:val="28"/>
          <w:szCs w:val="28"/>
          <w:lang w:val="en-US"/>
        </w:rPr>
        <w:t>evidence before the court:  the complainant’s out-of-court statement; the photographs of the complainant’s injury, the bloody sheet and mattress topper; the testimony of the investigating officer; and the testimony of the complainant</w:t>
      </w:r>
      <w:r>
        <w:rPr>
          <w:rFonts w:ascii="Times New Roman" w:hAnsi="Times New Roman" w:cs="Times New Roman"/>
          <w:sz w:val="28"/>
          <w:szCs w:val="28"/>
          <w:lang w:val="en-US"/>
        </w:rPr>
        <w:t xml:space="preserve">.  </w:t>
      </w:r>
    </w:p>
    <w:p w:rsidR="00F42405" w:rsidRPr="00F42405" w:rsidRDefault="00F42405" w:rsidP="00913541">
      <w:pPr>
        <w:pStyle w:val="ListParagraph"/>
        <w:numPr>
          <w:ilvl w:val="0"/>
          <w:numId w:val="9"/>
        </w:numPr>
        <w:autoSpaceDE w:val="0"/>
        <w:autoSpaceDN w:val="0"/>
        <w:adjustRightInd w:val="0"/>
        <w:spacing w:after="280" w:line="240"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In finding the Appellant guilty of the offences, the Trial Judge’s focus was on the relevant evidence</w:t>
      </w:r>
      <w:r w:rsidR="008501C9">
        <w:rPr>
          <w:rFonts w:ascii="Times New Roman" w:hAnsi="Times New Roman" w:cs="Times New Roman"/>
          <w:sz w:val="28"/>
          <w:szCs w:val="28"/>
          <w:lang w:val="en-US"/>
        </w:rPr>
        <w:t>, she was aware of the dangers of the evidence of prior violence in the relationship</w:t>
      </w:r>
      <w:r>
        <w:rPr>
          <w:rFonts w:ascii="Times New Roman" w:hAnsi="Times New Roman" w:cs="Times New Roman"/>
          <w:sz w:val="28"/>
          <w:szCs w:val="28"/>
          <w:lang w:val="en-US"/>
        </w:rPr>
        <w:t xml:space="preserve"> and I do not find that she improperly used th</w:t>
      </w:r>
      <w:r w:rsidR="000F1420">
        <w:rPr>
          <w:rFonts w:ascii="Times New Roman" w:hAnsi="Times New Roman" w:cs="Times New Roman"/>
          <w:sz w:val="28"/>
          <w:szCs w:val="28"/>
          <w:lang w:val="en-US"/>
        </w:rPr>
        <w:t>e evidence of the prior violence in the relationship</w:t>
      </w:r>
      <w:r w:rsidR="008501C9">
        <w:rPr>
          <w:rFonts w:ascii="Times New Roman" w:hAnsi="Times New Roman" w:cs="Times New Roman"/>
          <w:sz w:val="28"/>
          <w:szCs w:val="28"/>
          <w:lang w:val="en-US"/>
        </w:rPr>
        <w:t>.  Her conclusions on the Appellant’s guilt were reasonably supported by the evidence and I would not disturb the convictions.</w:t>
      </w:r>
    </w:p>
    <w:p w:rsidR="00797B77" w:rsidRPr="00D6219B" w:rsidRDefault="00797B77" w:rsidP="00797B77">
      <w:pPr>
        <w:pStyle w:val="ListParagraph"/>
        <w:autoSpaceDE w:val="0"/>
        <w:autoSpaceDN w:val="0"/>
        <w:adjustRightInd w:val="0"/>
        <w:spacing w:after="280" w:line="240" w:lineRule="auto"/>
        <w:ind w:left="0"/>
        <w:jc w:val="both"/>
        <w:rPr>
          <w:rFonts w:ascii="Times New Roman" w:hAnsi="Times New Roman" w:cs="Times New Roman"/>
          <w:b/>
          <w:sz w:val="28"/>
          <w:szCs w:val="28"/>
          <w:lang w:val="en-US"/>
        </w:rPr>
      </w:pPr>
      <w:r w:rsidRPr="00D6219B">
        <w:rPr>
          <w:rFonts w:ascii="Times New Roman" w:hAnsi="Times New Roman" w:cs="Times New Roman"/>
          <w:b/>
          <w:sz w:val="28"/>
          <w:szCs w:val="28"/>
          <w:lang w:val="en-US"/>
        </w:rPr>
        <w:t>CONCLUSION</w:t>
      </w:r>
    </w:p>
    <w:p w:rsidR="00797B77" w:rsidRPr="00797B77" w:rsidRDefault="00797B77" w:rsidP="00797B77">
      <w:pPr>
        <w:pStyle w:val="ListParagraph"/>
        <w:rPr>
          <w:rFonts w:ascii="Times New Roman" w:hAnsi="Times New Roman" w:cs="Times New Roman"/>
          <w:sz w:val="28"/>
          <w:szCs w:val="28"/>
          <w:lang w:val="en-US"/>
        </w:rPr>
      </w:pPr>
    </w:p>
    <w:p w:rsidR="002170FE" w:rsidRDefault="00F74FBB" w:rsidP="00797B77">
      <w:pPr>
        <w:pStyle w:val="ListParagraph"/>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sidRPr="00797B77">
        <w:rPr>
          <w:rFonts w:ascii="Times New Roman" w:hAnsi="Times New Roman" w:cs="Times New Roman"/>
          <w:sz w:val="28"/>
          <w:szCs w:val="28"/>
          <w:lang w:val="en-US"/>
        </w:rPr>
        <w:t xml:space="preserve">In conclusion, the </w:t>
      </w:r>
      <w:r w:rsidR="002170FE">
        <w:rPr>
          <w:rFonts w:ascii="Times New Roman" w:hAnsi="Times New Roman" w:cs="Times New Roman"/>
          <w:sz w:val="28"/>
          <w:szCs w:val="28"/>
          <w:lang w:val="en-US"/>
        </w:rPr>
        <w:t xml:space="preserve">Trial Judge’s assessment of the admissibility of the complainant’s out-of-court statement was reasonable.  The Trial Judge’s conclusions on necessity were reasonably supported by the evidence and her conclusions on threshold reliability, while not following the </w:t>
      </w:r>
      <w:r w:rsidR="002170FE">
        <w:rPr>
          <w:rFonts w:ascii="Times New Roman" w:hAnsi="Times New Roman" w:cs="Times New Roman"/>
          <w:i/>
          <w:sz w:val="28"/>
          <w:szCs w:val="28"/>
          <w:lang w:val="en-US"/>
        </w:rPr>
        <w:t xml:space="preserve">Bradshaw </w:t>
      </w:r>
      <w:r w:rsidR="002170FE">
        <w:rPr>
          <w:rFonts w:ascii="Times New Roman" w:hAnsi="Times New Roman" w:cs="Times New Roman"/>
          <w:sz w:val="28"/>
          <w:szCs w:val="28"/>
          <w:lang w:val="en-US"/>
        </w:rPr>
        <w:t>analysis, adequately considere</w:t>
      </w:r>
      <w:r w:rsidR="00F1614E">
        <w:rPr>
          <w:rFonts w:ascii="Times New Roman" w:hAnsi="Times New Roman" w:cs="Times New Roman"/>
          <w:sz w:val="28"/>
          <w:szCs w:val="28"/>
          <w:lang w:val="en-US"/>
        </w:rPr>
        <w:t>d</w:t>
      </w:r>
      <w:r w:rsidR="002170FE">
        <w:rPr>
          <w:rFonts w:ascii="Times New Roman" w:hAnsi="Times New Roman" w:cs="Times New Roman"/>
          <w:sz w:val="28"/>
          <w:szCs w:val="28"/>
          <w:lang w:val="en-US"/>
        </w:rPr>
        <w:t xml:space="preserve"> the substance of the steps outlined in </w:t>
      </w:r>
      <w:r w:rsidR="002170FE">
        <w:rPr>
          <w:rFonts w:ascii="Times New Roman" w:hAnsi="Times New Roman" w:cs="Times New Roman"/>
          <w:i/>
          <w:sz w:val="28"/>
          <w:szCs w:val="28"/>
          <w:lang w:val="en-US"/>
        </w:rPr>
        <w:t>Bradshaw</w:t>
      </w:r>
      <w:r w:rsidR="002170FE">
        <w:rPr>
          <w:rFonts w:ascii="Times New Roman" w:hAnsi="Times New Roman" w:cs="Times New Roman"/>
          <w:sz w:val="28"/>
          <w:szCs w:val="28"/>
          <w:lang w:val="en-US"/>
        </w:rPr>
        <w:t>.  As such, her conclusio</w:t>
      </w:r>
      <w:r w:rsidR="00F1614E">
        <w:rPr>
          <w:rFonts w:ascii="Times New Roman" w:hAnsi="Times New Roman" w:cs="Times New Roman"/>
          <w:sz w:val="28"/>
          <w:szCs w:val="28"/>
          <w:lang w:val="en-US"/>
        </w:rPr>
        <w:t>n</w:t>
      </w:r>
      <w:r w:rsidR="002170FE">
        <w:rPr>
          <w:rFonts w:ascii="Times New Roman" w:hAnsi="Times New Roman" w:cs="Times New Roman"/>
          <w:sz w:val="28"/>
          <w:szCs w:val="28"/>
          <w:lang w:val="en-US"/>
        </w:rPr>
        <w:t>s on the admissibility of the complainant’s out-of</w:t>
      </w:r>
      <w:r w:rsidR="00364C6F">
        <w:rPr>
          <w:rFonts w:ascii="Times New Roman" w:hAnsi="Times New Roman" w:cs="Times New Roman"/>
          <w:sz w:val="28"/>
          <w:szCs w:val="28"/>
          <w:lang w:val="en-US"/>
        </w:rPr>
        <w:t>-</w:t>
      </w:r>
      <w:r w:rsidR="002170FE">
        <w:rPr>
          <w:rFonts w:ascii="Times New Roman" w:hAnsi="Times New Roman" w:cs="Times New Roman"/>
          <w:sz w:val="28"/>
          <w:szCs w:val="28"/>
          <w:lang w:val="en-US"/>
        </w:rPr>
        <w:t>court</w:t>
      </w:r>
      <w:r w:rsidR="00364C6F">
        <w:rPr>
          <w:rFonts w:ascii="Times New Roman" w:hAnsi="Times New Roman" w:cs="Times New Roman"/>
          <w:sz w:val="28"/>
          <w:szCs w:val="28"/>
          <w:lang w:val="en-US"/>
        </w:rPr>
        <w:t xml:space="preserve"> </w:t>
      </w:r>
      <w:r w:rsidR="002170FE">
        <w:rPr>
          <w:rFonts w:ascii="Times New Roman" w:hAnsi="Times New Roman" w:cs="Times New Roman"/>
          <w:sz w:val="28"/>
          <w:szCs w:val="28"/>
          <w:lang w:val="en-US"/>
        </w:rPr>
        <w:t>statement are entitled to deference.</w:t>
      </w:r>
    </w:p>
    <w:p w:rsidR="00221BEA" w:rsidRDefault="00221BEA" w:rsidP="00221BEA">
      <w:pPr>
        <w:pStyle w:val="ListParagraph"/>
        <w:autoSpaceDE w:val="0"/>
        <w:autoSpaceDN w:val="0"/>
        <w:adjustRightInd w:val="0"/>
        <w:spacing w:after="280" w:line="240" w:lineRule="auto"/>
        <w:ind w:left="0"/>
        <w:jc w:val="both"/>
        <w:rPr>
          <w:rFonts w:ascii="Times New Roman" w:hAnsi="Times New Roman" w:cs="Times New Roman"/>
          <w:sz w:val="28"/>
          <w:szCs w:val="28"/>
          <w:lang w:val="en-US"/>
        </w:rPr>
      </w:pPr>
    </w:p>
    <w:p w:rsidR="00F1614E" w:rsidRDefault="00F1614E" w:rsidP="00797B77">
      <w:pPr>
        <w:pStyle w:val="ListParagraph"/>
        <w:numPr>
          <w:ilvl w:val="0"/>
          <w:numId w:val="9"/>
        </w:numPr>
        <w:autoSpaceDE w:val="0"/>
        <w:autoSpaceDN w:val="0"/>
        <w:adjustRightInd w:val="0"/>
        <w:spacing w:after="280"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It was an error to admit the evidence of the prior discreditable conduct of the Appellant without knowing the specific evidence that the Crown proposed to adduce, given that the evidence bore a similarity to one of the charges before the Court.  However, the Trial Judge was aware of the dangers of propensity reasoning and bad character evidence and was careful to use the evidence in a proper manner.</w:t>
      </w:r>
    </w:p>
    <w:p w:rsidR="00F1614E" w:rsidRDefault="00F1614E" w:rsidP="00F1614E">
      <w:pPr>
        <w:pStyle w:val="ListParagraph"/>
        <w:autoSpaceDE w:val="0"/>
        <w:autoSpaceDN w:val="0"/>
        <w:adjustRightInd w:val="0"/>
        <w:spacing w:after="280" w:line="240" w:lineRule="auto"/>
        <w:ind w:left="0"/>
        <w:jc w:val="both"/>
        <w:rPr>
          <w:rFonts w:ascii="Times New Roman" w:hAnsi="Times New Roman" w:cs="Times New Roman"/>
          <w:sz w:val="28"/>
          <w:szCs w:val="28"/>
          <w:lang w:val="en-US"/>
        </w:rPr>
      </w:pPr>
    </w:p>
    <w:p w:rsidR="007B5849" w:rsidRDefault="007B5849" w:rsidP="00CF200E">
      <w:pPr>
        <w:pStyle w:val="ListParagraph"/>
        <w:numPr>
          <w:ilvl w:val="0"/>
          <w:numId w:val="9"/>
        </w:numPr>
        <w:autoSpaceDE w:val="0"/>
        <w:autoSpaceDN w:val="0"/>
        <w:adjustRightInd w:val="0"/>
        <w:spacing w:before="120" w:after="120" w:line="360" w:lineRule="auto"/>
        <w:ind w:left="0" w:firstLine="0"/>
        <w:jc w:val="both"/>
        <w:rPr>
          <w:rFonts w:ascii="Times New Roman" w:hAnsi="Times New Roman" w:cs="Times New Roman"/>
          <w:sz w:val="28"/>
          <w:szCs w:val="28"/>
          <w:lang w:val="en-US"/>
        </w:rPr>
      </w:pPr>
      <w:r w:rsidRPr="00F1614E">
        <w:rPr>
          <w:rFonts w:ascii="Times New Roman" w:hAnsi="Times New Roman" w:cs="Times New Roman"/>
          <w:sz w:val="28"/>
          <w:szCs w:val="28"/>
          <w:lang w:val="en-US"/>
        </w:rPr>
        <w:t xml:space="preserve">For these reasons, </w:t>
      </w:r>
      <w:r w:rsidR="000B74D1" w:rsidRPr="00BD2D12">
        <w:rPr>
          <w:rFonts w:ascii="Times New Roman" w:hAnsi="Times New Roman" w:cs="Times New Roman"/>
          <w:sz w:val="28"/>
          <w:szCs w:val="28"/>
          <w:lang w:val="en-US"/>
        </w:rPr>
        <w:t>the</w:t>
      </w:r>
      <w:r w:rsidR="000B74D1">
        <w:rPr>
          <w:rFonts w:ascii="Times New Roman" w:hAnsi="Times New Roman" w:cs="Times New Roman"/>
          <w:sz w:val="28"/>
          <w:szCs w:val="28"/>
          <w:lang w:val="en-US"/>
        </w:rPr>
        <w:t xml:space="preserve"> </w:t>
      </w:r>
      <w:r w:rsidRPr="00F1614E">
        <w:rPr>
          <w:rFonts w:ascii="Times New Roman" w:hAnsi="Times New Roman" w:cs="Times New Roman"/>
          <w:sz w:val="28"/>
          <w:szCs w:val="28"/>
          <w:lang w:val="en-US"/>
        </w:rPr>
        <w:t>appeal</w:t>
      </w:r>
      <w:r w:rsidR="00075EF9" w:rsidRPr="00F1614E">
        <w:rPr>
          <w:rFonts w:ascii="Times New Roman" w:hAnsi="Times New Roman" w:cs="Times New Roman"/>
          <w:sz w:val="28"/>
          <w:szCs w:val="28"/>
          <w:lang w:val="en-US"/>
        </w:rPr>
        <w:t xml:space="preserve"> is</w:t>
      </w:r>
      <w:r w:rsidR="00F74FBB" w:rsidRPr="00F1614E">
        <w:rPr>
          <w:rFonts w:ascii="Times New Roman" w:hAnsi="Times New Roman" w:cs="Times New Roman"/>
          <w:sz w:val="28"/>
          <w:szCs w:val="28"/>
          <w:lang w:val="en-US"/>
        </w:rPr>
        <w:t xml:space="preserve"> dismissed.  </w:t>
      </w:r>
    </w:p>
    <w:p w:rsidR="00D6219B" w:rsidRPr="00D6219B" w:rsidRDefault="00D6219B" w:rsidP="002B6EDD">
      <w:pPr>
        <w:pStyle w:val="ListParagraph"/>
        <w:spacing w:line="240" w:lineRule="auto"/>
        <w:ind w:left="360"/>
        <w:rPr>
          <w:rFonts w:ascii="Times New Roman" w:hAnsi="Times New Roman" w:cs="Times New Roman"/>
          <w:color w:val="000000" w:themeColor="text1"/>
          <w:sz w:val="28"/>
          <w:szCs w:val="28"/>
        </w:rPr>
      </w:pPr>
    </w:p>
    <w:p w:rsidR="00BE3745" w:rsidRDefault="00D6219B" w:rsidP="002B6EDD">
      <w:pPr>
        <w:pStyle w:val="ListParagraph"/>
        <w:spacing w:line="240" w:lineRule="auto"/>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BE3745" w:rsidRDefault="00BE3745" w:rsidP="002B6EDD">
      <w:pPr>
        <w:pStyle w:val="ListParagraph"/>
        <w:spacing w:line="240" w:lineRule="auto"/>
        <w:ind w:left="360"/>
        <w:rPr>
          <w:rFonts w:ascii="Times New Roman" w:hAnsi="Times New Roman" w:cs="Times New Roman"/>
          <w:color w:val="000000" w:themeColor="text1"/>
          <w:sz w:val="28"/>
          <w:szCs w:val="28"/>
        </w:rPr>
      </w:pPr>
    </w:p>
    <w:p w:rsidR="00D6219B" w:rsidRPr="00D6219B" w:rsidRDefault="00D6219B" w:rsidP="00BE3745">
      <w:pPr>
        <w:pStyle w:val="ListParagraph"/>
        <w:spacing w:line="240" w:lineRule="auto"/>
        <w:ind w:left="5760"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w:t>
      </w:r>
      <w:r w:rsidRPr="00D621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w:t>
      </w:r>
      <w:r w:rsidRPr="00D621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Smallwood</w:t>
      </w:r>
      <w:r w:rsidR="002B6EDD">
        <w:rPr>
          <w:rFonts w:ascii="Times New Roman" w:hAnsi="Times New Roman" w:cs="Times New Roman"/>
          <w:color w:val="000000" w:themeColor="text1"/>
          <w:sz w:val="28"/>
          <w:szCs w:val="28"/>
        </w:rPr>
        <w:tab/>
      </w:r>
      <w:r w:rsidR="002B6EDD">
        <w:rPr>
          <w:rFonts w:ascii="Times New Roman" w:hAnsi="Times New Roman" w:cs="Times New Roman"/>
          <w:color w:val="000000" w:themeColor="text1"/>
          <w:sz w:val="28"/>
          <w:szCs w:val="28"/>
        </w:rPr>
        <w:tab/>
      </w:r>
      <w:r w:rsidR="002B6EDD">
        <w:rPr>
          <w:rFonts w:ascii="Times New Roman" w:hAnsi="Times New Roman" w:cs="Times New Roman"/>
          <w:color w:val="000000" w:themeColor="text1"/>
          <w:sz w:val="28"/>
          <w:szCs w:val="28"/>
        </w:rPr>
        <w:tab/>
      </w:r>
      <w:r w:rsidR="002B6EDD">
        <w:rPr>
          <w:rFonts w:ascii="Times New Roman" w:hAnsi="Times New Roman" w:cs="Times New Roman"/>
          <w:color w:val="000000" w:themeColor="text1"/>
          <w:sz w:val="28"/>
          <w:szCs w:val="28"/>
        </w:rPr>
        <w:tab/>
      </w:r>
      <w:r w:rsidRPr="00D6219B">
        <w:rPr>
          <w:rFonts w:ascii="Times New Roman" w:hAnsi="Times New Roman" w:cs="Times New Roman"/>
          <w:color w:val="000000" w:themeColor="text1"/>
          <w:sz w:val="28"/>
          <w:szCs w:val="28"/>
        </w:rPr>
        <w:t>J.S.C.</w:t>
      </w:r>
    </w:p>
    <w:p w:rsidR="00D6219B" w:rsidRPr="002B6EDD" w:rsidRDefault="00D6219B" w:rsidP="002B6EDD">
      <w:pPr>
        <w:spacing w:after="0" w:line="240" w:lineRule="auto"/>
        <w:jc w:val="both"/>
        <w:rPr>
          <w:rFonts w:ascii="Times New Roman" w:hAnsi="Times New Roman" w:cs="Times New Roman"/>
          <w:color w:val="000000" w:themeColor="text1"/>
          <w:sz w:val="28"/>
          <w:szCs w:val="28"/>
        </w:rPr>
      </w:pPr>
      <w:r w:rsidRPr="002B6EDD">
        <w:rPr>
          <w:rFonts w:ascii="Times New Roman" w:hAnsi="Times New Roman" w:cs="Times New Roman"/>
          <w:color w:val="000000" w:themeColor="text1"/>
          <w:sz w:val="28"/>
          <w:szCs w:val="28"/>
        </w:rPr>
        <w:t>Dated at Yellowknife, NT</w:t>
      </w:r>
    </w:p>
    <w:p w:rsidR="00D6219B" w:rsidRPr="002B6EDD" w:rsidRDefault="005F410E" w:rsidP="002B6ED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D6219B" w:rsidRPr="002B6EDD">
        <w:rPr>
          <w:rFonts w:ascii="Times New Roman" w:hAnsi="Times New Roman" w:cs="Times New Roman"/>
          <w:color w:val="000000" w:themeColor="text1"/>
          <w:sz w:val="28"/>
          <w:szCs w:val="28"/>
        </w:rPr>
        <w:t>his</w:t>
      </w:r>
      <w:r w:rsidR="000D3FFE">
        <w:rPr>
          <w:rFonts w:ascii="Times New Roman" w:hAnsi="Times New Roman" w:cs="Times New Roman"/>
          <w:color w:val="000000" w:themeColor="text1"/>
          <w:sz w:val="28"/>
          <w:szCs w:val="28"/>
        </w:rPr>
        <w:t xml:space="preserve"> 1</w:t>
      </w:r>
      <w:r w:rsidR="000D3FFE" w:rsidRPr="000D3FFE">
        <w:rPr>
          <w:rFonts w:ascii="Times New Roman" w:hAnsi="Times New Roman" w:cs="Times New Roman"/>
          <w:color w:val="000000" w:themeColor="text1"/>
          <w:sz w:val="28"/>
          <w:szCs w:val="28"/>
          <w:vertAlign w:val="superscript"/>
        </w:rPr>
        <w:t>st</w:t>
      </w:r>
      <w:r w:rsidR="000D3FFE">
        <w:rPr>
          <w:rFonts w:ascii="Times New Roman" w:hAnsi="Times New Roman" w:cs="Times New Roman"/>
          <w:color w:val="000000" w:themeColor="text1"/>
          <w:sz w:val="28"/>
          <w:szCs w:val="28"/>
        </w:rPr>
        <w:t xml:space="preserve"> </w:t>
      </w:r>
      <w:r w:rsidR="00D6219B" w:rsidRPr="002B6EDD">
        <w:rPr>
          <w:rFonts w:ascii="Times New Roman" w:hAnsi="Times New Roman" w:cs="Times New Roman"/>
          <w:color w:val="000000" w:themeColor="text1"/>
          <w:sz w:val="28"/>
          <w:szCs w:val="28"/>
        </w:rPr>
        <w:t xml:space="preserve">day of </w:t>
      </w:r>
      <w:r w:rsidR="002B6EDD">
        <w:rPr>
          <w:rFonts w:ascii="Times New Roman" w:hAnsi="Times New Roman" w:cs="Times New Roman"/>
          <w:color w:val="000000" w:themeColor="text1"/>
          <w:sz w:val="28"/>
          <w:szCs w:val="28"/>
        </w:rPr>
        <w:t>June</w:t>
      </w:r>
      <w:r w:rsidR="00D6219B" w:rsidRPr="002B6EDD">
        <w:rPr>
          <w:rFonts w:ascii="Times New Roman" w:hAnsi="Times New Roman" w:cs="Times New Roman"/>
          <w:color w:val="000000" w:themeColor="text1"/>
          <w:sz w:val="28"/>
          <w:szCs w:val="28"/>
        </w:rPr>
        <w:t>, 2020.</w:t>
      </w:r>
    </w:p>
    <w:p w:rsidR="00D6219B" w:rsidRDefault="00D6219B" w:rsidP="002B6EDD">
      <w:pPr>
        <w:pStyle w:val="ListParagraph"/>
        <w:spacing w:after="0" w:line="240" w:lineRule="auto"/>
        <w:ind w:left="360"/>
        <w:jc w:val="both"/>
        <w:rPr>
          <w:rFonts w:ascii="Times New Roman" w:hAnsi="Times New Roman" w:cs="Times New Roman"/>
          <w:color w:val="000000" w:themeColor="text1"/>
          <w:sz w:val="28"/>
          <w:szCs w:val="28"/>
        </w:rPr>
      </w:pPr>
    </w:p>
    <w:p w:rsidR="005F410E" w:rsidRPr="00D6219B" w:rsidRDefault="005F410E" w:rsidP="002B6EDD">
      <w:pPr>
        <w:pStyle w:val="ListParagraph"/>
        <w:spacing w:after="0" w:line="240" w:lineRule="auto"/>
        <w:ind w:left="360"/>
        <w:jc w:val="both"/>
        <w:rPr>
          <w:rFonts w:ascii="Times New Roman" w:hAnsi="Times New Roman" w:cs="Times New Roman"/>
          <w:color w:val="000000" w:themeColor="text1"/>
          <w:sz w:val="28"/>
          <w:szCs w:val="28"/>
        </w:rPr>
      </w:pPr>
    </w:p>
    <w:p w:rsidR="005F410E" w:rsidRPr="00876C21" w:rsidRDefault="005F410E" w:rsidP="005F41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Counsel for the </w:t>
      </w:r>
      <w:r w:rsidR="00B86D97">
        <w:rPr>
          <w:rFonts w:ascii="Times New Roman" w:hAnsi="Times New Roman" w:cs="Times New Roman"/>
          <w:sz w:val="28"/>
          <w:szCs w:val="28"/>
        </w:rPr>
        <w:t>Respondent:</w:t>
      </w:r>
      <w:r w:rsidR="00B86D97">
        <w:rPr>
          <w:rFonts w:ascii="Times New Roman" w:hAnsi="Times New Roman" w:cs="Times New Roman"/>
          <w:sz w:val="28"/>
          <w:szCs w:val="28"/>
        </w:rPr>
        <w:tab/>
      </w:r>
      <w:r>
        <w:rPr>
          <w:rFonts w:ascii="Times New Roman" w:hAnsi="Times New Roman" w:cs="Times New Roman"/>
          <w:sz w:val="28"/>
          <w:szCs w:val="28"/>
        </w:rPr>
        <w:tab/>
        <w:t>Jeannie Scott</w:t>
      </w:r>
    </w:p>
    <w:p w:rsidR="002B6EDD" w:rsidRDefault="002B6EDD" w:rsidP="002B6EDD">
      <w:pPr>
        <w:spacing w:after="0" w:line="240" w:lineRule="auto"/>
        <w:rPr>
          <w:rFonts w:ascii="Times New Roman" w:hAnsi="Times New Roman" w:cs="Times New Roman"/>
          <w:color w:val="000000" w:themeColor="text1"/>
          <w:sz w:val="28"/>
          <w:szCs w:val="28"/>
        </w:rPr>
      </w:pPr>
    </w:p>
    <w:p w:rsidR="00876C21" w:rsidRDefault="00876C21" w:rsidP="00876C21">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Counsel for the Appellant</w:t>
      </w:r>
      <w:r w:rsidRPr="00455003">
        <w:rPr>
          <w:rFonts w:ascii="Times New Roman" w:hAnsi="Times New Roman" w:cs="Times New Roman"/>
          <w:sz w:val="28"/>
          <w:szCs w:val="28"/>
        </w:rPr>
        <w:t xml:space="preserve">: </w:t>
      </w:r>
      <w:r w:rsidRPr="00455003">
        <w:rPr>
          <w:rFonts w:ascii="Times New Roman" w:hAnsi="Times New Roman" w:cs="Times New Roman"/>
          <w:sz w:val="28"/>
          <w:szCs w:val="28"/>
        </w:rPr>
        <w:tab/>
      </w:r>
      <w:r w:rsidR="00B86D97">
        <w:rPr>
          <w:rFonts w:ascii="Times New Roman" w:hAnsi="Times New Roman" w:cs="Times New Roman"/>
          <w:sz w:val="28"/>
          <w:szCs w:val="28"/>
        </w:rPr>
        <w:tab/>
      </w:r>
      <w:r w:rsidR="00BE3745">
        <w:rPr>
          <w:rFonts w:ascii="Times New Roman" w:hAnsi="Times New Roman" w:cs="Times New Roman"/>
          <w:sz w:val="28"/>
          <w:szCs w:val="28"/>
        </w:rPr>
        <w:t>Ryan Clements</w:t>
      </w:r>
    </w:p>
    <w:p w:rsidR="00876C21" w:rsidRPr="00455003" w:rsidRDefault="00876C21" w:rsidP="00876C21">
      <w:pPr>
        <w:tabs>
          <w:tab w:val="left" w:pos="720"/>
          <w:tab w:val="left" w:pos="1440"/>
          <w:tab w:val="left" w:pos="2160"/>
          <w:tab w:val="left" w:pos="2880"/>
          <w:tab w:val="left" w:pos="3600"/>
        </w:tabs>
        <w:spacing w:after="0" w:line="240" w:lineRule="auto"/>
        <w:ind w:left="3600" w:hanging="3600"/>
        <w:rPr>
          <w:rFonts w:ascii="Times New Roman" w:hAnsi="Times New Roman" w:cs="Times New Roman"/>
          <w:sz w:val="28"/>
          <w:szCs w:val="28"/>
        </w:rPr>
      </w:pPr>
    </w:p>
    <w:p w:rsidR="00D6219B" w:rsidRPr="002B6EDD" w:rsidRDefault="00876C21" w:rsidP="002B6EDD">
      <w:pPr>
        <w:jc w:val="both"/>
        <w:rPr>
          <w:rFonts w:ascii="Times New Roman" w:hAnsi="Times New Roman" w:cs="Times New Roman"/>
          <w:color w:val="000000" w:themeColor="text1"/>
          <w:sz w:val="28"/>
          <w:szCs w:val="28"/>
        </w:rPr>
        <w:sectPr w:rsidR="00D6219B" w:rsidRPr="002B6EDD" w:rsidSect="004F235C">
          <w:pgSz w:w="12240" w:h="15840"/>
          <w:pgMar w:top="1296" w:right="1440" w:bottom="1296" w:left="1440" w:header="720" w:footer="720" w:gutter="0"/>
          <w:cols w:space="720"/>
          <w:titlePg/>
          <w:docGrid w:linePitch="360"/>
        </w:sectPr>
      </w:pPr>
      <w:r>
        <w:rPr>
          <w:rFonts w:ascii="Times New Roman" w:hAnsi="Times New Roman" w:cs="Times New Roman"/>
          <w:color w:val="000000" w:themeColor="text1"/>
          <w:sz w:val="28"/>
          <w:szCs w:val="28"/>
        </w:rPr>
        <w:tab/>
      </w:r>
      <w:r w:rsidR="00D6219B" w:rsidRPr="002B6EDD">
        <w:rPr>
          <w:rFonts w:ascii="Times New Roman" w:hAnsi="Times New Roman" w:cs="Times New Roman"/>
          <w:color w:val="000000" w:themeColor="text1"/>
          <w:sz w:val="28"/>
          <w:szCs w:val="28"/>
        </w:rPr>
        <w:tab/>
        <w:t xml:space="preserve"> </w:t>
      </w:r>
    </w:p>
    <w:tbl>
      <w:tblPr>
        <w:tblpPr w:leftFromText="180" w:rightFromText="180" w:vertAnchor="text" w:horzAnchor="margin" w:tblpXSpec="right" w:tblpY="824"/>
        <w:tblW w:w="549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490"/>
      </w:tblGrid>
      <w:tr w:rsidR="00D6219B" w:rsidRPr="00506689" w:rsidTr="005B70B8">
        <w:tc>
          <w:tcPr>
            <w:tcW w:w="5490" w:type="dxa"/>
            <w:tcBorders>
              <w:top w:val="nil"/>
              <w:left w:val="nil"/>
              <w:bottom w:val="single" w:sz="4" w:space="0" w:color="000000"/>
              <w:right w:val="nil"/>
            </w:tcBorders>
          </w:tcPr>
          <w:p w:rsidR="00D6219B" w:rsidRPr="00506689" w:rsidRDefault="00876C21" w:rsidP="00364C6F">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S-1-CR-2017-000</w:t>
            </w:r>
            <w:r w:rsidR="00E9600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68</w:t>
            </w:r>
          </w:p>
        </w:tc>
      </w:tr>
      <w:tr w:rsidR="00D6219B" w:rsidRPr="00506689" w:rsidTr="005B70B8">
        <w:tc>
          <w:tcPr>
            <w:tcW w:w="5490" w:type="dxa"/>
            <w:tcBorders>
              <w:top w:val="single" w:sz="4" w:space="0" w:color="000000"/>
              <w:left w:val="nil"/>
              <w:bottom w:val="single" w:sz="4" w:space="0" w:color="000000"/>
              <w:right w:val="nil"/>
            </w:tcBorders>
          </w:tcPr>
          <w:p w:rsidR="00D6219B" w:rsidRPr="00506689" w:rsidRDefault="00D6219B" w:rsidP="005B70B8">
            <w:pPr>
              <w:tabs>
                <w:tab w:val="center" w:pos="2784"/>
              </w:tabs>
              <w:spacing w:after="0" w:line="240" w:lineRule="auto"/>
              <w:jc w:val="center"/>
              <w:rPr>
                <w:rFonts w:ascii="Times New Roman" w:hAnsi="Times New Roman" w:cs="Times New Roman"/>
                <w:b/>
                <w:bCs/>
                <w:color w:val="000000" w:themeColor="text1"/>
                <w:sz w:val="28"/>
                <w:szCs w:val="28"/>
              </w:rPr>
            </w:pPr>
          </w:p>
          <w:p w:rsidR="00D6219B" w:rsidRPr="00506689" w:rsidRDefault="00D6219B" w:rsidP="005B70B8">
            <w:pPr>
              <w:tabs>
                <w:tab w:val="center" w:pos="2784"/>
              </w:tabs>
              <w:spacing w:after="0" w:line="240" w:lineRule="auto"/>
              <w:jc w:val="center"/>
              <w:rPr>
                <w:rFonts w:ascii="Times New Roman" w:hAnsi="Times New Roman" w:cs="Times New Roman"/>
                <w:b/>
                <w:bCs/>
                <w:color w:val="000000" w:themeColor="text1"/>
                <w:sz w:val="28"/>
                <w:szCs w:val="28"/>
              </w:rPr>
            </w:pPr>
            <w:r w:rsidRPr="00506689">
              <w:rPr>
                <w:rFonts w:ascii="Times New Roman" w:hAnsi="Times New Roman" w:cs="Times New Roman"/>
                <w:b/>
                <w:bCs/>
                <w:color w:val="000000" w:themeColor="text1"/>
                <w:sz w:val="28"/>
                <w:szCs w:val="28"/>
              </w:rPr>
              <w:t>IN THE SUPREME COURT OF THE</w:t>
            </w:r>
          </w:p>
          <w:p w:rsidR="00D6219B" w:rsidRPr="00506689" w:rsidRDefault="00D6219B" w:rsidP="005B70B8">
            <w:pPr>
              <w:tabs>
                <w:tab w:val="center" w:pos="2784"/>
                <w:tab w:val="left" w:pos="4740"/>
              </w:tabs>
              <w:spacing w:after="0" w:line="240" w:lineRule="auto"/>
              <w:jc w:val="center"/>
              <w:rPr>
                <w:rFonts w:ascii="Times New Roman" w:hAnsi="Times New Roman" w:cs="Times New Roman"/>
                <w:b/>
                <w:bCs/>
                <w:color w:val="000000" w:themeColor="text1"/>
                <w:sz w:val="28"/>
                <w:szCs w:val="28"/>
              </w:rPr>
            </w:pPr>
            <w:r w:rsidRPr="00506689">
              <w:rPr>
                <w:rFonts w:ascii="Times New Roman" w:hAnsi="Times New Roman" w:cs="Times New Roman"/>
                <w:b/>
                <w:bCs/>
                <w:color w:val="000000" w:themeColor="text1"/>
                <w:sz w:val="28"/>
                <w:szCs w:val="28"/>
              </w:rPr>
              <w:t>NORTHWEST TERRITORIES</w:t>
            </w:r>
          </w:p>
          <w:p w:rsidR="00D6219B" w:rsidRPr="00506689" w:rsidRDefault="00D6219B" w:rsidP="005B70B8">
            <w:pPr>
              <w:spacing w:after="0" w:line="240" w:lineRule="auto"/>
              <w:rPr>
                <w:rFonts w:ascii="Times New Roman" w:hAnsi="Times New Roman" w:cs="Times New Roman"/>
                <w:color w:val="000000" w:themeColor="text1"/>
                <w:sz w:val="28"/>
                <w:szCs w:val="28"/>
              </w:rPr>
            </w:pPr>
          </w:p>
        </w:tc>
      </w:tr>
      <w:tr w:rsidR="00D6219B" w:rsidRPr="00506689" w:rsidTr="005B70B8">
        <w:tc>
          <w:tcPr>
            <w:tcW w:w="5490" w:type="dxa"/>
            <w:tcBorders>
              <w:top w:val="single" w:sz="4" w:space="0" w:color="000000"/>
              <w:left w:val="nil"/>
              <w:bottom w:val="single" w:sz="4" w:space="0" w:color="000000"/>
              <w:right w:val="nil"/>
            </w:tcBorders>
          </w:tcPr>
          <w:p w:rsidR="00D6219B" w:rsidRPr="00506689" w:rsidRDefault="00D6219B" w:rsidP="005B70B8">
            <w:pPr>
              <w:tabs>
                <w:tab w:val="left" w:pos="720"/>
                <w:tab w:val="left" w:pos="1452"/>
                <w:tab w:val="left" w:pos="2392"/>
              </w:tabs>
              <w:spacing w:after="0" w:line="240" w:lineRule="auto"/>
              <w:jc w:val="both"/>
              <w:rPr>
                <w:rFonts w:ascii="Times New Roman" w:hAnsi="Times New Roman" w:cs="Times New Roman"/>
                <w:bCs/>
                <w:color w:val="000000" w:themeColor="text1"/>
                <w:sz w:val="28"/>
                <w:szCs w:val="28"/>
              </w:rPr>
            </w:pPr>
          </w:p>
          <w:p w:rsidR="00D6219B" w:rsidRDefault="00D6219B" w:rsidP="005B70B8">
            <w:pPr>
              <w:spacing w:after="0" w:line="240" w:lineRule="auto"/>
              <w:jc w:val="center"/>
              <w:rPr>
                <w:rFonts w:ascii="Times New Roman" w:hAnsi="Times New Roman" w:cs="Times New Roman"/>
                <w:color w:val="000000" w:themeColor="text1"/>
                <w:sz w:val="28"/>
                <w:szCs w:val="28"/>
              </w:rPr>
            </w:pPr>
          </w:p>
          <w:p w:rsidR="00D6219B" w:rsidRPr="00B3755B" w:rsidRDefault="00D6219B" w:rsidP="005B70B8">
            <w:pPr>
              <w:spacing w:line="240" w:lineRule="auto"/>
              <w:rPr>
                <w:rFonts w:ascii="Times New Roman" w:hAnsi="Times New Roman" w:cs="Times New Roman"/>
                <w:b/>
                <w:color w:val="000000" w:themeColor="text1"/>
                <w:sz w:val="28"/>
                <w:szCs w:val="28"/>
              </w:rPr>
            </w:pPr>
            <w:r w:rsidRPr="00B3755B">
              <w:rPr>
                <w:rFonts w:ascii="Times New Roman" w:hAnsi="Times New Roman" w:cs="Times New Roman"/>
                <w:b/>
                <w:color w:val="000000" w:themeColor="text1"/>
                <w:sz w:val="28"/>
                <w:szCs w:val="28"/>
              </w:rPr>
              <w:t>BETWEEN:</w:t>
            </w:r>
          </w:p>
          <w:p w:rsidR="00D6219B" w:rsidRPr="00506689" w:rsidRDefault="00876C21" w:rsidP="005B70B8">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HER MAJESTY THE QUEEN</w:t>
            </w:r>
          </w:p>
          <w:p w:rsidR="00D6219B" w:rsidRPr="00506689" w:rsidRDefault="00876C21" w:rsidP="005B70B8">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D6219B" w:rsidRDefault="00D6219B" w:rsidP="005B70B8">
            <w:pPr>
              <w:spacing w:line="240" w:lineRule="auto"/>
              <w:jc w:val="center"/>
              <w:rPr>
                <w:rFonts w:ascii="Times New Roman" w:hAnsi="Times New Roman" w:cs="Times New Roman"/>
                <w:color w:val="000000" w:themeColor="text1"/>
                <w:sz w:val="28"/>
                <w:szCs w:val="28"/>
              </w:rPr>
            </w:pPr>
            <w:r w:rsidRPr="00506689">
              <w:rPr>
                <w:rFonts w:ascii="Times New Roman" w:hAnsi="Times New Roman" w:cs="Times New Roman"/>
                <w:color w:val="000000" w:themeColor="text1"/>
                <w:sz w:val="28"/>
                <w:szCs w:val="28"/>
              </w:rPr>
              <w:t>-and-</w:t>
            </w:r>
          </w:p>
          <w:p w:rsidR="00D6219B" w:rsidRPr="00082535" w:rsidRDefault="00876C21" w:rsidP="005B70B8">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KELVIN AARON LAFFERTY</w:t>
            </w:r>
          </w:p>
          <w:p w:rsidR="00D6219B" w:rsidRDefault="00D6219B" w:rsidP="005B70B8">
            <w:pPr>
              <w:spacing w:line="240" w:lineRule="auto"/>
              <w:jc w:val="center"/>
              <w:rPr>
                <w:rFonts w:ascii="Times New Roman" w:hAnsi="Times New Roman" w:cs="Times New Roman"/>
                <w:color w:val="000000" w:themeColor="text1"/>
                <w:sz w:val="28"/>
                <w:szCs w:val="28"/>
              </w:rPr>
            </w:pPr>
          </w:p>
          <w:p w:rsidR="00D6219B" w:rsidRPr="00506689" w:rsidRDefault="00876C21" w:rsidP="005B70B8">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Appellant</w:t>
            </w:r>
          </w:p>
          <w:p w:rsidR="00D6219B" w:rsidRPr="00506689" w:rsidRDefault="00D6219B" w:rsidP="005B70B8">
            <w:pPr>
              <w:spacing w:after="0" w:line="240" w:lineRule="auto"/>
              <w:rPr>
                <w:rFonts w:ascii="Times New Roman" w:hAnsi="Times New Roman" w:cs="Times New Roman"/>
                <w:color w:val="000000" w:themeColor="text1"/>
                <w:sz w:val="28"/>
                <w:szCs w:val="28"/>
              </w:rPr>
            </w:pPr>
          </w:p>
        </w:tc>
      </w:tr>
      <w:tr w:rsidR="00D6219B" w:rsidRPr="00506689" w:rsidTr="005B70B8">
        <w:tc>
          <w:tcPr>
            <w:tcW w:w="5490" w:type="dxa"/>
            <w:tcBorders>
              <w:top w:val="single" w:sz="4" w:space="0" w:color="000000"/>
              <w:left w:val="nil"/>
              <w:bottom w:val="single" w:sz="4" w:space="0" w:color="000000"/>
              <w:right w:val="nil"/>
            </w:tcBorders>
          </w:tcPr>
          <w:p w:rsidR="00D6219B" w:rsidRPr="00506689" w:rsidRDefault="00D6219B" w:rsidP="005B70B8">
            <w:pPr>
              <w:tabs>
                <w:tab w:val="left" w:pos="720"/>
                <w:tab w:val="left" w:pos="1452"/>
                <w:tab w:val="left" w:pos="2392"/>
              </w:tabs>
              <w:spacing w:after="0" w:line="240" w:lineRule="auto"/>
              <w:jc w:val="center"/>
              <w:rPr>
                <w:rFonts w:ascii="Times New Roman" w:hAnsi="Times New Roman" w:cs="Times New Roman"/>
                <w:color w:val="000000" w:themeColor="text1"/>
                <w:sz w:val="28"/>
                <w:szCs w:val="28"/>
              </w:rPr>
            </w:pPr>
          </w:p>
          <w:p w:rsidR="00D6219B" w:rsidRPr="00876C21" w:rsidRDefault="00D6219B" w:rsidP="005B70B8">
            <w:pPr>
              <w:tabs>
                <w:tab w:val="left" w:pos="720"/>
                <w:tab w:val="left" w:pos="1452"/>
                <w:tab w:val="left" w:pos="2392"/>
              </w:tabs>
              <w:spacing w:after="0" w:line="240" w:lineRule="auto"/>
              <w:jc w:val="center"/>
              <w:rPr>
                <w:rFonts w:ascii="Times New Roman" w:hAnsi="Times New Roman" w:cs="Times New Roman"/>
                <w:color w:val="000000" w:themeColor="text1"/>
                <w:sz w:val="28"/>
                <w:szCs w:val="28"/>
              </w:rPr>
            </w:pPr>
            <w:r w:rsidRPr="00876C21">
              <w:rPr>
                <w:rFonts w:ascii="Times New Roman" w:hAnsi="Times New Roman" w:cs="Times New Roman"/>
                <w:color w:val="000000" w:themeColor="text1"/>
                <w:sz w:val="28"/>
                <w:szCs w:val="28"/>
              </w:rPr>
              <w:t>MEMORANDUM OF JUDGMENT OF</w:t>
            </w:r>
          </w:p>
          <w:p w:rsidR="000B74D1" w:rsidRDefault="00D6219B" w:rsidP="005B70B8">
            <w:pPr>
              <w:tabs>
                <w:tab w:val="left" w:pos="720"/>
                <w:tab w:val="left" w:pos="1452"/>
                <w:tab w:val="left" w:pos="2392"/>
              </w:tabs>
              <w:spacing w:after="0" w:line="240" w:lineRule="auto"/>
              <w:jc w:val="center"/>
              <w:rPr>
                <w:rFonts w:ascii="Times New Roman" w:hAnsi="Times New Roman" w:cs="Times New Roman"/>
                <w:color w:val="000000" w:themeColor="text1"/>
                <w:sz w:val="28"/>
                <w:szCs w:val="28"/>
              </w:rPr>
            </w:pPr>
            <w:r w:rsidRPr="00876C21">
              <w:rPr>
                <w:rFonts w:ascii="Times New Roman" w:hAnsi="Times New Roman" w:cs="Times New Roman"/>
                <w:color w:val="000000" w:themeColor="text1"/>
                <w:sz w:val="28"/>
                <w:szCs w:val="28"/>
              </w:rPr>
              <w:t xml:space="preserve">THE </w:t>
            </w:r>
            <w:r w:rsidR="00876C21" w:rsidRPr="00876C21">
              <w:rPr>
                <w:rFonts w:ascii="Times New Roman" w:hAnsi="Times New Roman" w:cs="Times New Roman"/>
                <w:color w:val="000000" w:themeColor="text1"/>
                <w:sz w:val="28"/>
                <w:szCs w:val="28"/>
              </w:rPr>
              <w:t xml:space="preserve">HONOURABLE </w:t>
            </w:r>
          </w:p>
          <w:p w:rsidR="00D6219B" w:rsidRPr="00876C21" w:rsidRDefault="00876C21" w:rsidP="005B70B8">
            <w:pPr>
              <w:tabs>
                <w:tab w:val="left" w:pos="720"/>
                <w:tab w:val="left" w:pos="1452"/>
                <w:tab w:val="left" w:pos="2392"/>
              </w:tabs>
              <w:spacing w:after="0" w:line="240" w:lineRule="auto"/>
              <w:jc w:val="center"/>
              <w:rPr>
                <w:rFonts w:ascii="Times New Roman" w:hAnsi="Times New Roman" w:cs="Times New Roman"/>
                <w:color w:val="000000" w:themeColor="text1"/>
                <w:sz w:val="28"/>
                <w:szCs w:val="28"/>
              </w:rPr>
            </w:pPr>
            <w:r w:rsidRPr="00876C21">
              <w:rPr>
                <w:rFonts w:ascii="Times New Roman" w:hAnsi="Times New Roman" w:cs="Times New Roman"/>
                <w:color w:val="000000" w:themeColor="text1"/>
                <w:sz w:val="28"/>
                <w:szCs w:val="28"/>
              </w:rPr>
              <w:t>JUSTICE S.H. SMALLWOOD</w:t>
            </w:r>
          </w:p>
          <w:p w:rsidR="00D6219B" w:rsidRPr="00506689" w:rsidRDefault="00D6219B" w:rsidP="005B70B8">
            <w:pPr>
              <w:tabs>
                <w:tab w:val="left" w:pos="720"/>
                <w:tab w:val="left" w:pos="1452"/>
                <w:tab w:val="left" w:pos="2392"/>
              </w:tabs>
              <w:spacing w:after="0" w:line="240" w:lineRule="auto"/>
              <w:jc w:val="center"/>
              <w:rPr>
                <w:rFonts w:ascii="Times New Roman" w:hAnsi="Times New Roman" w:cs="Times New Roman"/>
                <w:color w:val="000000" w:themeColor="text1"/>
                <w:sz w:val="28"/>
                <w:szCs w:val="28"/>
              </w:rPr>
            </w:pPr>
          </w:p>
        </w:tc>
      </w:tr>
    </w:tbl>
    <w:p w:rsidR="00D6219B" w:rsidRPr="00876C21" w:rsidRDefault="00D6219B" w:rsidP="00876C21">
      <w:pPr>
        <w:jc w:val="both"/>
        <w:rPr>
          <w:rFonts w:ascii="Times New Roman" w:hAnsi="Times New Roman" w:cs="Times New Roman"/>
          <w:color w:val="000000" w:themeColor="text1"/>
          <w:sz w:val="28"/>
          <w:szCs w:val="28"/>
        </w:rPr>
      </w:pPr>
    </w:p>
    <w:p w:rsidR="00D6219B" w:rsidRPr="00F1614E" w:rsidRDefault="00D6219B" w:rsidP="00D6219B">
      <w:pPr>
        <w:pStyle w:val="ListParagraph"/>
        <w:autoSpaceDE w:val="0"/>
        <w:autoSpaceDN w:val="0"/>
        <w:adjustRightInd w:val="0"/>
        <w:spacing w:before="120" w:after="120" w:line="360" w:lineRule="auto"/>
        <w:ind w:left="0"/>
        <w:jc w:val="both"/>
        <w:rPr>
          <w:rFonts w:ascii="Times New Roman" w:hAnsi="Times New Roman" w:cs="Times New Roman"/>
          <w:sz w:val="28"/>
          <w:szCs w:val="28"/>
          <w:lang w:val="en-US"/>
        </w:rPr>
      </w:pPr>
    </w:p>
    <w:sectPr w:rsidR="00D6219B" w:rsidRPr="00F1614E">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F3" w:rsidRDefault="004135F3" w:rsidP="00145C68">
      <w:pPr>
        <w:spacing w:after="0" w:line="240" w:lineRule="auto"/>
      </w:pPr>
      <w:r>
        <w:separator/>
      </w:r>
    </w:p>
  </w:endnote>
  <w:endnote w:type="continuationSeparator" w:id="0">
    <w:p w:rsidR="004135F3" w:rsidRDefault="004135F3" w:rsidP="0014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E06" w:rsidRPr="004368DA" w:rsidRDefault="000F3E06">
    <w:pPr>
      <w:pStyle w:val="Footer"/>
      <w:jc w:val="right"/>
      <w:rPr>
        <w:rFonts w:ascii="Times New Roman" w:hAnsi="Times New Roman" w:cs="Times New Roman"/>
      </w:rPr>
    </w:pPr>
  </w:p>
  <w:p w:rsidR="000F3E06" w:rsidRDefault="000F3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F3" w:rsidRDefault="004135F3" w:rsidP="00145C68">
      <w:pPr>
        <w:spacing w:after="0" w:line="240" w:lineRule="auto"/>
      </w:pPr>
      <w:r>
        <w:separator/>
      </w:r>
    </w:p>
  </w:footnote>
  <w:footnote w:type="continuationSeparator" w:id="0">
    <w:p w:rsidR="004135F3" w:rsidRDefault="004135F3" w:rsidP="00145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19B" w:rsidRPr="004F235C" w:rsidRDefault="00D6219B">
    <w:pPr>
      <w:pStyle w:val="Header"/>
      <w:jc w:val="right"/>
      <w:rPr>
        <w:rFonts w:ascii="Times New Roman" w:hAnsi="Times New Roman" w:cs="Times New Roman"/>
        <w:sz w:val="24"/>
        <w:szCs w:val="24"/>
      </w:rPr>
    </w:pPr>
    <w:r w:rsidRPr="004F235C">
      <w:rPr>
        <w:rFonts w:ascii="Times New Roman" w:hAnsi="Times New Roman" w:cs="Times New Roman"/>
        <w:sz w:val="24"/>
        <w:szCs w:val="24"/>
      </w:rPr>
      <w:t xml:space="preserve">Page </w:t>
    </w:r>
    <w:sdt>
      <w:sdtPr>
        <w:rPr>
          <w:rFonts w:ascii="Times New Roman" w:hAnsi="Times New Roman" w:cs="Times New Roman"/>
          <w:sz w:val="24"/>
          <w:szCs w:val="24"/>
        </w:rPr>
        <w:id w:val="436328648"/>
        <w:docPartObj>
          <w:docPartGallery w:val="Page Numbers (Top of Page)"/>
          <w:docPartUnique/>
        </w:docPartObj>
      </w:sdtPr>
      <w:sdtEndPr>
        <w:rPr>
          <w:noProof/>
        </w:rPr>
      </w:sdtEndPr>
      <w:sdtContent>
        <w:r w:rsidRPr="004F235C">
          <w:rPr>
            <w:rFonts w:ascii="Times New Roman" w:hAnsi="Times New Roman" w:cs="Times New Roman"/>
            <w:sz w:val="24"/>
            <w:szCs w:val="24"/>
          </w:rPr>
          <w:fldChar w:fldCharType="begin"/>
        </w:r>
        <w:r w:rsidRPr="004F235C">
          <w:rPr>
            <w:rFonts w:ascii="Times New Roman" w:hAnsi="Times New Roman" w:cs="Times New Roman"/>
            <w:sz w:val="24"/>
            <w:szCs w:val="24"/>
          </w:rPr>
          <w:instrText xml:space="preserve"> PAGE   \* MERGEFORMAT </w:instrText>
        </w:r>
        <w:r w:rsidRPr="004F235C">
          <w:rPr>
            <w:rFonts w:ascii="Times New Roman" w:hAnsi="Times New Roman" w:cs="Times New Roman"/>
            <w:sz w:val="24"/>
            <w:szCs w:val="24"/>
          </w:rPr>
          <w:fldChar w:fldCharType="separate"/>
        </w:r>
        <w:r w:rsidR="00FA0D1B">
          <w:rPr>
            <w:rFonts w:ascii="Times New Roman" w:hAnsi="Times New Roman" w:cs="Times New Roman"/>
            <w:noProof/>
            <w:sz w:val="24"/>
            <w:szCs w:val="24"/>
          </w:rPr>
          <w:t>20</w:t>
        </w:r>
        <w:r w:rsidRPr="004F235C">
          <w:rPr>
            <w:rFonts w:ascii="Times New Roman" w:hAnsi="Times New Roman" w:cs="Times New Roman"/>
            <w:noProof/>
            <w:sz w:val="24"/>
            <w:szCs w:val="24"/>
          </w:rPr>
          <w:fldChar w:fldCharType="end"/>
        </w:r>
      </w:sdtContent>
    </w:sdt>
  </w:p>
  <w:p w:rsidR="00D6219B" w:rsidRDefault="00D62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45" w:rsidRDefault="00BE3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75C9"/>
    <w:multiLevelType w:val="hybridMultilevel"/>
    <w:tmpl w:val="8B3AAB1C"/>
    <w:lvl w:ilvl="0" w:tplc="60D40B1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93812"/>
    <w:multiLevelType w:val="hybridMultilevel"/>
    <w:tmpl w:val="A0D21154"/>
    <w:lvl w:ilvl="0" w:tplc="AAB8DBD2">
      <w:start w:val="1"/>
      <w:numFmt w:val="lowerRoman"/>
      <w:lvlText w:val="%1."/>
      <w:lvlJc w:val="left"/>
      <w:pPr>
        <w:ind w:left="1967" w:hanging="720"/>
      </w:pPr>
      <w:rPr>
        <w:rFonts w:hint="default"/>
      </w:rPr>
    </w:lvl>
    <w:lvl w:ilvl="1" w:tplc="10090019" w:tentative="1">
      <w:start w:val="1"/>
      <w:numFmt w:val="lowerLetter"/>
      <w:lvlText w:val="%2."/>
      <w:lvlJc w:val="left"/>
      <w:pPr>
        <w:ind w:left="2327" w:hanging="360"/>
      </w:pPr>
    </w:lvl>
    <w:lvl w:ilvl="2" w:tplc="1009001B" w:tentative="1">
      <w:start w:val="1"/>
      <w:numFmt w:val="lowerRoman"/>
      <w:lvlText w:val="%3."/>
      <w:lvlJc w:val="right"/>
      <w:pPr>
        <w:ind w:left="3047" w:hanging="180"/>
      </w:pPr>
    </w:lvl>
    <w:lvl w:ilvl="3" w:tplc="1009000F" w:tentative="1">
      <w:start w:val="1"/>
      <w:numFmt w:val="decimal"/>
      <w:lvlText w:val="%4."/>
      <w:lvlJc w:val="left"/>
      <w:pPr>
        <w:ind w:left="3767" w:hanging="360"/>
      </w:pPr>
    </w:lvl>
    <w:lvl w:ilvl="4" w:tplc="10090019" w:tentative="1">
      <w:start w:val="1"/>
      <w:numFmt w:val="lowerLetter"/>
      <w:lvlText w:val="%5."/>
      <w:lvlJc w:val="left"/>
      <w:pPr>
        <w:ind w:left="4487" w:hanging="360"/>
      </w:pPr>
    </w:lvl>
    <w:lvl w:ilvl="5" w:tplc="1009001B" w:tentative="1">
      <w:start w:val="1"/>
      <w:numFmt w:val="lowerRoman"/>
      <w:lvlText w:val="%6."/>
      <w:lvlJc w:val="right"/>
      <w:pPr>
        <w:ind w:left="5207" w:hanging="180"/>
      </w:pPr>
    </w:lvl>
    <w:lvl w:ilvl="6" w:tplc="1009000F" w:tentative="1">
      <w:start w:val="1"/>
      <w:numFmt w:val="decimal"/>
      <w:lvlText w:val="%7."/>
      <w:lvlJc w:val="left"/>
      <w:pPr>
        <w:ind w:left="5927" w:hanging="360"/>
      </w:pPr>
    </w:lvl>
    <w:lvl w:ilvl="7" w:tplc="10090019" w:tentative="1">
      <w:start w:val="1"/>
      <w:numFmt w:val="lowerLetter"/>
      <w:lvlText w:val="%8."/>
      <w:lvlJc w:val="left"/>
      <w:pPr>
        <w:ind w:left="6647" w:hanging="360"/>
      </w:pPr>
    </w:lvl>
    <w:lvl w:ilvl="8" w:tplc="1009001B" w:tentative="1">
      <w:start w:val="1"/>
      <w:numFmt w:val="lowerRoman"/>
      <w:lvlText w:val="%9."/>
      <w:lvlJc w:val="right"/>
      <w:pPr>
        <w:ind w:left="7367" w:hanging="180"/>
      </w:pPr>
    </w:lvl>
  </w:abstractNum>
  <w:abstractNum w:abstractNumId="2" w15:restartNumberingAfterBreak="0">
    <w:nsid w:val="0E2B2FBD"/>
    <w:multiLevelType w:val="hybridMultilevel"/>
    <w:tmpl w:val="D6B6C480"/>
    <w:lvl w:ilvl="0" w:tplc="5A9EF6F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1AB0D89"/>
    <w:multiLevelType w:val="multilevel"/>
    <w:tmpl w:val="28C2248A"/>
    <w:lvl w:ilvl="0">
      <w:start w:val="9"/>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6904A04"/>
    <w:multiLevelType w:val="hybridMultilevel"/>
    <w:tmpl w:val="3C5613DE"/>
    <w:lvl w:ilvl="0" w:tplc="6E845C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AB5677"/>
    <w:multiLevelType w:val="hybridMultilevel"/>
    <w:tmpl w:val="916AF732"/>
    <w:lvl w:ilvl="0" w:tplc="0F28C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162AF"/>
    <w:multiLevelType w:val="hybridMultilevel"/>
    <w:tmpl w:val="D368D996"/>
    <w:lvl w:ilvl="0" w:tplc="C49073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79227D"/>
    <w:multiLevelType w:val="hybridMultilevel"/>
    <w:tmpl w:val="FDA67D9A"/>
    <w:lvl w:ilvl="0" w:tplc="D40ECE92">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87B6C"/>
    <w:multiLevelType w:val="hybridMultilevel"/>
    <w:tmpl w:val="D95AF1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A30043"/>
    <w:multiLevelType w:val="hybridMultilevel"/>
    <w:tmpl w:val="EB68AEA6"/>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5A1B0EC8"/>
    <w:multiLevelType w:val="multilevel"/>
    <w:tmpl w:val="A740B89A"/>
    <w:lvl w:ilvl="0">
      <w:start w:val="1"/>
      <w:numFmt w:val="decimal"/>
      <w:lvlText w:val="(%1."/>
      <w:lvlJc w:val="left"/>
      <w:pPr>
        <w:ind w:left="552" w:hanging="55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B6B568A"/>
    <w:multiLevelType w:val="hybridMultilevel"/>
    <w:tmpl w:val="287A31FC"/>
    <w:lvl w:ilvl="0" w:tplc="01F0BC2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4143056"/>
    <w:multiLevelType w:val="hybridMultilevel"/>
    <w:tmpl w:val="D736DF6E"/>
    <w:lvl w:ilvl="0" w:tplc="719C02DC">
      <w:start w:val="1"/>
      <w:numFmt w:val="decimal"/>
      <w:lvlText w:val="%1."/>
      <w:lvlJc w:val="left"/>
      <w:pPr>
        <w:ind w:left="1607" w:hanging="360"/>
      </w:pPr>
      <w:rPr>
        <w:rFonts w:hint="default"/>
      </w:rPr>
    </w:lvl>
    <w:lvl w:ilvl="1" w:tplc="10090019" w:tentative="1">
      <w:start w:val="1"/>
      <w:numFmt w:val="lowerLetter"/>
      <w:lvlText w:val="%2."/>
      <w:lvlJc w:val="left"/>
      <w:pPr>
        <w:ind w:left="2327" w:hanging="360"/>
      </w:pPr>
    </w:lvl>
    <w:lvl w:ilvl="2" w:tplc="1009001B" w:tentative="1">
      <w:start w:val="1"/>
      <w:numFmt w:val="lowerRoman"/>
      <w:lvlText w:val="%3."/>
      <w:lvlJc w:val="right"/>
      <w:pPr>
        <w:ind w:left="3047" w:hanging="180"/>
      </w:pPr>
    </w:lvl>
    <w:lvl w:ilvl="3" w:tplc="1009000F" w:tentative="1">
      <w:start w:val="1"/>
      <w:numFmt w:val="decimal"/>
      <w:lvlText w:val="%4."/>
      <w:lvlJc w:val="left"/>
      <w:pPr>
        <w:ind w:left="3767" w:hanging="360"/>
      </w:pPr>
    </w:lvl>
    <w:lvl w:ilvl="4" w:tplc="10090019" w:tentative="1">
      <w:start w:val="1"/>
      <w:numFmt w:val="lowerLetter"/>
      <w:lvlText w:val="%5."/>
      <w:lvlJc w:val="left"/>
      <w:pPr>
        <w:ind w:left="4487" w:hanging="360"/>
      </w:pPr>
    </w:lvl>
    <w:lvl w:ilvl="5" w:tplc="1009001B" w:tentative="1">
      <w:start w:val="1"/>
      <w:numFmt w:val="lowerRoman"/>
      <w:lvlText w:val="%6."/>
      <w:lvlJc w:val="right"/>
      <w:pPr>
        <w:ind w:left="5207" w:hanging="180"/>
      </w:pPr>
    </w:lvl>
    <w:lvl w:ilvl="6" w:tplc="1009000F" w:tentative="1">
      <w:start w:val="1"/>
      <w:numFmt w:val="decimal"/>
      <w:lvlText w:val="%7."/>
      <w:lvlJc w:val="left"/>
      <w:pPr>
        <w:ind w:left="5927" w:hanging="360"/>
      </w:pPr>
    </w:lvl>
    <w:lvl w:ilvl="7" w:tplc="10090019" w:tentative="1">
      <w:start w:val="1"/>
      <w:numFmt w:val="lowerLetter"/>
      <w:lvlText w:val="%8."/>
      <w:lvlJc w:val="left"/>
      <w:pPr>
        <w:ind w:left="6647" w:hanging="360"/>
      </w:pPr>
    </w:lvl>
    <w:lvl w:ilvl="8" w:tplc="1009001B" w:tentative="1">
      <w:start w:val="1"/>
      <w:numFmt w:val="lowerRoman"/>
      <w:lvlText w:val="%9."/>
      <w:lvlJc w:val="right"/>
      <w:pPr>
        <w:ind w:left="7367" w:hanging="180"/>
      </w:pPr>
    </w:lvl>
  </w:abstractNum>
  <w:abstractNum w:abstractNumId="13" w15:restartNumberingAfterBreak="0">
    <w:nsid w:val="66035399"/>
    <w:multiLevelType w:val="hybridMultilevel"/>
    <w:tmpl w:val="EDF442C2"/>
    <w:lvl w:ilvl="0" w:tplc="C79427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5A535D"/>
    <w:multiLevelType w:val="hybridMultilevel"/>
    <w:tmpl w:val="2D3CA81E"/>
    <w:lvl w:ilvl="0" w:tplc="FC24833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E46B8F"/>
    <w:multiLevelType w:val="hybridMultilevel"/>
    <w:tmpl w:val="5DCA9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C26B4B"/>
    <w:multiLevelType w:val="hybridMultilevel"/>
    <w:tmpl w:val="BD5AE124"/>
    <w:lvl w:ilvl="0" w:tplc="10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10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96140EE"/>
    <w:multiLevelType w:val="hybridMultilevel"/>
    <w:tmpl w:val="B5CE2088"/>
    <w:lvl w:ilvl="0" w:tplc="C0BA5AB2">
      <w:start w:val="1"/>
      <w:numFmt w:val="lowerRoman"/>
      <w:lvlText w:val="%1."/>
      <w:lvlJc w:val="left"/>
      <w:pPr>
        <w:ind w:left="2004" w:hanging="397"/>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6"/>
  </w:num>
  <w:num w:numId="2">
    <w:abstractNumId w:val="8"/>
  </w:num>
  <w:num w:numId="3">
    <w:abstractNumId w:val="15"/>
  </w:num>
  <w:num w:numId="4">
    <w:abstractNumId w:val="13"/>
  </w:num>
  <w:num w:numId="5">
    <w:abstractNumId w:val="4"/>
  </w:num>
  <w:num w:numId="6">
    <w:abstractNumId w:val="10"/>
  </w:num>
  <w:num w:numId="7">
    <w:abstractNumId w:val="2"/>
  </w:num>
  <w:num w:numId="8">
    <w:abstractNumId w:val="11"/>
  </w:num>
  <w:num w:numId="9">
    <w:abstractNumId w:val="9"/>
  </w:num>
  <w:num w:numId="10">
    <w:abstractNumId w:val="14"/>
  </w:num>
  <w:num w:numId="11">
    <w:abstractNumId w:val="5"/>
  </w:num>
  <w:num w:numId="12">
    <w:abstractNumId w:val="0"/>
  </w:num>
  <w:num w:numId="13">
    <w:abstractNumId w:val="3"/>
  </w:num>
  <w:num w:numId="14">
    <w:abstractNumId w:val="16"/>
  </w:num>
  <w:num w:numId="15">
    <w:abstractNumId w:val="7"/>
  </w:num>
  <w:num w:numId="16">
    <w:abstractNumId w:val="12"/>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9F"/>
    <w:rsid w:val="0000002E"/>
    <w:rsid w:val="00003D82"/>
    <w:rsid w:val="000078C8"/>
    <w:rsid w:val="000079E9"/>
    <w:rsid w:val="0001320A"/>
    <w:rsid w:val="000244D3"/>
    <w:rsid w:val="000246F5"/>
    <w:rsid w:val="00044E3C"/>
    <w:rsid w:val="000517E1"/>
    <w:rsid w:val="00051E97"/>
    <w:rsid w:val="000529CD"/>
    <w:rsid w:val="0005567D"/>
    <w:rsid w:val="00057214"/>
    <w:rsid w:val="0005784B"/>
    <w:rsid w:val="000608D0"/>
    <w:rsid w:val="00061AA5"/>
    <w:rsid w:val="00062D2D"/>
    <w:rsid w:val="0007085B"/>
    <w:rsid w:val="000724A0"/>
    <w:rsid w:val="00075EF9"/>
    <w:rsid w:val="00077CAD"/>
    <w:rsid w:val="00080584"/>
    <w:rsid w:val="00080CD9"/>
    <w:rsid w:val="00085A5D"/>
    <w:rsid w:val="00090427"/>
    <w:rsid w:val="000913A7"/>
    <w:rsid w:val="00091F91"/>
    <w:rsid w:val="00093304"/>
    <w:rsid w:val="00094438"/>
    <w:rsid w:val="000A1447"/>
    <w:rsid w:val="000A4A06"/>
    <w:rsid w:val="000A4F5C"/>
    <w:rsid w:val="000B3550"/>
    <w:rsid w:val="000B4A58"/>
    <w:rsid w:val="000B4B1D"/>
    <w:rsid w:val="000B6AEF"/>
    <w:rsid w:val="000B74D1"/>
    <w:rsid w:val="000B783E"/>
    <w:rsid w:val="000C13B5"/>
    <w:rsid w:val="000C4DA6"/>
    <w:rsid w:val="000C63D0"/>
    <w:rsid w:val="000C6CFA"/>
    <w:rsid w:val="000C7EC2"/>
    <w:rsid w:val="000D06F8"/>
    <w:rsid w:val="000D3FFE"/>
    <w:rsid w:val="000D514A"/>
    <w:rsid w:val="000D5165"/>
    <w:rsid w:val="000D6689"/>
    <w:rsid w:val="000D7FCF"/>
    <w:rsid w:val="000E0D53"/>
    <w:rsid w:val="000E1EE6"/>
    <w:rsid w:val="000E7DD2"/>
    <w:rsid w:val="000F1420"/>
    <w:rsid w:val="000F3E06"/>
    <w:rsid w:val="00102492"/>
    <w:rsid w:val="00103BF6"/>
    <w:rsid w:val="001056ED"/>
    <w:rsid w:val="0010681D"/>
    <w:rsid w:val="00110D63"/>
    <w:rsid w:val="001125A9"/>
    <w:rsid w:val="00112AE6"/>
    <w:rsid w:val="00116D5E"/>
    <w:rsid w:val="00121308"/>
    <w:rsid w:val="001248DB"/>
    <w:rsid w:val="0012607C"/>
    <w:rsid w:val="00127F7E"/>
    <w:rsid w:val="001409B5"/>
    <w:rsid w:val="001432B0"/>
    <w:rsid w:val="00144595"/>
    <w:rsid w:val="00145C68"/>
    <w:rsid w:val="001473E2"/>
    <w:rsid w:val="001520FB"/>
    <w:rsid w:val="00152994"/>
    <w:rsid w:val="00152BB6"/>
    <w:rsid w:val="0015629C"/>
    <w:rsid w:val="00162B68"/>
    <w:rsid w:val="00166BA0"/>
    <w:rsid w:val="0017472A"/>
    <w:rsid w:val="0018141F"/>
    <w:rsid w:val="00181639"/>
    <w:rsid w:val="00182AAB"/>
    <w:rsid w:val="00183070"/>
    <w:rsid w:val="0018625F"/>
    <w:rsid w:val="00192029"/>
    <w:rsid w:val="00194948"/>
    <w:rsid w:val="00194B9B"/>
    <w:rsid w:val="00195B80"/>
    <w:rsid w:val="00195FC6"/>
    <w:rsid w:val="001A040B"/>
    <w:rsid w:val="001A2714"/>
    <w:rsid w:val="001A3950"/>
    <w:rsid w:val="001A6D97"/>
    <w:rsid w:val="001B2D79"/>
    <w:rsid w:val="001B739F"/>
    <w:rsid w:val="001C15A0"/>
    <w:rsid w:val="001D1DAF"/>
    <w:rsid w:val="001D20E0"/>
    <w:rsid w:val="001D3F56"/>
    <w:rsid w:val="001D4430"/>
    <w:rsid w:val="001E157F"/>
    <w:rsid w:val="001E1DEE"/>
    <w:rsid w:val="001E21D2"/>
    <w:rsid w:val="001F4560"/>
    <w:rsid w:val="001F6B0E"/>
    <w:rsid w:val="001F7A8D"/>
    <w:rsid w:val="00203AB8"/>
    <w:rsid w:val="002068A1"/>
    <w:rsid w:val="002107EA"/>
    <w:rsid w:val="00212E5A"/>
    <w:rsid w:val="002138A2"/>
    <w:rsid w:val="00214475"/>
    <w:rsid w:val="00215096"/>
    <w:rsid w:val="002170FE"/>
    <w:rsid w:val="002216A5"/>
    <w:rsid w:val="00221BEA"/>
    <w:rsid w:val="00225259"/>
    <w:rsid w:val="00227427"/>
    <w:rsid w:val="00237118"/>
    <w:rsid w:val="00237F0D"/>
    <w:rsid w:val="00242EEC"/>
    <w:rsid w:val="002438F7"/>
    <w:rsid w:val="00250BCC"/>
    <w:rsid w:val="00250FFA"/>
    <w:rsid w:val="00254350"/>
    <w:rsid w:val="00257532"/>
    <w:rsid w:val="00257E20"/>
    <w:rsid w:val="0026401E"/>
    <w:rsid w:val="00272B52"/>
    <w:rsid w:val="002752D0"/>
    <w:rsid w:val="00275786"/>
    <w:rsid w:val="00281910"/>
    <w:rsid w:val="00282527"/>
    <w:rsid w:val="00284AA6"/>
    <w:rsid w:val="00285624"/>
    <w:rsid w:val="002877DC"/>
    <w:rsid w:val="0029761C"/>
    <w:rsid w:val="002A06CB"/>
    <w:rsid w:val="002A38C3"/>
    <w:rsid w:val="002A51FA"/>
    <w:rsid w:val="002A5DCA"/>
    <w:rsid w:val="002B6EDD"/>
    <w:rsid w:val="002B7BF1"/>
    <w:rsid w:val="002B7D86"/>
    <w:rsid w:val="002C0655"/>
    <w:rsid w:val="002D01B3"/>
    <w:rsid w:val="002D2D9B"/>
    <w:rsid w:val="002D4350"/>
    <w:rsid w:val="002D48A0"/>
    <w:rsid w:val="002D5B26"/>
    <w:rsid w:val="002E1013"/>
    <w:rsid w:val="002E170B"/>
    <w:rsid w:val="002E1906"/>
    <w:rsid w:val="002E78FE"/>
    <w:rsid w:val="002E7EDF"/>
    <w:rsid w:val="002F1FA7"/>
    <w:rsid w:val="002F7385"/>
    <w:rsid w:val="00300C56"/>
    <w:rsid w:val="00300F62"/>
    <w:rsid w:val="0030301A"/>
    <w:rsid w:val="003030FB"/>
    <w:rsid w:val="0030318D"/>
    <w:rsid w:val="003045C7"/>
    <w:rsid w:val="003045E2"/>
    <w:rsid w:val="003046AB"/>
    <w:rsid w:val="003102C9"/>
    <w:rsid w:val="00311863"/>
    <w:rsid w:val="00312534"/>
    <w:rsid w:val="0031564F"/>
    <w:rsid w:val="00317D16"/>
    <w:rsid w:val="00317DCF"/>
    <w:rsid w:val="00320429"/>
    <w:rsid w:val="00323521"/>
    <w:rsid w:val="0032479A"/>
    <w:rsid w:val="003261A4"/>
    <w:rsid w:val="00326EFB"/>
    <w:rsid w:val="0033191B"/>
    <w:rsid w:val="0033242A"/>
    <w:rsid w:val="00336814"/>
    <w:rsid w:val="00344BD1"/>
    <w:rsid w:val="00345A85"/>
    <w:rsid w:val="00347353"/>
    <w:rsid w:val="003515B8"/>
    <w:rsid w:val="003518A3"/>
    <w:rsid w:val="0035478C"/>
    <w:rsid w:val="00356261"/>
    <w:rsid w:val="003649BA"/>
    <w:rsid w:val="00364C6F"/>
    <w:rsid w:val="00364E5B"/>
    <w:rsid w:val="0036548C"/>
    <w:rsid w:val="00367A67"/>
    <w:rsid w:val="00371DDC"/>
    <w:rsid w:val="003728F4"/>
    <w:rsid w:val="00384CCB"/>
    <w:rsid w:val="00387C21"/>
    <w:rsid w:val="00387C54"/>
    <w:rsid w:val="00391BEA"/>
    <w:rsid w:val="00394483"/>
    <w:rsid w:val="003A383E"/>
    <w:rsid w:val="003A42B9"/>
    <w:rsid w:val="003B05CD"/>
    <w:rsid w:val="003B0919"/>
    <w:rsid w:val="003B67EF"/>
    <w:rsid w:val="003C06AD"/>
    <w:rsid w:val="003C0B8A"/>
    <w:rsid w:val="003C6016"/>
    <w:rsid w:val="003C6A2C"/>
    <w:rsid w:val="003C7186"/>
    <w:rsid w:val="003C74A9"/>
    <w:rsid w:val="003C7F07"/>
    <w:rsid w:val="003D453A"/>
    <w:rsid w:val="003F037B"/>
    <w:rsid w:val="003F6221"/>
    <w:rsid w:val="0040512A"/>
    <w:rsid w:val="00406E8E"/>
    <w:rsid w:val="004135F3"/>
    <w:rsid w:val="00413E93"/>
    <w:rsid w:val="0041792C"/>
    <w:rsid w:val="0042172F"/>
    <w:rsid w:val="00427F18"/>
    <w:rsid w:val="00432D46"/>
    <w:rsid w:val="00435DC3"/>
    <w:rsid w:val="004368DA"/>
    <w:rsid w:val="0044208E"/>
    <w:rsid w:val="004514D6"/>
    <w:rsid w:val="0045467D"/>
    <w:rsid w:val="004556A8"/>
    <w:rsid w:val="00457DEA"/>
    <w:rsid w:val="00462489"/>
    <w:rsid w:val="0046264E"/>
    <w:rsid w:val="00463A22"/>
    <w:rsid w:val="00467E11"/>
    <w:rsid w:val="0047167F"/>
    <w:rsid w:val="00473567"/>
    <w:rsid w:val="00473B2B"/>
    <w:rsid w:val="00494236"/>
    <w:rsid w:val="004963FF"/>
    <w:rsid w:val="004B160B"/>
    <w:rsid w:val="004B4663"/>
    <w:rsid w:val="004B4E17"/>
    <w:rsid w:val="004B56A5"/>
    <w:rsid w:val="004B7EEB"/>
    <w:rsid w:val="004C1162"/>
    <w:rsid w:val="004C6D83"/>
    <w:rsid w:val="004C7BC6"/>
    <w:rsid w:val="004D3496"/>
    <w:rsid w:val="004D595E"/>
    <w:rsid w:val="004D640F"/>
    <w:rsid w:val="004E153E"/>
    <w:rsid w:val="004E35B4"/>
    <w:rsid w:val="0050424F"/>
    <w:rsid w:val="00506211"/>
    <w:rsid w:val="0051372E"/>
    <w:rsid w:val="00513B26"/>
    <w:rsid w:val="00523CAA"/>
    <w:rsid w:val="005279E7"/>
    <w:rsid w:val="00531E74"/>
    <w:rsid w:val="005327EC"/>
    <w:rsid w:val="00532FBF"/>
    <w:rsid w:val="00533056"/>
    <w:rsid w:val="0053426A"/>
    <w:rsid w:val="00536A25"/>
    <w:rsid w:val="00540AF7"/>
    <w:rsid w:val="00541948"/>
    <w:rsid w:val="0056035B"/>
    <w:rsid w:val="0056135E"/>
    <w:rsid w:val="005613E7"/>
    <w:rsid w:val="00564419"/>
    <w:rsid w:val="0057076C"/>
    <w:rsid w:val="00572FC4"/>
    <w:rsid w:val="00576D59"/>
    <w:rsid w:val="0057702A"/>
    <w:rsid w:val="00580CEA"/>
    <w:rsid w:val="005810EC"/>
    <w:rsid w:val="005837EF"/>
    <w:rsid w:val="0058441E"/>
    <w:rsid w:val="005856DC"/>
    <w:rsid w:val="00585D8D"/>
    <w:rsid w:val="005910A9"/>
    <w:rsid w:val="00591969"/>
    <w:rsid w:val="0059479C"/>
    <w:rsid w:val="00597167"/>
    <w:rsid w:val="005A1B61"/>
    <w:rsid w:val="005B5FDD"/>
    <w:rsid w:val="005B6928"/>
    <w:rsid w:val="005C2276"/>
    <w:rsid w:val="005D2F53"/>
    <w:rsid w:val="005D415F"/>
    <w:rsid w:val="005D50B2"/>
    <w:rsid w:val="005D5821"/>
    <w:rsid w:val="005D6974"/>
    <w:rsid w:val="005D72CF"/>
    <w:rsid w:val="005E018E"/>
    <w:rsid w:val="005E0F2F"/>
    <w:rsid w:val="005E2C1F"/>
    <w:rsid w:val="005E6961"/>
    <w:rsid w:val="005E7241"/>
    <w:rsid w:val="005F2A37"/>
    <w:rsid w:val="005F410E"/>
    <w:rsid w:val="00601069"/>
    <w:rsid w:val="00612A64"/>
    <w:rsid w:val="006139AB"/>
    <w:rsid w:val="00614590"/>
    <w:rsid w:val="00616577"/>
    <w:rsid w:val="0062272E"/>
    <w:rsid w:val="006230A6"/>
    <w:rsid w:val="00625293"/>
    <w:rsid w:val="006264F8"/>
    <w:rsid w:val="00631CF1"/>
    <w:rsid w:val="0063397B"/>
    <w:rsid w:val="00640B38"/>
    <w:rsid w:val="00645D08"/>
    <w:rsid w:val="00647652"/>
    <w:rsid w:val="006512D0"/>
    <w:rsid w:val="006533D5"/>
    <w:rsid w:val="00653ABC"/>
    <w:rsid w:val="00655E06"/>
    <w:rsid w:val="00656097"/>
    <w:rsid w:val="0065615A"/>
    <w:rsid w:val="0065682A"/>
    <w:rsid w:val="006601E4"/>
    <w:rsid w:val="00660895"/>
    <w:rsid w:val="00661C30"/>
    <w:rsid w:val="00662671"/>
    <w:rsid w:val="006645D4"/>
    <w:rsid w:val="00670D08"/>
    <w:rsid w:val="00674EDE"/>
    <w:rsid w:val="006800B6"/>
    <w:rsid w:val="00683002"/>
    <w:rsid w:val="00684AE3"/>
    <w:rsid w:val="00685A78"/>
    <w:rsid w:val="0068658B"/>
    <w:rsid w:val="006910F6"/>
    <w:rsid w:val="006932A3"/>
    <w:rsid w:val="006A06E6"/>
    <w:rsid w:val="006A0780"/>
    <w:rsid w:val="006A2099"/>
    <w:rsid w:val="006A58B3"/>
    <w:rsid w:val="006A7952"/>
    <w:rsid w:val="006A7A0D"/>
    <w:rsid w:val="006B49B9"/>
    <w:rsid w:val="006B5437"/>
    <w:rsid w:val="006C178C"/>
    <w:rsid w:val="006C1DA4"/>
    <w:rsid w:val="006C44FF"/>
    <w:rsid w:val="006C6105"/>
    <w:rsid w:val="006D2E1F"/>
    <w:rsid w:val="006D73EA"/>
    <w:rsid w:val="006F1923"/>
    <w:rsid w:val="006F3871"/>
    <w:rsid w:val="006F4748"/>
    <w:rsid w:val="006F5A13"/>
    <w:rsid w:val="00701064"/>
    <w:rsid w:val="00701A0B"/>
    <w:rsid w:val="00702EEB"/>
    <w:rsid w:val="0070369A"/>
    <w:rsid w:val="00703CD7"/>
    <w:rsid w:val="00710E71"/>
    <w:rsid w:val="00714CCF"/>
    <w:rsid w:val="007245E4"/>
    <w:rsid w:val="007325F2"/>
    <w:rsid w:val="00734726"/>
    <w:rsid w:val="007412C5"/>
    <w:rsid w:val="00747EBD"/>
    <w:rsid w:val="0075173E"/>
    <w:rsid w:val="00752FB2"/>
    <w:rsid w:val="00753CF4"/>
    <w:rsid w:val="00753DAB"/>
    <w:rsid w:val="00762545"/>
    <w:rsid w:val="00762FFC"/>
    <w:rsid w:val="0077104D"/>
    <w:rsid w:val="00771097"/>
    <w:rsid w:val="00782CF4"/>
    <w:rsid w:val="00783F09"/>
    <w:rsid w:val="00784A1A"/>
    <w:rsid w:val="0078541D"/>
    <w:rsid w:val="00785E3D"/>
    <w:rsid w:val="0078744C"/>
    <w:rsid w:val="0078746E"/>
    <w:rsid w:val="007879A5"/>
    <w:rsid w:val="00793449"/>
    <w:rsid w:val="00795BF9"/>
    <w:rsid w:val="00797B77"/>
    <w:rsid w:val="00797ECB"/>
    <w:rsid w:val="007A38A3"/>
    <w:rsid w:val="007A440B"/>
    <w:rsid w:val="007A4F9C"/>
    <w:rsid w:val="007B0EC9"/>
    <w:rsid w:val="007B1A39"/>
    <w:rsid w:val="007B2C04"/>
    <w:rsid w:val="007B44EE"/>
    <w:rsid w:val="007B5849"/>
    <w:rsid w:val="007B5FC3"/>
    <w:rsid w:val="007B70F4"/>
    <w:rsid w:val="007B7719"/>
    <w:rsid w:val="007C18B2"/>
    <w:rsid w:val="007C18FD"/>
    <w:rsid w:val="007C28E7"/>
    <w:rsid w:val="007C4D88"/>
    <w:rsid w:val="007C78A9"/>
    <w:rsid w:val="007C7AED"/>
    <w:rsid w:val="007D01C3"/>
    <w:rsid w:val="007D70A1"/>
    <w:rsid w:val="007E0F67"/>
    <w:rsid w:val="007E172F"/>
    <w:rsid w:val="007E4E20"/>
    <w:rsid w:val="007E5822"/>
    <w:rsid w:val="007E6112"/>
    <w:rsid w:val="007F4F8F"/>
    <w:rsid w:val="008006F1"/>
    <w:rsid w:val="00801F0B"/>
    <w:rsid w:val="008025DC"/>
    <w:rsid w:val="00803901"/>
    <w:rsid w:val="00807990"/>
    <w:rsid w:val="0081022D"/>
    <w:rsid w:val="00814E5C"/>
    <w:rsid w:val="00816FCD"/>
    <w:rsid w:val="00820F6B"/>
    <w:rsid w:val="00822644"/>
    <w:rsid w:val="00824634"/>
    <w:rsid w:val="00825F36"/>
    <w:rsid w:val="00833EE2"/>
    <w:rsid w:val="00834160"/>
    <w:rsid w:val="00834F43"/>
    <w:rsid w:val="008359A8"/>
    <w:rsid w:val="00837EA7"/>
    <w:rsid w:val="00842F99"/>
    <w:rsid w:val="00843387"/>
    <w:rsid w:val="00844BEE"/>
    <w:rsid w:val="00844E05"/>
    <w:rsid w:val="008501C9"/>
    <w:rsid w:val="008527CF"/>
    <w:rsid w:val="0085340A"/>
    <w:rsid w:val="00860A9F"/>
    <w:rsid w:val="008628D0"/>
    <w:rsid w:val="0086450F"/>
    <w:rsid w:val="00876C21"/>
    <w:rsid w:val="00882E37"/>
    <w:rsid w:val="00890946"/>
    <w:rsid w:val="0089427F"/>
    <w:rsid w:val="00896E6C"/>
    <w:rsid w:val="008A6698"/>
    <w:rsid w:val="008A7DA2"/>
    <w:rsid w:val="008C211D"/>
    <w:rsid w:val="008C63ED"/>
    <w:rsid w:val="008D0C36"/>
    <w:rsid w:val="008D144D"/>
    <w:rsid w:val="008D46FE"/>
    <w:rsid w:val="008D6ADC"/>
    <w:rsid w:val="008E1E53"/>
    <w:rsid w:val="008E275D"/>
    <w:rsid w:val="008E4C38"/>
    <w:rsid w:val="008E6714"/>
    <w:rsid w:val="008F04BA"/>
    <w:rsid w:val="009023CF"/>
    <w:rsid w:val="00903D09"/>
    <w:rsid w:val="00911F3B"/>
    <w:rsid w:val="00916925"/>
    <w:rsid w:val="009302A1"/>
    <w:rsid w:val="00934F7C"/>
    <w:rsid w:val="00940C63"/>
    <w:rsid w:val="00941FEE"/>
    <w:rsid w:val="009462A6"/>
    <w:rsid w:val="00951257"/>
    <w:rsid w:val="009521FC"/>
    <w:rsid w:val="009552E6"/>
    <w:rsid w:val="00957992"/>
    <w:rsid w:val="0096482B"/>
    <w:rsid w:val="0097180B"/>
    <w:rsid w:val="00971AE2"/>
    <w:rsid w:val="0097410A"/>
    <w:rsid w:val="00976155"/>
    <w:rsid w:val="009762FE"/>
    <w:rsid w:val="00980C70"/>
    <w:rsid w:val="009831EE"/>
    <w:rsid w:val="00990D4B"/>
    <w:rsid w:val="00991C48"/>
    <w:rsid w:val="00993B12"/>
    <w:rsid w:val="00993EC8"/>
    <w:rsid w:val="00997C69"/>
    <w:rsid w:val="009A201D"/>
    <w:rsid w:val="009A56CE"/>
    <w:rsid w:val="009A5BAE"/>
    <w:rsid w:val="009A6934"/>
    <w:rsid w:val="009B3858"/>
    <w:rsid w:val="009B430F"/>
    <w:rsid w:val="009B5E06"/>
    <w:rsid w:val="009C4149"/>
    <w:rsid w:val="009C47F3"/>
    <w:rsid w:val="009C72F9"/>
    <w:rsid w:val="009E4AC9"/>
    <w:rsid w:val="009E7CF3"/>
    <w:rsid w:val="009F0A8E"/>
    <w:rsid w:val="009F4887"/>
    <w:rsid w:val="00A0140E"/>
    <w:rsid w:val="00A06ABF"/>
    <w:rsid w:val="00A13EAA"/>
    <w:rsid w:val="00A173CE"/>
    <w:rsid w:val="00A223F5"/>
    <w:rsid w:val="00A2464C"/>
    <w:rsid w:val="00A30074"/>
    <w:rsid w:val="00A3475A"/>
    <w:rsid w:val="00A42F06"/>
    <w:rsid w:val="00A46F22"/>
    <w:rsid w:val="00A47D69"/>
    <w:rsid w:val="00A51BE4"/>
    <w:rsid w:val="00A55290"/>
    <w:rsid w:val="00A55C0B"/>
    <w:rsid w:val="00A61251"/>
    <w:rsid w:val="00A64958"/>
    <w:rsid w:val="00A71309"/>
    <w:rsid w:val="00A720E3"/>
    <w:rsid w:val="00A80B86"/>
    <w:rsid w:val="00A82B6D"/>
    <w:rsid w:val="00A82E6B"/>
    <w:rsid w:val="00A903B0"/>
    <w:rsid w:val="00A9042F"/>
    <w:rsid w:val="00A91790"/>
    <w:rsid w:val="00AA0DA3"/>
    <w:rsid w:val="00AA1D70"/>
    <w:rsid w:val="00AA27EE"/>
    <w:rsid w:val="00AA465C"/>
    <w:rsid w:val="00AB058C"/>
    <w:rsid w:val="00AB5877"/>
    <w:rsid w:val="00AB6F9D"/>
    <w:rsid w:val="00AC0A98"/>
    <w:rsid w:val="00AC1601"/>
    <w:rsid w:val="00AC7957"/>
    <w:rsid w:val="00AC7F48"/>
    <w:rsid w:val="00AD3ECB"/>
    <w:rsid w:val="00AD4C24"/>
    <w:rsid w:val="00AD52D2"/>
    <w:rsid w:val="00AD59B5"/>
    <w:rsid w:val="00AD7917"/>
    <w:rsid w:val="00AE329F"/>
    <w:rsid w:val="00AE3B44"/>
    <w:rsid w:val="00AF14A0"/>
    <w:rsid w:val="00AF3AFF"/>
    <w:rsid w:val="00AF6880"/>
    <w:rsid w:val="00B00AF6"/>
    <w:rsid w:val="00B05A14"/>
    <w:rsid w:val="00B206FB"/>
    <w:rsid w:val="00B24B0B"/>
    <w:rsid w:val="00B26CE1"/>
    <w:rsid w:val="00B275E2"/>
    <w:rsid w:val="00B3029E"/>
    <w:rsid w:val="00B32063"/>
    <w:rsid w:val="00B336EB"/>
    <w:rsid w:val="00B454D0"/>
    <w:rsid w:val="00B46111"/>
    <w:rsid w:val="00B51BDF"/>
    <w:rsid w:val="00B51C5D"/>
    <w:rsid w:val="00B52F9B"/>
    <w:rsid w:val="00B54133"/>
    <w:rsid w:val="00B56399"/>
    <w:rsid w:val="00B56ECD"/>
    <w:rsid w:val="00B62B44"/>
    <w:rsid w:val="00B6624C"/>
    <w:rsid w:val="00B66D0D"/>
    <w:rsid w:val="00B7037C"/>
    <w:rsid w:val="00B7370C"/>
    <w:rsid w:val="00B7412F"/>
    <w:rsid w:val="00B83FAD"/>
    <w:rsid w:val="00B86740"/>
    <w:rsid w:val="00B86D97"/>
    <w:rsid w:val="00B86E81"/>
    <w:rsid w:val="00B960AC"/>
    <w:rsid w:val="00BB0291"/>
    <w:rsid w:val="00BC5B2D"/>
    <w:rsid w:val="00BD29C9"/>
    <w:rsid w:val="00BD2D12"/>
    <w:rsid w:val="00BD3D55"/>
    <w:rsid w:val="00BD42D8"/>
    <w:rsid w:val="00BD5737"/>
    <w:rsid w:val="00BE0E92"/>
    <w:rsid w:val="00BE35B1"/>
    <w:rsid w:val="00BE3745"/>
    <w:rsid w:val="00BE4643"/>
    <w:rsid w:val="00BE630D"/>
    <w:rsid w:val="00BE65DB"/>
    <w:rsid w:val="00BF4642"/>
    <w:rsid w:val="00BF6C03"/>
    <w:rsid w:val="00C0132E"/>
    <w:rsid w:val="00C05516"/>
    <w:rsid w:val="00C144B0"/>
    <w:rsid w:val="00C149F1"/>
    <w:rsid w:val="00C222CA"/>
    <w:rsid w:val="00C26484"/>
    <w:rsid w:val="00C33F3C"/>
    <w:rsid w:val="00C4121E"/>
    <w:rsid w:val="00C427AB"/>
    <w:rsid w:val="00C431B0"/>
    <w:rsid w:val="00C44826"/>
    <w:rsid w:val="00C47854"/>
    <w:rsid w:val="00C5168A"/>
    <w:rsid w:val="00C56457"/>
    <w:rsid w:val="00C6304B"/>
    <w:rsid w:val="00C64163"/>
    <w:rsid w:val="00C64801"/>
    <w:rsid w:val="00C65C64"/>
    <w:rsid w:val="00C75FE2"/>
    <w:rsid w:val="00C82851"/>
    <w:rsid w:val="00C87EF8"/>
    <w:rsid w:val="00C91F94"/>
    <w:rsid w:val="00C925C1"/>
    <w:rsid w:val="00C926DF"/>
    <w:rsid w:val="00C93A17"/>
    <w:rsid w:val="00CB2A58"/>
    <w:rsid w:val="00CB69B4"/>
    <w:rsid w:val="00CC5A1F"/>
    <w:rsid w:val="00CC6009"/>
    <w:rsid w:val="00CC6023"/>
    <w:rsid w:val="00CC6ACD"/>
    <w:rsid w:val="00CD5B2E"/>
    <w:rsid w:val="00CD7A41"/>
    <w:rsid w:val="00CE3641"/>
    <w:rsid w:val="00CE3F4F"/>
    <w:rsid w:val="00CF4281"/>
    <w:rsid w:val="00D008A8"/>
    <w:rsid w:val="00D02966"/>
    <w:rsid w:val="00D030EA"/>
    <w:rsid w:val="00D07198"/>
    <w:rsid w:val="00D10B27"/>
    <w:rsid w:val="00D11E9D"/>
    <w:rsid w:val="00D21E57"/>
    <w:rsid w:val="00D22A4B"/>
    <w:rsid w:val="00D22CF0"/>
    <w:rsid w:val="00D23946"/>
    <w:rsid w:val="00D23A7E"/>
    <w:rsid w:val="00D26136"/>
    <w:rsid w:val="00D30E8E"/>
    <w:rsid w:val="00D331EC"/>
    <w:rsid w:val="00D3355A"/>
    <w:rsid w:val="00D34A96"/>
    <w:rsid w:val="00D35381"/>
    <w:rsid w:val="00D35D97"/>
    <w:rsid w:val="00D374BD"/>
    <w:rsid w:val="00D4432C"/>
    <w:rsid w:val="00D452B0"/>
    <w:rsid w:val="00D5043D"/>
    <w:rsid w:val="00D51A49"/>
    <w:rsid w:val="00D6219B"/>
    <w:rsid w:val="00D67092"/>
    <w:rsid w:val="00D70BD5"/>
    <w:rsid w:val="00D725AE"/>
    <w:rsid w:val="00D81BC7"/>
    <w:rsid w:val="00D857DB"/>
    <w:rsid w:val="00D85974"/>
    <w:rsid w:val="00D94083"/>
    <w:rsid w:val="00D95602"/>
    <w:rsid w:val="00D975D3"/>
    <w:rsid w:val="00DA1B52"/>
    <w:rsid w:val="00DB6C6D"/>
    <w:rsid w:val="00DB6CDE"/>
    <w:rsid w:val="00DB75AB"/>
    <w:rsid w:val="00DC6ADB"/>
    <w:rsid w:val="00DD533E"/>
    <w:rsid w:val="00DE0FA9"/>
    <w:rsid w:val="00DE23BC"/>
    <w:rsid w:val="00DF1E7B"/>
    <w:rsid w:val="00DF4BFD"/>
    <w:rsid w:val="00DF51D1"/>
    <w:rsid w:val="00DF55FC"/>
    <w:rsid w:val="00DF7DFA"/>
    <w:rsid w:val="00E01F78"/>
    <w:rsid w:val="00E02AEE"/>
    <w:rsid w:val="00E074B0"/>
    <w:rsid w:val="00E15633"/>
    <w:rsid w:val="00E15902"/>
    <w:rsid w:val="00E176DE"/>
    <w:rsid w:val="00E21B6C"/>
    <w:rsid w:val="00E22072"/>
    <w:rsid w:val="00E23F03"/>
    <w:rsid w:val="00E30A52"/>
    <w:rsid w:val="00E34169"/>
    <w:rsid w:val="00E42833"/>
    <w:rsid w:val="00E44EC1"/>
    <w:rsid w:val="00E46E26"/>
    <w:rsid w:val="00E606EC"/>
    <w:rsid w:val="00E6070D"/>
    <w:rsid w:val="00E6141A"/>
    <w:rsid w:val="00E6331F"/>
    <w:rsid w:val="00E656B8"/>
    <w:rsid w:val="00E6792D"/>
    <w:rsid w:val="00E73515"/>
    <w:rsid w:val="00E744C1"/>
    <w:rsid w:val="00E76893"/>
    <w:rsid w:val="00E81E52"/>
    <w:rsid w:val="00E82A0C"/>
    <w:rsid w:val="00E85EEE"/>
    <w:rsid w:val="00E8723C"/>
    <w:rsid w:val="00E95805"/>
    <w:rsid w:val="00E96006"/>
    <w:rsid w:val="00EA2566"/>
    <w:rsid w:val="00EB45A2"/>
    <w:rsid w:val="00EB4628"/>
    <w:rsid w:val="00EB6533"/>
    <w:rsid w:val="00EC05C9"/>
    <w:rsid w:val="00EC14DE"/>
    <w:rsid w:val="00EC1C56"/>
    <w:rsid w:val="00ED6293"/>
    <w:rsid w:val="00ED6C76"/>
    <w:rsid w:val="00EE1ABF"/>
    <w:rsid w:val="00EE2642"/>
    <w:rsid w:val="00EE5D4E"/>
    <w:rsid w:val="00EF2670"/>
    <w:rsid w:val="00EF383A"/>
    <w:rsid w:val="00EF3A9A"/>
    <w:rsid w:val="00EF639F"/>
    <w:rsid w:val="00F027AA"/>
    <w:rsid w:val="00F03E4D"/>
    <w:rsid w:val="00F04B23"/>
    <w:rsid w:val="00F115E3"/>
    <w:rsid w:val="00F1614E"/>
    <w:rsid w:val="00F23C90"/>
    <w:rsid w:val="00F42405"/>
    <w:rsid w:val="00F43CA6"/>
    <w:rsid w:val="00F43D3D"/>
    <w:rsid w:val="00F443C7"/>
    <w:rsid w:val="00F45535"/>
    <w:rsid w:val="00F45737"/>
    <w:rsid w:val="00F504CA"/>
    <w:rsid w:val="00F544E5"/>
    <w:rsid w:val="00F62C57"/>
    <w:rsid w:val="00F63BE4"/>
    <w:rsid w:val="00F6635B"/>
    <w:rsid w:val="00F70150"/>
    <w:rsid w:val="00F71385"/>
    <w:rsid w:val="00F72B1B"/>
    <w:rsid w:val="00F73E13"/>
    <w:rsid w:val="00F74FBB"/>
    <w:rsid w:val="00F76200"/>
    <w:rsid w:val="00F771BE"/>
    <w:rsid w:val="00F77B1F"/>
    <w:rsid w:val="00F8126B"/>
    <w:rsid w:val="00F83DFB"/>
    <w:rsid w:val="00F9390D"/>
    <w:rsid w:val="00F94038"/>
    <w:rsid w:val="00FA0D1B"/>
    <w:rsid w:val="00FA5F81"/>
    <w:rsid w:val="00FB33A6"/>
    <w:rsid w:val="00FB34F9"/>
    <w:rsid w:val="00FB37BF"/>
    <w:rsid w:val="00FB4685"/>
    <w:rsid w:val="00FB71A1"/>
    <w:rsid w:val="00FC04BC"/>
    <w:rsid w:val="00FD017F"/>
    <w:rsid w:val="00FD10E4"/>
    <w:rsid w:val="00FD4D9E"/>
    <w:rsid w:val="00FD51F8"/>
    <w:rsid w:val="00FE18A5"/>
    <w:rsid w:val="00FE3DAC"/>
    <w:rsid w:val="00FE4226"/>
    <w:rsid w:val="00FE6C40"/>
    <w:rsid w:val="00FE7D58"/>
    <w:rsid w:val="00FF4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0686BD-4221-4893-B4F2-860323C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39F"/>
    <w:pPr>
      <w:ind w:left="720"/>
      <w:contextualSpacing/>
    </w:pPr>
  </w:style>
  <w:style w:type="paragraph" w:styleId="Header">
    <w:name w:val="header"/>
    <w:basedOn w:val="Normal"/>
    <w:link w:val="HeaderChar"/>
    <w:uiPriority w:val="99"/>
    <w:unhideWhenUsed/>
    <w:rsid w:val="00145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C68"/>
  </w:style>
  <w:style w:type="paragraph" w:styleId="Footer">
    <w:name w:val="footer"/>
    <w:basedOn w:val="Normal"/>
    <w:link w:val="FooterChar"/>
    <w:uiPriority w:val="99"/>
    <w:unhideWhenUsed/>
    <w:rsid w:val="00145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C68"/>
  </w:style>
  <w:style w:type="paragraph" w:styleId="BalloonText">
    <w:name w:val="Balloon Text"/>
    <w:basedOn w:val="Normal"/>
    <w:link w:val="BalloonTextChar"/>
    <w:uiPriority w:val="99"/>
    <w:semiHidden/>
    <w:unhideWhenUsed/>
    <w:rsid w:val="0066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1E4"/>
    <w:rPr>
      <w:rFonts w:ascii="Segoe UI" w:hAnsi="Segoe UI" w:cs="Segoe UI"/>
      <w:sz w:val="18"/>
      <w:szCs w:val="18"/>
    </w:rPr>
  </w:style>
  <w:style w:type="paragraph" w:styleId="FootnoteText">
    <w:name w:val="footnote text"/>
    <w:basedOn w:val="Normal"/>
    <w:link w:val="FootnoteTextChar"/>
    <w:uiPriority w:val="99"/>
    <w:semiHidden/>
    <w:unhideWhenUsed/>
    <w:rsid w:val="002A5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1FA"/>
    <w:rPr>
      <w:sz w:val="20"/>
      <w:szCs w:val="20"/>
    </w:rPr>
  </w:style>
  <w:style w:type="character" w:styleId="FootnoteReference">
    <w:name w:val="footnote reference"/>
    <w:basedOn w:val="DefaultParagraphFont"/>
    <w:uiPriority w:val="99"/>
    <w:semiHidden/>
    <w:unhideWhenUsed/>
    <w:rsid w:val="002A5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2276">
      <w:bodyDiv w:val="1"/>
      <w:marLeft w:val="0"/>
      <w:marRight w:val="0"/>
      <w:marTop w:val="0"/>
      <w:marBottom w:val="0"/>
      <w:divBdr>
        <w:top w:val="none" w:sz="0" w:space="0" w:color="auto"/>
        <w:left w:val="none" w:sz="0" w:space="0" w:color="auto"/>
        <w:bottom w:val="none" w:sz="0" w:space="0" w:color="auto"/>
        <w:right w:val="none" w:sz="0" w:space="0" w:color="auto"/>
      </w:divBdr>
      <w:divsChild>
        <w:div w:id="1478498833">
          <w:marLeft w:val="0"/>
          <w:marRight w:val="0"/>
          <w:marTop w:val="0"/>
          <w:marBottom w:val="0"/>
          <w:divBdr>
            <w:top w:val="none" w:sz="0" w:space="0" w:color="auto"/>
            <w:left w:val="none" w:sz="0" w:space="0" w:color="auto"/>
            <w:bottom w:val="none" w:sz="0" w:space="0" w:color="auto"/>
            <w:right w:val="none" w:sz="0" w:space="0" w:color="auto"/>
          </w:divBdr>
        </w:div>
      </w:divsChild>
    </w:div>
    <w:div w:id="281306781">
      <w:bodyDiv w:val="1"/>
      <w:marLeft w:val="0"/>
      <w:marRight w:val="0"/>
      <w:marTop w:val="0"/>
      <w:marBottom w:val="0"/>
      <w:divBdr>
        <w:top w:val="none" w:sz="0" w:space="0" w:color="auto"/>
        <w:left w:val="none" w:sz="0" w:space="0" w:color="auto"/>
        <w:bottom w:val="none" w:sz="0" w:space="0" w:color="auto"/>
        <w:right w:val="none" w:sz="0" w:space="0" w:color="auto"/>
      </w:divBdr>
    </w:div>
    <w:div w:id="617032555">
      <w:bodyDiv w:val="1"/>
      <w:marLeft w:val="0"/>
      <w:marRight w:val="0"/>
      <w:marTop w:val="0"/>
      <w:marBottom w:val="0"/>
      <w:divBdr>
        <w:top w:val="none" w:sz="0" w:space="0" w:color="auto"/>
        <w:left w:val="none" w:sz="0" w:space="0" w:color="auto"/>
        <w:bottom w:val="none" w:sz="0" w:space="0" w:color="auto"/>
        <w:right w:val="none" w:sz="0" w:space="0" w:color="auto"/>
      </w:divBdr>
      <w:divsChild>
        <w:div w:id="1233467817">
          <w:marLeft w:val="0"/>
          <w:marRight w:val="0"/>
          <w:marTop w:val="0"/>
          <w:marBottom w:val="0"/>
          <w:divBdr>
            <w:top w:val="none" w:sz="0" w:space="0" w:color="auto"/>
            <w:left w:val="none" w:sz="0" w:space="0" w:color="auto"/>
            <w:bottom w:val="none" w:sz="0" w:space="0" w:color="auto"/>
            <w:right w:val="none" w:sz="0" w:space="0" w:color="auto"/>
          </w:divBdr>
        </w:div>
      </w:divsChild>
    </w:div>
    <w:div w:id="861211738">
      <w:bodyDiv w:val="1"/>
      <w:marLeft w:val="0"/>
      <w:marRight w:val="0"/>
      <w:marTop w:val="0"/>
      <w:marBottom w:val="0"/>
      <w:divBdr>
        <w:top w:val="none" w:sz="0" w:space="0" w:color="auto"/>
        <w:left w:val="none" w:sz="0" w:space="0" w:color="auto"/>
        <w:bottom w:val="none" w:sz="0" w:space="0" w:color="auto"/>
        <w:right w:val="none" w:sz="0" w:space="0" w:color="auto"/>
      </w:divBdr>
      <w:divsChild>
        <w:div w:id="1229196544">
          <w:marLeft w:val="0"/>
          <w:marRight w:val="0"/>
          <w:marTop w:val="0"/>
          <w:marBottom w:val="0"/>
          <w:divBdr>
            <w:top w:val="none" w:sz="0" w:space="0" w:color="auto"/>
            <w:left w:val="none" w:sz="0" w:space="0" w:color="auto"/>
            <w:bottom w:val="none" w:sz="0" w:space="0" w:color="auto"/>
            <w:right w:val="none" w:sz="0" w:space="0" w:color="auto"/>
          </w:divBdr>
        </w:div>
      </w:divsChild>
    </w:div>
    <w:div w:id="896159553">
      <w:bodyDiv w:val="1"/>
      <w:marLeft w:val="0"/>
      <w:marRight w:val="0"/>
      <w:marTop w:val="0"/>
      <w:marBottom w:val="0"/>
      <w:divBdr>
        <w:top w:val="none" w:sz="0" w:space="0" w:color="auto"/>
        <w:left w:val="none" w:sz="0" w:space="0" w:color="auto"/>
        <w:bottom w:val="none" w:sz="0" w:space="0" w:color="auto"/>
        <w:right w:val="none" w:sz="0" w:space="0" w:color="auto"/>
      </w:divBdr>
      <w:divsChild>
        <w:div w:id="273483788">
          <w:marLeft w:val="0"/>
          <w:marRight w:val="0"/>
          <w:marTop w:val="0"/>
          <w:marBottom w:val="0"/>
          <w:divBdr>
            <w:top w:val="none" w:sz="0" w:space="0" w:color="auto"/>
            <w:left w:val="none" w:sz="0" w:space="0" w:color="auto"/>
            <w:bottom w:val="none" w:sz="0" w:space="0" w:color="auto"/>
            <w:right w:val="none" w:sz="0" w:space="0" w:color="auto"/>
          </w:divBdr>
        </w:div>
      </w:divsChild>
    </w:div>
    <w:div w:id="1473475192">
      <w:bodyDiv w:val="1"/>
      <w:marLeft w:val="0"/>
      <w:marRight w:val="0"/>
      <w:marTop w:val="0"/>
      <w:marBottom w:val="0"/>
      <w:divBdr>
        <w:top w:val="none" w:sz="0" w:space="0" w:color="auto"/>
        <w:left w:val="none" w:sz="0" w:space="0" w:color="auto"/>
        <w:bottom w:val="none" w:sz="0" w:space="0" w:color="auto"/>
        <w:right w:val="none" w:sz="0" w:space="0" w:color="auto"/>
      </w:divBdr>
      <w:divsChild>
        <w:div w:id="146757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3F77-4306-4046-A501-ABBE6E45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6748</Words>
  <Characters>38470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Smallwood</dc:creator>
  <cp:keywords/>
  <dc:description/>
  <cp:lastModifiedBy>Shirley Mair</cp:lastModifiedBy>
  <cp:revision>2</cp:revision>
  <cp:lastPrinted>2020-06-01T22:57:00Z</cp:lastPrinted>
  <dcterms:created xsi:type="dcterms:W3CDTF">2020-06-16T20:41:00Z</dcterms:created>
  <dcterms:modified xsi:type="dcterms:W3CDTF">2020-06-16T20:41:00Z</dcterms:modified>
</cp:coreProperties>
</file>