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32647A" w:rsidRDefault="00F032AF" w:rsidP="000238F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i/>
          <w:sz w:val="24"/>
          <w:szCs w:val="24"/>
        </w:rPr>
        <w:t>R v Khatib</w:t>
      </w:r>
      <w:r w:rsidR="0066396B">
        <w:rPr>
          <w:rFonts w:ascii="Times New Roman" w:hAnsi="Times New Roman" w:cs="Times New Roman"/>
          <w:sz w:val="24"/>
          <w:szCs w:val="24"/>
        </w:rPr>
        <w:t>, 2020</w:t>
      </w:r>
      <w:r w:rsidR="00E23354">
        <w:rPr>
          <w:rFonts w:ascii="Times New Roman" w:hAnsi="Times New Roman" w:cs="Times New Roman"/>
          <w:sz w:val="24"/>
          <w:szCs w:val="24"/>
        </w:rPr>
        <w:t xml:space="preserve"> NWTSC </w:t>
      </w:r>
      <w:r>
        <w:rPr>
          <w:rFonts w:ascii="Times New Roman" w:hAnsi="Times New Roman" w:cs="Times New Roman"/>
          <w:sz w:val="24"/>
          <w:szCs w:val="24"/>
        </w:rPr>
        <w:t>20</w:t>
      </w:r>
    </w:p>
    <w:p w:rsidR="00B94F8E" w:rsidRPr="0032647A" w:rsidRDefault="001922F6" w:rsidP="000238F4">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1" w:name="1"/>
      <w:bookmarkEnd w:id="1"/>
      <w:r w:rsidR="00B94F8E" w:rsidRPr="0032647A">
        <w:rPr>
          <w:rFonts w:ascii="Times New Roman" w:hAnsi="Times New Roman" w:cs="Times New Roman"/>
          <w:sz w:val="28"/>
          <w:szCs w:val="28"/>
        </w:rPr>
        <w:t xml:space="preserve"> 20</w:t>
      </w:r>
      <w:r w:rsidR="0066396B">
        <w:rPr>
          <w:rFonts w:ascii="Times New Roman" w:hAnsi="Times New Roman" w:cs="Times New Roman"/>
          <w:sz w:val="28"/>
          <w:szCs w:val="28"/>
        </w:rPr>
        <w:t>20</w:t>
      </w:r>
      <w:r w:rsidR="00B94F8E" w:rsidRPr="0032647A">
        <w:rPr>
          <w:rFonts w:ascii="Times New Roman" w:hAnsi="Times New Roman" w:cs="Times New Roman"/>
          <w:sz w:val="28"/>
          <w:szCs w:val="28"/>
        </w:rPr>
        <w:t xml:space="preserve"> </w:t>
      </w:r>
      <w:r w:rsidR="00F032AF">
        <w:rPr>
          <w:rFonts w:ascii="Times New Roman" w:hAnsi="Times New Roman" w:cs="Times New Roman"/>
          <w:sz w:val="28"/>
          <w:szCs w:val="28"/>
        </w:rPr>
        <w:t>05</w:t>
      </w:r>
      <w:r w:rsidR="0066396B">
        <w:rPr>
          <w:rFonts w:ascii="Times New Roman" w:hAnsi="Times New Roman" w:cs="Times New Roman"/>
          <w:sz w:val="28"/>
          <w:szCs w:val="28"/>
        </w:rPr>
        <w:t xml:space="preserve"> </w:t>
      </w:r>
      <w:r w:rsidR="002405CF">
        <w:rPr>
          <w:rFonts w:ascii="Times New Roman" w:hAnsi="Times New Roman" w:cs="Times New Roman"/>
          <w:sz w:val="28"/>
          <w:szCs w:val="28"/>
        </w:rPr>
        <w:t>1</w:t>
      </w:r>
      <w:r w:rsidR="00C61F40">
        <w:rPr>
          <w:rFonts w:ascii="Times New Roman" w:hAnsi="Times New Roman" w:cs="Times New Roman"/>
          <w:sz w:val="28"/>
          <w:szCs w:val="28"/>
        </w:rPr>
        <w:t>5</w:t>
      </w:r>
    </w:p>
    <w:p w:rsidR="00B94F8E" w:rsidRPr="0032647A" w:rsidRDefault="001922F6" w:rsidP="000238F4">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2" w:name="2"/>
      <w:bookmarkEnd w:id="2"/>
      <w:r w:rsidR="00B94F8E" w:rsidRPr="0032647A">
        <w:rPr>
          <w:rFonts w:ascii="Times New Roman" w:hAnsi="Times New Roman" w:cs="Times New Roman"/>
          <w:sz w:val="28"/>
          <w:szCs w:val="28"/>
        </w:rPr>
        <w:t xml:space="preserve"> </w:t>
      </w:r>
      <w:r w:rsidR="0090600D">
        <w:rPr>
          <w:rFonts w:ascii="Times New Roman" w:hAnsi="Times New Roman" w:cs="Times New Roman"/>
          <w:sz w:val="28"/>
          <w:szCs w:val="28"/>
        </w:rPr>
        <w:t xml:space="preserve">S-1-CR-2018-000 </w:t>
      </w:r>
      <w:r w:rsidR="00F032AF">
        <w:rPr>
          <w:rFonts w:ascii="Times New Roman" w:hAnsi="Times New Roman" w:cs="Times New Roman"/>
          <w:sz w:val="28"/>
          <w:szCs w:val="28"/>
        </w:rPr>
        <w:t>130</w:t>
      </w:r>
    </w:p>
    <w:p w:rsidR="00B94F8E" w:rsidRPr="0032647A" w:rsidRDefault="00B94F8E" w:rsidP="000238F4">
      <w:pPr>
        <w:spacing w:after="0" w:line="240" w:lineRule="auto"/>
        <w:jc w:val="right"/>
        <w:rPr>
          <w:rFonts w:ascii="Times New Roman" w:hAnsi="Times New Roman" w:cs="Times New Roman"/>
          <w:sz w:val="28"/>
          <w:szCs w:val="28"/>
        </w:rPr>
      </w:pPr>
    </w:p>
    <w:p w:rsidR="00896674" w:rsidRDefault="00896674" w:rsidP="000238F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896674" w:rsidRDefault="00896674" w:rsidP="000238F4">
      <w:pPr>
        <w:spacing w:line="240" w:lineRule="auto"/>
        <w:rPr>
          <w:rFonts w:ascii="Times New Roman" w:hAnsi="Times New Roman" w:cs="Times New Roman"/>
          <w:b/>
          <w:sz w:val="28"/>
          <w:szCs w:val="28"/>
        </w:rPr>
      </w:pPr>
      <w:r>
        <w:rPr>
          <w:rFonts w:ascii="Times New Roman" w:hAnsi="Times New Roman" w:cs="Times New Roman"/>
          <w:b/>
          <w:sz w:val="28"/>
          <w:szCs w:val="28"/>
        </w:rPr>
        <w:t>BETWEEN:</w:t>
      </w:r>
    </w:p>
    <w:p w:rsidR="00C52F4C" w:rsidRDefault="0066396B" w:rsidP="000238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HER MAJESTY THE QUEEN</w:t>
      </w:r>
    </w:p>
    <w:p w:rsidR="000D2AD1" w:rsidRDefault="00F032AF" w:rsidP="000238F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Respondent</w:t>
      </w:r>
    </w:p>
    <w:p w:rsidR="00896674" w:rsidRDefault="00896674" w:rsidP="000238F4">
      <w:pPr>
        <w:spacing w:after="0" w:line="240" w:lineRule="auto"/>
        <w:jc w:val="right"/>
        <w:rPr>
          <w:rFonts w:ascii="Times New Roman" w:hAnsi="Times New Roman" w:cs="Times New Roman"/>
          <w:b/>
          <w:sz w:val="28"/>
          <w:szCs w:val="28"/>
        </w:rPr>
      </w:pPr>
    </w:p>
    <w:p w:rsidR="00845368" w:rsidRDefault="00845368" w:rsidP="000238F4">
      <w:pPr>
        <w:spacing w:after="0" w:line="240" w:lineRule="auto"/>
        <w:jc w:val="right"/>
        <w:rPr>
          <w:rFonts w:ascii="Times New Roman" w:hAnsi="Times New Roman" w:cs="Times New Roman"/>
          <w:b/>
          <w:sz w:val="28"/>
          <w:szCs w:val="28"/>
        </w:rPr>
      </w:pPr>
    </w:p>
    <w:p w:rsidR="00896674" w:rsidRDefault="00896674" w:rsidP="000238F4">
      <w:pPr>
        <w:spacing w:after="0" w:line="240" w:lineRule="auto"/>
        <w:rPr>
          <w:rFonts w:ascii="Times New Roman" w:hAnsi="Times New Roman" w:cs="Times New Roman"/>
          <w:sz w:val="28"/>
          <w:szCs w:val="28"/>
        </w:rPr>
      </w:pPr>
    </w:p>
    <w:p w:rsidR="00896674" w:rsidRDefault="00896674" w:rsidP="000238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896674" w:rsidRDefault="00896674" w:rsidP="000238F4">
      <w:pPr>
        <w:spacing w:after="0" w:line="240" w:lineRule="auto"/>
        <w:rPr>
          <w:rFonts w:ascii="Times New Roman" w:hAnsi="Times New Roman" w:cs="Times New Roman"/>
          <w:sz w:val="28"/>
          <w:szCs w:val="28"/>
        </w:rPr>
      </w:pPr>
    </w:p>
    <w:p w:rsidR="00C72AB7" w:rsidRDefault="00C72AB7" w:rsidP="000238F4">
      <w:pPr>
        <w:spacing w:after="0" w:line="240" w:lineRule="auto"/>
        <w:rPr>
          <w:rFonts w:ascii="Times New Roman" w:hAnsi="Times New Roman" w:cs="Times New Roman"/>
          <w:sz w:val="28"/>
          <w:szCs w:val="28"/>
        </w:rPr>
      </w:pPr>
    </w:p>
    <w:p w:rsidR="00F032AF" w:rsidRDefault="00F032AF" w:rsidP="000238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TALAL KHATIB</w:t>
      </w:r>
      <w:r w:rsidRPr="00F032AF">
        <w:rPr>
          <w:rFonts w:ascii="Times New Roman" w:hAnsi="Times New Roman" w:cs="Times New Roman"/>
          <w:b/>
          <w:sz w:val="28"/>
          <w:szCs w:val="28"/>
        </w:rPr>
        <w:t xml:space="preserve"> </w:t>
      </w:r>
    </w:p>
    <w:p w:rsidR="00F032AF" w:rsidRDefault="00F032AF" w:rsidP="000238F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Applicant</w:t>
      </w:r>
    </w:p>
    <w:p w:rsidR="00F032AF" w:rsidRDefault="00F032AF" w:rsidP="000238F4">
      <w:pPr>
        <w:spacing w:after="0" w:line="240" w:lineRule="auto"/>
        <w:jc w:val="right"/>
        <w:rPr>
          <w:rFonts w:ascii="Times New Roman" w:hAnsi="Times New Roman" w:cs="Times New Roman"/>
          <w:b/>
          <w:sz w:val="28"/>
          <w:szCs w:val="28"/>
        </w:rPr>
      </w:pPr>
    </w:p>
    <w:p w:rsidR="00896674" w:rsidRDefault="00896674" w:rsidP="000238F4">
      <w:pPr>
        <w:spacing w:after="0" w:line="240" w:lineRule="auto"/>
        <w:jc w:val="center"/>
        <w:rPr>
          <w:rFonts w:ascii="Times New Roman" w:hAnsi="Times New Roman" w:cs="Times New Roman"/>
          <w:b/>
          <w:sz w:val="28"/>
          <w:szCs w:val="28"/>
        </w:rPr>
      </w:pPr>
    </w:p>
    <w:p w:rsidR="00D4017E" w:rsidRDefault="00D4017E" w:rsidP="000238F4">
      <w:pPr>
        <w:spacing w:after="0" w:line="240" w:lineRule="auto"/>
        <w:rPr>
          <w:rFonts w:ascii="Times New Roman" w:hAnsi="Times New Roman" w:cs="Times New Roman"/>
          <w:sz w:val="28"/>
          <w:szCs w:val="28"/>
        </w:rPr>
      </w:pPr>
    </w:p>
    <w:p w:rsidR="00F032AF" w:rsidRDefault="00F032AF" w:rsidP="000238F4">
      <w:pPr>
        <w:spacing w:after="0" w:line="240" w:lineRule="auto"/>
        <w:rPr>
          <w:rFonts w:ascii="Times New Roman" w:hAnsi="Times New Roman" w:cs="Times New Roman"/>
          <w:sz w:val="28"/>
          <w:szCs w:val="28"/>
        </w:rPr>
      </w:pPr>
    </w:p>
    <w:p w:rsidR="003D3E8C" w:rsidRPr="00DA2B27" w:rsidRDefault="00DA2B27" w:rsidP="000238F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RULING ON APPLICATION</w:t>
      </w:r>
      <w:r w:rsidR="00F032AF">
        <w:rPr>
          <w:rFonts w:ascii="Times New Roman" w:hAnsi="Times New Roman" w:cs="Times New Roman"/>
          <w:b/>
          <w:sz w:val="28"/>
          <w:szCs w:val="28"/>
        </w:rPr>
        <w:t xml:space="preserve"> TO EXCLUDE EVIDENCE</w:t>
      </w:r>
    </w:p>
    <w:p w:rsidR="003D3E8C" w:rsidRDefault="003D3E8C" w:rsidP="000238F4">
      <w:pPr>
        <w:pStyle w:val="ListParagraph"/>
        <w:spacing w:after="0" w:line="240" w:lineRule="auto"/>
        <w:ind w:left="0"/>
        <w:jc w:val="center"/>
        <w:rPr>
          <w:rFonts w:ascii="Times New Roman" w:hAnsi="Times New Roman" w:cs="Times New Roman"/>
          <w:sz w:val="28"/>
          <w:szCs w:val="28"/>
        </w:rPr>
      </w:pPr>
    </w:p>
    <w:p w:rsidR="00F032AF" w:rsidRPr="00AA7203" w:rsidRDefault="00F032AF" w:rsidP="000238F4">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rPr>
        <w:tab/>
        <w:t>INTRODUCTION</w:t>
      </w:r>
    </w:p>
    <w:p w:rsidR="00F032AF" w:rsidRPr="0032647A" w:rsidRDefault="00F032AF" w:rsidP="000238F4">
      <w:pPr>
        <w:pStyle w:val="ListParagraph"/>
        <w:spacing w:after="0" w:line="240" w:lineRule="auto"/>
        <w:ind w:left="0"/>
        <w:jc w:val="center"/>
        <w:rPr>
          <w:rFonts w:ascii="Times New Roman" w:hAnsi="Times New Roman" w:cs="Times New Roman"/>
          <w:sz w:val="28"/>
          <w:szCs w:val="28"/>
        </w:rPr>
      </w:pPr>
    </w:p>
    <w:p w:rsidR="00F032AF" w:rsidRPr="00F032AF"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F032AF">
        <w:rPr>
          <w:rFonts w:ascii="Times New Roman" w:hAnsi="Times New Roman" w:cs="Times New Roman"/>
          <w:sz w:val="28"/>
          <w:szCs w:val="28"/>
        </w:rPr>
        <w:t>Talal Khatib is facing trial on charges of being in possession of cocaine for the purpose of trafficking and being pos</w:t>
      </w:r>
      <w:r w:rsidR="00AA7203">
        <w:rPr>
          <w:rFonts w:ascii="Times New Roman" w:hAnsi="Times New Roman" w:cs="Times New Roman"/>
          <w:sz w:val="28"/>
          <w:szCs w:val="28"/>
        </w:rPr>
        <w:t xml:space="preserve">session of proceeds of crime.  </w:t>
      </w:r>
      <w:r w:rsidRPr="00F032AF">
        <w:rPr>
          <w:rFonts w:ascii="Times New Roman" w:hAnsi="Times New Roman" w:cs="Times New Roman"/>
          <w:sz w:val="28"/>
          <w:szCs w:val="28"/>
        </w:rPr>
        <w:t>These charges were laid as a result of the execution of a search warrant at 22 Kugmallit Road in Inuvik in October 2017.</w:t>
      </w:r>
    </w:p>
    <w:p w:rsidR="00F032AF" w:rsidRPr="00F032AF"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F032AF">
        <w:rPr>
          <w:rFonts w:ascii="Times New Roman" w:hAnsi="Times New Roman" w:cs="Times New Roman"/>
          <w:sz w:val="28"/>
          <w:szCs w:val="28"/>
        </w:rPr>
        <w:t xml:space="preserve">Mr. Khatib filed an Application pursuant to the </w:t>
      </w:r>
      <w:r w:rsidRPr="006938E4">
        <w:rPr>
          <w:rFonts w:ascii="Times New Roman" w:hAnsi="Times New Roman" w:cs="Times New Roman"/>
          <w:i/>
          <w:sz w:val="28"/>
          <w:szCs w:val="28"/>
        </w:rPr>
        <w:t>Canadian Charter of Rights</w:t>
      </w:r>
      <w:r w:rsidRPr="00F032AF">
        <w:rPr>
          <w:rFonts w:ascii="Times New Roman" w:hAnsi="Times New Roman" w:cs="Times New Roman"/>
          <w:sz w:val="28"/>
          <w:szCs w:val="28"/>
        </w:rPr>
        <w:t xml:space="preserve"> </w:t>
      </w:r>
      <w:r w:rsidRPr="006938E4">
        <w:rPr>
          <w:rFonts w:ascii="Times New Roman" w:hAnsi="Times New Roman" w:cs="Times New Roman"/>
          <w:i/>
          <w:sz w:val="28"/>
          <w:szCs w:val="28"/>
        </w:rPr>
        <w:t>and Freedoms</w:t>
      </w:r>
      <w:r w:rsidRPr="00F032AF">
        <w:rPr>
          <w:rFonts w:ascii="Times New Roman" w:hAnsi="Times New Roman" w:cs="Times New Roman"/>
          <w:sz w:val="28"/>
          <w:szCs w:val="28"/>
        </w:rPr>
        <w:t xml:space="preserve"> (the </w:t>
      </w:r>
      <w:r w:rsidRPr="006938E4">
        <w:rPr>
          <w:rFonts w:ascii="Times New Roman" w:hAnsi="Times New Roman" w:cs="Times New Roman"/>
          <w:i/>
          <w:sz w:val="28"/>
          <w:szCs w:val="28"/>
        </w:rPr>
        <w:t>Charter</w:t>
      </w:r>
      <w:r w:rsidRPr="00F032AF">
        <w:rPr>
          <w:rFonts w:ascii="Times New Roman" w:hAnsi="Times New Roman" w:cs="Times New Roman"/>
          <w:sz w:val="28"/>
          <w:szCs w:val="28"/>
        </w:rPr>
        <w:t>) seeking the exclusion of the evidence obtained during the search.  At the hearing of the Application, Cst. Ian Main testified about the investigation and the preparation of the Information to Obtain (ITO) that he swore when he applied for the search warrant.</w:t>
      </w:r>
    </w:p>
    <w:p w:rsidR="00F032AF" w:rsidRPr="00F032AF"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F032AF">
        <w:rPr>
          <w:rFonts w:ascii="Times New Roman" w:hAnsi="Times New Roman" w:cs="Times New Roman"/>
          <w:sz w:val="28"/>
          <w:szCs w:val="28"/>
        </w:rPr>
        <w:t xml:space="preserve">Mr. Khatib argues that the ITO was incomplete and misleading in several respects.  He argues that once the errors are removed and certain necessary contextual information is taken into account, the grounds were insufficient to support </w:t>
      </w:r>
      <w:r w:rsidRPr="00F032AF">
        <w:rPr>
          <w:rFonts w:ascii="Times New Roman" w:hAnsi="Times New Roman" w:cs="Times New Roman"/>
          <w:sz w:val="28"/>
          <w:szCs w:val="28"/>
        </w:rPr>
        <w:lastRenderedPageBreak/>
        <w:t xml:space="preserve">the issuance of the warrant. </w:t>
      </w:r>
      <w:r w:rsidR="00AA7203">
        <w:rPr>
          <w:rFonts w:ascii="Times New Roman" w:hAnsi="Times New Roman" w:cs="Times New Roman"/>
          <w:sz w:val="28"/>
          <w:szCs w:val="28"/>
        </w:rPr>
        <w:t xml:space="preserve"> </w:t>
      </w:r>
      <w:r w:rsidRPr="00F032AF">
        <w:rPr>
          <w:rFonts w:ascii="Times New Roman" w:hAnsi="Times New Roman" w:cs="Times New Roman"/>
          <w:sz w:val="28"/>
          <w:szCs w:val="28"/>
        </w:rPr>
        <w:t xml:space="preserve">He argues that the search contravened Section 8 of the </w:t>
      </w:r>
      <w:r w:rsidRPr="006938E4">
        <w:rPr>
          <w:rFonts w:ascii="Times New Roman" w:hAnsi="Times New Roman" w:cs="Times New Roman"/>
          <w:i/>
          <w:sz w:val="28"/>
          <w:szCs w:val="28"/>
        </w:rPr>
        <w:t>Charter</w:t>
      </w:r>
      <w:r w:rsidRPr="00F032AF">
        <w:rPr>
          <w:rFonts w:ascii="Times New Roman" w:hAnsi="Times New Roman" w:cs="Times New Roman"/>
          <w:sz w:val="28"/>
          <w:szCs w:val="28"/>
        </w:rPr>
        <w:t xml:space="preserve"> and that any evidence</w:t>
      </w:r>
      <w:r>
        <w:t xml:space="preserve"> </w:t>
      </w:r>
      <w:r w:rsidRPr="00F032AF">
        <w:rPr>
          <w:rFonts w:ascii="Times New Roman" w:hAnsi="Times New Roman" w:cs="Times New Roman"/>
          <w:sz w:val="28"/>
          <w:szCs w:val="28"/>
        </w:rPr>
        <w:t xml:space="preserve">obtained as a result of it should be excluded pursuant to Section 24(2) of the </w:t>
      </w:r>
      <w:r w:rsidRPr="006938E4">
        <w:rPr>
          <w:rFonts w:ascii="Times New Roman" w:hAnsi="Times New Roman" w:cs="Times New Roman"/>
          <w:i/>
          <w:sz w:val="28"/>
          <w:szCs w:val="28"/>
        </w:rPr>
        <w:t>Charter</w:t>
      </w:r>
      <w:r w:rsidRPr="00F032AF">
        <w:rPr>
          <w:rFonts w:ascii="Times New Roman" w:hAnsi="Times New Roman" w:cs="Times New Roman"/>
          <w:sz w:val="28"/>
          <w:szCs w:val="28"/>
        </w:rPr>
        <w:t>.</w:t>
      </w:r>
    </w:p>
    <w:p w:rsidR="001925EA" w:rsidRPr="00923481" w:rsidRDefault="00F032AF" w:rsidP="000238F4">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t>LEGAL FRAMEWORK</w:t>
      </w:r>
    </w:p>
    <w:p w:rsidR="00F032AF" w:rsidRPr="00C61F40"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legal framework that governs this Application is not contentious.</w:t>
      </w:r>
      <w:r w:rsidR="00C61F40">
        <w:rPr>
          <w:rFonts w:ascii="Times New Roman" w:hAnsi="Times New Roman" w:cs="Times New Roman"/>
          <w:sz w:val="28"/>
          <w:szCs w:val="28"/>
        </w:rPr>
        <w:t xml:space="preserve">  </w:t>
      </w:r>
      <w:r w:rsidRPr="00C61F40">
        <w:rPr>
          <w:rFonts w:ascii="Times New Roman" w:hAnsi="Times New Roman" w:cs="Times New Roman"/>
          <w:sz w:val="28"/>
          <w:szCs w:val="28"/>
        </w:rPr>
        <w:t xml:space="preserve">As noted by counsel, it was summarized in a very helpful manner in </w:t>
      </w:r>
      <w:r w:rsidRPr="00C61F40">
        <w:rPr>
          <w:rFonts w:ascii="Times New Roman" w:hAnsi="Times New Roman" w:cs="Times New Roman"/>
          <w:i/>
          <w:sz w:val="28"/>
          <w:szCs w:val="28"/>
        </w:rPr>
        <w:t>R v Clow</w:t>
      </w:r>
      <w:r w:rsidR="00AA7203" w:rsidRPr="00C61F40">
        <w:rPr>
          <w:rFonts w:ascii="Times New Roman" w:hAnsi="Times New Roman" w:cs="Times New Roman"/>
          <w:sz w:val="28"/>
          <w:szCs w:val="28"/>
        </w:rPr>
        <w:t>, 2012 ABQB 656.</w:t>
      </w:r>
    </w:p>
    <w:p w:rsidR="00F032AF" w:rsidRPr="00485139"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standard that must be met for a search warrant to issue is well established: the issuing justice must be satisfied by information under oath that there are reasonable and probable grounds to believe that an offence has been committed and that there is evidence to be found</w:t>
      </w:r>
      <w:r w:rsidR="00AA7203">
        <w:rPr>
          <w:rFonts w:ascii="Times New Roman" w:hAnsi="Times New Roman" w:cs="Times New Roman"/>
          <w:sz w:val="28"/>
          <w:szCs w:val="28"/>
        </w:rPr>
        <w:t xml:space="preserve"> at the place to be searched.  </w:t>
      </w:r>
      <w:r w:rsidRPr="00A6059D">
        <w:rPr>
          <w:rFonts w:ascii="Times New Roman" w:hAnsi="Times New Roman" w:cs="Times New Roman"/>
          <w:sz w:val="28"/>
          <w:szCs w:val="28"/>
        </w:rPr>
        <w:t xml:space="preserve">This standard involves "the point where credibility-based probability replaces suspicion" </w:t>
      </w:r>
      <w:r w:rsidRPr="000B4D5C">
        <w:rPr>
          <w:rFonts w:ascii="Times New Roman" w:hAnsi="Times New Roman" w:cs="Times New Roman"/>
          <w:i/>
          <w:sz w:val="28"/>
          <w:szCs w:val="28"/>
        </w:rPr>
        <w:t>Clow</w:t>
      </w:r>
      <w:r w:rsidRPr="00A6059D">
        <w:rPr>
          <w:rFonts w:ascii="Times New Roman" w:hAnsi="Times New Roman" w:cs="Times New Roman"/>
          <w:sz w:val="28"/>
          <w:szCs w:val="28"/>
        </w:rPr>
        <w:t>, paras 9-10.</w:t>
      </w:r>
    </w:p>
    <w:p w:rsidR="00F032AF" w:rsidRPr="00485139"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The affiant's grounds must be based on facts. </w:t>
      </w:r>
      <w:r w:rsidR="00AA7203">
        <w:rPr>
          <w:rFonts w:ascii="Times New Roman" w:hAnsi="Times New Roman" w:cs="Times New Roman"/>
          <w:sz w:val="28"/>
          <w:szCs w:val="28"/>
        </w:rPr>
        <w:t xml:space="preserve"> </w:t>
      </w:r>
      <w:r w:rsidRPr="00A6059D">
        <w:rPr>
          <w:rFonts w:ascii="Times New Roman" w:hAnsi="Times New Roman" w:cs="Times New Roman"/>
          <w:sz w:val="28"/>
          <w:szCs w:val="28"/>
        </w:rPr>
        <w:t>Th</w:t>
      </w:r>
      <w:r w:rsidR="00C61F40">
        <w:rPr>
          <w:rFonts w:ascii="Times New Roman" w:hAnsi="Times New Roman" w:cs="Times New Roman"/>
          <w:sz w:val="28"/>
          <w:szCs w:val="28"/>
        </w:rPr>
        <w:t xml:space="preserve">ey can be based on the affiant’s personal knowledge or on information provided </w:t>
      </w:r>
      <w:r w:rsidR="008A1B31">
        <w:rPr>
          <w:rFonts w:ascii="Times New Roman" w:hAnsi="Times New Roman" w:cs="Times New Roman"/>
          <w:sz w:val="28"/>
          <w:szCs w:val="28"/>
        </w:rPr>
        <w:t xml:space="preserve">to the affiant </w:t>
      </w:r>
      <w:r w:rsidR="00C61F40">
        <w:rPr>
          <w:rFonts w:ascii="Times New Roman" w:hAnsi="Times New Roman" w:cs="Times New Roman"/>
          <w:sz w:val="28"/>
          <w:szCs w:val="28"/>
        </w:rPr>
        <w:t>by others.</w:t>
      </w:r>
      <w:r w:rsidRPr="00A6059D">
        <w:rPr>
          <w:rFonts w:ascii="Times New Roman" w:hAnsi="Times New Roman" w:cs="Times New Roman"/>
          <w:sz w:val="28"/>
          <w:szCs w:val="28"/>
        </w:rPr>
        <w:t xml:space="preserve">  </w:t>
      </w:r>
      <w:r w:rsidR="00C61F40">
        <w:rPr>
          <w:rFonts w:ascii="Times New Roman" w:hAnsi="Times New Roman" w:cs="Times New Roman"/>
          <w:sz w:val="28"/>
          <w:szCs w:val="28"/>
        </w:rPr>
        <w:t>T</w:t>
      </w:r>
      <w:r w:rsidRPr="00A6059D">
        <w:rPr>
          <w:rFonts w:ascii="Times New Roman" w:hAnsi="Times New Roman" w:cs="Times New Roman"/>
          <w:sz w:val="28"/>
          <w:szCs w:val="28"/>
        </w:rPr>
        <w:t>he standard</w:t>
      </w:r>
      <w:r w:rsidR="00C61F40">
        <w:rPr>
          <w:rFonts w:ascii="Times New Roman" w:hAnsi="Times New Roman" w:cs="Times New Roman"/>
          <w:sz w:val="28"/>
          <w:szCs w:val="28"/>
        </w:rPr>
        <w:t>, however,</w:t>
      </w:r>
      <w:r w:rsidRPr="00A6059D">
        <w:rPr>
          <w:rFonts w:ascii="Times New Roman" w:hAnsi="Times New Roman" w:cs="Times New Roman"/>
          <w:sz w:val="28"/>
          <w:szCs w:val="28"/>
        </w:rPr>
        <w:t xml:space="preserve"> is not simply subjective</w:t>
      </w:r>
      <w:r w:rsidR="008A1B31">
        <w:rPr>
          <w:rFonts w:ascii="Times New Roman" w:hAnsi="Times New Roman" w:cs="Times New Roman"/>
          <w:sz w:val="28"/>
          <w:szCs w:val="28"/>
        </w:rPr>
        <w:t>.</w:t>
      </w:r>
      <w:r w:rsidRPr="00A6059D">
        <w:rPr>
          <w:rFonts w:ascii="Times New Roman" w:hAnsi="Times New Roman" w:cs="Times New Roman"/>
          <w:sz w:val="28"/>
          <w:szCs w:val="28"/>
        </w:rPr>
        <w:t xml:space="preserve">  </w:t>
      </w:r>
      <w:r w:rsidR="008A1B31">
        <w:rPr>
          <w:rFonts w:ascii="Times New Roman" w:hAnsi="Times New Roman" w:cs="Times New Roman"/>
          <w:sz w:val="28"/>
          <w:szCs w:val="28"/>
        </w:rPr>
        <w:t>T</w:t>
      </w:r>
      <w:r w:rsidRPr="00A6059D">
        <w:rPr>
          <w:rFonts w:ascii="Times New Roman" w:hAnsi="Times New Roman" w:cs="Times New Roman"/>
          <w:sz w:val="28"/>
          <w:szCs w:val="28"/>
        </w:rPr>
        <w:t xml:space="preserve">he affiant's mere assertion that he or she believes the grounds exist is not sufficient.  The ITO must, in the totality of the circumstances, disclose a substantial basis for that belief. </w:t>
      </w:r>
      <w:r w:rsidRPr="000B4D5C">
        <w:rPr>
          <w:rFonts w:ascii="Times New Roman" w:hAnsi="Times New Roman" w:cs="Times New Roman"/>
          <w:i/>
          <w:sz w:val="28"/>
          <w:szCs w:val="28"/>
        </w:rPr>
        <w:t>Clow</w:t>
      </w:r>
      <w:r w:rsidRPr="00A6059D">
        <w:rPr>
          <w:rFonts w:ascii="Times New Roman" w:hAnsi="Times New Roman" w:cs="Times New Roman"/>
          <w:sz w:val="28"/>
          <w:szCs w:val="28"/>
        </w:rPr>
        <w:t>, paras 11-13.</w:t>
      </w:r>
    </w:p>
    <w:p w:rsidR="00F032AF" w:rsidRPr="00485139"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To the extent that the affiant relies on inf</w:t>
      </w:r>
      <w:r w:rsidRPr="007929A9">
        <w:rPr>
          <w:rFonts w:ascii="Times New Roman" w:hAnsi="Times New Roman" w:cs="Times New Roman"/>
          <w:sz w:val="28"/>
          <w:szCs w:val="28"/>
        </w:rPr>
        <w:t>o</w:t>
      </w:r>
      <w:r w:rsidR="007929A9" w:rsidRPr="007929A9">
        <w:rPr>
          <w:rFonts w:ascii="Times New Roman" w:hAnsi="Times New Roman" w:cs="Times New Roman"/>
          <w:sz w:val="28"/>
          <w:szCs w:val="28"/>
        </w:rPr>
        <w:t>r</w:t>
      </w:r>
      <w:r w:rsidRPr="007929A9">
        <w:rPr>
          <w:rFonts w:ascii="Times New Roman" w:hAnsi="Times New Roman" w:cs="Times New Roman"/>
          <w:sz w:val="28"/>
          <w:szCs w:val="28"/>
        </w:rPr>
        <w:t>m</w:t>
      </w:r>
      <w:r w:rsidRPr="00A6059D">
        <w:rPr>
          <w:rFonts w:ascii="Times New Roman" w:hAnsi="Times New Roman" w:cs="Times New Roman"/>
          <w:sz w:val="28"/>
          <w:szCs w:val="28"/>
        </w:rPr>
        <w:t xml:space="preserve">ation provided by others, the strength of that information must be weighed taking into account whether it was compelling, whether it was credible, and whether it was corroborated.  The totality of the circumstances must be considered to determine whether the information provided is capable of assisting in forming reasonable grounds. </w:t>
      </w:r>
      <w:r w:rsidRPr="000B4D5C">
        <w:rPr>
          <w:rFonts w:ascii="Times New Roman" w:hAnsi="Times New Roman" w:cs="Times New Roman"/>
          <w:i/>
          <w:sz w:val="28"/>
          <w:szCs w:val="28"/>
        </w:rPr>
        <w:t>R v Debot</w:t>
      </w:r>
      <w:r w:rsidRPr="00A6059D">
        <w:rPr>
          <w:rFonts w:ascii="Times New Roman" w:hAnsi="Times New Roman" w:cs="Times New Roman"/>
          <w:sz w:val="28"/>
          <w:szCs w:val="28"/>
        </w:rPr>
        <w:t xml:space="preserve">, </w:t>
      </w:r>
      <w:r w:rsidR="007929A9">
        <w:rPr>
          <w:rFonts w:ascii="Times New Roman" w:hAnsi="Times New Roman" w:cs="Times New Roman"/>
          <w:sz w:val="28"/>
          <w:szCs w:val="28"/>
        </w:rPr>
        <w:t>[</w:t>
      </w:r>
      <w:r w:rsidRPr="00A6059D">
        <w:rPr>
          <w:rFonts w:ascii="Times New Roman" w:hAnsi="Times New Roman" w:cs="Times New Roman"/>
          <w:sz w:val="28"/>
          <w:szCs w:val="28"/>
        </w:rPr>
        <w:t>1989</w:t>
      </w:r>
      <w:r w:rsidR="007929A9">
        <w:rPr>
          <w:rFonts w:ascii="Times New Roman" w:hAnsi="Times New Roman" w:cs="Times New Roman"/>
          <w:sz w:val="28"/>
          <w:szCs w:val="28"/>
        </w:rPr>
        <w:t>]</w:t>
      </w:r>
      <w:r w:rsidRPr="00A6059D">
        <w:rPr>
          <w:rFonts w:ascii="Times New Roman" w:hAnsi="Times New Roman" w:cs="Times New Roman"/>
          <w:sz w:val="28"/>
          <w:szCs w:val="28"/>
        </w:rPr>
        <w:t xml:space="preserve"> S.C.J. No.118, para 53. </w:t>
      </w:r>
    </w:p>
    <w:p w:rsidR="00F032AF" w:rsidRPr="00485139"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swearing an ITO, </w:t>
      </w:r>
      <w:r w:rsidR="008A1B31">
        <w:rPr>
          <w:rFonts w:ascii="Times New Roman" w:hAnsi="Times New Roman" w:cs="Times New Roman"/>
          <w:sz w:val="28"/>
          <w:szCs w:val="28"/>
        </w:rPr>
        <w:t>an</w:t>
      </w:r>
      <w:r w:rsidRPr="00A6059D">
        <w:rPr>
          <w:rFonts w:ascii="Times New Roman" w:hAnsi="Times New Roman" w:cs="Times New Roman"/>
          <w:sz w:val="28"/>
          <w:szCs w:val="28"/>
        </w:rPr>
        <w:t xml:space="preserve"> affiant is under a duty of full, fair and frank disclosure.  This means that all material facts must be included, whether they are favourable or not to the affiant's case.  The case must be stated plainly, without misleading statements or exaggerations. R v </w:t>
      </w:r>
      <w:r w:rsidRPr="000B4D5C">
        <w:rPr>
          <w:rFonts w:ascii="Times New Roman" w:hAnsi="Times New Roman" w:cs="Times New Roman"/>
          <w:i/>
          <w:sz w:val="28"/>
          <w:szCs w:val="28"/>
        </w:rPr>
        <w:t>Araujo</w:t>
      </w:r>
      <w:r w:rsidRPr="00A6059D">
        <w:rPr>
          <w:rFonts w:ascii="Times New Roman" w:hAnsi="Times New Roman" w:cs="Times New Roman"/>
          <w:sz w:val="28"/>
          <w:szCs w:val="28"/>
        </w:rPr>
        <w:t xml:space="preserve">, 2000 SCC 65, paras 46-47; R v </w:t>
      </w:r>
      <w:r w:rsidRPr="000B4D5C">
        <w:rPr>
          <w:rFonts w:ascii="Times New Roman" w:hAnsi="Times New Roman" w:cs="Times New Roman"/>
          <w:i/>
          <w:sz w:val="28"/>
          <w:szCs w:val="28"/>
        </w:rPr>
        <w:t>Kelly</w:t>
      </w:r>
      <w:r w:rsidRPr="00A6059D">
        <w:rPr>
          <w:rFonts w:ascii="Times New Roman" w:hAnsi="Times New Roman" w:cs="Times New Roman"/>
          <w:sz w:val="28"/>
          <w:szCs w:val="28"/>
        </w:rPr>
        <w:t xml:space="preserve">, NBCA 89, para 51; </w:t>
      </w:r>
      <w:r w:rsidRPr="000B4D5C">
        <w:rPr>
          <w:rFonts w:ascii="Times New Roman" w:hAnsi="Times New Roman" w:cs="Times New Roman"/>
          <w:i/>
          <w:sz w:val="28"/>
          <w:szCs w:val="28"/>
        </w:rPr>
        <w:t>Clow</w:t>
      </w:r>
      <w:r w:rsidRPr="00A6059D">
        <w:rPr>
          <w:rFonts w:ascii="Times New Roman" w:hAnsi="Times New Roman" w:cs="Times New Roman"/>
          <w:sz w:val="28"/>
          <w:szCs w:val="28"/>
        </w:rPr>
        <w:t>, para 8.</w:t>
      </w:r>
    </w:p>
    <w:p w:rsidR="00F032AF" w:rsidRPr="00485139" w:rsidRDefault="00C61F40"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w:t>
      </w:r>
      <w:r w:rsidR="00AA7203">
        <w:rPr>
          <w:rFonts w:ascii="Times New Roman" w:hAnsi="Times New Roman" w:cs="Times New Roman"/>
          <w:sz w:val="28"/>
          <w:szCs w:val="28"/>
        </w:rPr>
        <w:t xml:space="preserve"> search warrant </w:t>
      </w:r>
      <w:r w:rsidR="00F032AF" w:rsidRPr="00A6059D">
        <w:rPr>
          <w:rFonts w:ascii="Times New Roman" w:hAnsi="Times New Roman" w:cs="Times New Roman"/>
          <w:sz w:val="28"/>
          <w:szCs w:val="28"/>
        </w:rPr>
        <w:t>is presumed to be valid.  The onus is on the challenging party to establish on a balance of probabilities th</w:t>
      </w:r>
      <w:r w:rsidR="00AA7203">
        <w:rPr>
          <w:rFonts w:ascii="Times New Roman" w:hAnsi="Times New Roman" w:cs="Times New Roman"/>
          <w:sz w:val="28"/>
          <w:szCs w:val="28"/>
        </w:rPr>
        <w:t>at it ought not to have issued.</w:t>
      </w:r>
    </w:p>
    <w:p w:rsidR="00F032AF" w:rsidRPr="00485139"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If a warrant is challenged, the review process is not a </w:t>
      </w:r>
      <w:r w:rsidRPr="000B4D5C">
        <w:rPr>
          <w:rFonts w:ascii="Times New Roman" w:hAnsi="Times New Roman" w:cs="Times New Roman"/>
          <w:i/>
          <w:sz w:val="28"/>
          <w:szCs w:val="28"/>
        </w:rPr>
        <w:t>de novo</w:t>
      </w:r>
      <w:r w:rsidRPr="00A6059D">
        <w:rPr>
          <w:rFonts w:ascii="Times New Roman" w:hAnsi="Times New Roman" w:cs="Times New Roman"/>
          <w:sz w:val="28"/>
          <w:szCs w:val="28"/>
        </w:rPr>
        <w:t xml:space="preserve"> assessment.  If the reviewing judge concludes that the issuing judge could have issued the warrant, the reviewing judge should not interfere. </w:t>
      </w:r>
      <w:r w:rsidRPr="000B4D5C">
        <w:rPr>
          <w:rFonts w:ascii="Times New Roman" w:hAnsi="Times New Roman" w:cs="Times New Roman"/>
          <w:i/>
          <w:sz w:val="28"/>
          <w:szCs w:val="28"/>
        </w:rPr>
        <w:t>Clow</w:t>
      </w:r>
      <w:r w:rsidR="00AA7203">
        <w:rPr>
          <w:rFonts w:ascii="Times New Roman" w:hAnsi="Times New Roman" w:cs="Times New Roman"/>
          <w:sz w:val="28"/>
          <w:szCs w:val="28"/>
        </w:rPr>
        <w:t xml:space="preserve">, para 17.  </w:t>
      </w:r>
      <w:r w:rsidRPr="00A6059D">
        <w:rPr>
          <w:rFonts w:ascii="Times New Roman" w:hAnsi="Times New Roman" w:cs="Times New Roman"/>
          <w:sz w:val="28"/>
          <w:szCs w:val="28"/>
        </w:rPr>
        <w:t>In other words, the question is not whether the reviewing judge, presented with the same information, w</w:t>
      </w:r>
      <w:r w:rsidR="00AA7203">
        <w:rPr>
          <w:rFonts w:ascii="Times New Roman" w:hAnsi="Times New Roman" w:cs="Times New Roman"/>
          <w:sz w:val="28"/>
          <w:szCs w:val="28"/>
        </w:rPr>
        <w:t xml:space="preserve">ould have </w:t>
      </w:r>
      <w:r w:rsidR="00AA7203">
        <w:rPr>
          <w:rFonts w:ascii="Times New Roman" w:hAnsi="Times New Roman" w:cs="Times New Roman"/>
          <w:sz w:val="28"/>
          <w:szCs w:val="28"/>
        </w:rPr>
        <w:lastRenderedPageBreak/>
        <w:t xml:space="preserve">issued the warrant.  </w:t>
      </w:r>
      <w:r w:rsidRPr="00A6059D">
        <w:rPr>
          <w:rFonts w:ascii="Times New Roman" w:hAnsi="Times New Roman" w:cs="Times New Roman"/>
          <w:sz w:val="28"/>
          <w:szCs w:val="28"/>
        </w:rPr>
        <w:t>The proper question to be asked is whether there was reliable evidence that might reasonably be</w:t>
      </w:r>
      <w:r w:rsidR="00AA7203">
        <w:rPr>
          <w:rFonts w:ascii="Times New Roman" w:hAnsi="Times New Roman" w:cs="Times New Roman"/>
          <w:sz w:val="28"/>
          <w:szCs w:val="28"/>
        </w:rPr>
        <w:t xml:space="preserve"> believed on the basis of which</w:t>
      </w:r>
      <w:r w:rsidRPr="00A6059D">
        <w:rPr>
          <w:rFonts w:ascii="Times New Roman" w:hAnsi="Times New Roman" w:cs="Times New Roman"/>
          <w:sz w:val="28"/>
          <w:szCs w:val="28"/>
        </w:rPr>
        <w:t xml:space="preserve"> the issuing justice </w:t>
      </w:r>
      <w:r w:rsidRPr="000B4D5C">
        <w:rPr>
          <w:rFonts w:ascii="Times New Roman" w:hAnsi="Times New Roman" w:cs="Times New Roman"/>
          <w:i/>
          <w:sz w:val="28"/>
          <w:szCs w:val="28"/>
        </w:rPr>
        <w:t>could</w:t>
      </w:r>
      <w:r w:rsidR="00AA7203">
        <w:rPr>
          <w:rFonts w:ascii="Times New Roman" w:hAnsi="Times New Roman" w:cs="Times New Roman"/>
          <w:sz w:val="28"/>
          <w:szCs w:val="28"/>
        </w:rPr>
        <w:t xml:space="preserve"> have issued the warrant. </w:t>
      </w:r>
      <w:r w:rsidRPr="00C61F40">
        <w:rPr>
          <w:rFonts w:ascii="Times New Roman" w:hAnsi="Times New Roman" w:cs="Times New Roman"/>
          <w:i/>
          <w:sz w:val="28"/>
          <w:szCs w:val="28"/>
        </w:rPr>
        <w:t>Araujo</w:t>
      </w:r>
      <w:r w:rsidRPr="00A6059D">
        <w:rPr>
          <w:rFonts w:ascii="Times New Roman" w:hAnsi="Times New Roman" w:cs="Times New Roman"/>
          <w:sz w:val="28"/>
          <w:szCs w:val="28"/>
        </w:rPr>
        <w:t xml:space="preserve">, para 54; R v </w:t>
      </w:r>
      <w:r w:rsidRPr="000B4D5C">
        <w:rPr>
          <w:rFonts w:ascii="Times New Roman" w:hAnsi="Times New Roman" w:cs="Times New Roman"/>
          <w:i/>
          <w:sz w:val="28"/>
          <w:szCs w:val="28"/>
        </w:rPr>
        <w:t>Morelli</w:t>
      </w:r>
      <w:r w:rsidRPr="00A6059D">
        <w:rPr>
          <w:rFonts w:ascii="Times New Roman" w:hAnsi="Times New Roman" w:cs="Times New Roman"/>
          <w:sz w:val="28"/>
          <w:szCs w:val="28"/>
        </w:rPr>
        <w:t xml:space="preserve">, 2010 SCC 8, para 40; </w:t>
      </w:r>
      <w:r w:rsidR="007929A9">
        <w:rPr>
          <w:rFonts w:ascii="Times New Roman" w:hAnsi="Times New Roman" w:cs="Times New Roman"/>
          <w:sz w:val="28"/>
          <w:szCs w:val="28"/>
        </w:rPr>
        <w:t>s</w:t>
      </w:r>
      <w:r w:rsidRPr="00A6059D">
        <w:rPr>
          <w:rFonts w:ascii="Times New Roman" w:hAnsi="Times New Roman" w:cs="Times New Roman"/>
          <w:sz w:val="28"/>
          <w:szCs w:val="28"/>
        </w:rPr>
        <w:t xml:space="preserve">ee also </w:t>
      </w:r>
      <w:r w:rsidRPr="000B4D5C">
        <w:rPr>
          <w:rFonts w:ascii="Times New Roman" w:hAnsi="Times New Roman" w:cs="Times New Roman"/>
          <w:i/>
          <w:sz w:val="28"/>
          <w:szCs w:val="28"/>
        </w:rPr>
        <w:t>R v  James</w:t>
      </w:r>
      <w:r w:rsidRPr="00A6059D">
        <w:rPr>
          <w:rFonts w:ascii="Times New Roman" w:hAnsi="Times New Roman" w:cs="Times New Roman"/>
          <w:sz w:val="28"/>
          <w:szCs w:val="28"/>
        </w:rPr>
        <w:t xml:space="preserve">, 2019 ONCA 288, para 52 (dissenting Reasons of Nordheimer JA, adopted by the Supreme Court of Canada in </w:t>
      </w:r>
      <w:r w:rsidRPr="000B4D5C">
        <w:rPr>
          <w:rFonts w:ascii="Times New Roman" w:hAnsi="Times New Roman" w:cs="Times New Roman"/>
          <w:i/>
          <w:sz w:val="28"/>
          <w:szCs w:val="28"/>
        </w:rPr>
        <w:t>R v James</w:t>
      </w:r>
      <w:r w:rsidRPr="00A6059D">
        <w:rPr>
          <w:rFonts w:ascii="Times New Roman" w:hAnsi="Times New Roman" w:cs="Times New Roman"/>
          <w:sz w:val="28"/>
          <w:szCs w:val="28"/>
        </w:rPr>
        <w:t xml:space="preserve">, 2019 SCC 52). </w:t>
      </w:r>
    </w:p>
    <w:p w:rsidR="00F032AF" w:rsidRPr="00485139" w:rsidRDefault="008A1B31"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w:t>
      </w:r>
      <w:r w:rsidR="00F032AF" w:rsidRPr="00A6059D">
        <w:rPr>
          <w:rFonts w:ascii="Times New Roman" w:hAnsi="Times New Roman" w:cs="Times New Roman"/>
          <w:sz w:val="28"/>
          <w:szCs w:val="28"/>
        </w:rPr>
        <w:t xml:space="preserve"> reviewing court</w:t>
      </w:r>
      <w:r>
        <w:rPr>
          <w:rFonts w:ascii="Times New Roman" w:hAnsi="Times New Roman" w:cs="Times New Roman"/>
          <w:sz w:val="28"/>
          <w:szCs w:val="28"/>
        </w:rPr>
        <w:t>’s analysis is not limited to</w:t>
      </w:r>
      <w:r w:rsidR="00450D9F">
        <w:rPr>
          <w:rFonts w:ascii="Times New Roman" w:hAnsi="Times New Roman" w:cs="Times New Roman"/>
          <w:sz w:val="28"/>
          <w:szCs w:val="28"/>
        </w:rPr>
        <w:t xml:space="preserve"> the</w:t>
      </w:r>
      <w:r w:rsidR="00AA7203">
        <w:rPr>
          <w:rFonts w:ascii="Times New Roman" w:hAnsi="Times New Roman" w:cs="Times New Roman"/>
          <w:sz w:val="28"/>
          <w:szCs w:val="28"/>
        </w:rPr>
        <w:t xml:space="preserve"> ITO</w:t>
      </w:r>
      <w:r w:rsidR="00E23EA6">
        <w:rPr>
          <w:rFonts w:ascii="Times New Roman" w:hAnsi="Times New Roman" w:cs="Times New Roman"/>
          <w:sz w:val="28"/>
          <w:szCs w:val="28"/>
        </w:rPr>
        <w:t xml:space="preserve"> itself</w:t>
      </w:r>
      <w:r w:rsidR="00AA7203">
        <w:rPr>
          <w:rFonts w:ascii="Times New Roman" w:hAnsi="Times New Roman" w:cs="Times New Roman"/>
          <w:sz w:val="28"/>
          <w:szCs w:val="28"/>
        </w:rPr>
        <w:t xml:space="preserve">. </w:t>
      </w:r>
      <w:r w:rsidR="00F032AF" w:rsidRPr="00A6059D">
        <w:rPr>
          <w:rFonts w:ascii="Times New Roman" w:hAnsi="Times New Roman" w:cs="Times New Roman"/>
          <w:sz w:val="28"/>
          <w:szCs w:val="28"/>
        </w:rPr>
        <w:t xml:space="preserve"> If the evidence at the </w:t>
      </w:r>
      <w:r w:rsidR="00F032AF" w:rsidRPr="000B4D5C">
        <w:rPr>
          <w:rFonts w:ascii="Times New Roman" w:hAnsi="Times New Roman" w:cs="Times New Roman"/>
          <w:i/>
          <w:sz w:val="28"/>
          <w:szCs w:val="28"/>
        </w:rPr>
        <w:t>voir dire</w:t>
      </w:r>
      <w:r w:rsidR="00F032AF" w:rsidRPr="00A6059D">
        <w:rPr>
          <w:rFonts w:ascii="Times New Roman" w:hAnsi="Times New Roman" w:cs="Times New Roman"/>
          <w:sz w:val="28"/>
          <w:szCs w:val="28"/>
        </w:rPr>
        <w:t xml:space="preserve"> discloses errors in it, or a failur</w:t>
      </w:r>
      <w:r w:rsidR="00AA7203">
        <w:rPr>
          <w:rFonts w:ascii="Times New Roman" w:hAnsi="Times New Roman" w:cs="Times New Roman"/>
          <w:sz w:val="28"/>
          <w:szCs w:val="28"/>
        </w:rPr>
        <w:t xml:space="preserve">e to disclose a material fact, </w:t>
      </w:r>
      <w:r w:rsidR="00F032AF" w:rsidRPr="00A6059D">
        <w:rPr>
          <w:rFonts w:ascii="Times New Roman" w:hAnsi="Times New Roman" w:cs="Times New Roman"/>
          <w:sz w:val="28"/>
          <w:szCs w:val="28"/>
        </w:rPr>
        <w:t xml:space="preserve">this </w:t>
      </w:r>
      <w:r w:rsidR="007929A9">
        <w:rPr>
          <w:rFonts w:ascii="Times New Roman" w:hAnsi="Times New Roman" w:cs="Times New Roman"/>
          <w:sz w:val="28"/>
          <w:szCs w:val="28"/>
        </w:rPr>
        <w:t>does</w:t>
      </w:r>
      <w:r w:rsidR="00F032AF" w:rsidRPr="00A6059D">
        <w:rPr>
          <w:rFonts w:ascii="Times New Roman" w:hAnsi="Times New Roman" w:cs="Times New Roman"/>
          <w:sz w:val="28"/>
          <w:szCs w:val="28"/>
        </w:rPr>
        <w:t xml:space="preserve"> not automatically vitiate the warrant</w:t>
      </w:r>
      <w:r w:rsidR="00E23EA6">
        <w:rPr>
          <w:rFonts w:ascii="Times New Roman" w:hAnsi="Times New Roman" w:cs="Times New Roman"/>
          <w:sz w:val="28"/>
          <w:szCs w:val="28"/>
        </w:rPr>
        <w:t>.</w:t>
      </w:r>
      <w:r w:rsidR="00F032AF" w:rsidRPr="00A6059D">
        <w:rPr>
          <w:rFonts w:ascii="Times New Roman" w:hAnsi="Times New Roman" w:cs="Times New Roman"/>
          <w:sz w:val="28"/>
          <w:szCs w:val="28"/>
        </w:rPr>
        <w:t xml:space="preserve"> </w:t>
      </w:r>
      <w:r w:rsidR="00E23EA6">
        <w:rPr>
          <w:rFonts w:ascii="Times New Roman" w:hAnsi="Times New Roman" w:cs="Times New Roman"/>
          <w:sz w:val="28"/>
          <w:szCs w:val="28"/>
        </w:rPr>
        <w:t xml:space="preserve"> E</w:t>
      </w:r>
      <w:r w:rsidR="00F032AF" w:rsidRPr="00A6059D">
        <w:rPr>
          <w:rFonts w:ascii="Times New Roman" w:hAnsi="Times New Roman" w:cs="Times New Roman"/>
          <w:sz w:val="28"/>
          <w:szCs w:val="28"/>
        </w:rPr>
        <w:t xml:space="preserve">rroneous or misleading information must </w:t>
      </w:r>
      <w:r w:rsidR="00E23EA6">
        <w:rPr>
          <w:rFonts w:ascii="Times New Roman" w:hAnsi="Times New Roman" w:cs="Times New Roman"/>
          <w:sz w:val="28"/>
          <w:szCs w:val="28"/>
        </w:rPr>
        <w:t xml:space="preserve">however </w:t>
      </w:r>
      <w:r w:rsidR="00F032AF" w:rsidRPr="00A6059D">
        <w:rPr>
          <w:rFonts w:ascii="Times New Roman" w:hAnsi="Times New Roman" w:cs="Times New Roman"/>
          <w:sz w:val="28"/>
          <w:szCs w:val="28"/>
        </w:rPr>
        <w:t>be excluded from the analysis as to th</w:t>
      </w:r>
      <w:r w:rsidR="00AA7203">
        <w:rPr>
          <w:rFonts w:ascii="Times New Roman" w:hAnsi="Times New Roman" w:cs="Times New Roman"/>
          <w:sz w:val="28"/>
          <w:szCs w:val="28"/>
        </w:rPr>
        <w:t xml:space="preserve">e sufficiency of the grounds.  </w:t>
      </w:r>
      <w:r w:rsidR="00F032AF" w:rsidRPr="00A6059D">
        <w:rPr>
          <w:rFonts w:ascii="Times New Roman" w:hAnsi="Times New Roman" w:cs="Times New Roman"/>
          <w:sz w:val="28"/>
          <w:szCs w:val="28"/>
        </w:rPr>
        <w:t xml:space="preserve">Additional details that emerge from the </w:t>
      </w:r>
      <w:r w:rsidR="00F032AF" w:rsidRPr="000B4D5C">
        <w:rPr>
          <w:rFonts w:ascii="Times New Roman" w:hAnsi="Times New Roman" w:cs="Times New Roman"/>
          <w:i/>
          <w:sz w:val="28"/>
          <w:szCs w:val="28"/>
        </w:rPr>
        <w:t>voir dire</w:t>
      </w:r>
      <w:r w:rsidR="00F032AF" w:rsidRPr="00A6059D">
        <w:rPr>
          <w:rFonts w:ascii="Times New Roman" w:hAnsi="Times New Roman" w:cs="Times New Roman"/>
          <w:sz w:val="28"/>
          <w:szCs w:val="28"/>
        </w:rPr>
        <w:t xml:space="preserve"> may also inform the extent to which certain statements in the ITO may have been misleading and whether, in context, there were sufficient grounds for the warrant to </w:t>
      </w:r>
      <w:r w:rsidR="00AA7203">
        <w:rPr>
          <w:rFonts w:ascii="Times New Roman" w:hAnsi="Times New Roman" w:cs="Times New Roman"/>
          <w:sz w:val="28"/>
          <w:szCs w:val="28"/>
        </w:rPr>
        <w:t xml:space="preserve">issue.  </w:t>
      </w:r>
      <w:r w:rsidR="00F032AF" w:rsidRPr="00A6059D">
        <w:rPr>
          <w:rFonts w:ascii="Times New Roman" w:hAnsi="Times New Roman" w:cs="Times New Roman"/>
          <w:sz w:val="28"/>
          <w:szCs w:val="28"/>
        </w:rPr>
        <w:t xml:space="preserve">The reviewing court may also, on the basis of evidence presented at the </w:t>
      </w:r>
      <w:r w:rsidR="00F032AF" w:rsidRPr="000B4D5C">
        <w:rPr>
          <w:rFonts w:ascii="Times New Roman" w:hAnsi="Times New Roman" w:cs="Times New Roman"/>
          <w:i/>
          <w:sz w:val="28"/>
          <w:szCs w:val="28"/>
        </w:rPr>
        <w:t>voir dire</w:t>
      </w:r>
      <w:r w:rsidR="00F032AF" w:rsidRPr="00A6059D">
        <w:rPr>
          <w:rFonts w:ascii="Times New Roman" w:hAnsi="Times New Roman" w:cs="Times New Roman"/>
          <w:sz w:val="28"/>
          <w:szCs w:val="28"/>
        </w:rPr>
        <w:t xml:space="preserve">, correct minor errors in the ITO that were made in good faith.  This process is referred to as "amplification". </w:t>
      </w:r>
      <w:r w:rsidR="00F032AF" w:rsidRPr="000B4D5C">
        <w:rPr>
          <w:rFonts w:ascii="Times New Roman" w:hAnsi="Times New Roman" w:cs="Times New Roman"/>
          <w:i/>
          <w:sz w:val="28"/>
          <w:szCs w:val="28"/>
        </w:rPr>
        <w:t>Araujo</w:t>
      </w:r>
      <w:r w:rsidR="00F032AF" w:rsidRPr="00A6059D">
        <w:rPr>
          <w:rFonts w:ascii="Times New Roman" w:hAnsi="Times New Roman" w:cs="Times New Roman"/>
          <w:sz w:val="28"/>
          <w:szCs w:val="28"/>
        </w:rPr>
        <w:t xml:space="preserve">, para 58; </w:t>
      </w:r>
      <w:r w:rsidR="00F032AF" w:rsidRPr="000B4D5C">
        <w:rPr>
          <w:rFonts w:ascii="Times New Roman" w:hAnsi="Times New Roman" w:cs="Times New Roman"/>
          <w:i/>
          <w:sz w:val="28"/>
          <w:szCs w:val="28"/>
        </w:rPr>
        <w:t>Morelli</w:t>
      </w:r>
      <w:r w:rsidR="00F032AF" w:rsidRPr="00A6059D">
        <w:rPr>
          <w:rFonts w:ascii="Times New Roman" w:hAnsi="Times New Roman" w:cs="Times New Roman"/>
          <w:sz w:val="28"/>
          <w:szCs w:val="28"/>
        </w:rPr>
        <w:t xml:space="preserve">, para 41; </w:t>
      </w:r>
      <w:r w:rsidR="00F032AF" w:rsidRPr="000B4D5C">
        <w:rPr>
          <w:rFonts w:ascii="Times New Roman" w:hAnsi="Times New Roman" w:cs="Times New Roman"/>
          <w:i/>
          <w:sz w:val="28"/>
          <w:szCs w:val="28"/>
        </w:rPr>
        <w:t>Clow</w:t>
      </w:r>
      <w:r w:rsidR="00F032AF" w:rsidRPr="00A6059D">
        <w:rPr>
          <w:rFonts w:ascii="Times New Roman" w:hAnsi="Times New Roman" w:cs="Times New Roman"/>
          <w:sz w:val="28"/>
          <w:szCs w:val="28"/>
        </w:rPr>
        <w:t>, para 23.</w:t>
      </w:r>
    </w:p>
    <w:p w:rsidR="00F032AF" w:rsidRPr="00485139"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Amplific</w:t>
      </w:r>
      <w:r w:rsidR="00AA7203">
        <w:rPr>
          <w:rFonts w:ascii="Times New Roman" w:hAnsi="Times New Roman" w:cs="Times New Roman"/>
          <w:sz w:val="28"/>
          <w:szCs w:val="28"/>
        </w:rPr>
        <w:t xml:space="preserve">ation must be used sparingly.  </w:t>
      </w:r>
      <w:r w:rsidRPr="00A6059D">
        <w:rPr>
          <w:rFonts w:ascii="Times New Roman" w:hAnsi="Times New Roman" w:cs="Times New Roman"/>
          <w:sz w:val="28"/>
          <w:szCs w:val="28"/>
        </w:rPr>
        <w:t>It cannot be used to correct errors stemming from an attempt by the affiant to mislead the issuing justice.  It also cannot be used to add substantive information that ought to have been included in the ITO, as this would amount t</w:t>
      </w:r>
      <w:r w:rsidR="00AA7203">
        <w:rPr>
          <w:rFonts w:ascii="Times New Roman" w:hAnsi="Times New Roman" w:cs="Times New Roman"/>
          <w:sz w:val="28"/>
          <w:szCs w:val="28"/>
        </w:rPr>
        <w:t xml:space="preserve">o after-the-fact justification </w:t>
      </w:r>
      <w:r w:rsidRPr="00A6059D">
        <w:rPr>
          <w:rFonts w:ascii="Times New Roman" w:hAnsi="Times New Roman" w:cs="Times New Roman"/>
          <w:sz w:val="28"/>
          <w:szCs w:val="28"/>
        </w:rPr>
        <w:t xml:space="preserve">for the issuance of the warrant. </w:t>
      </w:r>
      <w:r w:rsidRPr="000B4D5C">
        <w:rPr>
          <w:rFonts w:ascii="Times New Roman" w:hAnsi="Times New Roman" w:cs="Times New Roman"/>
          <w:i/>
          <w:sz w:val="28"/>
          <w:szCs w:val="28"/>
        </w:rPr>
        <w:t>Araujo</w:t>
      </w:r>
      <w:r w:rsidRPr="00A6059D">
        <w:rPr>
          <w:rFonts w:ascii="Times New Roman" w:hAnsi="Times New Roman" w:cs="Times New Roman"/>
          <w:sz w:val="28"/>
          <w:szCs w:val="28"/>
        </w:rPr>
        <w:t xml:space="preserve">, para 59; </w:t>
      </w:r>
      <w:r w:rsidRPr="000B4D5C">
        <w:rPr>
          <w:rFonts w:ascii="Times New Roman" w:hAnsi="Times New Roman" w:cs="Times New Roman"/>
          <w:i/>
          <w:sz w:val="28"/>
          <w:szCs w:val="28"/>
        </w:rPr>
        <w:t>Morelli</w:t>
      </w:r>
      <w:r w:rsidRPr="00A6059D">
        <w:rPr>
          <w:rFonts w:ascii="Times New Roman" w:hAnsi="Times New Roman" w:cs="Times New Roman"/>
          <w:sz w:val="28"/>
          <w:szCs w:val="28"/>
        </w:rPr>
        <w:t>, paras 42-43.</w:t>
      </w:r>
    </w:p>
    <w:p w:rsidR="00F032AF" w:rsidRPr="00485139"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The reviewing court must consider the totality of the circumstances, as opposed to focusing on isolated passages of the ITO. </w:t>
      </w:r>
      <w:r w:rsidR="00AA7203">
        <w:rPr>
          <w:rFonts w:ascii="Times New Roman" w:hAnsi="Times New Roman" w:cs="Times New Roman"/>
          <w:sz w:val="28"/>
          <w:szCs w:val="28"/>
        </w:rPr>
        <w:t xml:space="preserve"> </w:t>
      </w:r>
      <w:r w:rsidRPr="00A6059D">
        <w:rPr>
          <w:rFonts w:ascii="Times New Roman" w:hAnsi="Times New Roman" w:cs="Times New Roman"/>
          <w:sz w:val="28"/>
          <w:szCs w:val="28"/>
        </w:rPr>
        <w:t xml:space="preserve">The analysis is contextual and must be approached on a practical, non-technical basis, recognizing that issuing justices are entitled to draw common sense inferences from the information contained in the ITO.  The question to be answered is whether there was reliable evidence that might reasonably be believed on the basis of which the warrant could have issued. </w:t>
      </w:r>
      <w:r w:rsidRPr="000B4D5C">
        <w:rPr>
          <w:rFonts w:ascii="Times New Roman" w:hAnsi="Times New Roman" w:cs="Times New Roman"/>
          <w:i/>
          <w:sz w:val="28"/>
          <w:szCs w:val="28"/>
        </w:rPr>
        <w:t>Clow</w:t>
      </w:r>
      <w:r w:rsidRPr="00A6059D">
        <w:rPr>
          <w:rFonts w:ascii="Times New Roman" w:hAnsi="Times New Roman" w:cs="Times New Roman"/>
          <w:sz w:val="28"/>
          <w:szCs w:val="28"/>
        </w:rPr>
        <w:t>, para 25.</w:t>
      </w:r>
    </w:p>
    <w:p w:rsidR="00F032AF" w:rsidRPr="00A6059D" w:rsidRDefault="00F032AF"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I would add that the reviewing court also has the discretion to set aside a search warrant, even if the grounds were sufficient, if the court is satisfied that the conduct of the police amounted to a subversion of the pre-authorizat</w:t>
      </w:r>
      <w:r w:rsidR="00AA7203">
        <w:rPr>
          <w:rFonts w:ascii="Times New Roman" w:hAnsi="Times New Roman" w:cs="Times New Roman"/>
          <w:sz w:val="28"/>
          <w:szCs w:val="28"/>
        </w:rPr>
        <w:t xml:space="preserve">ion process. </w:t>
      </w:r>
      <w:r w:rsidRPr="000B4D5C">
        <w:rPr>
          <w:rFonts w:ascii="Times New Roman" w:hAnsi="Times New Roman" w:cs="Times New Roman"/>
          <w:i/>
          <w:sz w:val="28"/>
          <w:szCs w:val="28"/>
        </w:rPr>
        <w:t>R v Morris</w:t>
      </w:r>
      <w:r w:rsidRPr="00A6059D">
        <w:rPr>
          <w:rFonts w:ascii="Times New Roman" w:hAnsi="Times New Roman" w:cs="Times New Roman"/>
          <w:sz w:val="28"/>
          <w:szCs w:val="28"/>
        </w:rPr>
        <w:t xml:space="preserve"> (1998), 134 CCC (3d) 539 (N.S.C.A.); </w:t>
      </w:r>
      <w:r w:rsidRPr="000B4D5C">
        <w:rPr>
          <w:rFonts w:ascii="Times New Roman" w:hAnsi="Times New Roman" w:cs="Times New Roman"/>
          <w:i/>
          <w:sz w:val="28"/>
          <w:szCs w:val="28"/>
        </w:rPr>
        <w:t>Araujo</w:t>
      </w:r>
      <w:r w:rsidRPr="00A6059D">
        <w:rPr>
          <w:rFonts w:ascii="Times New Roman" w:hAnsi="Times New Roman" w:cs="Times New Roman"/>
          <w:sz w:val="28"/>
          <w:szCs w:val="28"/>
        </w:rPr>
        <w:t xml:space="preserve">, para 54; </w:t>
      </w:r>
      <w:r w:rsidRPr="000B4D5C">
        <w:rPr>
          <w:rFonts w:ascii="Times New Roman" w:hAnsi="Times New Roman" w:cs="Times New Roman"/>
          <w:i/>
          <w:sz w:val="28"/>
          <w:szCs w:val="28"/>
        </w:rPr>
        <w:t>R v Paryniuk</w:t>
      </w:r>
      <w:r w:rsidR="00AA7203">
        <w:rPr>
          <w:rFonts w:ascii="Times New Roman" w:hAnsi="Times New Roman" w:cs="Times New Roman"/>
          <w:sz w:val="28"/>
          <w:szCs w:val="28"/>
        </w:rPr>
        <w:t xml:space="preserve">, 2017 ONCA 87, para 66. </w:t>
      </w:r>
      <w:r w:rsidRPr="00A6059D">
        <w:rPr>
          <w:rFonts w:ascii="Times New Roman" w:hAnsi="Times New Roman" w:cs="Times New Roman"/>
          <w:sz w:val="28"/>
          <w:szCs w:val="28"/>
        </w:rPr>
        <w:t xml:space="preserve"> While this was invoked as one of the reasons to set aside the search warrant in the Notice of Motion that Mr. Khatib filed on October 30, 2019, he abandoned that line of argument at the conclusion of the </w:t>
      </w:r>
      <w:r w:rsidRPr="000B4D5C">
        <w:rPr>
          <w:rFonts w:ascii="Times New Roman" w:hAnsi="Times New Roman" w:cs="Times New Roman"/>
          <w:i/>
          <w:sz w:val="28"/>
          <w:szCs w:val="28"/>
        </w:rPr>
        <w:t>voir dire</w:t>
      </w:r>
      <w:r w:rsidR="00AA7203">
        <w:rPr>
          <w:rFonts w:ascii="Times New Roman" w:hAnsi="Times New Roman" w:cs="Times New Roman"/>
          <w:sz w:val="28"/>
          <w:szCs w:val="28"/>
        </w:rPr>
        <w:t xml:space="preserve">.  In my </w:t>
      </w:r>
      <w:r w:rsidRPr="00A6059D">
        <w:rPr>
          <w:rFonts w:ascii="Times New Roman" w:hAnsi="Times New Roman" w:cs="Times New Roman"/>
          <w:sz w:val="28"/>
          <w:szCs w:val="28"/>
        </w:rPr>
        <w:t>view, that was a realistic and fair concession in light of the evidence.</w:t>
      </w:r>
    </w:p>
    <w:p w:rsidR="00455151" w:rsidRDefault="00455151" w:rsidP="000238F4">
      <w:pPr>
        <w:pStyle w:val="ListParagraph"/>
        <w:spacing w:after="240" w:line="240" w:lineRule="auto"/>
        <w:ind w:left="0"/>
        <w:contextualSpacing w:val="0"/>
        <w:jc w:val="both"/>
        <w:rPr>
          <w:rFonts w:ascii="Times New Roman" w:hAnsi="Times New Roman" w:cs="Times New Roman"/>
          <w:b/>
          <w:sz w:val="28"/>
          <w:szCs w:val="28"/>
        </w:rPr>
      </w:pPr>
    </w:p>
    <w:p w:rsidR="00F032AF" w:rsidRPr="00AA7203" w:rsidRDefault="00A6059D" w:rsidP="000238F4">
      <w:pPr>
        <w:pStyle w:val="ListParagraph"/>
        <w:spacing w:after="240" w:line="240" w:lineRule="auto"/>
        <w:ind w:left="0"/>
        <w:contextualSpacing w:val="0"/>
        <w:jc w:val="both"/>
        <w:rPr>
          <w:rFonts w:ascii="Times New Roman" w:hAnsi="Times New Roman" w:cs="Times New Roman"/>
          <w:b/>
          <w:sz w:val="28"/>
          <w:szCs w:val="28"/>
        </w:rPr>
      </w:pPr>
      <w:r w:rsidRPr="00A6059D">
        <w:rPr>
          <w:rFonts w:ascii="Times New Roman" w:hAnsi="Times New Roman" w:cs="Times New Roman"/>
          <w:b/>
          <w:sz w:val="28"/>
          <w:szCs w:val="28"/>
        </w:rPr>
        <w:lastRenderedPageBreak/>
        <w:t>III)</w:t>
      </w:r>
      <w:r w:rsidRPr="00A6059D">
        <w:rPr>
          <w:rFonts w:ascii="Times New Roman" w:hAnsi="Times New Roman" w:cs="Times New Roman"/>
          <w:b/>
          <w:sz w:val="28"/>
          <w:szCs w:val="28"/>
        </w:rPr>
        <w:tab/>
        <w:t>ANALYSIS</w:t>
      </w:r>
    </w:p>
    <w:p w:rsidR="00A6059D" w:rsidRPr="00485139"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1. Errors and inaccuracies raised by Mr. Khatib</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ITO begins with introductory paragraphs that include definitions, information about the various police officers mentioned in the document, and a description of the databases that were used in the investigation.</w:t>
      </w:r>
    </w:p>
    <w:p w:rsidR="00A6059D" w:rsidRPr="00C61F4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Paragraphs 5 to 25 set out the grounds for Cst. Main's belief.</w:t>
      </w:r>
      <w:r w:rsidR="00C61F40">
        <w:rPr>
          <w:rFonts w:ascii="Times New Roman" w:hAnsi="Times New Roman" w:cs="Times New Roman"/>
          <w:sz w:val="28"/>
          <w:szCs w:val="28"/>
        </w:rPr>
        <w:t xml:space="preserve">  </w:t>
      </w:r>
      <w:r w:rsidRPr="00C61F40">
        <w:rPr>
          <w:rFonts w:ascii="Times New Roman" w:hAnsi="Times New Roman" w:cs="Times New Roman"/>
          <w:sz w:val="28"/>
          <w:szCs w:val="28"/>
        </w:rPr>
        <w:t>These grounds include reference to anonymous complaints received by the Inuvik R.C.M.P. (in August 2017) and by the mayor of Inuvik (in September 2017) about Mr. Khatib illegally selling liquor and drugs from his residence; observations made o</w:t>
      </w:r>
      <w:r w:rsidR="00C61F40">
        <w:rPr>
          <w:rFonts w:ascii="Times New Roman" w:hAnsi="Times New Roman" w:cs="Times New Roman"/>
          <w:sz w:val="28"/>
          <w:szCs w:val="28"/>
        </w:rPr>
        <w:t>f</w:t>
      </w:r>
      <w:r w:rsidRPr="00C61F40">
        <w:rPr>
          <w:rFonts w:ascii="Times New Roman" w:hAnsi="Times New Roman" w:cs="Times New Roman"/>
          <w:sz w:val="28"/>
          <w:szCs w:val="28"/>
        </w:rPr>
        <w:t xml:space="preserve"> several people attending 22 Kugmallit Road and engaging in hand-to-hand exchanges with Mr. Khatib; information that Cst. Main received from named citizens of Inuvik suggesting suspicious activities at 22 Kugmallit Road and that Mr. Khatib was selling drugs at that</w:t>
      </w:r>
      <w:r w:rsidR="009C0A37" w:rsidRPr="00C61F40">
        <w:rPr>
          <w:rFonts w:ascii="Times New Roman" w:hAnsi="Times New Roman" w:cs="Times New Roman"/>
          <w:sz w:val="28"/>
          <w:szCs w:val="28"/>
        </w:rPr>
        <w:t xml:space="preserve"> address. </w:t>
      </w:r>
      <w:r w:rsidRPr="00C61F40">
        <w:rPr>
          <w:rFonts w:ascii="Times New Roman" w:hAnsi="Times New Roman" w:cs="Times New Roman"/>
          <w:sz w:val="28"/>
          <w:szCs w:val="28"/>
        </w:rPr>
        <w:t xml:space="preserve"> The ITO also outlines charges that were laid against Mr. Khatib between 2008 and 2017, most of which were later stayed by the Crown.</w:t>
      </w:r>
    </w:p>
    <w:p w:rsidR="00A6059D" w:rsidRPr="000B4D5C"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Mr. Khatib raises a number of concerns about the ITO. </w:t>
      </w:r>
    </w:p>
    <w:p w:rsidR="00A6059D" w:rsidRPr="000B4D5C"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a) Date that the ITO was sworn</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The first issue has to do with confusion about the date when the ITO was sworn.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investigation began on October 4, 2017.  Cst. Main testified that he drafted the ITO over a period of time, adding elements to it as the investigation continued and genera</w:t>
      </w:r>
      <w:r w:rsidR="009C0A37">
        <w:rPr>
          <w:rFonts w:ascii="Times New Roman" w:hAnsi="Times New Roman" w:cs="Times New Roman"/>
          <w:sz w:val="28"/>
          <w:szCs w:val="28"/>
        </w:rPr>
        <w:t xml:space="preserve">ted additional information. </w:t>
      </w:r>
      <w:r w:rsidRPr="00A6059D">
        <w:rPr>
          <w:rFonts w:ascii="Times New Roman" w:hAnsi="Times New Roman" w:cs="Times New Roman"/>
          <w:sz w:val="28"/>
          <w:szCs w:val="28"/>
        </w:rPr>
        <w:t xml:space="preserve"> Cst. Main was not working solely on this investigation.  He was also attending to other general police duties and calls for service during this period of time.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swearing date that appears on the last page of the ITO is October 18, 2017.</w:t>
      </w:r>
      <w:r w:rsidR="009C0A37">
        <w:rPr>
          <w:rFonts w:ascii="Times New Roman" w:hAnsi="Times New Roman" w:cs="Times New Roman"/>
          <w:sz w:val="28"/>
          <w:szCs w:val="28"/>
        </w:rPr>
        <w:t xml:space="preserve"> </w:t>
      </w:r>
      <w:r w:rsidRPr="00A6059D">
        <w:rPr>
          <w:rFonts w:ascii="Times New Roman" w:hAnsi="Times New Roman" w:cs="Times New Roman"/>
          <w:sz w:val="28"/>
          <w:szCs w:val="28"/>
        </w:rPr>
        <w:t xml:space="preserve"> However, paragraph 20 of the ITO refers to surveillance conducted on October 19, 2017.  This means that either the ITO was not sworn on October 18, or that the information about the October 19 surveillance was added to the document after it was sworn.</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A typographical error as to the swearing date may well be the type of technical error that can be cured through the process of amplification, referred to above at Paragraph</w:t>
      </w:r>
      <w:r w:rsidR="007929A9">
        <w:rPr>
          <w:rFonts w:ascii="Times New Roman" w:hAnsi="Times New Roman" w:cs="Times New Roman"/>
          <w:sz w:val="28"/>
          <w:szCs w:val="28"/>
        </w:rPr>
        <w:t>s</w:t>
      </w:r>
      <w:r w:rsidRPr="00A6059D">
        <w:rPr>
          <w:rFonts w:ascii="Times New Roman" w:hAnsi="Times New Roman" w:cs="Times New Roman"/>
          <w:sz w:val="28"/>
          <w:szCs w:val="28"/>
        </w:rPr>
        <w:t xml:space="preserve"> </w:t>
      </w:r>
      <w:r w:rsidR="007929A9">
        <w:rPr>
          <w:rFonts w:ascii="Times New Roman" w:hAnsi="Times New Roman" w:cs="Times New Roman"/>
          <w:sz w:val="28"/>
          <w:szCs w:val="28"/>
        </w:rPr>
        <w:t>1</w:t>
      </w:r>
      <w:r w:rsidR="00C61F40">
        <w:rPr>
          <w:rFonts w:ascii="Times New Roman" w:hAnsi="Times New Roman" w:cs="Times New Roman"/>
          <w:sz w:val="28"/>
          <w:szCs w:val="28"/>
        </w:rPr>
        <w:t>1</w:t>
      </w:r>
      <w:r w:rsidR="007929A9">
        <w:rPr>
          <w:rFonts w:ascii="Times New Roman" w:hAnsi="Times New Roman" w:cs="Times New Roman"/>
          <w:sz w:val="28"/>
          <w:szCs w:val="28"/>
        </w:rPr>
        <w:t xml:space="preserve"> and 1</w:t>
      </w:r>
      <w:r w:rsidR="00C61F40">
        <w:rPr>
          <w:rFonts w:ascii="Times New Roman" w:hAnsi="Times New Roman" w:cs="Times New Roman"/>
          <w:sz w:val="28"/>
          <w:szCs w:val="28"/>
        </w:rPr>
        <w:t>2</w:t>
      </w:r>
      <w:r w:rsidR="007929A9">
        <w:rPr>
          <w:rFonts w:ascii="Times New Roman" w:hAnsi="Times New Roman" w:cs="Times New Roman"/>
          <w:sz w:val="28"/>
          <w:szCs w:val="28"/>
        </w:rPr>
        <w:t>.</w:t>
      </w:r>
      <w:r w:rsidRPr="00A6059D">
        <w:rPr>
          <w:rFonts w:ascii="Times New Roman" w:hAnsi="Times New Roman" w:cs="Times New Roman"/>
          <w:sz w:val="28"/>
          <w:szCs w:val="28"/>
        </w:rPr>
        <w:t xml:space="preserve">  This could only be done in this case if the evidence established that the discrepancy was indeed the result of a simple typographical </w:t>
      </w:r>
      <w:r w:rsidRPr="00A6059D">
        <w:rPr>
          <w:rFonts w:ascii="Times New Roman" w:hAnsi="Times New Roman" w:cs="Times New Roman"/>
          <w:sz w:val="28"/>
          <w:szCs w:val="28"/>
        </w:rPr>
        <w:lastRenderedPageBreak/>
        <w:t xml:space="preserve">error.  Such is not the case.  Cst. Main's evidence about when he swore the ITO was contradictory and ultimately quite confusing.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In Examination-in-Chief, he testified that the ITO was sworn on October 18.  Crown counsel drew his attention to the reference to the October 19 surveillance and asked if he could account for this discrepancy.  Cst. Main answered:</w:t>
      </w:r>
    </w:p>
    <w:p w:rsidR="00A6059D" w:rsidRPr="000B4D5C" w:rsidRDefault="00A6059D" w:rsidP="000238F4">
      <w:pPr>
        <w:pStyle w:val="ListParagraph"/>
        <w:spacing w:after="240" w:line="240" w:lineRule="auto"/>
        <w:ind w:left="284" w:right="284"/>
        <w:contextualSpacing w:val="0"/>
        <w:jc w:val="both"/>
        <w:rPr>
          <w:rFonts w:ascii="Times New Roman" w:hAnsi="Times New Roman" w:cs="Times New Roman"/>
          <w:sz w:val="24"/>
          <w:szCs w:val="24"/>
        </w:rPr>
      </w:pPr>
      <w:r w:rsidRPr="000B4D5C">
        <w:rPr>
          <w:rFonts w:ascii="Times New Roman" w:hAnsi="Times New Roman" w:cs="Times New Roman"/>
          <w:sz w:val="24"/>
          <w:szCs w:val="24"/>
        </w:rPr>
        <w:t>(...) the only thing I can think of is that I indicated October 18 when, in fact, it should have reflected the 20th of October, the same day the application was made.</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Crown counsel then had Cst. Main refresh his memory by referring to entries he made in his "general reports".</w:t>
      </w:r>
      <w:r w:rsidR="009C0A37">
        <w:rPr>
          <w:rFonts w:ascii="Times New Roman" w:hAnsi="Times New Roman" w:cs="Times New Roman"/>
          <w:sz w:val="28"/>
          <w:szCs w:val="28"/>
        </w:rPr>
        <w:t xml:space="preserve"> </w:t>
      </w:r>
      <w:r w:rsidRPr="00A6059D">
        <w:rPr>
          <w:rFonts w:ascii="Times New Roman" w:hAnsi="Times New Roman" w:cs="Times New Roman"/>
          <w:sz w:val="28"/>
          <w:szCs w:val="28"/>
        </w:rPr>
        <w:t xml:space="preserve"> General reports are essentially running notes that police officers create using th</w:t>
      </w:r>
      <w:r w:rsidR="009C0A37">
        <w:rPr>
          <w:rFonts w:ascii="Times New Roman" w:hAnsi="Times New Roman" w:cs="Times New Roman"/>
          <w:sz w:val="28"/>
          <w:szCs w:val="28"/>
        </w:rPr>
        <w:t xml:space="preserve">e R.C.M.P.'s computer system.  </w:t>
      </w:r>
      <w:r w:rsidRPr="00A6059D">
        <w:rPr>
          <w:rFonts w:ascii="Times New Roman" w:hAnsi="Times New Roman" w:cs="Times New Roman"/>
          <w:sz w:val="28"/>
          <w:szCs w:val="28"/>
        </w:rPr>
        <w:t xml:space="preserve">My understanding of the evidence is that usually, a general report is created for each investigation and gets updated with additional notes as the investigation progresses.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For this investigation Cst. Main created two general reports.  He explained that he created the first one in the usual course and entered notes in it.  For an unknown reason, that report became "locked" in the system such that it could no longer be updated with new notes.  This was why Cst. Main created the second one.</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Cst. Main testified he noted the date of the swearing of the ITO in this second report.</w:t>
      </w:r>
      <w:r w:rsidR="009C0A37">
        <w:rPr>
          <w:rFonts w:ascii="Times New Roman" w:hAnsi="Times New Roman" w:cs="Times New Roman"/>
          <w:sz w:val="28"/>
          <w:szCs w:val="28"/>
        </w:rPr>
        <w:t xml:space="preserve"> </w:t>
      </w:r>
      <w:r w:rsidRPr="00A6059D">
        <w:rPr>
          <w:rFonts w:ascii="Times New Roman" w:hAnsi="Times New Roman" w:cs="Times New Roman"/>
          <w:sz w:val="28"/>
          <w:szCs w:val="28"/>
        </w:rPr>
        <w:t xml:space="preserve"> After having refreshed his memory with the report, he testified that the ITO was completed on October 20, 2017, the same day the search warrant was issued.</w:t>
      </w:r>
    </w:p>
    <w:p w:rsidR="00A6059D" w:rsidRPr="000B4D5C"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However, in Cross-Examination, Mr. Khatib's counsel asked questions about this issue, suggesting that perhaps the ITO was not in fact sworn on October 20:</w:t>
      </w:r>
    </w:p>
    <w:p w:rsidR="00A6059D" w:rsidRPr="000B4D5C" w:rsidRDefault="00A6059D" w:rsidP="000238F4">
      <w:pPr>
        <w:pStyle w:val="ListParagraph"/>
        <w:spacing w:after="240" w:line="240" w:lineRule="auto"/>
        <w:ind w:left="284" w:right="284"/>
        <w:contextualSpacing w:val="0"/>
        <w:jc w:val="both"/>
        <w:rPr>
          <w:rFonts w:ascii="Times New Roman" w:hAnsi="Times New Roman" w:cs="Times New Roman"/>
          <w:sz w:val="24"/>
          <w:szCs w:val="24"/>
        </w:rPr>
      </w:pPr>
      <w:r w:rsidRPr="000B4D5C">
        <w:rPr>
          <w:rFonts w:ascii="Times New Roman" w:hAnsi="Times New Roman" w:cs="Times New Roman"/>
          <w:sz w:val="24"/>
          <w:szCs w:val="24"/>
        </w:rPr>
        <w:t>Q. Constable Main, I'm going to suggest to you that you di</w:t>
      </w:r>
      <w:r w:rsidR="009C0A37">
        <w:rPr>
          <w:rFonts w:ascii="Times New Roman" w:hAnsi="Times New Roman" w:cs="Times New Roman"/>
          <w:sz w:val="24"/>
          <w:szCs w:val="24"/>
        </w:rPr>
        <w:t>d swear the ITO on October 18th</w:t>
      </w:r>
      <w:r w:rsidRPr="000B4D5C">
        <w:rPr>
          <w:rFonts w:ascii="Times New Roman" w:hAnsi="Times New Roman" w:cs="Times New Roman"/>
          <w:sz w:val="24"/>
          <w:szCs w:val="24"/>
        </w:rPr>
        <w:t xml:space="preserve"> but then did make some additional surveillance observations on October 19th.</w:t>
      </w:r>
    </w:p>
    <w:p w:rsidR="00A6059D" w:rsidRPr="009C0A37" w:rsidRDefault="00A6059D" w:rsidP="000238F4">
      <w:pPr>
        <w:pStyle w:val="ListParagraph"/>
        <w:spacing w:after="240" w:line="240" w:lineRule="auto"/>
        <w:ind w:left="284" w:right="284"/>
        <w:contextualSpacing w:val="0"/>
        <w:jc w:val="both"/>
        <w:rPr>
          <w:rFonts w:ascii="Times New Roman" w:hAnsi="Times New Roman" w:cs="Times New Roman"/>
          <w:sz w:val="24"/>
          <w:szCs w:val="24"/>
        </w:rPr>
      </w:pPr>
      <w:r w:rsidRPr="000B4D5C">
        <w:rPr>
          <w:rFonts w:ascii="Times New Roman" w:hAnsi="Times New Roman" w:cs="Times New Roman"/>
          <w:sz w:val="24"/>
          <w:szCs w:val="24"/>
        </w:rPr>
        <w:t xml:space="preserve">A. Okay. Yeah, I can't refute that. I - -  I can't </w:t>
      </w:r>
      <w:r w:rsidR="007929A9">
        <w:rPr>
          <w:rFonts w:ascii="Times New Roman" w:hAnsi="Times New Roman" w:cs="Times New Roman"/>
          <w:sz w:val="24"/>
          <w:szCs w:val="24"/>
        </w:rPr>
        <w:t>say</w:t>
      </w:r>
      <w:r w:rsidRPr="000B4D5C">
        <w:rPr>
          <w:rFonts w:ascii="Times New Roman" w:hAnsi="Times New Roman" w:cs="Times New Roman"/>
          <w:sz w:val="24"/>
          <w:szCs w:val="24"/>
        </w:rPr>
        <w:t xml:space="preserve"> with certainty that that was not the case.</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light of this evidence, considerable confusion remains about the date on which the ITO was sworn.  The evidence leaves open the possibility that the details about the October 19 </w:t>
      </w:r>
      <w:r w:rsidRPr="007929A9">
        <w:rPr>
          <w:rFonts w:ascii="Times New Roman" w:hAnsi="Times New Roman" w:cs="Times New Roman"/>
          <w:sz w:val="28"/>
          <w:szCs w:val="28"/>
        </w:rPr>
        <w:t>su</w:t>
      </w:r>
      <w:r w:rsidR="007929A9" w:rsidRPr="007929A9">
        <w:rPr>
          <w:rFonts w:ascii="Times New Roman" w:hAnsi="Times New Roman" w:cs="Times New Roman"/>
          <w:sz w:val="28"/>
          <w:szCs w:val="28"/>
        </w:rPr>
        <w:t>r</w:t>
      </w:r>
      <w:r w:rsidRPr="007929A9">
        <w:rPr>
          <w:rFonts w:ascii="Times New Roman" w:hAnsi="Times New Roman" w:cs="Times New Roman"/>
          <w:sz w:val="28"/>
          <w:szCs w:val="28"/>
        </w:rPr>
        <w:t>veil</w:t>
      </w:r>
      <w:r w:rsidRPr="00A6059D">
        <w:rPr>
          <w:rFonts w:ascii="Times New Roman" w:hAnsi="Times New Roman" w:cs="Times New Roman"/>
          <w:sz w:val="28"/>
          <w:szCs w:val="28"/>
        </w:rPr>
        <w:t xml:space="preserve">lance may not have been part of the document that was sworn, </w:t>
      </w:r>
      <w:r w:rsidR="00E23EA6">
        <w:rPr>
          <w:rFonts w:ascii="Times New Roman" w:hAnsi="Times New Roman" w:cs="Times New Roman"/>
          <w:sz w:val="28"/>
          <w:szCs w:val="28"/>
        </w:rPr>
        <w:t>but</w:t>
      </w:r>
      <w:r w:rsidR="009C0A37">
        <w:rPr>
          <w:rFonts w:ascii="Times New Roman" w:hAnsi="Times New Roman" w:cs="Times New Roman"/>
          <w:sz w:val="28"/>
          <w:szCs w:val="28"/>
        </w:rPr>
        <w:t xml:space="preserve"> were added after the fact. </w:t>
      </w:r>
      <w:r w:rsidRPr="00A6059D">
        <w:rPr>
          <w:rFonts w:ascii="Times New Roman" w:hAnsi="Times New Roman" w:cs="Times New Roman"/>
          <w:sz w:val="28"/>
          <w:szCs w:val="28"/>
        </w:rPr>
        <w:t xml:space="preserve"> This is not the type of error that can be cured through amplification.</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That being so, I conclude that for the purposes of my analysis of the sufficiency of the grounds, the infor</w:t>
      </w:r>
      <w:r w:rsidR="009C0A37">
        <w:rPr>
          <w:rFonts w:ascii="Times New Roman" w:hAnsi="Times New Roman" w:cs="Times New Roman"/>
          <w:sz w:val="28"/>
          <w:szCs w:val="28"/>
        </w:rPr>
        <w:t>mation included at paragraph 20</w:t>
      </w:r>
      <w:r w:rsidRPr="00A6059D">
        <w:rPr>
          <w:rFonts w:ascii="Times New Roman" w:hAnsi="Times New Roman" w:cs="Times New Roman"/>
          <w:sz w:val="28"/>
          <w:szCs w:val="28"/>
        </w:rPr>
        <w:t xml:space="preserve"> of the ITO, dealing with the observations made during the October 19 surveillance, must be disregarded.</w:t>
      </w:r>
    </w:p>
    <w:p w:rsidR="00A6059D" w:rsidRPr="00A6059D"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lastRenderedPageBreak/>
        <w:t>b) Status of charges that Mr. Khatib was facing in October 2017</w:t>
      </w:r>
    </w:p>
    <w:p w:rsidR="00A6059D" w:rsidRPr="000B4D5C"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At paragraph 23 of the ITO, Cst. Main sets out the results of queries he made about Mr. Khatib, using the R.C.M.P.'s Police Reporting and </w:t>
      </w:r>
      <w:r w:rsidRPr="007929A9">
        <w:rPr>
          <w:rFonts w:ascii="Times New Roman" w:hAnsi="Times New Roman" w:cs="Times New Roman"/>
          <w:sz w:val="28"/>
          <w:szCs w:val="28"/>
        </w:rPr>
        <w:t>Occur</w:t>
      </w:r>
      <w:r w:rsidR="007929A9" w:rsidRPr="007929A9">
        <w:rPr>
          <w:rFonts w:ascii="Times New Roman" w:hAnsi="Times New Roman" w:cs="Times New Roman"/>
          <w:sz w:val="28"/>
          <w:szCs w:val="28"/>
        </w:rPr>
        <w:t>r</w:t>
      </w:r>
      <w:r w:rsidRPr="007929A9">
        <w:rPr>
          <w:rFonts w:ascii="Times New Roman" w:hAnsi="Times New Roman" w:cs="Times New Roman"/>
          <w:sz w:val="28"/>
          <w:szCs w:val="28"/>
        </w:rPr>
        <w:t>en</w:t>
      </w:r>
      <w:r w:rsidRPr="00A6059D">
        <w:rPr>
          <w:rFonts w:ascii="Times New Roman" w:hAnsi="Times New Roman" w:cs="Times New Roman"/>
          <w:sz w:val="28"/>
          <w:szCs w:val="28"/>
        </w:rPr>
        <w:t>ces System (PROS).  Subparagraph 23(h) reads as follows</w:t>
      </w:r>
      <w:r w:rsidR="000B4D5C">
        <w:rPr>
          <w:rFonts w:ascii="Times New Roman" w:hAnsi="Times New Roman" w:cs="Times New Roman"/>
          <w:sz w:val="28"/>
          <w:szCs w:val="28"/>
        </w:rPr>
        <w:t>:</w:t>
      </w:r>
    </w:p>
    <w:p w:rsidR="00A6059D" w:rsidRPr="00485139" w:rsidRDefault="00A6059D" w:rsidP="000238F4">
      <w:pPr>
        <w:pStyle w:val="ListParagraph"/>
        <w:spacing w:after="240" w:line="240" w:lineRule="auto"/>
        <w:ind w:left="284" w:right="284"/>
        <w:contextualSpacing w:val="0"/>
        <w:jc w:val="both"/>
        <w:rPr>
          <w:rFonts w:ascii="Times New Roman" w:hAnsi="Times New Roman" w:cs="Times New Roman"/>
          <w:sz w:val="24"/>
          <w:szCs w:val="24"/>
        </w:rPr>
      </w:pPr>
      <w:r w:rsidRPr="000B4D5C">
        <w:rPr>
          <w:rFonts w:ascii="Times New Roman" w:hAnsi="Times New Roman" w:cs="Times New Roman"/>
          <w:sz w:val="24"/>
          <w:szCs w:val="24"/>
        </w:rPr>
        <w:t>Talal was arrested on January 1, 2017 and charged with possession for the purpose of trafficking of cannabis marihuana, cocaine and salvia, possession of a weapon for dangerous purpose and failing to comply with condition of undertaking or recognizance.</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Cst. Main was aware that if he referred to charges that had been dismissed or stayed, it was important to make that clear. </w:t>
      </w:r>
      <w:r w:rsidR="009C0A37">
        <w:rPr>
          <w:rFonts w:ascii="Times New Roman" w:hAnsi="Times New Roman" w:cs="Times New Roman"/>
          <w:sz w:val="28"/>
          <w:szCs w:val="28"/>
        </w:rPr>
        <w:t xml:space="preserve"> </w:t>
      </w:r>
      <w:r w:rsidRPr="00A6059D">
        <w:rPr>
          <w:rFonts w:ascii="Times New Roman" w:hAnsi="Times New Roman" w:cs="Times New Roman"/>
          <w:sz w:val="28"/>
          <w:szCs w:val="28"/>
        </w:rPr>
        <w:t>He did so with respect to the charges he referred t</w:t>
      </w:r>
      <w:r w:rsidR="009C0A37">
        <w:rPr>
          <w:rFonts w:ascii="Times New Roman" w:hAnsi="Times New Roman" w:cs="Times New Roman"/>
          <w:sz w:val="28"/>
          <w:szCs w:val="28"/>
        </w:rPr>
        <w:t xml:space="preserve">o at paragraphs 23(d) to (g).  </w:t>
      </w:r>
      <w:r w:rsidRPr="00A6059D">
        <w:rPr>
          <w:rFonts w:ascii="Times New Roman" w:hAnsi="Times New Roman" w:cs="Times New Roman"/>
          <w:sz w:val="28"/>
          <w:szCs w:val="28"/>
        </w:rPr>
        <w:t xml:space="preserve">By contrast, paragraph 23(h) simply refers to Mr. Khatib being charged.  It leaves the impression that those charges are still pending.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When he was cross-examined about </w:t>
      </w:r>
      <w:r w:rsidR="00C61F40">
        <w:rPr>
          <w:rFonts w:ascii="Times New Roman" w:hAnsi="Times New Roman" w:cs="Times New Roman"/>
          <w:sz w:val="28"/>
          <w:szCs w:val="28"/>
        </w:rPr>
        <w:t xml:space="preserve">his understanding of </w:t>
      </w:r>
      <w:r w:rsidRPr="00A6059D">
        <w:rPr>
          <w:rFonts w:ascii="Times New Roman" w:hAnsi="Times New Roman" w:cs="Times New Roman"/>
          <w:sz w:val="28"/>
          <w:szCs w:val="28"/>
        </w:rPr>
        <w:t>the status of the January 2017 charges at the time he swore the I</w:t>
      </w:r>
      <w:r w:rsidR="009C0A37">
        <w:rPr>
          <w:rFonts w:ascii="Times New Roman" w:hAnsi="Times New Roman" w:cs="Times New Roman"/>
          <w:sz w:val="28"/>
          <w:szCs w:val="28"/>
        </w:rPr>
        <w:t>TO, Cst. Main testified that he</w:t>
      </w:r>
      <w:r w:rsidRPr="00A6059D">
        <w:rPr>
          <w:rFonts w:ascii="Times New Roman" w:hAnsi="Times New Roman" w:cs="Times New Roman"/>
          <w:sz w:val="28"/>
          <w:szCs w:val="28"/>
        </w:rPr>
        <w:t xml:space="preserve"> understood, at the time, that they were all still outstanding.  Mr. Khatib's counsel then referred Cst. Main to a note in one of the general reports where he indicated that the cannabis and trafficking cocaine charges were pending and the remaining ones were withdrawn.  Cst. Main acknowledged </w:t>
      </w:r>
      <w:r w:rsidR="00C61F40">
        <w:rPr>
          <w:rFonts w:ascii="Times New Roman" w:hAnsi="Times New Roman" w:cs="Times New Roman"/>
          <w:sz w:val="28"/>
          <w:szCs w:val="28"/>
        </w:rPr>
        <w:t>his error, and that the ITO did not in fact reflect his understanding of matters at the time</w:t>
      </w:r>
      <w:r w:rsidRPr="00A6059D">
        <w:rPr>
          <w:rFonts w:ascii="Times New Roman" w:hAnsi="Times New Roman" w:cs="Times New Roman"/>
          <w:sz w:val="28"/>
          <w:szCs w:val="28"/>
        </w:rPr>
        <w:t>.</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As it turns out, what Cst. Main recorded in the general report was not entirely accurate.  Copies of court records filed as an exhibit on the </w:t>
      </w:r>
      <w:r w:rsidRPr="00382461">
        <w:rPr>
          <w:rFonts w:ascii="Times New Roman" w:hAnsi="Times New Roman" w:cs="Times New Roman"/>
          <w:i/>
          <w:sz w:val="28"/>
          <w:szCs w:val="28"/>
        </w:rPr>
        <w:t>voir dire</w:t>
      </w:r>
      <w:r w:rsidR="00E23EA6">
        <w:rPr>
          <w:rFonts w:ascii="Times New Roman" w:hAnsi="Times New Roman" w:cs="Times New Roman"/>
          <w:sz w:val="28"/>
          <w:szCs w:val="28"/>
        </w:rPr>
        <w:t xml:space="preserve"> show that</w:t>
      </w:r>
      <w:r w:rsidRPr="00A6059D">
        <w:rPr>
          <w:rFonts w:ascii="Times New Roman" w:hAnsi="Times New Roman" w:cs="Times New Roman"/>
          <w:sz w:val="28"/>
          <w:szCs w:val="28"/>
        </w:rPr>
        <w:t xml:space="preserve"> Mr. Khatib was ordered to stand trial on the 5 charges on June 6, 2017</w:t>
      </w:r>
      <w:r w:rsidR="00E23EA6">
        <w:rPr>
          <w:rFonts w:ascii="Times New Roman" w:hAnsi="Times New Roman" w:cs="Times New Roman"/>
          <w:sz w:val="28"/>
          <w:szCs w:val="28"/>
        </w:rPr>
        <w:t>.</w:t>
      </w:r>
      <w:r w:rsidRPr="00A6059D">
        <w:rPr>
          <w:rFonts w:ascii="Times New Roman" w:hAnsi="Times New Roman" w:cs="Times New Roman"/>
          <w:sz w:val="28"/>
          <w:szCs w:val="28"/>
        </w:rPr>
        <w:t xml:space="preserve"> </w:t>
      </w:r>
      <w:r w:rsidR="00E23EA6">
        <w:rPr>
          <w:rFonts w:ascii="Times New Roman" w:hAnsi="Times New Roman" w:cs="Times New Roman"/>
          <w:sz w:val="28"/>
          <w:szCs w:val="28"/>
        </w:rPr>
        <w:t xml:space="preserve"> O</w:t>
      </w:r>
      <w:r w:rsidRPr="00A6059D">
        <w:rPr>
          <w:rFonts w:ascii="Times New Roman" w:hAnsi="Times New Roman" w:cs="Times New Roman"/>
          <w:sz w:val="28"/>
          <w:szCs w:val="28"/>
        </w:rPr>
        <w:t xml:space="preserve">n September 8, 2017, Crown filed an Indictment that included two charges (possession of cocaine for the purpose of trafficking and possession of marihuana for the purpose </w:t>
      </w:r>
      <w:r w:rsidR="009C0A37">
        <w:rPr>
          <w:rFonts w:ascii="Times New Roman" w:hAnsi="Times New Roman" w:cs="Times New Roman"/>
          <w:sz w:val="28"/>
          <w:szCs w:val="28"/>
        </w:rPr>
        <w:t>of trafficking)</w:t>
      </w:r>
      <w:r w:rsidR="00E23EA6">
        <w:rPr>
          <w:rFonts w:ascii="Times New Roman" w:hAnsi="Times New Roman" w:cs="Times New Roman"/>
          <w:sz w:val="28"/>
          <w:szCs w:val="28"/>
        </w:rPr>
        <w:t>.</w:t>
      </w:r>
      <w:r w:rsidR="009C0A37">
        <w:rPr>
          <w:rFonts w:ascii="Times New Roman" w:hAnsi="Times New Roman" w:cs="Times New Roman"/>
          <w:sz w:val="28"/>
          <w:szCs w:val="28"/>
        </w:rPr>
        <w:t xml:space="preserve"> </w:t>
      </w:r>
      <w:r w:rsidR="008B0586">
        <w:rPr>
          <w:rFonts w:ascii="Times New Roman" w:hAnsi="Times New Roman" w:cs="Times New Roman"/>
          <w:sz w:val="28"/>
          <w:szCs w:val="28"/>
        </w:rPr>
        <w:t xml:space="preserve"> </w:t>
      </w:r>
      <w:r w:rsidR="00E23EA6">
        <w:rPr>
          <w:rFonts w:ascii="Times New Roman" w:hAnsi="Times New Roman" w:cs="Times New Roman"/>
          <w:sz w:val="28"/>
          <w:szCs w:val="28"/>
        </w:rPr>
        <w:t>T</w:t>
      </w:r>
      <w:r w:rsidRPr="00A6059D">
        <w:rPr>
          <w:rFonts w:ascii="Times New Roman" w:hAnsi="Times New Roman" w:cs="Times New Roman"/>
          <w:sz w:val="28"/>
          <w:szCs w:val="28"/>
        </w:rPr>
        <w:t>he three other charges remained unindicted, but were not stayed or withdrawn.</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Mr. Khatib argues that irrespective of the actual sta</w:t>
      </w:r>
      <w:r w:rsidR="009C0A37">
        <w:rPr>
          <w:rFonts w:ascii="Times New Roman" w:hAnsi="Times New Roman" w:cs="Times New Roman"/>
          <w:sz w:val="28"/>
          <w:szCs w:val="28"/>
        </w:rPr>
        <w:t xml:space="preserve">tus of the unindicted charges, </w:t>
      </w:r>
      <w:r w:rsidRPr="00A6059D">
        <w:rPr>
          <w:rFonts w:ascii="Times New Roman" w:hAnsi="Times New Roman" w:cs="Times New Roman"/>
          <w:sz w:val="28"/>
          <w:szCs w:val="28"/>
        </w:rPr>
        <w:t>what matters is that Cst. Main believed that they were withdrawn and should have included this information in the ITO.  He argues that the reference to the January 2017 charges in paragraph 23(h) of the ITO should be disregarded in analyzing the sufficiency of the grounds.  In the alternative, he argues that the additional information about the status of the 3 unindicted charges should be taken into account.</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my view, Paragraph 23(h) </w:t>
      </w:r>
      <w:r w:rsidR="009C0A37">
        <w:rPr>
          <w:rFonts w:ascii="Times New Roman" w:hAnsi="Times New Roman" w:cs="Times New Roman"/>
          <w:sz w:val="28"/>
          <w:szCs w:val="28"/>
        </w:rPr>
        <w:t xml:space="preserve">of the ITO is not misleading.  </w:t>
      </w:r>
      <w:r w:rsidRPr="00A6059D">
        <w:rPr>
          <w:rFonts w:ascii="Times New Roman" w:hAnsi="Times New Roman" w:cs="Times New Roman"/>
          <w:sz w:val="28"/>
          <w:szCs w:val="28"/>
        </w:rPr>
        <w:t xml:space="preserve">It </w:t>
      </w:r>
      <w:r w:rsidR="005F2040">
        <w:rPr>
          <w:rFonts w:ascii="Times New Roman" w:hAnsi="Times New Roman" w:cs="Times New Roman"/>
          <w:sz w:val="28"/>
          <w:szCs w:val="28"/>
        </w:rPr>
        <w:t xml:space="preserve">does </w:t>
      </w:r>
      <w:r w:rsidRPr="00A6059D">
        <w:rPr>
          <w:rFonts w:ascii="Times New Roman" w:hAnsi="Times New Roman" w:cs="Times New Roman"/>
          <w:sz w:val="28"/>
          <w:szCs w:val="28"/>
        </w:rPr>
        <w:t>leave the impression that all 5 charges were still pending in October 2017</w:t>
      </w:r>
      <w:r w:rsidR="00E23EA6">
        <w:rPr>
          <w:rFonts w:ascii="Times New Roman" w:hAnsi="Times New Roman" w:cs="Times New Roman"/>
          <w:sz w:val="28"/>
          <w:szCs w:val="28"/>
        </w:rPr>
        <w:t>,</w:t>
      </w:r>
      <w:r w:rsidR="005F2040">
        <w:rPr>
          <w:rFonts w:ascii="Times New Roman" w:hAnsi="Times New Roman" w:cs="Times New Roman"/>
          <w:sz w:val="28"/>
          <w:szCs w:val="28"/>
        </w:rPr>
        <w:t xml:space="preserve"> </w:t>
      </w:r>
      <w:r w:rsidR="00AC408B">
        <w:rPr>
          <w:rFonts w:ascii="Times New Roman" w:hAnsi="Times New Roman" w:cs="Times New Roman"/>
          <w:sz w:val="28"/>
          <w:szCs w:val="28"/>
        </w:rPr>
        <w:t>but</w:t>
      </w:r>
      <w:r w:rsidR="00AC408B" w:rsidRPr="00A6059D">
        <w:rPr>
          <w:rFonts w:ascii="Times New Roman" w:hAnsi="Times New Roman" w:cs="Times New Roman"/>
          <w:sz w:val="28"/>
          <w:szCs w:val="28"/>
        </w:rPr>
        <w:t xml:space="preserve"> </w:t>
      </w:r>
      <w:r w:rsidR="00AC408B">
        <w:rPr>
          <w:rFonts w:ascii="Times New Roman" w:hAnsi="Times New Roman" w:cs="Times New Roman"/>
          <w:sz w:val="28"/>
          <w:szCs w:val="28"/>
        </w:rPr>
        <w:t>technically</w:t>
      </w:r>
      <w:r w:rsidRPr="00A6059D">
        <w:rPr>
          <w:rFonts w:ascii="Times New Roman" w:hAnsi="Times New Roman" w:cs="Times New Roman"/>
          <w:sz w:val="28"/>
          <w:szCs w:val="28"/>
        </w:rPr>
        <w:t xml:space="preserve"> that </w:t>
      </w:r>
      <w:r w:rsidRPr="00A6059D">
        <w:rPr>
          <w:rFonts w:ascii="Times New Roman" w:hAnsi="Times New Roman" w:cs="Times New Roman"/>
          <w:sz w:val="28"/>
          <w:szCs w:val="28"/>
        </w:rPr>
        <w:lastRenderedPageBreak/>
        <w:t>was correct.  Mr. Khatib had not b</w:t>
      </w:r>
      <w:r w:rsidR="009C0A37">
        <w:rPr>
          <w:rFonts w:ascii="Times New Roman" w:hAnsi="Times New Roman" w:cs="Times New Roman"/>
          <w:sz w:val="28"/>
          <w:szCs w:val="28"/>
        </w:rPr>
        <w:t>een discharged o</w:t>
      </w:r>
      <w:r w:rsidR="00E23EA6">
        <w:rPr>
          <w:rFonts w:ascii="Times New Roman" w:hAnsi="Times New Roman" w:cs="Times New Roman"/>
          <w:sz w:val="28"/>
          <w:szCs w:val="28"/>
        </w:rPr>
        <w:t>n</w:t>
      </w:r>
      <w:r w:rsidR="009C0A37">
        <w:rPr>
          <w:rFonts w:ascii="Times New Roman" w:hAnsi="Times New Roman" w:cs="Times New Roman"/>
          <w:sz w:val="28"/>
          <w:szCs w:val="28"/>
        </w:rPr>
        <w:t xml:space="preserve"> any of them</w:t>
      </w:r>
      <w:r w:rsidR="00E23EA6">
        <w:rPr>
          <w:rFonts w:ascii="Times New Roman" w:hAnsi="Times New Roman" w:cs="Times New Roman"/>
          <w:sz w:val="28"/>
          <w:szCs w:val="28"/>
        </w:rPr>
        <w:t>.</w:t>
      </w:r>
      <w:r w:rsidR="009C0A37">
        <w:rPr>
          <w:rFonts w:ascii="Times New Roman" w:hAnsi="Times New Roman" w:cs="Times New Roman"/>
          <w:sz w:val="28"/>
          <w:szCs w:val="28"/>
        </w:rPr>
        <w:t xml:space="preserve"> </w:t>
      </w:r>
      <w:r w:rsidR="00E23EA6">
        <w:rPr>
          <w:rFonts w:ascii="Times New Roman" w:hAnsi="Times New Roman" w:cs="Times New Roman"/>
          <w:sz w:val="28"/>
          <w:szCs w:val="28"/>
        </w:rPr>
        <w:t>N</w:t>
      </w:r>
      <w:r w:rsidRPr="00A6059D">
        <w:rPr>
          <w:rFonts w:ascii="Times New Roman" w:hAnsi="Times New Roman" w:cs="Times New Roman"/>
          <w:sz w:val="28"/>
          <w:szCs w:val="28"/>
        </w:rPr>
        <w:t xml:space="preserve">one had been stayed.  It would have been open to the Crown to file a new Indictment including all 5 charges.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In some circumstances, a discrepancy between what an affiant records in police notes and what he or she includes in an ITO may be significant, irrespective of whether the information reco</w:t>
      </w:r>
      <w:r w:rsidR="009C0A37">
        <w:rPr>
          <w:rFonts w:ascii="Times New Roman" w:hAnsi="Times New Roman" w:cs="Times New Roman"/>
          <w:sz w:val="28"/>
          <w:szCs w:val="28"/>
        </w:rPr>
        <w:t xml:space="preserve">rded in the notes was correct. </w:t>
      </w:r>
      <w:r w:rsidRPr="00A6059D">
        <w:rPr>
          <w:rFonts w:ascii="Times New Roman" w:hAnsi="Times New Roman" w:cs="Times New Roman"/>
          <w:sz w:val="28"/>
          <w:szCs w:val="28"/>
        </w:rPr>
        <w:t xml:space="preserve"> For example, in a case where bad faith is alleged, it could be quite significant.  But here, Mr. Khatib is not suggesting any bad faith on Cst. Main's part. </w:t>
      </w:r>
      <w:r w:rsidR="009C0A37">
        <w:rPr>
          <w:rFonts w:ascii="Times New Roman" w:hAnsi="Times New Roman" w:cs="Times New Roman"/>
          <w:sz w:val="28"/>
          <w:szCs w:val="28"/>
        </w:rPr>
        <w:t xml:space="preserve"> </w:t>
      </w:r>
      <w:r w:rsidRPr="00A6059D">
        <w:rPr>
          <w:rFonts w:ascii="Times New Roman" w:hAnsi="Times New Roman" w:cs="Times New Roman"/>
          <w:sz w:val="28"/>
          <w:szCs w:val="28"/>
        </w:rPr>
        <w:t xml:space="preserve">The only issue is whether the ITO, as drafted, was misleading to the issuing justice.  On this point, in my view, it was not. </w:t>
      </w:r>
    </w:p>
    <w:p w:rsidR="00A6059D" w:rsidRPr="00A6059D"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c) Failure to provide particulars of criminal records</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third concern raised by Mr. Khatib is that Cst. Main provided incomplete information about the criminal records of certain individuals mentioned in the ITO.</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At paragraph 16 of the ITO, Cst. Main deposes that he observed a vehicle </w:t>
      </w:r>
      <w:r w:rsidR="009C0A37">
        <w:rPr>
          <w:rFonts w:ascii="Times New Roman" w:hAnsi="Times New Roman" w:cs="Times New Roman"/>
          <w:sz w:val="28"/>
          <w:szCs w:val="28"/>
        </w:rPr>
        <w:t xml:space="preserve">registered to David Koe parked </w:t>
      </w:r>
      <w:r w:rsidRPr="00A6059D">
        <w:rPr>
          <w:rFonts w:ascii="Times New Roman" w:hAnsi="Times New Roman" w:cs="Times New Roman"/>
          <w:sz w:val="28"/>
          <w:szCs w:val="28"/>
        </w:rPr>
        <w:t>at 22 Kugmallit Road.  He deposes that Mr. Koe "has been charged with possession of cannabis marihuana and has been the subject of complaint on investigations involving trafficking cannabis marijuana".</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Mr. Koe had a criminal record at the time.</w:t>
      </w:r>
      <w:r w:rsidR="009C0A37">
        <w:rPr>
          <w:rFonts w:ascii="Times New Roman" w:hAnsi="Times New Roman" w:cs="Times New Roman"/>
          <w:sz w:val="28"/>
          <w:szCs w:val="28"/>
        </w:rPr>
        <w:t xml:space="preserve"> </w:t>
      </w:r>
      <w:r w:rsidRPr="00A6059D">
        <w:rPr>
          <w:rFonts w:ascii="Times New Roman" w:hAnsi="Times New Roman" w:cs="Times New Roman"/>
          <w:sz w:val="28"/>
          <w:szCs w:val="28"/>
        </w:rPr>
        <w:t xml:space="preserve"> It included convictions for assault and one conviction for possession of a controlled substance, but no con</w:t>
      </w:r>
      <w:r w:rsidR="009C0A37">
        <w:rPr>
          <w:rFonts w:ascii="Times New Roman" w:hAnsi="Times New Roman" w:cs="Times New Roman"/>
          <w:sz w:val="28"/>
          <w:szCs w:val="28"/>
        </w:rPr>
        <w:t xml:space="preserve">viction for drug trafficking.  </w:t>
      </w:r>
      <w:r w:rsidRPr="00A6059D">
        <w:rPr>
          <w:rFonts w:ascii="Times New Roman" w:hAnsi="Times New Roman" w:cs="Times New Roman"/>
          <w:sz w:val="28"/>
          <w:szCs w:val="28"/>
        </w:rPr>
        <w:t>Neither the existence of Mr. Koe's criminal record nor its particulars were included in the ITO.</w:t>
      </w:r>
    </w:p>
    <w:p w:rsidR="00A6059D" w:rsidRPr="00382461"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addition, at paragraphs 17 and 18 of the ITO, Cst. Main deposes that he received information from Christina Kasook, including things that her son Otto Kasook told her.  Ms. Kasook told Cst. Main that Otto told her he had a conversation with Mr. Khatib. </w:t>
      </w:r>
      <w:r w:rsidR="008B0586">
        <w:rPr>
          <w:rFonts w:ascii="Times New Roman" w:hAnsi="Times New Roman" w:cs="Times New Roman"/>
          <w:sz w:val="28"/>
          <w:szCs w:val="28"/>
        </w:rPr>
        <w:t xml:space="preserve"> </w:t>
      </w:r>
      <w:r w:rsidRPr="00A6059D">
        <w:rPr>
          <w:rFonts w:ascii="Times New Roman" w:hAnsi="Times New Roman" w:cs="Times New Roman"/>
          <w:sz w:val="28"/>
          <w:szCs w:val="28"/>
        </w:rPr>
        <w:t>Paragraph 17 rea</w:t>
      </w:r>
      <w:r w:rsidR="00382461">
        <w:rPr>
          <w:rFonts w:ascii="Times New Roman" w:hAnsi="Times New Roman" w:cs="Times New Roman"/>
          <w:sz w:val="28"/>
          <w:szCs w:val="28"/>
        </w:rPr>
        <w:t>ds in part:</w:t>
      </w:r>
    </w:p>
    <w:p w:rsidR="00382461" w:rsidRPr="00485139" w:rsidRDefault="00A6059D" w:rsidP="000238F4">
      <w:pPr>
        <w:pStyle w:val="ListParagraph"/>
        <w:spacing w:after="240" w:line="240" w:lineRule="auto"/>
        <w:ind w:left="284" w:right="284"/>
        <w:contextualSpacing w:val="0"/>
        <w:jc w:val="both"/>
        <w:rPr>
          <w:rFonts w:ascii="Times New Roman" w:hAnsi="Times New Roman" w:cs="Times New Roman"/>
          <w:sz w:val="24"/>
          <w:szCs w:val="24"/>
        </w:rPr>
      </w:pPr>
      <w:r w:rsidRPr="00382461">
        <w:rPr>
          <w:rFonts w:ascii="Times New Roman" w:hAnsi="Times New Roman" w:cs="Times New Roman"/>
          <w:sz w:val="24"/>
          <w:szCs w:val="24"/>
        </w:rPr>
        <w:t>(...) Otto then asked Talal for a "front" as a means of distracting from his original motivation for being present on the premises. Talal reportedly told Otto he would sell Otto an ounce on Thursday or Friday for $300.00 as that is when his shipment was arriving.</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At paragraph 18 Cst. Main deposes that Otto Kasook has a criminal record but does not provide the particulars of that record.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Mr. Kasook's criminal record was filed at the </w:t>
      </w:r>
      <w:r w:rsidRPr="00382461">
        <w:rPr>
          <w:rFonts w:ascii="Times New Roman" w:hAnsi="Times New Roman" w:cs="Times New Roman"/>
          <w:i/>
          <w:sz w:val="28"/>
          <w:szCs w:val="28"/>
        </w:rPr>
        <w:t>voir dire</w:t>
      </w:r>
      <w:r w:rsidRPr="00A6059D">
        <w:rPr>
          <w:rFonts w:ascii="Times New Roman" w:hAnsi="Times New Roman" w:cs="Times New Roman"/>
          <w:sz w:val="28"/>
          <w:szCs w:val="28"/>
        </w:rPr>
        <w:t>.</w:t>
      </w:r>
      <w:r w:rsidR="009229CC">
        <w:rPr>
          <w:rFonts w:ascii="Times New Roman" w:hAnsi="Times New Roman" w:cs="Times New Roman"/>
          <w:sz w:val="28"/>
          <w:szCs w:val="28"/>
        </w:rPr>
        <w:t xml:space="preserve"> </w:t>
      </w:r>
      <w:r w:rsidRPr="00A6059D">
        <w:rPr>
          <w:rFonts w:ascii="Times New Roman" w:hAnsi="Times New Roman" w:cs="Times New Roman"/>
          <w:sz w:val="28"/>
          <w:szCs w:val="28"/>
        </w:rPr>
        <w:t xml:space="preserve"> It includes convictions as a youth for property crimes and failure to appear</w:t>
      </w:r>
      <w:r w:rsidR="005F2040">
        <w:rPr>
          <w:rFonts w:ascii="Times New Roman" w:hAnsi="Times New Roman" w:cs="Times New Roman"/>
          <w:sz w:val="28"/>
          <w:szCs w:val="28"/>
        </w:rPr>
        <w:t>, as well as</w:t>
      </w:r>
      <w:r w:rsidRPr="00A6059D">
        <w:rPr>
          <w:rFonts w:ascii="Times New Roman" w:hAnsi="Times New Roman" w:cs="Times New Roman"/>
          <w:sz w:val="28"/>
          <w:szCs w:val="28"/>
        </w:rPr>
        <w:t xml:space="preserve"> adult convictions for crimes of violence, driving offenses, and convictions for failure to comply with court orders.  There are no convictions for drug offenses.</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lastRenderedPageBreak/>
        <w:t>Mr. Khatib argues that Cst. Main's treatment of Mr. Koe's and Mr. Kasook's criminal records in the ITO was misleading.  He argues that the fact that Mr. Koe did not have any convictions for drug trafficking could have affected the significance that the issuing justice might place on hi</w:t>
      </w:r>
      <w:r w:rsidR="009229CC">
        <w:rPr>
          <w:rFonts w:ascii="Times New Roman" w:hAnsi="Times New Roman" w:cs="Times New Roman"/>
          <w:sz w:val="28"/>
          <w:szCs w:val="28"/>
        </w:rPr>
        <w:t xml:space="preserve">s vehicle being observed at 22 Kugmallit Road. </w:t>
      </w:r>
      <w:r w:rsidRPr="00A6059D">
        <w:rPr>
          <w:rFonts w:ascii="Times New Roman" w:hAnsi="Times New Roman" w:cs="Times New Roman"/>
          <w:sz w:val="28"/>
          <w:szCs w:val="28"/>
        </w:rPr>
        <w:t xml:space="preserve"> With respect to Mr. Kasook, he argues that the details of his record provide context for information relayed to Cst. Main by his mother.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Mr. Khatib suggests that the remedy for these errors is either to remove references to these individuals from the ITO or, in the alternative, to take the particulars of the criminal records into account in my analysis of whether sufficient grounds existed to issue the warrant.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When he was questioned about this, Cst. Main acknowledged that the particulars of the criminal records of these individu</w:t>
      </w:r>
      <w:r w:rsidR="009229CC">
        <w:rPr>
          <w:rFonts w:ascii="Times New Roman" w:hAnsi="Times New Roman" w:cs="Times New Roman"/>
          <w:sz w:val="28"/>
          <w:szCs w:val="28"/>
        </w:rPr>
        <w:t xml:space="preserve">als should have been included. </w:t>
      </w:r>
      <w:r w:rsidR="00E23EA6">
        <w:rPr>
          <w:rFonts w:ascii="Times New Roman" w:hAnsi="Times New Roman" w:cs="Times New Roman"/>
          <w:sz w:val="28"/>
          <w:szCs w:val="28"/>
        </w:rPr>
        <w:t xml:space="preserve"> Clearly</w:t>
      </w:r>
      <w:r w:rsidRPr="00A6059D">
        <w:rPr>
          <w:rFonts w:ascii="Times New Roman" w:hAnsi="Times New Roman" w:cs="Times New Roman"/>
          <w:sz w:val="28"/>
          <w:szCs w:val="28"/>
        </w:rPr>
        <w:t xml:space="preserve"> that is the best practice and in some cases, the failure to include tho</w:t>
      </w:r>
      <w:r w:rsidR="009229CC">
        <w:rPr>
          <w:rFonts w:ascii="Times New Roman" w:hAnsi="Times New Roman" w:cs="Times New Roman"/>
          <w:sz w:val="28"/>
          <w:szCs w:val="28"/>
        </w:rPr>
        <w:t xml:space="preserve">se particulars is misleading.  </w:t>
      </w:r>
      <w:r w:rsidRPr="00A6059D">
        <w:rPr>
          <w:rFonts w:ascii="Times New Roman" w:hAnsi="Times New Roman" w:cs="Times New Roman"/>
          <w:sz w:val="28"/>
          <w:szCs w:val="28"/>
        </w:rPr>
        <w:t xml:space="preserve">For example, in </w:t>
      </w:r>
      <w:r w:rsidRPr="00382461">
        <w:rPr>
          <w:rFonts w:ascii="Times New Roman" w:hAnsi="Times New Roman" w:cs="Times New Roman"/>
          <w:i/>
          <w:sz w:val="28"/>
          <w:szCs w:val="28"/>
        </w:rPr>
        <w:t>R v Byland</w:t>
      </w:r>
      <w:r w:rsidRPr="00A6059D">
        <w:rPr>
          <w:rFonts w:ascii="Times New Roman" w:hAnsi="Times New Roman" w:cs="Times New Roman"/>
          <w:sz w:val="28"/>
          <w:szCs w:val="28"/>
        </w:rPr>
        <w:t xml:space="preserve">, </w:t>
      </w:r>
      <w:r w:rsidR="007929A9">
        <w:rPr>
          <w:rFonts w:ascii="Times New Roman" w:hAnsi="Times New Roman" w:cs="Times New Roman"/>
          <w:sz w:val="28"/>
          <w:szCs w:val="28"/>
        </w:rPr>
        <w:t>[</w:t>
      </w:r>
      <w:r w:rsidRPr="00A6059D">
        <w:rPr>
          <w:rFonts w:ascii="Times New Roman" w:hAnsi="Times New Roman" w:cs="Times New Roman"/>
          <w:sz w:val="28"/>
          <w:szCs w:val="28"/>
        </w:rPr>
        <w:t>2017</w:t>
      </w:r>
      <w:r w:rsidR="007929A9">
        <w:rPr>
          <w:rFonts w:ascii="Times New Roman" w:hAnsi="Times New Roman" w:cs="Times New Roman"/>
          <w:sz w:val="28"/>
          <w:szCs w:val="28"/>
        </w:rPr>
        <w:t>]</w:t>
      </w:r>
      <w:r w:rsidRPr="00A6059D">
        <w:rPr>
          <w:rFonts w:ascii="Times New Roman" w:hAnsi="Times New Roman" w:cs="Times New Roman"/>
          <w:sz w:val="28"/>
          <w:szCs w:val="28"/>
        </w:rPr>
        <w:t xml:space="preserve"> N.W.T.J. No 10, the court concluded that the failure to mention that a</w:t>
      </w:r>
      <w:r w:rsidR="005F2040">
        <w:rPr>
          <w:rFonts w:ascii="Times New Roman" w:hAnsi="Times New Roman" w:cs="Times New Roman"/>
          <w:sz w:val="28"/>
          <w:szCs w:val="28"/>
        </w:rPr>
        <w:t xml:space="preserve"> named</w:t>
      </w:r>
      <w:r w:rsidRPr="00A6059D">
        <w:rPr>
          <w:rFonts w:ascii="Times New Roman" w:hAnsi="Times New Roman" w:cs="Times New Roman"/>
          <w:sz w:val="28"/>
          <w:szCs w:val="28"/>
        </w:rPr>
        <w:t xml:space="preserve"> informant had a criminal record including convictions for forgery, public mischief and fraud, was misleading and, ultimately, fatal to the validity of the warrant.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that case, the grounds to obtain the warrant were entirely based on the account of the named informant who claimed that the accused had showed him pornographic materials. </w:t>
      </w:r>
      <w:r w:rsidR="009229CC">
        <w:rPr>
          <w:rFonts w:ascii="Times New Roman" w:hAnsi="Times New Roman" w:cs="Times New Roman"/>
          <w:sz w:val="28"/>
          <w:szCs w:val="28"/>
        </w:rPr>
        <w:t xml:space="preserve"> </w:t>
      </w:r>
      <w:r w:rsidRPr="00A6059D">
        <w:rPr>
          <w:rFonts w:ascii="Times New Roman" w:hAnsi="Times New Roman" w:cs="Times New Roman"/>
          <w:sz w:val="28"/>
          <w:szCs w:val="28"/>
        </w:rPr>
        <w:t>The court concluded that in light of some other concerns about the reliability of the informant's account, the fact that the informant had a criminal record for serious crimes of dishonesty rendered the grounds insufficient to form the basis for the issuance of the search warrant.</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this case, </w:t>
      </w:r>
      <w:r w:rsidR="005F2040">
        <w:rPr>
          <w:rFonts w:ascii="Times New Roman" w:hAnsi="Times New Roman" w:cs="Times New Roman"/>
          <w:sz w:val="28"/>
          <w:szCs w:val="28"/>
        </w:rPr>
        <w:t>the</w:t>
      </w:r>
      <w:r w:rsidRPr="00A6059D">
        <w:rPr>
          <w:rFonts w:ascii="Times New Roman" w:hAnsi="Times New Roman" w:cs="Times New Roman"/>
          <w:sz w:val="28"/>
          <w:szCs w:val="28"/>
        </w:rPr>
        <w:t xml:space="preserve"> criminal record</w:t>
      </w:r>
      <w:r w:rsidR="00096FD8">
        <w:rPr>
          <w:rFonts w:ascii="Times New Roman" w:hAnsi="Times New Roman" w:cs="Times New Roman"/>
          <w:sz w:val="28"/>
          <w:szCs w:val="28"/>
        </w:rPr>
        <w:t>s</w:t>
      </w:r>
      <w:r w:rsidRPr="00A6059D">
        <w:rPr>
          <w:rFonts w:ascii="Times New Roman" w:hAnsi="Times New Roman" w:cs="Times New Roman"/>
          <w:sz w:val="28"/>
          <w:szCs w:val="28"/>
        </w:rPr>
        <w:t xml:space="preserve"> </w:t>
      </w:r>
      <w:r w:rsidR="00096FD8">
        <w:rPr>
          <w:rFonts w:ascii="Times New Roman" w:hAnsi="Times New Roman" w:cs="Times New Roman"/>
          <w:sz w:val="28"/>
          <w:szCs w:val="28"/>
        </w:rPr>
        <w:t>at issue do</w:t>
      </w:r>
      <w:r w:rsidR="005F2040">
        <w:rPr>
          <w:rFonts w:ascii="Times New Roman" w:hAnsi="Times New Roman" w:cs="Times New Roman"/>
          <w:sz w:val="28"/>
          <w:szCs w:val="28"/>
        </w:rPr>
        <w:t xml:space="preserve"> not include</w:t>
      </w:r>
      <w:r w:rsidR="009229CC">
        <w:rPr>
          <w:rFonts w:ascii="Times New Roman" w:hAnsi="Times New Roman" w:cs="Times New Roman"/>
          <w:sz w:val="28"/>
          <w:szCs w:val="28"/>
        </w:rPr>
        <w:t xml:space="preserve"> what I would consider </w:t>
      </w:r>
      <w:r w:rsidRPr="00A6059D">
        <w:rPr>
          <w:rFonts w:ascii="Times New Roman" w:hAnsi="Times New Roman" w:cs="Times New Roman"/>
          <w:sz w:val="28"/>
          <w:szCs w:val="28"/>
        </w:rPr>
        <w:t>a "serious crime of dishonesty".  Although particulars ought to have been included, I do not think that this shortcoming was particularly misleading.  In fact, with respect to Mr. Koe's record, reference to the particulars of his record may have made the grounds stronger, as the issuing justice, in addition to knowing Mr. Koe had been the subject of comp</w:t>
      </w:r>
      <w:r w:rsidR="009229CC">
        <w:rPr>
          <w:rFonts w:ascii="Times New Roman" w:hAnsi="Times New Roman" w:cs="Times New Roman"/>
          <w:sz w:val="28"/>
          <w:szCs w:val="28"/>
        </w:rPr>
        <w:t xml:space="preserve">laints and investigation about </w:t>
      </w:r>
      <w:r w:rsidRPr="00A6059D">
        <w:rPr>
          <w:rFonts w:ascii="Times New Roman" w:hAnsi="Times New Roman" w:cs="Times New Roman"/>
          <w:sz w:val="28"/>
          <w:szCs w:val="28"/>
        </w:rPr>
        <w:t xml:space="preserve">his involvement with drugs, would have known he had actually been convicted for possession of drugs.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As for Mr. Kasook, while some of his convictions for propert</w:t>
      </w:r>
      <w:r w:rsidR="005F2040">
        <w:rPr>
          <w:rFonts w:ascii="Times New Roman" w:hAnsi="Times New Roman" w:cs="Times New Roman"/>
          <w:sz w:val="28"/>
          <w:szCs w:val="28"/>
        </w:rPr>
        <w:t xml:space="preserve">y offenses may be considered </w:t>
      </w:r>
      <w:r w:rsidRPr="00A6059D">
        <w:rPr>
          <w:rFonts w:ascii="Times New Roman" w:hAnsi="Times New Roman" w:cs="Times New Roman"/>
          <w:sz w:val="28"/>
          <w:szCs w:val="28"/>
        </w:rPr>
        <w:t xml:space="preserve">crimes </w:t>
      </w:r>
      <w:r w:rsidR="00E23EA6">
        <w:rPr>
          <w:rFonts w:ascii="Times New Roman" w:hAnsi="Times New Roman" w:cs="Times New Roman"/>
          <w:sz w:val="28"/>
          <w:szCs w:val="28"/>
        </w:rPr>
        <w:t>of dishonesty, broadly speaking</w:t>
      </w:r>
      <w:r w:rsidRPr="00A6059D">
        <w:rPr>
          <w:rFonts w:ascii="Times New Roman" w:hAnsi="Times New Roman" w:cs="Times New Roman"/>
          <w:sz w:val="28"/>
          <w:szCs w:val="28"/>
        </w:rPr>
        <w:t xml:space="preserve"> their impact on his credibility and the reliability of what he told his mother is not at all as significant as </w:t>
      </w:r>
      <w:r w:rsidR="005F2040">
        <w:rPr>
          <w:rFonts w:ascii="Times New Roman" w:hAnsi="Times New Roman" w:cs="Times New Roman"/>
          <w:sz w:val="28"/>
          <w:szCs w:val="28"/>
        </w:rPr>
        <w:t>the information that was omitted</w:t>
      </w:r>
      <w:r w:rsidRPr="00A6059D">
        <w:rPr>
          <w:rFonts w:ascii="Times New Roman" w:hAnsi="Times New Roman" w:cs="Times New Roman"/>
          <w:sz w:val="28"/>
          <w:szCs w:val="28"/>
        </w:rPr>
        <w:t xml:space="preserve"> in </w:t>
      </w:r>
      <w:r w:rsidRPr="00382461">
        <w:rPr>
          <w:rFonts w:ascii="Times New Roman" w:hAnsi="Times New Roman" w:cs="Times New Roman"/>
          <w:i/>
          <w:sz w:val="28"/>
          <w:szCs w:val="28"/>
        </w:rPr>
        <w:t>Byland</w:t>
      </w:r>
      <w:r w:rsidRPr="00A6059D">
        <w:rPr>
          <w:rFonts w:ascii="Times New Roman" w:hAnsi="Times New Roman" w:cs="Times New Roman"/>
          <w:sz w:val="28"/>
          <w:szCs w:val="28"/>
        </w:rPr>
        <w:t xml:space="preserve">. </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lastRenderedPageBreak/>
        <w:t>Because the particulars of the records should have been included, for the purposes of my assessment of the sufficiency of the grounds, I have taken them into account as part of the overall context.  However, in my view, their impact on the analysis is minimal.</w:t>
      </w:r>
    </w:p>
    <w:p w:rsidR="00A6059D" w:rsidRPr="00485139"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d) Incomplete information regarding </w:t>
      </w:r>
      <w:r w:rsidRPr="009229CC">
        <w:rPr>
          <w:rFonts w:ascii="Times New Roman" w:hAnsi="Times New Roman" w:cs="Times New Roman"/>
          <w:sz w:val="28"/>
          <w:szCs w:val="28"/>
        </w:rPr>
        <w:t>Lliam</w:t>
      </w:r>
      <w:r w:rsidRPr="00A6059D">
        <w:rPr>
          <w:rFonts w:ascii="Times New Roman" w:hAnsi="Times New Roman" w:cs="Times New Roman"/>
          <w:sz w:val="28"/>
          <w:szCs w:val="28"/>
        </w:rPr>
        <w:t xml:space="preserve"> Wood's complaint</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At paragraph 14 of the ITO, Cst. Main outlines information that he obtained from Lliam Wood, whose residence is 20 Kugmallit Road.</w:t>
      </w:r>
      <w:r w:rsidR="009229CC">
        <w:rPr>
          <w:rFonts w:ascii="Times New Roman" w:hAnsi="Times New Roman" w:cs="Times New Roman"/>
          <w:sz w:val="28"/>
          <w:szCs w:val="28"/>
        </w:rPr>
        <w:t xml:space="preserve"> </w:t>
      </w:r>
      <w:r w:rsidRPr="00A6059D">
        <w:rPr>
          <w:rFonts w:ascii="Times New Roman" w:hAnsi="Times New Roman" w:cs="Times New Roman"/>
          <w:sz w:val="28"/>
          <w:szCs w:val="28"/>
        </w:rPr>
        <w:t xml:space="preserve"> Mr. Wood described "pervasive foot and vehicle traffic" at 22 Kugmallit Road, involving short visits and people often approaching a window and making what appeared to be hand-to-hand exchanges with the resident of the premises.</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cross-examination, Cst. Main acknowledged that he was aware that Mr. Khatib had moved into 22 Kugmallit Road on August 30, 2017.  He also acknowledged that in the formal statement Mr. Wood gave on October 15, he told Cst. Main that the problems at 22 Kugmallit Road had been going on for "a couple of months", and that there were two people living at 22 Kugmallit Road. </w:t>
      </w:r>
      <w:r w:rsidR="009229CC">
        <w:rPr>
          <w:rFonts w:ascii="Times New Roman" w:hAnsi="Times New Roman" w:cs="Times New Roman"/>
          <w:sz w:val="28"/>
          <w:szCs w:val="28"/>
        </w:rPr>
        <w:t xml:space="preserve"> </w:t>
      </w:r>
      <w:r w:rsidRPr="00A6059D">
        <w:rPr>
          <w:rFonts w:ascii="Times New Roman" w:hAnsi="Times New Roman" w:cs="Times New Roman"/>
          <w:sz w:val="28"/>
          <w:szCs w:val="28"/>
        </w:rPr>
        <w:t xml:space="preserve">In Re-Examination Cst. Main was asked to clarify what Mr. Wood said about the timeline of the suspicious activities </w:t>
      </w:r>
      <w:r w:rsidR="009229CC">
        <w:rPr>
          <w:rFonts w:ascii="Times New Roman" w:hAnsi="Times New Roman" w:cs="Times New Roman"/>
          <w:sz w:val="28"/>
          <w:szCs w:val="28"/>
        </w:rPr>
        <w:t xml:space="preserve">that he was complaining about. </w:t>
      </w:r>
      <w:r w:rsidRPr="00A6059D">
        <w:rPr>
          <w:rFonts w:ascii="Times New Roman" w:hAnsi="Times New Roman" w:cs="Times New Roman"/>
          <w:sz w:val="28"/>
          <w:szCs w:val="28"/>
        </w:rPr>
        <w:t xml:space="preserve"> Cst. Main referred to Mr. Wood's statement and testified that Mr. Wood's</w:t>
      </w:r>
      <w:r w:rsidR="009229CC">
        <w:rPr>
          <w:rFonts w:ascii="Times New Roman" w:hAnsi="Times New Roman" w:cs="Times New Roman"/>
          <w:sz w:val="28"/>
          <w:szCs w:val="28"/>
        </w:rPr>
        <w:t xml:space="preserve"> words were "I don't even know </w:t>
      </w:r>
      <w:r w:rsidRPr="00A6059D">
        <w:rPr>
          <w:rFonts w:ascii="Times New Roman" w:hAnsi="Times New Roman" w:cs="Times New Roman"/>
          <w:sz w:val="28"/>
          <w:szCs w:val="28"/>
        </w:rPr>
        <w:t xml:space="preserve">how long. </w:t>
      </w:r>
      <w:r w:rsidR="009229CC">
        <w:rPr>
          <w:rFonts w:ascii="Times New Roman" w:hAnsi="Times New Roman" w:cs="Times New Roman"/>
          <w:sz w:val="28"/>
          <w:szCs w:val="28"/>
        </w:rPr>
        <w:t xml:space="preserve"> </w:t>
      </w:r>
      <w:r w:rsidRPr="00A6059D">
        <w:rPr>
          <w:rFonts w:ascii="Times New Roman" w:hAnsi="Times New Roman" w:cs="Times New Roman"/>
          <w:sz w:val="28"/>
          <w:szCs w:val="28"/>
        </w:rPr>
        <w:t xml:space="preserve">It's been a couple of months I would say. </w:t>
      </w:r>
      <w:r w:rsidR="009229CC">
        <w:rPr>
          <w:rFonts w:ascii="Times New Roman" w:hAnsi="Times New Roman" w:cs="Times New Roman"/>
          <w:sz w:val="28"/>
          <w:szCs w:val="28"/>
        </w:rPr>
        <w:t xml:space="preserve"> </w:t>
      </w:r>
      <w:r w:rsidRPr="00A6059D">
        <w:rPr>
          <w:rFonts w:ascii="Times New Roman" w:hAnsi="Times New Roman" w:cs="Times New Roman"/>
          <w:sz w:val="28"/>
          <w:szCs w:val="28"/>
        </w:rPr>
        <w:t>Um.</w:t>
      </w:r>
      <w:r w:rsidR="009229CC">
        <w:rPr>
          <w:rFonts w:ascii="Times New Roman" w:hAnsi="Times New Roman" w:cs="Times New Roman"/>
          <w:sz w:val="28"/>
          <w:szCs w:val="28"/>
        </w:rPr>
        <w:t xml:space="preserve"> I'm not sure exactly though".</w:t>
      </w:r>
    </w:p>
    <w:p w:rsidR="00A6059D" w:rsidRPr="00485139"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Mr. Khatib argues that Cst. Main omitted important information in the ITO in that he did not mention that Mr. Wood said that two people were living at this residence, and he did not mention how long Mr. Wood said suspicious activities had been going on.  Mr. Khatib argues this is significant because this information could suggest that the suspicious activities at 22 Kugmallit Road started before he moved there.</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Mr. Khatib argues that these misleading omissions can be cured by either disregarding the references to Mr. Wood's complaint in the analysis of the sufficiency of the</w:t>
      </w:r>
      <w:r w:rsidR="00E23EA6">
        <w:rPr>
          <w:rFonts w:ascii="Times New Roman" w:hAnsi="Times New Roman" w:cs="Times New Roman"/>
          <w:sz w:val="28"/>
          <w:szCs w:val="28"/>
        </w:rPr>
        <w:t xml:space="preserve"> grounds, or in the alternative</w:t>
      </w:r>
      <w:r w:rsidRPr="00A6059D">
        <w:rPr>
          <w:rFonts w:ascii="Times New Roman" w:hAnsi="Times New Roman" w:cs="Times New Roman"/>
          <w:sz w:val="28"/>
          <w:szCs w:val="28"/>
        </w:rPr>
        <w:t xml:space="preserve"> by considering the information Mr. Wood provided in light of the additional details and context that emerged from Cst. Main's testimony.</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I agree that Cst. Main should have been more precise in the ITO.  Mr. Wood's report that two persons lived at 22 Kugm</w:t>
      </w:r>
      <w:r w:rsidR="009229CC">
        <w:rPr>
          <w:rFonts w:ascii="Times New Roman" w:hAnsi="Times New Roman" w:cs="Times New Roman"/>
          <w:sz w:val="28"/>
          <w:szCs w:val="28"/>
        </w:rPr>
        <w:t xml:space="preserve">allit </w:t>
      </w:r>
      <w:r w:rsidR="00B520B4">
        <w:rPr>
          <w:rFonts w:ascii="Times New Roman" w:hAnsi="Times New Roman" w:cs="Times New Roman"/>
          <w:sz w:val="28"/>
          <w:szCs w:val="28"/>
        </w:rPr>
        <w:t xml:space="preserve">Road </w:t>
      </w:r>
      <w:r w:rsidR="009229CC">
        <w:rPr>
          <w:rFonts w:ascii="Times New Roman" w:hAnsi="Times New Roman" w:cs="Times New Roman"/>
          <w:sz w:val="28"/>
          <w:szCs w:val="28"/>
        </w:rPr>
        <w:t xml:space="preserve">was a relevant fact that </w:t>
      </w:r>
      <w:r w:rsidRPr="00A6059D">
        <w:rPr>
          <w:rFonts w:ascii="Times New Roman" w:hAnsi="Times New Roman" w:cs="Times New Roman"/>
          <w:sz w:val="28"/>
          <w:szCs w:val="28"/>
        </w:rPr>
        <w:t>should have been included.  The evidence about how long he had observed suspicious activity at the residence is somewhat equivocal, but should probably have been included</w:t>
      </w:r>
      <w:r w:rsidR="005F2040">
        <w:rPr>
          <w:rFonts w:ascii="Times New Roman" w:hAnsi="Times New Roman" w:cs="Times New Roman"/>
          <w:sz w:val="28"/>
          <w:szCs w:val="28"/>
        </w:rPr>
        <w:t xml:space="preserve"> as well</w:t>
      </w:r>
      <w:r w:rsidR="00E23EA6">
        <w:rPr>
          <w:rFonts w:ascii="Times New Roman" w:hAnsi="Times New Roman" w:cs="Times New Roman"/>
          <w:sz w:val="28"/>
          <w:szCs w:val="28"/>
        </w:rPr>
        <w:t xml:space="preserve">, given </w:t>
      </w:r>
      <w:r w:rsidRPr="00A6059D">
        <w:rPr>
          <w:rFonts w:ascii="Times New Roman" w:hAnsi="Times New Roman" w:cs="Times New Roman"/>
          <w:sz w:val="28"/>
          <w:szCs w:val="28"/>
        </w:rPr>
        <w:t xml:space="preserve">Mr. Khatib's relatively recent move to that residence.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lastRenderedPageBreak/>
        <w:t>I have included these additional facts in my assessment of the sufficiency of the grounds.</w:t>
      </w:r>
    </w:p>
    <w:p w:rsidR="00A6059D" w:rsidRPr="00A6059D"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e) Insufficient details about the circumstances of the surveillance</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Mr. Khatib argues that Cst. Main should have included more detailed information about the s</w:t>
      </w:r>
      <w:r w:rsidRPr="007929A9">
        <w:rPr>
          <w:rFonts w:ascii="Times New Roman" w:hAnsi="Times New Roman" w:cs="Times New Roman"/>
          <w:sz w:val="28"/>
          <w:szCs w:val="28"/>
        </w:rPr>
        <w:t>u</w:t>
      </w:r>
      <w:r w:rsidR="007929A9" w:rsidRPr="007929A9">
        <w:rPr>
          <w:rFonts w:ascii="Times New Roman" w:hAnsi="Times New Roman" w:cs="Times New Roman"/>
          <w:sz w:val="28"/>
          <w:szCs w:val="28"/>
        </w:rPr>
        <w:t>r</w:t>
      </w:r>
      <w:r w:rsidRPr="007929A9">
        <w:rPr>
          <w:rFonts w:ascii="Times New Roman" w:hAnsi="Times New Roman" w:cs="Times New Roman"/>
          <w:sz w:val="28"/>
          <w:szCs w:val="28"/>
        </w:rPr>
        <w:t>ve</w:t>
      </w:r>
      <w:r w:rsidRPr="00A6059D">
        <w:rPr>
          <w:rFonts w:ascii="Times New Roman" w:hAnsi="Times New Roman" w:cs="Times New Roman"/>
          <w:sz w:val="28"/>
          <w:szCs w:val="28"/>
        </w:rPr>
        <w:t xml:space="preserve">illance, including the times of day, the fact that the surveillance occurred during hours of darkness, and precisely where the officers were located </w:t>
      </w:r>
      <w:r w:rsidR="00E23EA6">
        <w:rPr>
          <w:rFonts w:ascii="Times New Roman" w:hAnsi="Times New Roman" w:cs="Times New Roman"/>
          <w:sz w:val="28"/>
          <w:szCs w:val="28"/>
        </w:rPr>
        <w:t>w</w:t>
      </w:r>
      <w:r w:rsidRPr="00A6059D">
        <w:rPr>
          <w:rFonts w:ascii="Times New Roman" w:hAnsi="Times New Roman" w:cs="Times New Roman"/>
          <w:sz w:val="28"/>
          <w:szCs w:val="28"/>
        </w:rPr>
        <w:t>hen they made their observations.  These, Mr. Khatib argues, were important details to enable the issuing justice to determine how reliable and compelling the observations were.</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evidence of Cst. Main about those details leads me to the conclusion that while the information could have been more detailed, what was included was not misleading.  Cst. Main explained that he had a good view of what was being observed, that on those occasions where he saw Mr. Khatib at the window, there was a light illuminating the area and he could clearly see what was happening even though the surveillance was being condu</w:t>
      </w:r>
      <w:r w:rsidR="009229CC">
        <w:rPr>
          <w:rFonts w:ascii="Times New Roman" w:hAnsi="Times New Roman" w:cs="Times New Roman"/>
          <w:sz w:val="28"/>
          <w:szCs w:val="28"/>
        </w:rPr>
        <w:t xml:space="preserve">cted during hours of darkness. </w:t>
      </w:r>
      <w:r w:rsidRPr="00A6059D">
        <w:rPr>
          <w:rFonts w:ascii="Times New Roman" w:hAnsi="Times New Roman" w:cs="Times New Roman"/>
          <w:sz w:val="28"/>
          <w:szCs w:val="28"/>
        </w:rPr>
        <w:t xml:space="preserve"> None of the clarifications that came from his evidence undermine the weight of what </w:t>
      </w:r>
      <w:r w:rsidR="005F2040">
        <w:rPr>
          <w:rFonts w:ascii="Times New Roman" w:hAnsi="Times New Roman" w:cs="Times New Roman"/>
          <w:sz w:val="28"/>
          <w:szCs w:val="28"/>
        </w:rPr>
        <w:t>he deposed to</w:t>
      </w:r>
      <w:r w:rsidRPr="00A6059D">
        <w:rPr>
          <w:rFonts w:ascii="Times New Roman" w:hAnsi="Times New Roman" w:cs="Times New Roman"/>
          <w:sz w:val="28"/>
          <w:szCs w:val="28"/>
        </w:rPr>
        <w:t xml:space="preserve"> in the ITO.  On the contr</w:t>
      </w:r>
      <w:r w:rsidR="009229CC">
        <w:rPr>
          <w:rFonts w:ascii="Times New Roman" w:hAnsi="Times New Roman" w:cs="Times New Roman"/>
          <w:sz w:val="28"/>
          <w:szCs w:val="28"/>
        </w:rPr>
        <w:t xml:space="preserve">ary, had some of those details </w:t>
      </w:r>
      <w:r w:rsidRPr="00A6059D">
        <w:rPr>
          <w:rFonts w:ascii="Times New Roman" w:hAnsi="Times New Roman" w:cs="Times New Roman"/>
          <w:sz w:val="28"/>
          <w:szCs w:val="28"/>
        </w:rPr>
        <w:t xml:space="preserve">been included, </w:t>
      </w:r>
      <w:r w:rsidR="00B0529C">
        <w:rPr>
          <w:rFonts w:ascii="Times New Roman" w:hAnsi="Times New Roman" w:cs="Times New Roman"/>
          <w:sz w:val="28"/>
          <w:szCs w:val="28"/>
        </w:rPr>
        <w:t>they</w:t>
      </w:r>
      <w:r w:rsidRPr="00A6059D">
        <w:rPr>
          <w:rFonts w:ascii="Times New Roman" w:hAnsi="Times New Roman" w:cs="Times New Roman"/>
          <w:sz w:val="28"/>
          <w:szCs w:val="28"/>
        </w:rPr>
        <w:t xml:space="preserve"> would have made the information about the things observed during the surveillance more compelling.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As noted above, the process of am</w:t>
      </w:r>
      <w:r w:rsidRPr="007929A9">
        <w:rPr>
          <w:rFonts w:ascii="Times New Roman" w:hAnsi="Times New Roman" w:cs="Times New Roman"/>
          <w:sz w:val="28"/>
          <w:szCs w:val="28"/>
        </w:rPr>
        <w:t>plif</w:t>
      </w:r>
      <w:r w:rsidR="007929A9" w:rsidRPr="007929A9">
        <w:rPr>
          <w:rFonts w:ascii="Times New Roman" w:hAnsi="Times New Roman" w:cs="Times New Roman"/>
          <w:sz w:val="28"/>
          <w:szCs w:val="28"/>
        </w:rPr>
        <w:t>i</w:t>
      </w:r>
      <w:r w:rsidRPr="007929A9">
        <w:rPr>
          <w:rFonts w:ascii="Times New Roman" w:hAnsi="Times New Roman" w:cs="Times New Roman"/>
          <w:sz w:val="28"/>
          <w:szCs w:val="28"/>
        </w:rPr>
        <w:t>ca</w:t>
      </w:r>
      <w:r w:rsidRPr="00A6059D">
        <w:rPr>
          <w:rFonts w:ascii="Times New Roman" w:hAnsi="Times New Roman" w:cs="Times New Roman"/>
          <w:sz w:val="28"/>
          <w:szCs w:val="28"/>
        </w:rPr>
        <w:t xml:space="preserve">tion cannot be used to add substantive information that would bolster the strength of the ITO.  For example, the Crown cannot bolster its case defending the warrant by relying on the fact Cst. Main testified that he was using binoculars, or the additional details he provided about precisely what he observed, or his testimony about </w:t>
      </w:r>
      <w:r w:rsidRPr="007929A9">
        <w:rPr>
          <w:rFonts w:ascii="Times New Roman" w:hAnsi="Times New Roman" w:cs="Times New Roman"/>
          <w:sz w:val="28"/>
          <w:szCs w:val="28"/>
        </w:rPr>
        <w:t>pas</w:t>
      </w:r>
      <w:r w:rsidR="007929A9">
        <w:rPr>
          <w:rFonts w:ascii="Times New Roman" w:hAnsi="Times New Roman" w:cs="Times New Roman"/>
          <w:sz w:val="28"/>
          <w:szCs w:val="28"/>
        </w:rPr>
        <w:t>t</w:t>
      </w:r>
      <w:r w:rsidRPr="00A6059D">
        <w:rPr>
          <w:rFonts w:ascii="Times New Roman" w:hAnsi="Times New Roman" w:cs="Times New Roman"/>
          <w:sz w:val="28"/>
          <w:szCs w:val="28"/>
        </w:rPr>
        <w:t xml:space="preserve"> experience he'd had observing hand-to-hand transactions.</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At the same time, where an accused who challenges a warrant asks that aspect</w:t>
      </w:r>
      <w:r w:rsidR="005F2040">
        <w:rPr>
          <w:rFonts w:ascii="Times New Roman" w:hAnsi="Times New Roman" w:cs="Times New Roman"/>
          <w:sz w:val="28"/>
          <w:szCs w:val="28"/>
        </w:rPr>
        <w:t>s</w:t>
      </w:r>
      <w:r w:rsidRPr="00A6059D">
        <w:rPr>
          <w:rFonts w:ascii="Times New Roman" w:hAnsi="Times New Roman" w:cs="Times New Roman"/>
          <w:sz w:val="28"/>
          <w:szCs w:val="28"/>
        </w:rPr>
        <w:t xml:space="preserve"> of the evidence be included in the analysis to provide additional context, the reviewing court must guard against taking into consideration </w:t>
      </w:r>
      <w:r w:rsidR="005F2040">
        <w:rPr>
          <w:rFonts w:ascii="Times New Roman" w:hAnsi="Times New Roman" w:cs="Times New Roman"/>
          <w:sz w:val="28"/>
          <w:szCs w:val="28"/>
        </w:rPr>
        <w:t xml:space="preserve">only </w:t>
      </w:r>
      <w:r w:rsidRPr="00A6059D">
        <w:rPr>
          <w:rFonts w:ascii="Times New Roman" w:hAnsi="Times New Roman" w:cs="Times New Roman"/>
          <w:sz w:val="28"/>
          <w:szCs w:val="28"/>
        </w:rPr>
        <w:t>isolated elements that will make the overall picture misleading.</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Here, Mr. Khatib seemed to suggest that some of the additional context should be taken into account in the analysis of the sufficiency of the grounds, but only the aspects that assist him.  This would mean, for example, taking into account </w:t>
      </w:r>
      <w:r w:rsidR="00994D4B">
        <w:rPr>
          <w:rFonts w:ascii="Times New Roman" w:hAnsi="Times New Roman" w:cs="Times New Roman"/>
          <w:sz w:val="28"/>
          <w:szCs w:val="28"/>
        </w:rPr>
        <w:t xml:space="preserve">Cst. </w:t>
      </w:r>
      <w:r w:rsidRPr="00A6059D">
        <w:rPr>
          <w:rFonts w:ascii="Times New Roman" w:hAnsi="Times New Roman" w:cs="Times New Roman"/>
          <w:sz w:val="28"/>
          <w:szCs w:val="28"/>
        </w:rPr>
        <w:t xml:space="preserve">Main's evidence that the surveillance took place during the hours of darkness, thereby suggesting his ability to observe things was impeded, but not his explanation for why, even in the dark, he was confident about the </w:t>
      </w:r>
      <w:r w:rsidR="009229CC">
        <w:rPr>
          <w:rFonts w:ascii="Times New Roman" w:hAnsi="Times New Roman" w:cs="Times New Roman"/>
          <w:sz w:val="28"/>
          <w:szCs w:val="28"/>
        </w:rPr>
        <w:t xml:space="preserve">accuracy of his observations.  </w:t>
      </w:r>
      <w:r w:rsidRPr="00A6059D">
        <w:rPr>
          <w:rFonts w:ascii="Times New Roman" w:hAnsi="Times New Roman" w:cs="Times New Roman"/>
          <w:sz w:val="28"/>
          <w:szCs w:val="28"/>
        </w:rPr>
        <w:lastRenderedPageBreak/>
        <w:t xml:space="preserve">Similarly, Mr. Khatib would have this Court take into account how far Cst. Main was from the residence when he made his observations, but not the fact he was using binoculars.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The Crown is not entitled to use the amplification process to rely on the additional "favourable" details that arose in Cst. Main's evidence, but the Defence cannot ask the </w:t>
      </w:r>
      <w:r w:rsidR="00C67C32">
        <w:rPr>
          <w:rFonts w:ascii="Times New Roman" w:hAnsi="Times New Roman" w:cs="Times New Roman"/>
          <w:sz w:val="28"/>
          <w:szCs w:val="28"/>
        </w:rPr>
        <w:t>C</w:t>
      </w:r>
      <w:r w:rsidRPr="00A6059D">
        <w:rPr>
          <w:rFonts w:ascii="Times New Roman" w:hAnsi="Times New Roman" w:cs="Times New Roman"/>
          <w:sz w:val="28"/>
          <w:szCs w:val="28"/>
        </w:rPr>
        <w:t xml:space="preserve">ourt to </w:t>
      </w:r>
      <w:r w:rsidR="00994D4B">
        <w:rPr>
          <w:rFonts w:ascii="Times New Roman" w:hAnsi="Times New Roman" w:cs="Times New Roman"/>
          <w:sz w:val="28"/>
          <w:szCs w:val="28"/>
        </w:rPr>
        <w:t>take into account</w:t>
      </w:r>
      <w:r w:rsidRPr="00A6059D">
        <w:rPr>
          <w:rFonts w:ascii="Times New Roman" w:hAnsi="Times New Roman" w:cs="Times New Roman"/>
          <w:sz w:val="28"/>
          <w:szCs w:val="28"/>
        </w:rPr>
        <w:t xml:space="preserve"> "unfavourable" details </w:t>
      </w:r>
      <w:r w:rsidR="00994D4B">
        <w:rPr>
          <w:rFonts w:ascii="Times New Roman" w:hAnsi="Times New Roman" w:cs="Times New Roman"/>
          <w:sz w:val="28"/>
          <w:szCs w:val="28"/>
        </w:rPr>
        <w:t xml:space="preserve">in isolation </w:t>
      </w:r>
      <w:r w:rsidRPr="00A6059D">
        <w:rPr>
          <w:rFonts w:ascii="Times New Roman" w:hAnsi="Times New Roman" w:cs="Times New Roman"/>
          <w:sz w:val="28"/>
          <w:szCs w:val="28"/>
        </w:rPr>
        <w:t>from the full cont</w:t>
      </w:r>
      <w:r w:rsidR="00E23EA6">
        <w:rPr>
          <w:rFonts w:ascii="Times New Roman" w:hAnsi="Times New Roman" w:cs="Times New Roman"/>
          <w:sz w:val="28"/>
          <w:szCs w:val="28"/>
        </w:rPr>
        <w:t>ext.  Doing so would distort</w:t>
      </w:r>
      <w:r w:rsidRPr="00A6059D">
        <w:rPr>
          <w:rFonts w:ascii="Times New Roman" w:hAnsi="Times New Roman" w:cs="Times New Roman"/>
          <w:sz w:val="28"/>
          <w:szCs w:val="28"/>
        </w:rPr>
        <w:t xml:space="preserve"> reality and lead to an overall misleading picture.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ultimate question is whether the missing details about the surveillance resulted in misleading the issuing justice.  I do not think that is the case.</w:t>
      </w:r>
    </w:p>
    <w:p w:rsidR="00A6059D" w:rsidRPr="00A6059D"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f) Conclusions on alleged errors and inaccuracies</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In summary, for the purposes of my analysis of the sufficiency of the grounds, I have disregarded the reference to the surveil</w:t>
      </w:r>
      <w:r w:rsidR="009229CC">
        <w:rPr>
          <w:rFonts w:ascii="Times New Roman" w:hAnsi="Times New Roman" w:cs="Times New Roman"/>
          <w:sz w:val="28"/>
          <w:szCs w:val="28"/>
        </w:rPr>
        <w:t xml:space="preserve">lance conducted on October 19. </w:t>
      </w:r>
      <w:r w:rsidRPr="00A6059D">
        <w:rPr>
          <w:rFonts w:ascii="Times New Roman" w:hAnsi="Times New Roman" w:cs="Times New Roman"/>
          <w:sz w:val="28"/>
          <w:szCs w:val="28"/>
        </w:rPr>
        <w:t xml:space="preserve"> That is the only information that should be excised from the ITO.</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 have taken into account, as well, some of the additional </w:t>
      </w:r>
      <w:r w:rsidRPr="007929A9">
        <w:rPr>
          <w:rFonts w:ascii="Times New Roman" w:hAnsi="Times New Roman" w:cs="Times New Roman"/>
          <w:sz w:val="28"/>
          <w:szCs w:val="28"/>
        </w:rPr>
        <w:t>contex</w:t>
      </w:r>
      <w:r w:rsidR="007929A9" w:rsidRPr="007929A9">
        <w:rPr>
          <w:rFonts w:ascii="Times New Roman" w:hAnsi="Times New Roman" w:cs="Times New Roman"/>
          <w:sz w:val="28"/>
          <w:szCs w:val="28"/>
        </w:rPr>
        <w:t>t</w:t>
      </w:r>
      <w:r w:rsidRPr="007929A9">
        <w:rPr>
          <w:rFonts w:ascii="Times New Roman" w:hAnsi="Times New Roman" w:cs="Times New Roman"/>
          <w:sz w:val="28"/>
          <w:szCs w:val="28"/>
        </w:rPr>
        <w:t>ual</w:t>
      </w:r>
      <w:r w:rsidRPr="00A6059D">
        <w:rPr>
          <w:rFonts w:ascii="Times New Roman" w:hAnsi="Times New Roman" w:cs="Times New Roman"/>
          <w:sz w:val="28"/>
          <w:szCs w:val="28"/>
        </w:rPr>
        <w:t xml:space="preserve"> evidence adduced during the </w:t>
      </w:r>
      <w:r w:rsidRPr="009229CC">
        <w:rPr>
          <w:rFonts w:ascii="Times New Roman" w:hAnsi="Times New Roman" w:cs="Times New Roman"/>
          <w:i/>
          <w:sz w:val="28"/>
          <w:szCs w:val="28"/>
        </w:rPr>
        <w:t>voir dire</w:t>
      </w:r>
      <w:r w:rsidR="009229CC">
        <w:rPr>
          <w:rFonts w:ascii="Times New Roman" w:hAnsi="Times New Roman" w:cs="Times New Roman"/>
          <w:sz w:val="28"/>
          <w:szCs w:val="28"/>
        </w:rPr>
        <w:t xml:space="preserve">. </w:t>
      </w:r>
      <w:r w:rsidRPr="00A6059D">
        <w:rPr>
          <w:rFonts w:ascii="Times New Roman" w:hAnsi="Times New Roman" w:cs="Times New Roman"/>
          <w:sz w:val="28"/>
          <w:szCs w:val="28"/>
        </w:rPr>
        <w:t xml:space="preserve"> This includes the particulars of the criminal records of Otto Kasook and David Koe, and the additional details about Mr. Wood's complaint, namely, the timeline of his observations of suspicious activities at 22 Kugmallit Road and his report that 2 people lived at that residence.</w:t>
      </w:r>
    </w:p>
    <w:p w:rsidR="00A6059D" w:rsidRPr="00A6059D"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2. The sufficiency of the grounds</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As noted above at Paragraph </w:t>
      </w:r>
      <w:r w:rsidR="005F2040">
        <w:rPr>
          <w:rFonts w:ascii="Times New Roman" w:hAnsi="Times New Roman" w:cs="Times New Roman"/>
          <w:sz w:val="28"/>
          <w:szCs w:val="28"/>
        </w:rPr>
        <w:t>5</w:t>
      </w:r>
      <w:r w:rsidRPr="00A6059D">
        <w:rPr>
          <w:rFonts w:ascii="Times New Roman" w:hAnsi="Times New Roman" w:cs="Times New Roman"/>
          <w:sz w:val="28"/>
          <w:szCs w:val="28"/>
        </w:rPr>
        <w:t>,</w:t>
      </w:r>
      <w:r w:rsidR="00382461">
        <w:rPr>
          <w:rFonts w:ascii="Times New Roman" w:hAnsi="Times New Roman" w:cs="Times New Roman"/>
          <w:sz w:val="28"/>
          <w:szCs w:val="28"/>
        </w:rPr>
        <w:t xml:space="preserve"> </w:t>
      </w:r>
      <w:r w:rsidRPr="00A6059D">
        <w:rPr>
          <w:rFonts w:ascii="Times New Roman" w:hAnsi="Times New Roman" w:cs="Times New Roman"/>
          <w:sz w:val="28"/>
          <w:szCs w:val="28"/>
        </w:rPr>
        <w:t>the standard of reasonable and probable grounds involves the point where credibility-based p</w:t>
      </w:r>
      <w:r w:rsidR="00982B02">
        <w:rPr>
          <w:rFonts w:ascii="Times New Roman" w:hAnsi="Times New Roman" w:cs="Times New Roman"/>
          <w:sz w:val="28"/>
          <w:szCs w:val="28"/>
        </w:rPr>
        <w:t xml:space="preserve">robability replaces suspicion. </w:t>
      </w:r>
      <w:r w:rsidRPr="00A6059D">
        <w:rPr>
          <w:rFonts w:ascii="Times New Roman" w:hAnsi="Times New Roman" w:cs="Times New Roman"/>
          <w:sz w:val="28"/>
          <w:szCs w:val="28"/>
        </w:rPr>
        <w:t xml:space="preserve"> The grounds must also be based on facts, not mere assertions of the affiant's belief.</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Mr. Khatib argues that although Cst. Main had the subjective belief that evidence of drug trafficking activities would be found at the residence, there was no objective basis for that belief.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I agree with Mr. Khatib that some of the elements included in the ITO are of very little use.  With respect to anonymous complaints received by the police and the mayor, for example, there were virtually no details or corroboration.</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The information relayed to Cst. Main by Christina Kasook was in the nature of multi-layered hearsay, as she was relaying information conveyed to her by her children.  Still, it was quite specific: Ms. Kasook's daughter told her that she went to </w:t>
      </w:r>
      <w:r w:rsidRPr="00A6059D">
        <w:rPr>
          <w:rFonts w:ascii="Times New Roman" w:hAnsi="Times New Roman" w:cs="Times New Roman"/>
          <w:sz w:val="28"/>
          <w:szCs w:val="28"/>
        </w:rPr>
        <w:lastRenderedPageBreak/>
        <w:t xml:space="preserve">22 Kugmallit Road because it was a place where she could find what she needed to get high.  Her son told her he had a discussion where Mr. Khatib said he could sell him a specific quantity for a specific price, and made reference to when he was receiving his shipment.  It would be open to the issuing justice to draw the inference that this was a discussion about illicit drugs.  It would not, on its own, be sufficient to form the basis to issue a warrant, but it is part of </w:t>
      </w:r>
      <w:r w:rsidR="007929A9">
        <w:rPr>
          <w:rFonts w:ascii="Times New Roman" w:hAnsi="Times New Roman" w:cs="Times New Roman"/>
          <w:sz w:val="28"/>
          <w:szCs w:val="28"/>
        </w:rPr>
        <w:t>t</w:t>
      </w:r>
      <w:r w:rsidRPr="007929A9">
        <w:rPr>
          <w:rFonts w:ascii="Times New Roman" w:hAnsi="Times New Roman" w:cs="Times New Roman"/>
          <w:sz w:val="28"/>
          <w:szCs w:val="28"/>
        </w:rPr>
        <w:t>he</w:t>
      </w:r>
      <w:r w:rsidRPr="00A6059D">
        <w:rPr>
          <w:rFonts w:ascii="Times New Roman" w:hAnsi="Times New Roman" w:cs="Times New Roman"/>
          <w:sz w:val="28"/>
          <w:szCs w:val="28"/>
        </w:rPr>
        <w:t xml:space="preserve"> overall context.</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observations relayed by Mr. Wood about pervasive foot traffic and many persons attending the residence for very short visits would not be determinative on their own either, but they constitute another</w:t>
      </w:r>
      <w:r w:rsidR="00982B02">
        <w:rPr>
          <w:rFonts w:ascii="Times New Roman" w:hAnsi="Times New Roman" w:cs="Times New Roman"/>
          <w:sz w:val="28"/>
          <w:szCs w:val="28"/>
        </w:rPr>
        <w:t xml:space="preserve"> piece of the overall picture. </w:t>
      </w:r>
      <w:r w:rsidRPr="00A6059D">
        <w:rPr>
          <w:rFonts w:ascii="Times New Roman" w:hAnsi="Times New Roman" w:cs="Times New Roman"/>
          <w:sz w:val="28"/>
          <w:szCs w:val="28"/>
        </w:rPr>
        <w:t xml:space="preserve"> While I agree that the evidence about the precise timeline is somewhat equivocal as </w:t>
      </w:r>
      <w:r w:rsidR="005F2040">
        <w:rPr>
          <w:rFonts w:ascii="Times New Roman" w:hAnsi="Times New Roman" w:cs="Times New Roman"/>
          <w:sz w:val="28"/>
          <w:szCs w:val="28"/>
        </w:rPr>
        <w:t>to</w:t>
      </w:r>
      <w:r w:rsidRPr="00A6059D">
        <w:rPr>
          <w:rFonts w:ascii="Times New Roman" w:hAnsi="Times New Roman" w:cs="Times New Roman"/>
          <w:sz w:val="28"/>
          <w:szCs w:val="28"/>
        </w:rPr>
        <w:t xml:space="preserve"> when these activities began, it is clear that they </w:t>
      </w:r>
      <w:r w:rsidR="00994D4B">
        <w:rPr>
          <w:rFonts w:ascii="Times New Roman" w:hAnsi="Times New Roman" w:cs="Times New Roman"/>
          <w:sz w:val="28"/>
          <w:szCs w:val="28"/>
        </w:rPr>
        <w:t>continued to be</w:t>
      </w:r>
      <w:r w:rsidRPr="00A6059D">
        <w:rPr>
          <w:rFonts w:ascii="Times New Roman" w:hAnsi="Times New Roman" w:cs="Times New Roman"/>
          <w:sz w:val="28"/>
          <w:szCs w:val="28"/>
        </w:rPr>
        <w:t xml:space="preserve"> observed after Mr. Khatib moved to 22 Kugmallit Road.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ITO also outlines several occasions where Mr. Khatib was observed engaging in what appeared to be hand-to-hand transact</w:t>
      </w:r>
      <w:r w:rsidR="00982B02">
        <w:rPr>
          <w:rFonts w:ascii="Times New Roman" w:hAnsi="Times New Roman" w:cs="Times New Roman"/>
          <w:sz w:val="28"/>
          <w:szCs w:val="28"/>
        </w:rPr>
        <w:t xml:space="preserve">ions with various individuals. </w:t>
      </w:r>
      <w:r w:rsidRPr="00A6059D">
        <w:rPr>
          <w:rFonts w:ascii="Times New Roman" w:hAnsi="Times New Roman" w:cs="Times New Roman"/>
          <w:sz w:val="28"/>
          <w:szCs w:val="28"/>
        </w:rPr>
        <w:t xml:space="preserve"> Overall, for relatively short periods of surveillance, a high number of apparent hand-to-hand transactions were observed.</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Mr. Khatib notes that none of the people involved in those transactions were arrested when they left the area of 22 Kugmallit Road, such that there is no direct evidence that these transactions were drug related.</w:t>
      </w:r>
      <w:r w:rsidR="00982B02">
        <w:rPr>
          <w:rFonts w:ascii="Times New Roman" w:hAnsi="Times New Roman" w:cs="Times New Roman"/>
          <w:sz w:val="28"/>
          <w:szCs w:val="28"/>
        </w:rPr>
        <w:t xml:space="preserve"> </w:t>
      </w:r>
      <w:r w:rsidRPr="00A6059D">
        <w:rPr>
          <w:rFonts w:ascii="Times New Roman" w:hAnsi="Times New Roman" w:cs="Times New Roman"/>
          <w:sz w:val="28"/>
          <w:szCs w:val="28"/>
        </w:rPr>
        <w:t xml:space="preserve"> Relying on </w:t>
      </w:r>
      <w:r w:rsidRPr="00382461">
        <w:rPr>
          <w:rFonts w:ascii="Times New Roman" w:hAnsi="Times New Roman" w:cs="Times New Roman"/>
          <w:i/>
          <w:sz w:val="28"/>
          <w:szCs w:val="28"/>
        </w:rPr>
        <w:t>R v Quilop</w:t>
      </w:r>
      <w:r w:rsidRPr="00A6059D">
        <w:rPr>
          <w:rFonts w:ascii="Times New Roman" w:hAnsi="Times New Roman" w:cs="Times New Roman"/>
          <w:sz w:val="28"/>
          <w:szCs w:val="28"/>
        </w:rPr>
        <w:t xml:space="preserve">, 2017 ABCA 70, he argues that the fact that a person has engaged in brief hand-to-hand transactions cannot be assumed to mean the person is </w:t>
      </w:r>
      <w:r w:rsidR="00982B02">
        <w:rPr>
          <w:rFonts w:ascii="Times New Roman" w:hAnsi="Times New Roman" w:cs="Times New Roman"/>
          <w:sz w:val="28"/>
          <w:szCs w:val="28"/>
        </w:rPr>
        <w:t>engaged in illegal activities.</w:t>
      </w:r>
    </w:p>
    <w:p w:rsidR="00A6059D" w:rsidRPr="005F204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One of the issues in </w:t>
      </w:r>
      <w:r w:rsidRPr="00382461">
        <w:rPr>
          <w:rFonts w:ascii="Times New Roman" w:hAnsi="Times New Roman" w:cs="Times New Roman"/>
          <w:i/>
          <w:sz w:val="28"/>
          <w:szCs w:val="28"/>
        </w:rPr>
        <w:t>Quilop</w:t>
      </w:r>
      <w:r w:rsidRPr="00A6059D">
        <w:rPr>
          <w:rFonts w:ascii="Times New Roman" w:hAnsi="Times New Roman" w:cs="Times New Roman"/>
          <w:sz w:val="28"/>
          <w:szCs w:val="28"/>
        </w:rPr>
        <w:t xml:space="preserve"> was whether police had sufficient grounds to arrest </w:t>
      </w:r>
      <w:r w:rsidR="005F2040">
        <w:rPr>
          <w:rFonts w:ascii="Times New Roman" w:hAnsi="Times New Roman" w:cs="Times New Roman"/>
          <w:sz w:val="28"/>
          <w:szCs w:val="28"/>
        </w:rPr>
        <w:t>the accused.</w:t>
      </w:r>
      <w:r w:rsidRPr="00A6059D">
        <w:rPr>
          <w:rFonts w:ascii="Times New Roman" w:hAnsi="Times New Roman" w:cs="Times New Roman"/>
          <w:sz w:val="28"/>
          <w:szCs w:val="28"/>
        </w:rPr>
        <w:t xml:space="preserve">  The arresting officers relied in part on surveillance information which co</w:t>
      </w:r>
      <w:r w:rsidR="00982B02">
        <w:rPr>
          <w:rFonts w:ascii="Times New Roman" w:hAnsi="Times New Roman" w:cs="Times New Roman"/>
          <w:sz w:val="28"/>
          <w:szCs w:val="28"/>
        </w:rPr>
        <w:t xml:space="preserve">nsisted of three observations. </w:t>
      </w:r>
      <w:r w:rsidRPr="00A6059D">
        <w:rPr>
          <w:rFonts w:ascii="Times New Roman" w:hAnsi="Times New Roman" w:cs="Times New Roman"/>
          <w:sz w:val="28"/>
          <w:szCs w:val="28"/>
        </w:rPr>
        <w:t xml:space="preserve"> In the first, the suspect was seen getting into a car, exiting it a minute later, and running down the street to a </w:t>
      </w:r>
      <w:r w:rsidRPr="007929A9">
        <w:rPr>
          <w:rFonts w:ascii="Times New Roman" w:hAnsi="Times New Roman" w:cs="Times New Roman"/>
          <w:sz w:val="28"/>
          <w:szCs w:val="28"/>
        </w:rPr>
        <w:t>nea</w:t>
      </w:r>
      <w:r w:rsidR="007929A9" w:rsidRPr="007929A9">
        <w:rPr>
          <w:rFonts w:ascii="Times New Roman" w:hAnsi="Times New Roman" w:cs="Times New Roman"/>
          <w:sz w:val="28"/>
          <w:szCs w:val="28"/>
        </w:rPr>
        <w:t>r</w:t>
      </w:r>
      <w:r w:rsidRPr="007929A9">
        <w:rPr>
          <w:rFonts w:ascii="Times New Roman" w:hAnsi="Times New Roman" w:cs="Times New Roman"/>
          <w:sz w:val="28"/>
          <w:szCs w:val="28"/>
        </w:rPr>
        <w:t>by</w:t>
      </w:r>
      <w:r w:rsidRPr="00A6059D">
        <w:rPr>
          <w:rFonts w:ascii="Times New Roman" w:hAnsi="Times New Roman" w:cs="Times New Roman"/>
          <w:sz w:val="28"/>
          <w:szCs w:val="28"/>
        </w:rPr>
        <w:t xml:space="preserve"> law office.  In the second, he was seen leaving an apartment building with another person, driving away and parking by a residential address. </w:t>
      </w:r>
      <w:r w:rsidR="00982B02">
        <w:rPr>
          <w:rFonts w:ascii="Times New Roman" w:hAnsi="Times New Roman" w:cs="Times New Roman"/>
          <w:sz w:val="28"/>
          <w:szCs w:val="28"/>
        </w:rPr>
        <w:t xml:space="preserve"> </w:t>
      </w:r>
      <w:r w:rsidRPr="00A6059D">
        <w:rPr>
          <w:rFonts w:ascii="Times New Roman" w:hAnsi="Times New Roman" w:cs="Times New Roman"/>
          <w:sz w:val="28"/>
          <w:szCs w:val="28"/>
        </w:rPr>
        <w:t xml:space="preserve">A man came out of the residence, got in the car, and left it a few minutes later with an object in his hand the size of a baseball.  The third observation was made an hour later. </w:t>
      </w:r>
      <w:r w:rsidR="00982B02">
        <w:rPr>
          <w:rFonts w:ascii="Times New Roman" w:hAnsi="Times New Roman" w:cs="Times New Roman"/>
          <w:sz w:val="28"/>
          <w:szCs w:val="28"/>
        </w:rPr>
        <w:t xml:space="preserve"> </w:t>
      </w:r>
      <w:r w:rsidRPr="00A6059D">
        <w:rPr>
          <w:rFonts w:ascii="Times New Roman" w:hAnsi="Times New Roman" w:cs="Times New Roman"/>
          <w:sz w:val="28"/>
          <w:szCs w:val="28"/>
        </w:rPr>
        <w:t>The suspect was seen entering an apartment carrying a pouch case with him, and coming out six minutes later, still carrying the pouch case.</w:t>
      </w:r>
      <w:r w:rsidR="005F2040">
        <w:rPr>
          <w:rFonts w:ascii="Times New Roman" w:hAnsi="Times New Roman" w:cs="Times New Roman"/>
          <w:sz w:val="28"/>
          <w:szCs w:val="28"/>
        </w:rPr>
        <w:t xml:space="preserve">  </w:t>
      </w:r>
      <w:r w:rsidRPr="005F2040">
        <w:rPr>
          <w:rFonts w:ascii="Times New Roman" w:hAnsi="Times New Roman" w:cs="Times New Roman"/>
          <w:sz w:val="28"/>
          <w:szCs w:val="28"/>
        </w:rPr>
        <w:t>At that point, a decision was made to arrest him.</w:t>
      </w:r>
    </w:p>
    <w:p w:rsidR="00A6059D" w:rsidRPr="00382461"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In concluding that the grounds were insufficient, the Court of Appeal of Alberta, among other things, commented about brief transactions and the fact that they are not necessarily suspicious:</w:t>
      </w:r>
    </w:p>
    <w:p w:rsidR="00A6059D" w:rsidRPr="00382461" w:rsidRDefault="00A6059D" w:rsidP="000238F4">
      <w:pPr>
        <w:pStyle w:val="ListParagraph"/>
        <w:spacing w:after="240" w:line="240" w:lineRule="auto"/>
        <w:ind w:left="284" w:right="284"/>
        <w:contextualSpacing w:val="0"/>
        <w:jc w:val="both"/>
        <w:rPr>
          <w:rFonts w:ascii="Times New Roman" w:hAnsi="Times New Roman" w:cs="Times New Roman"/>
          <w:sz w:val="24"/>
          <w:szCs w:val="24"/>
        </w:rPr>
      </w:pPr>
      <w:r w:rsidRPr="00382461">
        <w:rPr>
          <w:rFonts w:ascii="Times New Roman" w:hAnsi="Times New Roman" w:cs="Times New Roman"/>
          <w:sz w:val="24"/>
          <w:szCs w:val="24"/>
        </w:rPr>
        <w:t xml:space="preserve">The Crown argued that it would be difficult to imagine an innocent explanation for what the police observed.  We disagree.  People buying and selling items online, from small </w:t>
      </w:r>
      <w:r w:rsidRPr="00382461">
        <w:rPr>
          <w:rFonts w:ascii="Times New Roman" w:hAnsi="Times New Roman" w:cs="Times New Roman"/>
          <w:sz w:val="24"/>
          <w:szCs w:val="24"/>
        </w:rPr>
        <w:lastRenderedPageBreak/>
        <w:t>collectibles to hockey tickets, for example, often conduct transactions in their homes or cars or on the street.  And such transactions can be extremely brief where the parties have previously agreed on price or where the transaction is conditional upon a cursory inspection by the buyer.</w:t>
      </w:r>
    </w:p>
    <w:p w:rsidR="00A6059D" w:rsidRPr="00A6059D"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382461">
        <w:rPr>
          <w:rFonts w:ascii="Times New Roman" w:hAnsi="Times New Roman" w:cs="Times New Roman"/>
          <w:i/>
          <w:sz w:val="28"/>
          <w:szCs w:val="28"/>
        </w:rPr>
        <w:t>Quilop</w:t>
      </w:r>
      <w:r w:rsidRPr="00A6059D">
        <w:rPr>
          <w:rFonts w:ascii="Times New Roman" w:hAnsi="Times New Roman" w:cs="Times New Roman"/>
          <w:sz w:val="28"/>
          <w:szCs w:val="28"/>
        </w:rPr>
        <w:t>, para 32.</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The Court also noted that the observations were of extremely short duration; that no hand-to-hand exc</w:t>
      </w:r>
      <w:r w:rsidR="00982B02">
        <w:rPr>
          <w:rFonts w:ascii="Times New Roman" w:hAnsi="Times New Roman" w:cs="Times New Roman"/>
          <w:sz w:val="28"/>
          <w:szCs w:val="28"/>
        </w:rPr>
        <w:t xml:space="preserve">hanges were observed; and that </w:t>
      </w:r>
      <w:r w:rsidRPr="00A6059D">
        <w:rPr>
          <w:rFonts w:ascii="Times New Roman" w:hAnsi="Times New Roman" w:cs="Times New Roman"/>
          <w:sz w:val="28"/>
          <w:szCs w:val="28"/>
        </w:rPr>
        <w:t>there was nothing connecting the persons the a</w:t>
      </w:r>
      <w:r w:rsidR="00994D4B">
        <w:rPr>
          <w:rFonts w:ascii="Times New Roman" w:hAnsi="Times New Roman" w:cs="Times New Roman"/>
          <w:sz w:val="28"/>
          <w:szCs w:val="28"/>
        </w:rPr>
        <w:t>ccused</w:t>
      </w:r>
      <w:r w:rsidRPr="00A6059D">
        <w:rPr>
          <w:rFonts w:ascii="Times New Roman" w:hAnsi="Times New Roman" w:cs="Times New Roman"/>
          <w:sz w:val="28"/>
          <w:szCs w:val="28"/>
        </w:rPr>
        <w:t xml:space="preserve"> met or the residence he </w:t>
      </w:r>
      <w:r w:rsidR="00982B02">
        <w:rPr>
          <w:rFonts w:ascii="Times New Roman" w:hAnsi="Times New Roman" w:cs="Times New Roman"/>
          <w:sz w:val="28"/>
          <w:szCs w:val="28"/>
        </w:rPr>
        <w:t xml:space="preserve">visited to known drug dealers. </w:t>
      </w:r>
      <w:r w:rsidRPr="00382461">
        <w:rPr>
          <w:rFonts w:ascii="Times New Roman" w:hAnsi="Times New Roman" w:cs="Times New Roman"/>
          <w:i/>
          <w:sz w:val="28"/>
          <w:szCs w:val="28"/>
        </w:rPr>
        <w:t>Quilop</w:t>
      </w:r>
      <w:r w:rsidRPr="00A6059D">
        <w:rPr>
          <w:rFonts w:ascii="Times New Roman" w:hAnsi="Times New Roman" w:cs="Times New Roman"/>
          <w:sz w:val="28"/>
          <w:szCs w:val="28"/>
        </w:rPr>
        <w:t>, para 31.</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The situation </w:t>
      </w:r>
      <w:r w:rsidR="00982B02">
        <w:rPr>
          <w:rFonts w:ascii="Times New Roman" w:hAnsi="Times New Roman" w:cs="Times New Roman"/>
          <w:sz w:val="28"/>
          <w:szCs w:val="28"/>
        </w:rPr>
        <w:t xml:space="preserve">here is very different.  </w:t>
      </w:r>
      <w:r w:rsidRPr="00A6059D">
        <w:rPr>
          <w:rFonts w:ascii="Times New Roman" w:hAnsi="Times New Roman" w:cs="Times New Roman"/>
          <w:sz w:val="28"/>
          <w:szCs w:val="28"/>
        </w:rPr>
        <w:t>As I already noted, the surveillance conducted on Oc</w:t>
      </w:r>
      <w:r w:rsidR="007929A9">
        <w:rPr>
          <w:rFonts w:ascii="Times New Roman" w:hAnsi="Times New Roman" w:cs="Times New Roman"/>
          <w:sz w:val="28"/>
          <w:szCs w:val="28"/>
        </w:rPr>
        <w:t xml:space="preserve">tober 6th, 7th, 10th, and 14th </w:t>
      </w:r>
      <w:r w:rsidRPr="00A6059D">
        <w:rPr>
          <w:rFonts w:ascii="Times New Roman" w:hAnsi="Times New Roman" w:cs="Times New Roman"/>
          <w:sz w:val="28"/>
          <w:szCs w:val="28"/>
        </w:rPr>
        <w:t>was for r</w:t>
      </w:r>
      <w:r w:rsidR="00982B02">
        <w:rPr>
          <w:rFonts w:ascii="Times New Roman" w:hAnsi="Times New Roman" w:cs="Times New Roman"/>
          <w:sz w:val="28"/>
          <w:szCs w:val="28"/>
        </w:rPr>
        <w:t>elatively short periods of time</w:t>
      </w:r>
      <w:r w:rsidR="00E23EA6">
        <w:rPr>
          <w:rFonts w:ascii="Times New Roman" w:hAnsi="Times New Roman" w:cs="Times New Roman"/>
          <w:sz w:val="28"/>
          <w:szCs w:val="28"/>
        </w:rPr>
        <w:t>.</w:t>
      </w:r>
      <w:r w:rsidRPr="00A6059D">
        <w:rPr>
          <w:rFonts w:ascii="Times New Roman" w:hAnsi="Times New Roman" w:cs="Times New Roman"/>
          <w:sz w:val="28"/>
          <w:szCs w:val="28"/>
        </w:rPr>
        <w:t xml:space="preserve"> </w:t>
      </w:r>
      <w:r w:rsidR="00E23EA6">
        <w:rPr>
          <w:rFonts w:ascii="Times New Roman" w:hAnsi="Times New Roman" w:cs="Times New Roman"/>
          <w:sz w:val="28"/>
          <w:szCs w:val="28"/>
        </w:rPr>
        <w:t>Y</w:t>
      </w:r>
      <w:r w:rsidRPr="00A6059D">
        <w:rPr>
          <w:rFonts w:ascii="Times New Roman" w:hAnsi="Times New Roman" w:cs="Times New Roman"/>
          <w:sz w:val="28"/>
          <w:szCs w:val="28"/>
        </w:rPr>
        <w:t xml:space="preserve">et, Mr. Khatib was observed being involved in </w:t>
      </w:r>
      <w:r w:rsidR="005F2040">
        <w:rPr>
          <w:rFonts w:ascii="Times New Roman" w:hAnsi="Times New Roman" w:cs="Times New Roman"/>
          <w:sz w:val="28"/>
          <w:szCs w:val="28"/>
        </w:rPr>
        <w:t>numerous</w:t>
      </w:r>
      <w:r w:rsidRPr="00A6059D">
        <w:rPr>
          <w:rFonts w:ascii="Times New Roman" w:hAnsi="Times New Roman" w:cs="Times New Roman"/>
          <w:sz w:val="28"/>
          <w:szCs w:val="28"/>
        </w:rPr>
        <w:t xml:space="preserve"> hand-to-hand transactions, through his window, with various individuals who attended 22 Kugmallit Road.</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Cst. Main observed a further hand-to-hand transaction involving Mr. Khatib and an individual who, based on Cst.</w:t>
      </w:r>
      <w:r w:rsidR="00982B02">
        <w:rPr>
          <w:rFonts w:ascii="Times New Roman" w:hAnsi="Times New Roman" w:cs="Times New Roman"/>
          <w:sz w:val="28"/>
          <w:szCs w:val="28"/>
        </w:rPr>
        <w:t xml:space="preserve"> </w:t>
      </w:r>
      <w:r w:rsidRPr="00A6059D">
        <w:rPr>
          <w:rFonts w:ascii="Times New Roman" w:hAnsi="Times New Roman" w:cs="Times New Roman"/>
          <w:sz w:val="28"/>
          <w:szCs w:val="28"/>
        </w:rPr>
        <w:t xml:space="preserve">Main's search of PROS, had been the subject of a complaint involving trafficking of marihuana and cocaine.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Because none of the buyers were intercepted after any of the hand-to-hand exchanges, there </w:t>
      </w:r>
      <w:r w:rsidR="005F2040">
        <w:rPr>
          <w:rFonts w:ascii="Times New Roman" w:hAnsi="Times New Roman" w:cs="Times New Roman"/>
          <w:sz w:val="28"/>
          <w:szCs w:val="28"/>
        </w:rPr>
        <w:t>wa</w:t>
      </w:r>
      <w:r w:rsidRPr="00A6059D">
        <w:rPr>
          <w:rFonts w:ascii="Times New Roman" w:hAnsi="Times New Roman" w:cs="Times New Roman"/>
          <w:sz w:val="28"/>
          <w:szCs w:val="28"/>
        </w:rPr>
        <w:t xml:space="preserve">s no direct evidence that the subject-matter of any of those transactions were drugs. </w:t>
      </w:r>
      <w:r w:rsidR="00982B02">
        <w:rPr>
          <w:rFonts w:ascii="Times New Roman" w:hAnsi="Times New Roman" w:cs="Times New Roman"/>
          <w:sz w:val="28"/>
          <w:szCs w:val="28"/>
        </w:rPr>
        <w:t xml:space="preserve"> </w:t>
      </w:r>
      <w:r w:rsidRPr="00A6059D">
        <w:rPr>
          <w:rFonts w:ascii="Times New Roman" w:hAnsi="Times New Roman" w:cs="Times New Roman"/>
          <w:sz w:val="28"/>
          <w:szCs w:val="28"/>
        </w:rPr>
        <w:t xml:space="preserve">But that fact did not need to be established conclusively in the ITO.  </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The observations made during the surveillance were consistent with Mr. Wood's complaint of pervasive </w:t>
      </w:r>
      <w:r w:rsidR="00982B02">
        <w:rPr>
          <w:rFonts w:ascii="Times New Roman" w:hAnsi="Times New Roman" w:cs="Times New Roman"/>
          <w:sz w:val="28"/>
          <w:szCs w:val="28"/>
        </w:rPr>
        <w:t xml:space="preserve">foot traffic at the residence. </w:t>
      </w:r>
      <w:r w:rsidRPr="00A6059D">
        <w:rPr>
          <w:rFonts w:ascii="Times New Roman" w:hAnsi="Times New Roman" w:cs="Times New Roman"/>
          <w:sz w:val="28"/>
          <w:szCs w:val="28"/>
        </w:rPr>
        <w:t xml:space="preserve"> Christina Kasook's daughter reportedly told her this was a residence she could "get some stuff to get high".  Her son told her Mr. Khatib told him he "could sell him an ounce for $300.00". </w:t>
      </w:r>
      <w:r w:rsidR="00982B02">
        <w:rPr>
          <w:rFonts w:ascii="Times New Roman" w:hAnsi="Times New Roman" w:cs="Times New Roman"/>
          <w:sz w:val="28"/>
          <w:szCs w:val="28"/>
        </w:rPr>
        <w:t xml:space="preserve"> </w:t>
      </w:r>
      <w:r w:rsidRPr="00A6059D">
        <w:rPr>
          <w:rFonts w:ascii="Times New Roman" w:hAnsi="Times New Roman" w:cs="Times New Roman"/>
          <w:sz w:val="28"/>
          <w:szCs w:val="28"/>
        </w:rPr>
        <w:t>Mr. Khatib had been investigated and charged in relation to drug trafficking several times in the past, though those matters did not go to trial.  He was facing drug trafficking charges in October 2017.</w:t>
      </w:r>
    </w:p>
    <w:p w:rsidR="00A6059D" w:rsidRPr="006E17B0"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 xml:space="preserve">In my view, on the whole, there was an ample basis for the issuing justice to issue the search warrant.  I conclude that there was no breach of Section 8 of the </w:t>
      </w:r>
      <w:r w:rsidRPr="00382461">
        <w:rPr>
          <w:rFonts w:ascii="Times New Roman" w:hAnsi="Times New Roman" w:cs="Times New Roman"/>
          <w:i/>
          <w:sz w:val="28"/>
          <w:szCs w:val="28"/>
        </w:rPr>
        <w:t>Charter</w:t>
      </w:r>
      <w:r w:rsidRPr="00A6059D">
        <w:rPr>
          <w:rFonts w:ascii="Times New Roman" w:hAnsi="Times New Roman" w:cs="Times New Roman"/>
          <w:sz w:val="28"/>
          <w:szCs w:val="28"/>
        </w:rPr>
        <w:t xml:space="preserve"> in this case.</w:t>
      </w:r>
    </w:p>
    <w:p w:rsidR="00A6059D" w:rsidRPr="00A6059D" w:rsidRDefault="00A6059D" w:rsidP="000238F4">
      <w:pPr>
        <w:pStyle w:val="ListParagraph"/>
        <w:spacing w:after="240" w:line="240" w:lineRule="auto"/>
        <w:ind w:left="0"/>
        <w:contextualSpacing w:val="0"/>
        <w:jc w:val="both"/>
        <w:rPr>
          <w:rFonts w:ascii="Times New Roman" w:hAnsi="Times New Roman" w:cs="Times New Roman"/>
          <w:sz w:val="28"/>
          <w:szCs w:val="28"/>
        </w:rPr>
      </w:pPr>
      <w:r w:rsidRPr="00A6059D">
        <w:rPr>
          <w:rFonts w:ascii="Times New Roman" w:hAnsi="Times New Roman" w:cs="Times New Roman"/>
          <w:sz w:val="28"/>
          <w:szCs w:val="28"/>
        </w:rPr>
        <w:t>3. Section 24(2)</w:t>
      </w:r>
    </w:p>
    <w:p w:rsidR="00277126" w:rsidRPr="00277126" w:rsidRDefault="00A6059D"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A6059D">
        <w:rPr>
          <w:rFonts w:ascii="Times New Roman" w:hAnsi="Times New Roman" w:cs="Times New Roman"/>
          <w:sz w:val="28"/>
          <w:szCs w:val="28"/>
        </w:rPr>
        <w:t>Even if I am mistaken in my assessment of the v</w:t>
      </w:r>
      <w:r w:rsidR="00982B02">
        <w:rPr>
          <w:rFonts w:ascii="Times New Roman" w:hAnsi="Times New Roman" w:cs="Times New Roman"/>
          <w:sz w:val="28"/>
          <w:szCs w:val="28"/>
        </w:rPr>
        <w:t xml:space="preserve">alidity of the search warrant, </w:t>
      </w:r>
      <w:r w:rsidRPr="00A6059D">
        <w:rPr>
          <w:rFonts w:ascii="Times New Roman" w:hAnsi="Times New Roman" w:cs="Times New Roman"/>
          <w:sz w:val="28"/>
          <w:szCs w:val="28"/>
        </w:rPr>
        <w:t>I would have concluded, in any event, that the evidence should not be excluded.</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lastRenderedPageBreak/>
        <w:t xml:space="preserve">The legal framework that governs an application to exclude evidence pursuant to Section 24(2) of the </w:t>
      </w:r>
      <w:r w:rsidRPr="00277126">
        <w:rPr>
          <w:rFonts w:ascii="Times New Roman" w:hAnsi="Times New Roman" w:cs="Times New Roman"/>
          <w:i/>
          <w:sz w:val="28"/>
          <w:szCs w:val="28"/>
        </w:rPr>
        <w:t>Charter</w:t>
      </w:r>
      <w:r w:rsidRPr="00277126">
        <w:rPr>
          <w:rFonts w:ascii="Times New Roman" w:hAnsi="Times New Roman" w:cs="Times New Roman"/>
          <w:sz w:val="28"/>
          <w:szCs w:val="28"/>
        </w:rPr>
        <w:t xml:space="preserve"> is well established and requires consideration of three factors: the seriousness of the state-infringing conduct; the impact on the </w:t>
      </w:r>
      <w:r w:rsidRPr="00277126">
        <w:rPr>
          <w:rFonts w:ascii="Times New Roman" w:hAnsi="Times New Roman" w:cs="Times New Roman"/>
          <w:i/>
          <w:sz w:val="28"/>
          <w:szCs w:val="28"/>
        </w:rPr>
        <w:t>Charter</w:t>
      </w:r>
      <w:r w:rsidRPr="00277126">
        <w:rPr>
          <w:rFonts w:ascii="Times New Roman" w:hAnsi="Times New Roman" w:cs="Times New Roman"/>
          <w:sz w:val="28"/>
          <w:szCs w:val="28"/>
        </w:rPr>
        <w:t>-protected interests of the accused; and society's interest in an adjudication of th</w:t>
      </w:r>
      <w:r w:rsidR="00982B02">
        <w:rPr>
          <w:rFonts w:ascii="Times New Roman" w:hAnsi="Times New Roman" w:cs="Times New Roman"/>
          <w:sz w:val="28"/>
          <w:szCs w:val="28"/>
        </w:rPr>
        <w:t xml:space="preserve">e case on the merits. </w:t>
      </w:r>
      <w:r w:rsidRPr="00277126">
        <w:rPr>
          <w:rFonts w:ascii="Times New Roman" w:hAnsi="Times New Roman" w:cs="Times New Roman"/>
          <w:i/>
          <w:sz w:val="28"/>
          <w:szCs w:val="28"/>
        </w:rPr>
        <w:t>R v Grant</w:t>
      </w:r>
      <w:r w:rsidRPr="00277126">
        <w:rPr>
          <w:rFonts w:ascii="Times New Roman" w:hAnsi="Times New Roman" w:cs="Times New Roman"/>
          <w:sz w:val="28"/>
          <w:szCs w:val="28"/>
        </w:rPr>
        <w:t>, 2009 SCC 32.</w:t>
      </w:r>
    </w:p>
    <w:p w:rsidR="00277126" w:rsidRPr="00277126" w:rsidRDefault="00277126" w:rsidP="000238F4">
      <w:pPr>
        <w:pStyle w:val="ListParagraph"/>
        <w:spacing w:after="240" w:line="240" w:lineRule="auto"/>
        <w:ind w:left="0"/>
        <w:contextualSpacing w:val="0"/>
        <w:jc w:val="both"/>
        <w:rPr>
          <w:rFonts w:ascii="Times New Roman" w:hAnsi="Times New Roman" w:cs="Times New Roman"/>
          <w:sz w:val="28"/>
          <w:szCs w:val="28"/>
        </w:rPr>
      </w:pPr>
      <w:r w:rsidRPr="00277126">
        <w:rPr>
          <w:rFonts w:ascii="Times New Roman" w:hAnsi="Times New Roman" w:cs="Times New Roman"/>
          <w:sz w:val="28"/>
          <w:szCs w:val="28"/>
        </w:rPr>
        <w:t>a) Seriousness of the state-infringing conduct</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Mr. Khatib does not allege that Cst. Main acted in bad faith.  He argues that the level of carelessness shown in the preparation of the ITO nonetheless amounts to unacceptable police conduct and should be viewed as serious.  </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Here, even assuming that all the errors raised by Mr. Khatib were in fact errors, were misleading, and that there were insufficient grounds for the warrant to issue, I would still place this case at the less serious end of the spectrum of </w:t>
      </w:r>
      <w:r w:rsidR="00994D4B">
        <w:rPr>
          <w:rFonts w:ascii="Times New Roman" w:hAnsi="Times New Roman" w:cs="Times New Roman"/>
          <w:sz w:val="28"/>
          <w:szCs w:val="28"/>
        </w:rPr>
        <w:t>state-infringing</w:t>
      </w:r>
      <w:r w:rsidRPr="00277126">
        <w:rPr>
          <w:rFonts w:ascii="Times New Roman" w:hAnsi="Times New Roman" w:cs="Times New Roman"/>
          <w:sz w:val="28"/>
          <w:szCs w:val="28"/>
        </w:rPr>
        <w:t xml:space="preserve"> conduct.</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First, this was not a warrantless search.  It was not a situation where agents of the state ignored Mr. Khatib's rights or were cavalier about respecting them.  </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Second, although errors were made, Cst. Main was not carel</w:t>
      </w:r>
      <w:r w:rsidR="00982B02">
        <w:rPr>
          <w:rFonts w:ascii="Times New Roman" w:hAnsi="Times New Roman" w:cs="Times New Roman"/>
          <w:sz w:val="28"/>
          <w:szCs w:val="28"/>
        </w:rPr>
        <w:t xml:space="preserve">ess in preparation of the ITO. </w:t>
      </w:r>
      <w:r w:rsidRPr="00277126">
        <w:rPr>
          <w:rFonts w:ascii="Times New Roman" w:hAnsi="Times New Roman" w:cs="Times New Roman"/>
          <w:sz w:val="28"/>
          <w:szCs w:val="28"/>
        </w:rPr>
        <w:t xml:space="preserve"> He outlined all the steps of the investigation.  He provided information about the various people referred to in the ITO and about the databases he consulted to assist in his investigation.</w:t>
      </w:r>
      <w:r w:rsidR="00982B02">
        <w:rPr>
          <w:rFonts w:ascii="Times New Roman" w:hAnsi="Times New Roman" w:cs="Times New Roman"/>
          <w:sz w:val="28"/>
          <w:szCs w:val="28"/>
        </w:rPr>
        <w:t xml:space="preserve"> </w:t>
      </w:r>
      <w:r w:rsidRPr="00277126">
        <w:rPr>
          <w:rFonts w:ascii="Times New Roman" w:hAnsi="Times New Roman" w:cs="Times New Roman"/>
          <w:sz w:val="28"/>
          <w:szCs w:val="28"/>
        </w:rPr>
        <w:t xml:space="preserve"> He provided information about the civilians whose information he relied on.  He conducted surveillance on several occasions and waited until he felt he had sufficient grounds before applying for the warrant.  He did not demonstrate a careless or negligent attitude toward Mr. Khatib's rights.</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I agree that drafting errors and omissions that are misleading may constitute serious police conduct for the purposes of the Section 24(2) analysis, even when there is no deliberate intention to mislead.</w:t>
      </w:r>
      <w:r w:rsidR="00982B02">
        <w:rPr>
          <w:rFonts w:ascii="Times New Roman" w:hAnsi="Times New Roman" w:cs="Times New Roman"/>
          <w:sz w:val="28"/>
          <w:szCs w:val="28"/>
        </w:rPr>
        <w:t xml:space="preserve"> </w:t>
      </w:r>
      <w:r w:rsidRPr="00277126">
        <w:rPr>
          <w:rFonts w:ascii="Times New Roman" w:hAnsi="Times New Roman" w:cs="Times New Roman"/>
          <w:i/>
          <w:sz w:val="28"/>
          <w:szCs w:val="28"/>
        </w:rPr>
        <w:t>R v Dhillon</w:t>
      </w:r>
      <w:r w:rsidRPr="00277126">
        <w:rPr>
          <w:rFonts w:ascii="Times New Roman" w:hAnsi="Times New Roman" w:cs="Times New Roman"/>
          <w:sz w:val="28"/>
          <w:szCs w:val="28"/>
        </w:rPr>
        <w:t>, 2010 ONCA 582, which Mr. Khatib relies on, is an example of this.  Still, regard must be had for the circumstances of each case.</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In </w:t>
      </w:r>
      <w:r w:rsidRPr="00277126">
        <w:rPr>
          <w:rFonts w:ascii="Times New Roman" w:hAnsi="Times New Roman" w:cs="Times New Roman"/>
          <w:i/>
          <w:sz w:val="28"/>
          <w:szCs w:val="28"/>
        </w:rPr>
        <w:t>Dhillon</w:t>
      </w:r>
      <w:r w:rsidRPr="00277126">
        <w:rPr>
          <w:rFonts w:ascii="Times New Roman" w:hAnsi="Times New Roman" w:cs="Times New Roman"/>
          <w:sz w:val="28"/>
          <w:szCs w:val="28"/>
        </w:rPr>
        <w:t xml:space="preserve">, the affiant outlined surveillance observations in the ITO and included damaging and incriminating details that were not in fact included in any of the source materials he was relying on.  The Court of Appeal for Ontario found that even if this error was the result of rushing, oversight or confusion, it nonetheless </w:t>
      </w:r>
      <w:r w:rsidR="005F2040">
        <w:rPr>
          <w:rFonts w:ascii="Times New Roman" w:hAnsi="Times New Roman" w:cs="Times New Roman"/>
          <w:sz w:val="28"/>
          <w:szCs w:val="28"/>
        </w:rPr>
        <w:t xml:space="preserve">amounted to </w:t>
      </w:r>
      <w:r w:rsidRPr="00277126">
        <w:rPr>
          <w:rFonts w:ascii="Times New Roman" w:hAnsi="Times New Roman" w:cs="Times New Roman"/>
          <w:sz w:val="28"/>
          <w:szCs w:val="28"/>
        </w:rPr>
        <w:t xml:space="preserve">significant carelessness.  While not at the most serious end of the spectrum of state misconduct, it fell on the </w:t>
      </w:r>
      <w:r w:rsidR="00982B02">
        <w:rPr>
          <w:rFonts w:ascii="Times New Roman" w:hAnsi="Times New Roman" w:cs="Times New Roman"/>
          <w:sz w:val="28"/>
          <w:szCs w:val="28"/>
        </w:rPr>
        <w:t xml:space="preserve">serious side of that spectrum. </w:t>
      </w:r>
      <w:r w:rsidRPr="00277126">
        <w:rPr>
          <w:rFonts w:ascii="Times New Roman" w:hAnsi="Times New Roman" w:cs="Times New Roman"/>
          <w:i/>
          <w:sz w:val="28"/>
          <w:szCs w:val="28"/>
        </w:rPr>
        <w:t>Dhillon</w:t>
      </w:r>
      <w:r w:rsidRPr="00277126">
        <w:rPr>
          <w:rFonts w:ascii="Times New Roman" w:hAnsi="Times New Roman" w:cs="Times New Roman"/>
          <w:sz w:val="28"/>
          <w:szCs w:val="28"/>
        </w:rPr>
        <w:t>, para 50-51.</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lastRenderedPageBreak/>
        <w:t xml:space="preserve">The errors and omissions raised by Mr. Khatib in this case are nothing like the affiant's error in </w:t>
      </w:r>
      <w:r w:rsidRPr="00277126">
        <w:rPr>
          <w:rFonts w:ascii="Times New Roman" w:hAnsi="Times New Roman" w:cs="Times New Roman"/>
          <w:i/>
          <w:sz w:val="28"/>
          <w:szCs w:val="28"/>
        </w:rPr>
        <w:t>Dhillon</w:t>
      </w:r>
      <w:r w:rsidRPr="00277126">
        <w:rPr>
          <w:rFonts w:ascii="Times New Roman" w:hAnsi="Times New Roman" w:cs="Times New Roman"/>
          <w:sz w:val="28"/>
          <w:szCs w:val="28"/>
        </w:rPr>
        <w:t>.  Cst. Main did not include any mistaken incriminating information in the ITO.  The most that can be said is that he left out some information that would have further contextualize</w:t>
      </w:r>
      <w:r w:rsidR="00E23EA6">
        <w:rPr>
          <w:rFonts w:ascii="Times New Roman" w:hAnsi="Times New Roman" w:cs="Times New Roman"/>
          <w:sz w:val="28"/>
          <w:szCs w:val="28"/>
        </w:rPr>
        <w:t>d</w:t>
      </w:r>
      <w:r w:rsidRPr="00277126">
        <w:rPr>
          <w:rFonts w:ascii="Times New Roman" w:hAnsi="Times New Roman" w:cs="Times New Roman"/>
          <w:sz w:val="28"/>
          <w:szCs w:val="28"/>
        </w:rPr>
        <w:t xml:space="preserve"> the matters he was deposing to. </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In addition, it is clear from the </w:t>
      </w:r>
      <w:r w:rsidRPr="00277126">
        <w:rPr>
          <w:rFonts w:ascii="Times New Roman" w:hAnsi="Times New Roman" w:cs="Times New Roman"/>
          <w:i/>
          <w:sz w:val="28"/>
          <w:szCs w:val="28"/>
        </w:rPr>
        <w:t>voir dire</w:t>
      </w:r>
      <w:r w:rsidRPr="00277126">
        <w:rPr>
          <w:rFonts w:ascii="Times New Roman" w:hAnsi="Times New Roman" w:cs="Times New Roman"/>
          <w:sz w:val="28"/>
          <w:szCs w:val="28"/>
        </w:rPr>
        <w:t xml:space="preserve"> evidence that Cst. Main also failed to include several details that would have assisted his case. </w:t>
      </w:r>
      <w:r w:rsidR="00982B02">
        <w:rPr>
          <w:rFonts w:ascii="Times New Roman" w:hAnsi="Times New Roman" w:cs="Times New Roman"/>
          <w:sz w:val="28"/>
          <w:szCs w:val="28"/>
        </w:rPr>
        <w:t xml:space="preserve"> </w:t>
      </w:r>
      <w:r w:rsidRPr="00277126">
        <w:rPr>
          <w:rFonts w:ascii="Times New Roman" w:hAnsi="Times New Roman" w:cs="Times New Roman"/>
          <w:sz w:val="28"/>
          <w:szCs w:val="28"/>
        </w:rPr>
        <w:t xml:space="preserve">This was not a situation where he exaggerated or overstated incriminating information while understating information that did not support his case.  That too is relevant in assessing where his conduct should be placed on the spectrum of seriousness. </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The ITO was not perfect.</w:t>
      </w:r>
      <w:r w:rsidR="007C35EA">
        <w:rPr>
          <w:rFonts w:ascii="Times New Roman" w:hAnsi="Times New Roman" w:cs="Times New Roman"/>
          <w:sz w:val="28"/>
          <w:szCs w:val="28"/>
        </w:rPr>
        <w:t xml:space="preserve"> </w:t>
      </w:r>
      <w:r w:rsidRPr="00277126">
        <w:rPr>
          <w:rFonts w:ascii="Times New Roman" w:hAnsi="Times New Roman" w:cs="Times New Roman"/>
          <w:sz w:val="28"/>
          <w:szCs w:val="28"/>
        </w:rPr>
        <w:t xml:space="preserve"> Cst. Main made some errors and he readily acknowledged them in his testimony. </w:t>
      </w:r>
      <w:r w:rsidR="007C35EA">
        <w:rPr>
          <w:rFonts w:ascii="Times New Roman" w:hAnsi="Times New Roman" w:cs="Times New Roman"/>
          <w:sz w:val="28"/>
          <w:szCs w:val="28"/>
        </w:rPr>
        <w:t xml:space="preserve"> </w:t>
      </w:r>
      <w:r w:rsidRPr="00277126">
        <w:rPr>
          <w:rFonts w:ascii="Times New Roman" w:hAnsi="Times New Roman" w:cs="Times New Roman"/>
          <w:sz w:val="28"/>
          <w:szCs w:val="28"/>
        </w:rPr>
        <w:t>However, in my view, his conduct did not amount to significant carelessness.</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It must be remembered that the first factor for consideration under the </w:t>
      </w:r>
      <w:r w:rsidRPr="00277126">
        <w:rPr>
          <w:rFonts w:ascii="Times New Roman" w:hAnsi="Times New Roman" w:cs="Times New Roman"/>
          <w:i/>
          <w:sz w:val="28"/>
          <w:szCs w:val="28"/>
        </w:rPr>
        <w:t xml:space="preserve">Grant </w:t>
      </w:r>
      <w:r w:rsidRPr="00277126">
        <w:rPr>
          <w:rFonts w:ascii="Times New Roman" w:hAnsi="Times New Roman" w:cs="Times New Roman"/>
          <w:sz w:val="28"/>
          <w:szCs w:val="28"/>
        </w:rPr>
        <w:t>analysis is aimed at determining whether the admission of evidence would bring the admission of justice into disrepute by sending the message that courts, in effect, are condoning</w:t>
      </w:r>
      <w:r w:rsidR="007C35EA">
        <w:rPr>
          <w:rFonts w:ascii="Times New Roman" w:hAnsi="Times New Roman" w:cs="Times New Roman"/>
          <w:sz w:val="28"/>
          <w:szCs w:val="28"/>
        </w:rPr>
        <w:t xml:space="preserve"> breaches of citizens' rights. </w:t>
      </w:r>
      <w:r w:rsidRPr="00277126">
        <w:rPr>
          <w:rFonts w:ascii="Times New Roman" w:hAnsi="Times New Roman" w:cs="Times New Roman"/>
          <w:i/>
          <w:sz w:val="28"/>
          <w:szCs w:val="28"/>
        </w:rPr>
        <w:t>Grant</w:t>
      </w:r>
      <w:r w:rsidRPr="00277126">
        <w:rPr>
          <w:rFonts w:ascii="Times New Roman" w:hAnsi="Times New Roman" w:cs="Times New Roman"/>
          <w:sz w:val="28"/>
          <w:szCs w:val="28"/>
        </w:rPr>
        <w:t xml:space="preserve">, para 72.  The more minor or inadvertent an error, the less likely that the admission of evidence will have that effect on the repute of the administration of justice.  On the contrary, excluding evidence because of minor errors on the part of police officers may have the opposite effect and trivialize </w:t>
      </w:r>
      <w:r w:rsidRPr="00277126">
        <w:rPr>
          <w:rFonts w:ascii="Times New Roman" w:hAnsi="Times New Roman" w:cs="Times New Roman"/>
          <w:i/>
          <w:sz w:val="28"/>
          <w:szCs w:val="28"/>
        </w:rPr>
        <w:t>Charter</w:t>
      </w:r>
      <w:r w:rsidRPr="00277126">
        <w:rPr>
          <w:rFonts w:ascii="Times New Roman" w:hAnsi="Times New Roman" w:cs="Times New Roman"/>
          <w:sz w:val="28"/>
          <w:szCs w:val="28"/>
        </w:rPr>
        <w:t xml:space="preserve"> rights.</w:t>
      </w:r>
    </w:p>
    <w:p w:rsidR="007C35EA" w:rsidRPr="00455151"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In my view, the first factor does not favour the exclusion of the evidence.</w:t>
      </w:r>
    </w:p>
    <w:p w:rsidR="00277126" w:rsidRPr="00277126" w:rsidRDefault="00AC408B" w:rsidP="000238F4">
      <w:pPr>
        <w:pStyle w:val="ListParagraph"/>
        <w:spacing w:after="24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b) I</w:t>
      </w:r>
      <w:r w:rsidR="00277126" w:rsidRPr="00277126">
        <w:rPr>
          <w:rFonts w:ascii="Times New Roman" w:hAnsi="Times New Roman" w:cs="Times New Roman"/>
          <w:sz w:val="28"/>
          <w:szCs w:val="28"/>
        </w:rPr>
        <w:t xml:space="preserve">mpact on </w:t>
      </w:r>
      <w:r w:rsidR="00277126" w:rsidRPr="00277126">
        <w:rPr>
          <w:rFonts w:ascii="Times New Roman" w:hAnsi="Times New Roman" w:cs="Times New Roman"/>
          <w:i/>
          <w:sz w:val="28"/>
          <w:szCs w:val="28"/>
        </w:rPr>
        <w:t>Charter</w:t>
      </w:r>
      <w:r w:rsidR="00277126" w:rsidRPr="00277126">
        <w:rPr>
          <w:rFonts w:ascii="Times New Roman" w:hAnsi="Times New Roman" w:cs="Times New Roman"/>
          <w:sz w:val="28"/>
          <w:szCs w:val="28"/>
        </w:rPr>
        <w:t>-protected interests</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As noted by Nordheimer JA at para 82 of his dissenting opinion in </w:t>
      </w:r>
      <w:r w:rsidRPr="00277126">
        <w:rPr>
          <w:rFonts w:ascii="Times New Roman" w:hAnsi="Times New Roman" w:cs="Times New Roman"/>
          <w:i/>
          <w:sz w:val="28"/>
          <w:szCs w:val="28"/>
        </w:rPr>
        <w:t>James</w:t>
      </w:r>
      <w:r w:rsidRPr="00277126">
        <w:rPr>
          <w:rFonts w:ascii="Times New Roman" w:hAnsi="Times New Roman" w:cs="Times New Roman"/>
          <w:sz w:val="28"/>
          <w:szCs w:val="28"/>
        </w:rPr>
        <w:t xml:space="preserve">, any time a search by police is ultimately determined to not have been a valid one, it involves a serious impact on the </w:t>
      </w:r>
      <w:r w:rsidRPr="00277126">
        <w:rPr>
          <w:rFonts w:ascii="Times New Roman" w:hAnsi="Times New Roman" w:cs="Times New Roman"/>
          <w:i/>
          <w:sz w:val="28"/>
          <w:szCs w:val="28"/>
        </w:rPr>
        <w:t>Charter</w:t>
      </w:r>
      <w:r w:rsidRPr="00277126">
        <w:rPr>
          <w:rFonts w:ascii="Times New Roman" w:hAnsi="Times New Roman" w:cs="Times New Roman"/>
          <w:sz w:val="28"/>
          <w:szCs w:val="28"/>
        </w:rPr>
        <w:t>-protected interests of the accused.  In this case the place searched was Mr. Khatib's dwelling, where the expectation of privacy is extremely high.  The impact on Mr. Khatib's rights was serious.  This factor favours the exclusion of the evidence.</w:t>
      </w:r>
    </w:p>
    <w:p w:rsidR="00277126" w:rsidRPr="00277126" w:rsidRDefault="00277126" w:rsidP="000238F4">
      <w:pPr>
        <w:pStyle w:val="ListParagraph"/>
        <w:spacing w:after="240" w:line="240" w:lineRule="auto"/>
        <w:ind w:left="0"/>
        <w:contextualSpacing w:val="0"/>
        <w:jc w:val="both"/>
        <w:rPr>
          <w:rFonts w:ascii="Times New Roman" w:hAnsi="Times New Roman" w:cs="Times New Roman"/>
          <w:sz w:val="28"/>
          <w:szCs w:val="28"/>
        </w:rPr>
      </w:pPr>
      <w:r w:rsidRPr="00277126">
        <w:rPr>
          <w:rFonts w:ascii="Times New Roman" w:hAnsi="Times New Roman" w:cs="Times New Roman"/>
          <w:sz w:val="28"/>
          <w:szCs w:val="28"/>
        </w:rPr>
        <w:t>c) Society's interests in adjudication on the merits</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This is often a difficult factor to weigh because it can cut both ways.</w:t>
      </w:r>
      <w:r w:rsidR="007C35EA">
        <w:rPr>
          <w:rFonts w:ascii="Times New Roman" w:hAnsi="Times New Roman" w:cs="Times New Roman"/>
          <w:sz w:val="28"/>
          <w:szCs w:val="28"/>
        </w:rPr>
        <w:t xml:space="preserve"> </w:t>
      </w:r>
      <w:r w:rsidRPr="00277126">
        <w:rPr>
          <w:rFonts w:ascii="Times New Roman" w:hAnsi="Times New Roman" w:cs="Times New Roman"/>
          <w:sz w:val="28"/>
          <w:szCs w:val="28"/>
        </w:rPr>
        <w:t xml:space="preserve"> The more serious the offence, the higher the public interest in having cases decided on the merits.  However, the higher the stakes for an accused, the higher the public interest in ensuring that the justice system is above reproach in dealing with the matter.</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lastRenderedPageBreak/>
        <w:t xml:space="preserve">The charges that Mr. Khatib faces are very serious.  He is alleged to have been in possession of cocaine and marihuana for the purposes of trafficking in an isolated northern community.  </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In addition, the evidence at </w:t>
      </w:r>
      <w:r w:rsidR="005F2040">
        <w:rPr>
          <w:rFonts w:ascii="Times New Roman" w:hAnsi="Times New Roman" w:cs="Times New Roman"/>
          <w:sz w:val="28"/>
          <w:szCs w:val="28"/>
        </w:rPr>
        <w:t xml:space="preserve">issue </w:t>
      </w:r>
      <w:r w:rsidRPr="00277126">
        <w:rPr>
          <w:rFonts w:ascii="Times New Roman" w:hAnsi="Times New Roman" w:cs="Times New Roman"/>
          <w:sz w:val="28"/>
          <w:szCs w:val="28"/>
        </w:rPr>
        <w:t xml:space="preserve">is reliable, compelling evidence. </w:t>
      </w:r>
      <w:r w:rsidR="007C35EA">
        <w:rPr>
          <w:rFonts w:ascii="Times New Roman" w:hAnsi="Times New Roman" w:cs="Times New Roman"/>
          <w:sz w:val="28"/>
          <w:szCs w:val="28"/>
        </w:rPr>
        <w:t xml:space="preserve"> </w:t>
      </w:r>
      <w:r w:rsidRPr="00277126">
        <w:rPr>
          <w:rFonts w:ascii="Times New Roman" w:hAnsi="Times New Roman" w:cs="Times New Roman"/>
          <w:sz w:val="28"/>
          <w:szCs w:val="28"/>
        </w:rPr>
        <w:t>Everyone agrees it is vital to the Crown's case.  In my view the third factor favours inclusion.</w:t>
      </w:r>
    </w:p>
    <w:p w:rsidR="00277126"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 xml:space="preserve">On the whole, and acknowledging that the evidence was found during the search of a dwelling house, I conclude that even if the search warrant were to be set aside, the evidence should not be excluded. </w:t>
      </w:r>
    </w:p>
    <w:p w:rsidR="00277126" w:rsidRPr="00277126" w:rsidRDefault="00277126" w:rsidP="000238F4">
      <w:pPr>
        <w:pStyle w:val="ListParagraph"/>
        <w:spacing w:after="240" w:line="240" w:lineRule="auto"/>
        <w:ind w:left="0"/>
        <w:contextualSpacing w:val="0"/>
        <w:jc w:val="both"/>
        <w:rPr>
          <w:rFonts w:ascii="Times New Roman" w:hAnsi="Times New Roman" w:cs="Times New Roman"/>
          <w:sz w:val="28"/>
          <w:szCs w:val="28"/>
        </w:rPr>
      </w:pPr>
      <w:r w:rsidRPr="00277126">
        <w:rPr>
          <w:rFonts w:ascii="Times New Roman" w:hAnsi="Times New Roman" w:cs="Times New Roman"/>
          <w:sz w:val="28"/>
          <w:szCs w:val="28"/>
        </w:rPr>
        <w:t>IV) CONCLUSION</w:t>
      </w:r>
    </w:p>
    <w:p w:rsidR="00F032AF" w:rsidRPr="00277126" w:rsidRDefault="00277126" w:rsidP="000238F4">
      <w:pPr>
        <w:pStyle w:val="ListParagraph"/>
        <w:numPr>
          <w:ilvl w:val="0"/>
          <w:numId w:val="10"/>
        </w:numPr>
        <w:spacing w:after="240" w:line="240" w:lineRule="auto"/>
        <w:contextualSpacing w:val="0"/>
        <w:jc w:val="both"/>
        <w:rPr>
          <w:rFonts w:ascii="Times New Roman" w:hAnsi="Times New Roman" w:cs="Times New Roman"/>
          <w:sz w:val="28"/>
          <w:szCs w:val="28"/>
        </w:rPr>
      </w:pPr>
      <w:r w:rsidRPr="00277126">
        <w:rPr>
          <w:rFonts w:ascii="Times New Roman" w:hAnsi="Times New Roman" w:cs="Times New Roman"/>
          <w:sz w:val="28"/>
          <w:szCs w:val="28"/>
        </w:rPr>
        <w:t>For these Reasons, Mr. Khatib's Application is dismissed.</w:t>
      </w:r>
    </w:p>
    <w:p w:rsidR="004F225C" w:rsidRDefault="004F225C" w:rsidP="005F5DD2">
      <w:pPr>
        <w:pStyle w:val="ListParagraph"/>
        <w:spacing w:after="0" w:line="240" w:lineRule="auto"/>
        <w:ind w:left="0"/>
        <w:jc w:val="both"/>
        <w:rPr>
          <w:rFonts w:ascii="Times New Roman" w:hAnsi="Times New Roman" w:cs="Times New Roman"/>
          <w:sz w:val="28"/>
          <w:szCs w:val="28"/>
        </w:rPr>
      </w:pPr>
    </w:p>
    <w:p w:rsidR="00707EAE" w:rsidRPr="0032647A" w:rsidRDefault="00987D86" w:rsidP="005F5D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r>
    </w:p>
    <w:p w:rsidR="00455003" w:rsidRPr="007929A9" w:rsidRDefault="00455003"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lang w:val="fr-CA"/>
        </w:rPr>
      </w:pPr>
      <w:r w:rsidRPr="00455003">
        <w:rPr>
          <w:rFonts w:ascii="Times New Roman" w:hAnsi="Times New Roman" w:cs="Times New Roman"/>
          <w:sz w:val="28"/>
          <w:szCs w:val="28"/>
        </w:rPr>
        <w:fldChar w:fldCharType="begin"/>
      </w:r>
      <w:r w:rsidRPr="00C67C32">
        <w:rPr>
          <w:rFonts w:ascii="Times New Roman" w:hAnsi="Times New Roman" w:cs="Times New Roman"/>
          <w:sz w:val="28"/>
          <w:szCs w:val="28"/>
          <w:lang w:val="fr-CA"/>
        </w:rPr>
        <w:instrText xml:space="preserve"> SEQ CHAPTER \h \r 1</w:instrText>
      </w:r>
      <w:r w:rsidRPr="00455003">
        <w:rPr>
          <w:rFonts w:ascii="Times New Roman" w:hAnsi="Times New Roman" w:cs="Times New Roman"/>
          <w:sz w:val="28"/>
          <w:szCs w:val="28"/>
        </w:rPr>
        <w:fldChar w:fldCharType="end"/>
      </w:r>
      <w:r w:rsidRPr="00C67C32">
        <w:rPr>
          <w:rFonts w:ascii="Times New Roman" w:hAnsi="Times New Roman" w:cs="Times New Roman"/>
          <w:sz w:val="28"/>
          <w:szCs w:val="28"/>
          <w:lang w:val="fr-CA"/>
        </w:rPr>
        <w:tab/>
      </w:r>
      <w:r w:rsidRPr="00C67C32">
        <w:rPr>
          <w:rFonts w:ascii="Times New Roman" w:hAnsi="Times New Roman" w:cs="Times New Roman"/>
          <w:sz w:val="28"/>
          <w:szCs w:val="28"/>
          <w:lang w:val="fr-CA"/>
        </w:rPr>
        <w:tab/>
      </w:r>
      <w:r w:rsidRPr="00C67C32">
        <w:rPr>
          <w:rFonts w:ascii="Times New Roman" w:hAnsi="Times New Roman" w:cs="Times New Roman"/>
          <w:sz w:val="28"/>
          <w:szCs w:val="28"/>
          <w:lang w:val="fr-CA"/>
        </w:rPr>
        <w:tab/>
      </w:r>
      <w:r w:rsidRPr="00C67C32">
        <w:rPr>
          <w:rFonts w:ascii="Times New Roman" w:hAnsi="Times New Roman" w:cs="Times New Roman"/>
          <w:sz w:val="28"/>
          <w:szCs w:val="28"/>
          <w:lang w:val="fr-CA"/>
        </w:rPr>
        <w:tab/>
      </w:r>
      <w:r w:rsidRPr="00C67C32">
        <w:rPr>
          <w:rFonts w:ascii="Times New Roman" w:hAnsi="Times New Roman" w:cs="Times New Roman"/>
          <w:sz w:val="28"/>
          <w:szCs w:val="28"/>
          <w:lang w:val="fr-CA"/>
        </w:rPr>
        <w:tab/>
      </w:r>
      <w:r w:rsidRPr="00C67C32">
        <w:rPr>
          <w:rFonts w:ascii="Times New Roman" w:hAnsi="Times New Roman" w:cs="Times New Roman"/>
          <w:sz w:val="28"/>
          <w:szCs w:val="28"/>
          <w:lang w:val="fr-CA"/>
        </w:rPr>
        <w:tab/>
      </w:r>
      <w:r w:rsidRPr="00C67C32">
        <w:rPr>
          <w:rFonts w:ascii="Times New Roman" w:hAnsi="Times New Roman" w:cs="Times New Roman"/>
          <w:sz w:val="28"/>
          <w:szCs w:val="28"/>
          <w:lang w:val="fr-CA"/>
        </w:rPr>
        <w:tab/>
      </w:r>
      <w:r w:rsidRPr="00C67C32">
        <w:rPr>
          <w:rFonts w:ascii="Times New Roman" w:hAnsi="Times New Roman" w:cs="Times New Roman"/>
          <w:sz w:val="28"/>
          <w:szCs w:val="28"/>
          <w:lang w:val="fr-CA"/>
        </w:rPr>
        <w:tab/>
      </w:r>
      <w:r w:rsidR="004F225C" w:rsidRPr="00C67C32">
        <w:rPr>
          <w:rFonts w:ascii="Times New Roman" w:hAnsi="Times New Roman" w:cs="Times New Roman"/>
          <w:sz w:val="28"/>
          <w:szCs w:val="28"/>
          <w:lang w:val="fr-CA"/>
        </w:rPr>
        <w:tab/>
      </w:r>
      <w:r w:rsidR="00A6059D" w:rsidRPr="007929A9">
        <w:rPr>
          <w:rFonts w:ascii="Times New Roman" w:hAnsi="Times New Roman" w:cs="Times New Roman"/>
          <w:sz w:val="28"/>
          <w:szCs w:val="28"/>
          <w:lang w:val="fr-CA"/>
        </w:rPr>
        <w:t>L.A. Charbonneau</w:t>
      </w:r>
    </w:p>
    <w:p w:rsidR="00455003" w:rsidRPr="007929A9" w:rsidRDefault="00455003" w:rsidP="00455003">
      <w:pPr>
        <w:spacing w:after="0" w:line="240" w:lineRule="auto"/>
        <w:rPr>
          <w:rFonts w:ascii="Times New Roman" w:hAnsi="Times New Roman" w:cs="Times New Roman"/>
          <w:sz w:val="28"/>
          <w:szCs w:val="28"/>
          <w:lang w:val="fr-CA"/>
        </w:rPr>
      </w:pPr>
      <w:r w:rsidRPr="007929A9">
        <w:rPr>
          <w:rFonts w:ascii="Times New Roman" w:hAnsi="Times New Roman" w:cs="Times New Roman"/>
          <w:sz w:val="28"/>
          <w:szCs w:val="28"/>
          <w:lang w:val="fr-CA"/>
        </w:rPr>
        <w:tab/>
      </w:r>
      <w:r w:rsidR="009D2ECB" w:rsidRPr="007929A9">
        <w:rPr>
          <w:rFonts w:ascii="Times New Roman" w:hAnsi="Times New Roman" w:cs="Times New Roman"/>
          <w:sz w:val="28"/>
          <w:szCs w:val="28"/>
          <w:lang w:val="fr-CA"/>
        </w:rPr>
        <w:tab/>
      </w:r>
      <w:r w:rsidRPr="007929A9">
        <w:rPr>
          <w:rFonts w:ascii="Times New Roman" w:hAnsi="Times New Roman" w:cs="Times New Roman"/>
          <w:sz w:val="28"/>
          <w:szCs w:val="28"/>
          <w:lang w:val="fr-CA"/>
        </w:rPr>
        <w:tab/>
      </w:r>
      <w:r w:rsidRPr="007929A9">
        <w:rPr>
          <w:rFonts w:ascii="Times New Roman" w:hAnsi="Times New Roman" w:cs="Times New Roman"/>
          <w:sz w:val="28"/>
          <w:szCs w:val="28"/>
          <w:lang w:val="fr-CA"/>
        </w:rPr>
        <w:tab/>
      </w:r>
      <w:r w:rsidRPr="007929A9">
        <w:rPr>
          <w:rFonts w:ascii="Times New Roman" w:hAnsi="Times New Roman" w:cs="Times New Roman"/>
          <w:sz w:val="28"/>
          <w:szCs w:val="28"/>
          <w:lang w:val="fr-CA"/>
        </w:rPr>
        <w:tab/>
      </w:r>
      <w:r w:rsidRPr="007929A9">
        <w:rPr>
          <w:rFonts w:ascii="Times New Roman" w:hAnsi="Times New Roman" w:cs="Times New Roman"/>
          <w:sz w:val="28"/>
          <w:szCs w:val="28"/>
          <w:lang w:val="fr-CA"/>
        </w:rPr>
        <w:tab/>
      </w:r>
      <w:r w:rsidRPr="007929A9">
        <w:rPr>
          <w:rFonts w:ascii="Times New Roman" w:hAnsi="Times New Roman" w:cs="Times New Roman"/>
          <w:sz w:val="28"/>
          <w:szCs w:val="28"/>
          <w:lang w:val="fr-CA"/>
        </w:rPr>
        <w:tab/>
      </w:r>
      <w:r w:rsidRPr="007929A9">
        <w:rPr>
          <w:rFonts w:ascii="Times New Roman" w:hAnsi="Times New Roman" w:cs="Times New Roman"/>
          <w:sz w:val="28"/>
          <w:szCs w:val="28"/>
          <w:lang w:val="fr-CA"/>
        </w:rPr>
        <w:tab/>
        <w:t xml:space="preserve">        </w:t>
      </w:r>
      <w:r w:rsidR="004F225C" w:rsidRPr="007929A9">
        <w:rPr>
          <w:rFonts w:ascii="Times New Roman" w:hAnsi="Times New Roman" w:cs="Times New Roman"/>
          <w:sz w:val="28"/>
          <w:szCs w:val="28"/>
          <w:lang w:val="fr-CA"/>
        </w:rPr>
        <w:tab/>
      </w:r>
      <w:r w:rsidRPr="007929A9">
        <w:rPr>
          <w:rFonts w:ascii="Times New Roman" w:hAnsi="Times New Roman" w:cs="Times New Roman"/>
          <w:sz w:val="28"/>
          <w:szCs w:val="28"/>
          <w:lang w:val="fr-CA"/>
        </w:rPr>
        <w:t>J.S.C.</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455003" w:rsidRPr="00455003" w:rsidRDefault="00A6059D"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7929A9">
        <w:rPr>
          <w:rFonts w:ascii="Times New Roman" w:hAnsi="Times New Roman" w:cs="Times New Roman"/>
          <w:sz w:val="28"/>
          <w:szCs w:val="28"/>
        </w:rPr>
        <w:t>5</w:t>
      </w:r>
      <w:r w:rsidR="000C7EE9" w:rsidRPr="00270304">
        <w:rPr>
          <w:rFonts w:ascii="Times New Roman" w:hAnsi="Times New Roman" w:cs="Times New Roman"/>
          <w:sz w:val="28"/>
          <w:szCs w:val="28"/>
          <w:vertAlign w:val="superscript"/>
        </w:rPr>
        <w:t>th</w:t>
      </w:r>
      <w:r w:rsidR="000C7EE9">
        <w:rPr>
          <w:rFonts w:ascii="Times New Roman" w:hAnsi="Times New Roman" w:cs="Times New Roman"/>
          <w:sz w:val="28"/>
          <w:szCs w:val="28"/>
        </w:rPr>
        <w:t xml:space="preserve"> day</w:t>
      </w:r>
      <w:r w:rsidR="00455003" w:rsidRPr="00455003">
        <w:rPr>
          <w:rFonts w:ascii="Times New Roman" w:hAnsi="Times New Roman" w:cs="Times New Roman"/>
          <w:sz w:val="28"/>
          <w:szCs w:val="28"/>
        </w:rPr>
        <w:t xml:space="preserve"> of</w:t>
      </w:r>
      <w:r w:rsidR="00CF5359">
        <w:rPr>
          <w:rFonts w:ascii="Times New Roman" w:hAnsi="Times New Roman" w:cs="Times New Roman"/>
          <w:sz w:val="28"/>
          <w:szCs w:val="28"/>
        </w:rPr>
        <w:t xml:space="preserve"> </w:t>
      </w:r>
      <w:r>
        <w:rPr>
          <w:rFonts w:ascii="Times New Roman" w:hAnsi="Times New Roman" w:cs="Times New Roman"/>
          <w:sz w:val="28"/>
          <w:szCs w:val="28"/>
        </w:rPr>
        <w:t xml:space="preserve">May </w:t>
      </w:r>
      <w:r w:rsidR="003815FE">
        <w:rPr>
          <w:rFonts w:ascii="Times New Roman" w:hAnsi="Times New Roman" w:cs="Times New Roman"/>
          <w:sz w:val="28"/>
          <w:szCs w:val="28"/>
        </w:rPr>
        <w:t>2020</w:t>
      </w:r>
    </w:p>
    <w:p w:rsidR="00455003" w:rsidRDefault="00455003" w:rsidP="00455003">
      <w:pPr>
        <w:spacing w:after="0" w:line="240" w:lineRule="auto"/>
        <w:rPr>
          <w:rFonts w:ascii="Times New Roman" w:hAnsi="Times New Roman" w:cs="Times New Roman"/>
          <w:sz w:val="28"/>
          <w:szCs w:val="28"/>
        </w:rPr>
      </w:pPr>
    </w:p>
    <w:p w:rsidR="007929A9" w:rsidRPr="00455003" w:rsidRDefault="007929A9" w:rsidP="00455003">
      <w:pPr>
        <w:spacing w:after="0" w:line="240" w:lineRule="auto"/>
        <w:rPr>
          <w:rFonts w:ascii="Times New Roman" w:hAnsi="Times New Roman" w:cs="Times New Roman"/>
          <w:sz w:val="28"/>
          <w:szCs w:val="28"/>
        </w:rPr>
      </w:pPr>
    </w:p>
    <w:p w:rsidR="007929A9" w:rsidRDefault="008F71FF" w:rsidP="007929A9">
      <w:pPr>
        <w:spacing w:after="0" w:line="240" w:lineRule="auto"/>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w:t>
      </w:r>
      <w:r w:rsidR="007929A9">
        <w:rPr>
          <w:rFonts w:ascii="Times New Roman" w:hAnsi="Times New Roman" w:cs="Times New Roman"/>
          <w:sz w:val="28"/>
          <w:szCs w:val="28"/>
        </w:rPr>
        <w:t>Crown</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CF5359">
        <w:rPr>
          <w:rFonts w:ascii="Times New Roman" w:hAnsi="Times New Roman" w:cs="Times New Roman"/>
          <w:sz w:val="28"/>
          <w:szCs w:val="28"/>
        </w:rPr>
        <w:tab/>
      </w:r>
      <w:r w:rsidR="00CF5359">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r>
      <w:r w:rsidR="007929A9">
        <w:rPr>
          <w:rFonts w:ascii="Times New Roman" w:hAnsi="Times New Roman" w:cs="Times New Roman"/>
          <w:sz w:val="28"/>
          <w:szCs w:val="28"/>
        </w:rPr>
        <w:t>Morgan Fane</w:t>
      </w:r>
    </w:p>
    <w:p w:rsidR="00CF5359" w:rsidRPr="00455003" w:rsidRDefault="00CF5359"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7929A9" w:rsidRDefault="008F71FF" w:rsidP="007929A9">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w:t>
      </w:r>
      <w:r w:rsidR="007929A9">
        <w:rPr>
          <w:rFonts w:ascii="Times New Roman" w:hAnsi="Times New Roman" w:cs="Times New Roman"/>
          <w:sz w:val="28"/>
          <w:szCs w:val="28"/>
        </w:rPr>
        <w:t>Talal Khatib</w:t>
      </w:r>
      <w:r w:rsidR="00987D86">
        <w:rPr>
          <w:rFonts w:ascii="Times New Roman" w:hAnsi="Times New Roman" w:cs="Times New Roman"/>
          <w:sz w:val="28"/>
          <w:szCs w:val="28"/>
        </w:rPr>
        <w:t>:</w:t>
      </w:r>
      <w:r w:rsidR="00987D86">
        <w:rPr>
          <w:rFonts w:ascii="Times New Roman" w:hAnsi="Times New Roman" w:cs="Times New Roman"/>
          <w:sz w:val="28"/>
          <w:szCs w:val="28"/>
        </w:rPr>
        <w:tab/>
      </w:r>
      <w:r w:rsidR="00CF5359">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r>
      <w:r w:rsidR="007929A9">
        <w:rPr>
          <w:rFonts w:ascii="Times New Roman" w:hAnsi="Times New Roman" w:cs="Times New Roman"/>
          <w:sz w:val="28"/>
          <w:szCs w:val="28"/>
        </w:rPr>
        <w:t>Nicole M. Rodych</w:t>
      </w:r>
    </w:p>
    <w:p w:rsidR="007929A9" w:rsidRPr="00455003" w:rsidRDefault="007929A9" w:rsidP="007929A9">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004A71" w:rsidRDefault="00A6059D"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07EAE" w:rsidRPr="0032647A" w:rsidRDefault="00707EAE">
      <w:pPr>
        <w:rPr>
          <w:rFonts w:ascii="Times New Roman" w:hAnsi="Times New Roman" w:cs="Times New Roman"/>
          <w:sz w:val="28"/>
          <w:szCs w:val="28"/>
        </w:rPr>
        <w:sectPr w:rsidR="00707EAE" w:rsidRPr="0032647A"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sidRPr="0032647A">
        <w:rPr>
          <w:rFonts w:ascii="Times New Roman" w:hAnsi="Times New Roman" w:cs="Times New Roman"/>
          <w:sz w:val="28"/>
          <w:szCs w:val="28"/>
        </w:rPr>
        <w:br w:type="page"/>
      </w:r>
    </w:p>
    <w:p w:rsidR="00707EAE" w:rsidRPr="0032647A" w:rsidRDefault="00707EAE">
      <w:pPr>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A6059D" w:rsidP="00707EAE">
            <w:pPr>
              <w:jc w:val="right"/>
              <w:rPr>
                <w:rFonts w:ascii="Times New Roman" w:hAnsi="Times New Roman" w:cs="Times New Roman"/>
                <w:sz w:val="28"/>
                <w:szCs w:val="28"/>
              </w:rPr>
            </w:pPr>
            <w:r>
              <w:rPr>
                <w:rFonts w:ascii="Times New Roman" w:hAnsi="Times New Roman" w:cs="Times New Roman"/>
                <w:b/>
                <w:bCs/>
                <w:sz w:val="28"/>
                <w:szCs w:val="28"/>
                <w:lang w:val="en-CA"/>
              </w:rPr>
              <w:t>S-1-CR-2018-000130</w:t>
            </w:r>
          </w:p>
        </w:tc>
      </w:tr>
      <w:tr w:rsidR="00707EAE" w:rsidRPr="0032647A" w:rsidTr="00707EAE">
        <w:tc>
          <w:tcPr>
            <w:tcW w:w="6408" w:type="dxa"/>
          </w:tcPr>
          <w:p w:rsidR="00707EAE" w:rsidRPr="0032647A" w:rsidRDefault="00707EAE" w:rsidP="00707EAE">
            <w:pPr>
              <w:tabs>
                <w:tab w:val="center" w:pos="2784"/>
              </w:tabs>
              <w:jc w:val="center"/>
              <w:rPr>
                <w:rFonts w:ascii="Times New Roman" w:hAnsi="Times New Roman" w:cs="Times New Roman"/>
                <w:b/>
                <w:bCs/>
                <w:sz w:val="28"/>
                <w:szCs w:val="28"/>
                <w:lang w:val="en-GB"/>
              </w:rPr>
            </w:pPr>
          </w:p>
          <w:p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707EAE">
            <w:pPr>
              <w:pStyle w:val="NoSpacing"/>
              <w:rPr>
                <w:rFonts w:ascii="Times New Roman" w:hAnsi="Times New Roman" w:cs="Times New Roman"/>
                <w:sz w:val="28"/>
                <w:szCs w:val="28"/>
                <w:lang w:val="en-GB"/>
              </w:rPr>
            </w:pPr>
          </w:p>
        </w:tc>
      </w:tr>
      <w:tr w:rsidR="00707EAE" w:rsidRPr="0032647A" w:rsidTr="00707EAE">
        <w:tc>
          <w:tcPr>
            <w:tcW w:w="6408" w:type="dxa"/>
          </w:tcPr>
          <w:p w:rsidR="00707EAE" w:rsidRPr="0032647A" w:rsidRDefault="00707EAE" w:rsidP="00B5240C">
            <w:pPr>
              <w:rPr>
                <w:rFonts w:ascii="Times New Roman" w:hAnsi="Times New Roman" w:cs="Times New Roman"/>
                <w:sz w:val="28"/>
                <w:szCs w:val="28"/>
              </w:rPr>
            </w:pPr>
          </w:p>
          <w:p w:rsidR="00707EAE" w:rsidRPr="0032647A" w:rsidRDefault="00707EAE" w:rsidP="00707EAE">
            <w:pPr>
              <w:jc w:val="center"/>
              <w:rPr>
                <w:rFonts w:ascii="Times New Roman" w:hAnsi="Times New Roman" w:cs="Times New Roman"/>
                <w:sz w:val="28"/>
                <w:szCs w:val="28"/>
              </w:rPr>
            </w:pPr>
          </w:p>
          <w:p w:rsidR="00707EAE" w:rsidRPr="0032647A" w:rsidRDefault="00707EAE" w:rsidP="00707EAE">
            <w:pPr>
              <w:rPr>
                <w:rFonts w:ascii="Times New Roman" w:hAnsi="Times New Roman" w:cs="Times New Roman"/>
                <w:sz w:val="28"/>
                <w:szCs w:val="28"/>
              </w:rPr>
            </w:pPr>
            <w:r w:rsidRPr="0032647A">
              <w:rPr>
                <w:rFonts w:ascii="Times New Roman" w:hAnsi="Times New Roman" w:cs="Times New Roman"/>
                <w:sz w:val="28"/>
                <w:szCs w:val="28"/>
              </w:rPr>
              <w:t>BETWEEN</w:t>
            </w:r>
          </w:p>
          <w:p w:rsidR="00707EAE" w:rsidRPr="0032647A" w:rsidRDefault="00707EAE" w:rsidP="00707EAE">
            <w:pPr>
              <w:rPr>
                <w:rFonts w:ascii="Times New Roman" w:hAnsi="Times New Roman" w:cs="Times New Roman"/>
                <w:sz w:val="28"/>
                <w:szCs w:val="28"/>
              </w:rPr>
            </w:pPr>
          </w:p>
          <w:p w:rsidR="009F18D2" w:rsidRDefault="00AD170B" w:rsidP="009F18D2">
            <w:pPr>
              <w:jc w:val="center"/>
              <w:rPr>
                <w:rFonts w:ascii="Times New Roman" w:hAnsi="Times New Roman" w:cs="Times New Roman"/>
                <w:b/>
                <w:sz w:val="28"/>
                <w:szCs w:val="28"/>
                <w:lang w:val="en-CA"/>
              </w:rPr>
            </w:pPr>
            <w:r>
              <w:rPr>
                <w:rFonts w:ascii="Times New Roman" w:hAnsi="Times New Roman" w:cs="Times New Roman"/>
                <w:b/>
                <w:sz w:val="28"/>
                <w:szCs w:val="28"/>
                <w:lang w:val="en-CA"/>
              </w:rPr>
              <w:t>HER MAJESTY THE QUEEN</w:t>
            </w:r>
          </w:p>
          <w:p w:rsidR="003665E1" w:rsidRPr="009F18D2" w:rsidRDefault="003665E1" w:rsidP="009F18D2">
            <w:pPr>
              <w:jc w:val="center"/>
              <w:rPr>
                <w:rFonts w:ascii="Times New Roman" w:hAnsi="Times New Roman" w:cs="Times New Roman"/>
                <w:b/>
                <w:sz w:val="28"/>
                <w:szCs w:val="28"/>
                <w:lang w:val="en-CA"/>
              </w:rPr>
            </w:pPr>
          </w:p>
          <w:p w:rsidR="009F18D2" w:rsidRPr="009F18D2" w:rsidRDefault="00AD170B" w:rsidP="009F18D2">
            <w:pPr>
              <w:jc w:val="right"/>
              <w:rPr>
                <w:rFonts w:ascii="Times New Roman" w:hAnsi="Times New Roman" w:cs="Times New Roman"/>
                <w:b/>
                <w:sz w:val="28"/>
                <w:szCs w:val="28"/>
                <w:lang w:val="en-CA"/>
              </w:rPr>
            </w:pPr>
            <w:r>
              <w:rPr>
                <w:rFonts w:ascii="Times New Roman" w:hAnsi="Times New Roman" w:cs="Times New Roman"/>
                <w:b/>
                <w:sz w:val="28"/>
                <w:szCs w:val="28"/>
                <w:lang w:val="en-CA"/>
              </w:rPr>
              <w:t>Respondent</w:t>
            </w:r>
          </w:p>
          <w:p w:rsidR="009F18D2" w:rsidRPr="009F18D2" w:rsidRDefault="009F18D2" w:rsidP="009F18D2">
            <w:pPr>
              <w:jc w:val="center"/>
              <w:rPr>
                <w:rFonts w:ascii="Times New Roman" w:hAnsi="Times New Roman" w:cs="Times New Roman"/>
                <w:b/>
                <w:sz w:val="28"/>
                <w:szCs w:val="28"/>
                <w:lang w:val="en-CA"/>
              </w:rPr>
            </w:pPr>
          </w:p>
          <w:p w:rsidR="009F18D2" w:rsidRPr="009F18D2" w:rsidRDefault="009F18D2" w:rsidP="009F18D2">
            <w:pPr>
              <w:jc w:val="center"/>
              <w:rPr>
                <w:rFonts w:ascii="Times New Roman" w:hAnsi="Times New Roman" w:cs="Times New Roman"/>
                <w:b/>
                <w:sz w:val="28"/>
                <w:szCs w:val="28"/>
                <w:lang w:val="en-CA"/>
              </w:rPr>
            </w:pPr>
          </w:p>
          <w:p w:rsidR="009F18D2" w:rsidRPr="009F18D2" w:rsidRDefault="009F18D2" w:rsidP="009F18D2">
            <w:pPr>
              <w:jc w:val="center"/>
              <w:rPr>
                <w:rFonts w:ascii="Times New Roman" w:hAnsi="Times New Roman" w:cs="Times New Roman"/>
                <w:b/>
                <w:sz w:val="28"/>
                <w:szCs w:val="28"/>
                <w:lang w:val="en-CA"/>
              </w:rPr>
            </w:pPr>
            <w:r w:rsidRPr="009F18D2">
              <w:rPr>
                <w:rFonts w:ascii="Times New Roman" w:hAnsi="Times New Roman" w:cs="Times New Roman"/>
                <w:b/>
                <w:sz w:val="28"/>
                <w:szCs w:val="28"/>
                <w:lang w:val="en-CA"/>
              </w:rPr>
              <w:t>-and-</w:t>
            </w:r>
          </w:p>
          <w:p w:rsidR="009F18D2" w:rsidRPr="009F18D2" w:rsidRDefault="009F18D2" w:rsidP="009F18D2">
            <w:pPr>
              <w:jc w:val="center"/>
              <w:rPr>
                <w:rFonts w:ascii="Times New Roman" w:hAnsi="Times New Roman" w:cs="Times New Roman"/>
                <w:b/>
                <w:sz w:val="28"/>
                <w:szCs w:val="28"/>
                <w:lang w:val="en-CA"/>
              </w:rPr>
            </w:pPr>
          </w:p>
          <w:p w:rsidR="009F18D2" w:rsidRPr="009F18D2" w:rsidRDefault="009F18D2" w:rsidP="009F18D2">
            <w:pPr>
              <w:jc w:val="center"/>
              <w:rPr>
                <w:rFonts w:ascii="Times New Roman" w:hAnsi="Times New Roman" w:cs="Times New Roman"/>
                <w:b/>
                <w:sz w:val="28"/>
                <w:szCs w:val="28"/>
                <w:lang w:val="en-CA"/>
              </w:rPr>
            </w:pPr>
          </w:p>
          <w:p w:rsidR="009F18D2" w:rsidRPr="009F18D2" w:rsidRDefault="00A6059D" w:rsidP="009F18D2">
            <w:pPr>
              <w:jc w:val="center"/>
              <w:rPr>
                <w:rFonts w:ascii="Times New Roman" w:hAnsi="Times New Roman" w:cs="Times New Roman"/>
                <w:b/>
                <w:sz w:val="28"/>
                <w:szCs w:val="28"/>
                <w:lang w:val="en-CA"/>
              </w:rPr>
            </w:pPr>
            <w:r>
              <w:rPr>
                <w:rFonts w:ascii="Times New Roman" w:hAnsi="Times New Roman" w:cs="Times New Roman"/>
                <w:b/>
                <w:sz w:val="28"/>
                <w:szCs w:val="28"/>
                <w:lang w:val="en-CA"/>
              </w:rPr>
              <w:t>TALAL KHATIB</w:t>
            </w:r>
          </w:p>
          <w:p w:rsidR="009F18D2" w:rsidRPr="009F18D2" w:rsidRDefault="00AD170B" w:rsidP="009F18D2">
            <w:pPr>
              <w:jc w:val="right"/>
              <w:rPr>
                <w:rFonts w:ascii="Times New Roman" w:hAnsi="Times New Roman" w:cs="Times New Roman"/>
                <w:b/>
                <w:sz w:val="28"/>
                <w:szCs w:val="28"/>
                <w:lang w:val="en-CA"/>
              </w:rPr>
            </w:pPr>
            <w:r>
              <w:rPr>
                <w:rFonts w:ascii="Times New Roman" w:hAnsi="Times New Roman" w:cs="Times New Roman"/>
                <w:b/>
                <w:sz w:val="28"/>
                <w:szCs w:val="28"/>
                <w:lang w:val="en-CA"/>
              </w:rPr>
              <w:t>Applicant</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C6262E" w:rsidRPr="0032647A" w:rsidRDefault="00C6262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rPr>
                <w:rFonts w:ascii="Times New Roman" w:hAnsi="Times New Roman" w:cs="Times New Roman"/>
                <w:sz w:val="28"/>
                <w:szCs w:val="28"/>
              </w:rPr>
            </w:pPr>
          </w:p>
        </w:tc>
      </w:tr>
      <w:tr w:rsidR="00707EAE" w:rsidRPr="0032647A" w:rsidTr="00707EAE">
        <w:tc>
          <w:tcPr>
            <w:tcW w:w="6408" w:type="dxa"/>
          </w:tcPr>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AD170B" w:rsidRDefault="00AD170B" w:rsidP="00707EAE">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RULING ON APPLICATION </w:t>
            </w:r>
            <w:r w:rsidR="00A6059D">
              <w:rPr>
                <w:rFonts w:ascii="Times New Roman" w:hAnsi="Times New Roman" w:cs="Times New Roman"/>
                <w:sz w:val="28"/>
                <w:szCs w:val="28"/>
                <w:lang w:val="en-GB"/>
              </w:rPr>
              <w:t xml:space="preserve">TO EXCLUDE EVIDENCE </w:t>
            </w:r>
            <w:r>
              <w:rPr>
                <w:rFonts w:ascii="Times New Roman" w:hAnsi="Times New Roman" w:cs="Times New Roman"/>
                <w:sz w:val="28"/>
                <w:szCs w:val="28"/>
                <w:lang w:val="en-GB"/>
              </w:rPr>
              <w:t>BY</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A6059D">
              <w:rPr>
                <w:rFonts w:ascii="Times New Roman" w:hAnsi="Times New Roman" w:cs="Times New Roman"/>
                <w:sz w:val="28"/>
                <w:szCs w:val="28"/>
                <w:lang w:val="en-GB"/>
              </w:rPr>
              <w:t>L.A. CHARBONNEAU</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2C" w:rsidRDefault="000E1D2C" w:rsidP="005B5B19">
      <w:pPr>
        <w:spacing w:after="0" w:line="240" w:lineRule="auto"/>
      </w:pPr>
      <w:r>
        <w:separator/>
      </w:r>
    </w:p>
  </w:endnote>
  <w:endnote w:type="continuationSeparator" w:id="0">
    <w:p w:rsidR="000E1D2C" w:rsidRDefault="000E1D2C"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2C" w:rsidRDefault="000E1D2C" w:rsidP="005B5B19">
      <w:pPr>
        <w:spacing w:after="0" w:line="240" w:lineRule="auto"/>
      </w:pPr>
      <w:r>
        <w:separator/>
      </w:r>
    </w:p>
  </w:footnote>
  <w:footnote w:type="continuationSeparator" w:id="0">
    <w:p w:rsidR="000E1D2C" w:rsidRDefault="000E1D2C"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93" w:rsidRPr="0032647A" w:rsidRDefault="00D81593">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870469">
          <w:rPr>
            <w:rFonts w:ascii="Times New Roman" w:hAnsi="Times New Roman" w:cs="Times New Roman"/>
            <w:noProof/>
            <w:sz w:val="24"/>
            <w:szCs w:val="24"/>
          </w:rPr>
          <w:t>2</w:t>
        </w:r>
        <w:r w:rsidRPr="0032647A">
          <w:rPr>
            <w:rFonts w:ascii="Times New Roman" w:hAnsi="Times New Roman" w:cs="Times New Roman"/>
            <w:noProof/>
            <w:sz w:val="24"/>
            <w:szCs w:val="24"/>
          </w:rPr>
          <w:fldChar w:fldCharType="end"/>
        </w:r>
      </w:sdtContent>
    </w:sdt>
  </w:p>
  <w:p w:rsidR="00D81593" w:rsidRDefault="00D81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93" w:rsidRDefault="00D81593">
    <w:pPr>
      <w:pStyle w:val="Header"/>
      <w:jc w:val="right"/>
    </w:pPr>
  </w:p>
  <w:p w:rsidR="00D81593" w:rsidRDefault="00D81593"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93" w:rsidRDefault="00D81593">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D81593" w:rsidRDefault="00D815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93" w:rsidRDefault="00D81593">
    <w:pPr>
      <w:pStyle w:val="Header"/>
      <w:jc w:val="right"/>
    </w:pPr>
  </w:p>
  <w:p w:rsidR="00D81593" w:rsidRDefault="00D81593"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B5677"/>
    <w:multiLevelType w:val="hybridMultilevel"/>
    <w:tmpl w:val="916AF732"/>
    <w:lvl w:ilvl="0" w:tplc="0F28C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F70A09"/>
    <w:multiLevelType w:val="hybridMultilevel"/>
    <w:tmpl w:val="76B4403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A30043"/>
    <w:multiLevelType w:val="hybridMultilevel"/>
    <w:tmpl w:val="3D681E2C"/>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15:restartNumberingAfterBreak="0">
    <w:nsid w:val="755A535D"/>
    <w:multiLevelType w:val="hybridMultilevel"/>
    <w:tmpl w:val="2D3CA81E"/>
    <w:lvl w:ilvl="0" w:tplc="FC248338">
      <w:start w:val="1"/>
      <w:numFmt w:val="lowerLetter"/>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12"/>
  </w:num>
  <w:num w:numId="3">
    <w:abstractNumId w:val="4"/>
  </w:num>
  <w:num w:numId="4">
    <w:abstractNumId w:val="0"/>
  </w:num>
  <w:num w:numId="5">
    <w:abstractNumId w:val="14"/>
  </w:num>
  <w:num w:numId="6">
    <w:abstractNumId w:val="2"/>
  </w:num>
  <w:num w:numId="7">
    <w:abstractNumId w:val="3"/>
  </w:num>
  <w:num w:numId="8">
    <w:abstractNumId w:val="1"/>
  </w:num>
  <w:num w:numId="9">
    <w:abstractNumId w:val="9"/>
  </w:num>
  <w:num w:numId="10">
    <w:abstractNumId w:val="7"/>
  </w:num>
  <w:num w:numId="11">
    <w:abstractNumId w:val="13"/>
  </w:num>
  <w:num w:numId="12">
    <w:abstractNumId w:val="6"/>
  </w:num>
  <w:num w:numId="13">
    <w:abstractNumId w:val="10"/>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296C"/>
    <w:rsid w:val="00004A71"/>
    <w:rsid w:val="00005E7A"/>
    <w:rsid w:val="00006813"/>
    <w:rsid w:val="00006A74"/>
    <w:rsid w:val="0001699C"/>
    <w:rsid w:val="00021306"/>
    <w:rsid w:val="000238F4"/>
    <w:rsid w:val="0003120A"/>
    <w:rsid w:val="000323C6"/>
    <w:rsid w:val="00055988"/>
    <w:rsid w:val="0005687C"/>
    <w:rsid w:val="00057540"/>
    <w:rsid w:val="00062518"/>
    <w:rsid w:val="0006659D"/>
    <w:rsid w:val="000812FA"/>
    <w:rsid w:val="00086E43"/>
    <w:rsid w:val="00096FD8"/>
    <w:rsid w:val="000A02B6"/>
    <w:rsid w:val="000A039B"/>
    <w:rsid w:val="000A21A4"/>
    <w:rsid w:val="000A35CC"/>
    <w:rsid w:val="000A3766"/>
    <w:rsid w:val="000A5120"/>
    <w:rsid w:val="000B4D5C"/>
    <w:rsid w:val="000C025A"/>
    <w:rsid w:val="000C2B13"/>
    <w:rsid w:val="000C7EE9"/>
    <w:rsid w:val="000D2AD1"/>
    <w:rsid w:val="000E0858"/>
    <w:rsid w:val="000E0CB6"/>
    <w:rsid w:val="000E1D2C"/>
    <w:rsid w:val="000E5036"/>
    <w:rsid w:val="000E54CF"/>
    <w:rsid w:val="000F02DC"/>
    <w:rsid w:val="000F53DB"/>
    <w:rsid w:val="00102340"/>
    <w:rsid w:val="00115512"/>
    <w:rsid w:val="001158E3"/>
    <w:rsid w:val="001159B2"/>
    <w:rsid w:val="00115E43"/>
    <w:rsid w:val="00115FB8"/>
    <w:rsid w:val="00117532"/>
    <w:rsid w:val="00124F16"/>
    <w:rsid w:val="00142877"/>
    <w:rsid w:val="00154197"/>
    <w:rsid w:val="0016194C"/>
    <w:rsid w:val="00163503"/>
    <w:rsid w:val="001637C9"/>
    <w:rsid w:val="00174F95"/>
    <w:rsid w:val="00182532"/>
    <w:rsid w:val="001911C0"/>
    <w:rsid w:val="001922F6"/>
    <w:rsid w:val="001925EA"/>
    <w:rsid w:val="001A21D9"/>
    <w:rsid w:val="001A2EAD"/>
    <w:rsid w:val="001A3CE0"/>
    <w:rsid w:val="001B341D"/>
    <w:rsid w:val="001B5613"/>
    <w:rsid w:val="001B5D6A"/>
    <w:rsid w:val="001B7074"/>
    <w:rsid w:val="001C1DCF"/>
    <w:rsid w:val="001C6F52"/>
    <w:rsid w:val="001D303E"/>
    <w:rsid w:val="001E0F8F"/>
    <w:rsid w:val="001E459E"/>
    <w:rsid w:val="001F1B81"/>
    <w:rsid w:val="001F20EA"/>
    <w:rsid w:val="001F5970"/>
    <w:rsid w:val="00204A6E"/>
    <w:rsid w:val="00206627"/>
    <w:rsid w:val="00207E2B"/>
    <w:rsid w:val="00215664"/>
    <w:rsid w:val="002163DE"/>
    <w:rsid w:val="00231B65"/>
    <w:rsid w:val="0023366A"/>
    <w:rsid w:val="00236DAE"/>
    <w:rsid w:val="002405CF"/>
    <w:rsid w:val="002415EA"/>
    <w:rsid w:val="00242BE8"/>
    <w:rsid w:val="002513D1"/>
    <w:rsid w:val="00266742"/>
    <w:rsid w:val="00270304"/>
    <w:rsid w:val="00277126"/>
    <w:rsid w:val="00281021"/>
    <w:rsid w:val="002A52A5"/>
    <w:rsid w:val="002A5F39"/>
    <w:rsid w:val="002A63E1"/>
    <w:rsid w:val="002B28A3"/>
    <w:rsid w:val="002B5C72"/>
    <w:rsid w:val="002D59FA"/>
    <w:rsid w:val="002E229E"/>
    <w:rsid w:val="002F21F4"/>
    <w:rsid w:val="002F3671"/>
    <w:rsid w:val="00300431"/>
    <w:rsid w:val="003031B5"/>
    <w:rsid w:val="00303329"/>
    <w:rsid w:val="0030334C"/>
    <w:rsid w:val="00306DE7"/>
    <w:rsid w:val="003079CA"/>
    <w:rsid w:val="003106E3"/>
    <w:rsid w:val="00313626"/>
    <w:rsid w:val="003138DE"/>
    <w:rsid w:val="003146BC"/>
    <w:rsid w:val="00321645"/>
    <w:rsid w:val="00322117"/>
    <w:rsid w:val="00323549"/>
    <w:rsid w:val="0032647A"/>
    <w:rsid w:val="00330D14"/>
    <w:rsid w:val="003365BE"/>
    <w:rsid w:val="00336FAB"/>
    <w:rsid w:val="00340340"/>
    <w:rsid w:val="003444B3"/>
    <w:rsid w:val="00345D14"/>
    <w:rsid w:val="00352FF7"/>
    <w:rsid w:val="0035763B"/>
    <w:rsid w:val="003617F3"/>
    <w:rsid w:val="00364F1F"/>
    <w:rsid w:val="00365554"/>
    <w:rsid w:val="003665E1"/>
    <w:rsid w:val="003669FF"/>
    <w:rsid w:val="00377F1F"/>
    <w:rsid w:val="003806AE"/>
    <w:rsid w:val="003815FE"/>
    <w:rsid w:val="00382461"/>
    <w:rsid w:val="00383B01"/>
    <w:rsid w:val="00385819"/>
    <w:rsid w:val="003935E1"/>
    <w:rsid w:val="00393A6A"/>
    <w:rsid w:val="00393F58"/>
    <w:rsid w:val="003A3E55"/>
    <w:rsid w:val="003B045A"/>
    <w:rsid w:val="003B57ED"/>
    <w:rsid w:val="003B5E64"/>
    <w:rsid w:val="003C2C86"/>
    <w:rsid w:val="003C334D"/>
    <w:rsid w:val="003D37AC"/>
    <w:rsid w:val="003D3E8C"/>
    <w:rsid w:val="003F06EF"/>
    <w:rsid w:val="003F2753"/>
    <w:rsid w:val="003F2B8B"/>
    <w:rsid w:val="00423626"/>
    <w:rsid w:val="00425CCC"/>
    <w:rsid w:val="00426710"/>
    <w:rsid w:val="00427EEA"/>
    <w:rsid w:val="0043283E"/>
    <w:rsid w:val="00442E65"/>
    <w:rsid w:val="00446950"/>
    <w:rsid w:val="00450D9F"/>
    <w:rsid w:val="00452C78"/>
    <w:rsid w:val="00455003"/>
    <w:rsid w:val="00455151"/>
    <w:rsid w:val="00457485"/>
    <w:rsid w:val="0046047D"/>
    <w:rsid w:val="00460A07"/>
    <w:rsid w:val="0046366D"/>
    <w:rsid w:val="00465CBE"/>
    <w:rsid w:val="00466B42"/>
    <w:rsid w:val="00467A6D"/>
    <w:rsid w:val="00470085"/>
    <w:rsid w:val="00470587"/>
    <w:rsid w:val="004731CC"/>
    <w:rsid w:val="004739DF"/>
    <w:rsid w:val="004803E9"/>
    <w:rsid w:val="00481216"/>
    <w:rsid w:val="00485139"/>
    <w:rsid w:val="004B1ED2"/>
    <w:rsid w:val="004B52BD"/>
    <w:rsid w:val="004B5E1C"/>
    <w:rsid w:val="004C119C"/>
    <w:rsid w:val="004C1942"/>
    <w:rsid w:val="004C3390"/>
    <w:rsid w:val="004C3E7C"/>
    <w:rsid w:val="004D43D2"/>
    <w:rsid w:val="004D67C4"/>
    <w:rsid w:val="004E3513"/>
    <w:rsid w:val="004F0138"/>
    <w:rsid w:val="004F14AC"/>
    <w:rsid w:val="004F225C"/>
    <w:rsid w:val="00501407"/>
    <w:rsid w:val="005040FF"/>
    <w:rsid w:val="00512C5E"/>
    <w:rsid w:val="00512DB1"/>
    <w:rsid w:val="00513180"/>
    <w:rsid w:val="005146F8"/>
    <w:rsid w:val="0052024D"/>
    <w:rsid w:val="0052111D"/>
    <w:rsid w:val="00533F06"/>
    <w:rsid w:val="005425F8"/>
    <w:rsid w:val="005537B5"/>
    <w:rsid w:val="00556AFD"/>
    <w:rsid w:val="00565E44"/>
    <w:rsid w:val="005763EC"/>
    <w:rsid w:val="005846D0"/>
    <w:rsid w:val="00585638"/>
    <w:rsid w:val="00592B60"/>
    <w:rsid w:val="005960CE"/>
    <w:rsid w:val="005A50BD"/>
    <w:rsid w:val="005B5B19"/>
    <w:rsid w:val="005C01FF"/>
    <w:rsid w:val="005C56F2"/>
    <w:rsid w:val="005F2040"/>
    <w:rsid w:val="005F5DD2"/>
    <w:rsid w:val="00601BAB"/>
    <w:rsid w:val="0061129A"/>
    <w:rsid w:val="006153F5"/>
    <w:rsid w:val="00615F63"/>
    <w:rsid w:val="00617EA5"/>
    <w:rsid w:val="00626386"/>
    <w:rsid w:val="00630D50"/>
    <w:rsid w:val="00631C79"/>
    <w:rsid w:val="0063651C"/>
    <w:rsid w:val="0063717F"/>
    <w:rsid w:val="006525BB"/>
    <w:rsid w:val="0066108F"/>
    <w:rsid w:val="00661301"/>
    <w:rsid w:val="0066396B"/>
    <w:rsid w:val="006641F4"/>
    <w:rsid w:val="00670A74"/>
    <w:rsid w:val="00674A0E"/>
    <w:rsid w:val="00680738"/>
    <w:rsid w:val="006818BB"/>
    <w:rsid w:val="00681EFE"/>
    <w:rsid w:val="00682247"/>
    <w:rsid w:val="00684657"/>
    <w:rsid w:val="00691FB7"/>
    <w:rsid w:val="006938E4"/>
    <w:rsid w:val="00695F9D"/>
    <w:rsid w:val="00696837"/>
    <w:rsid w:val="006A186A"/>
    <w:rsid w:val="006A5D3C"/>
    <w:rsid w:val="006B0E57"/>
    <w:rsid w:val="006C4F77"/>
    <w:rsid w:val="006D28E5"/>
    <w:rsid w:val="006E0998"/>
    <w:rsid w:val="006E17B0"/>
    <w:rsid w:val="006E4032"/>
    <w:rsid w:val="006F22C4"/>
    <w:rsid w:val="006F39B9"/>
    <w:rsid w:val="006F5D30"/>
    <w:rsid w:val="006F6FC0"/>
    <w:rsid w:val="00705DF1"/>
    <w:rsid w:val="00705F68"/>
    <w:rsid w:val="00707EAE"/>
    <w:rsid w:val="00715E96"/>
    <w:rsid w:val="007172DF"/>
    <w:rsid w:val="00717BCC"/>
    <w:rsid w:val="007200C0"/>
    <w:rsid w:val="007212EE"/>
    <w:rsid w:val="007215B4"/>
    <w:rsid w:val="00726916"/>
    <w:rsid w:val="00731924"/>
    <w:rsid w:val="007404D1"/>
    <w:rsid w:val="00740811"/>
    <w:rsid w:val="00744CB2"/>
    <w:rsid w:val="00745A79"/>
    <w:rsid w:val="0076058B"/>
    <w:rsid w:val="00764076"/>
    <w:rsid w:val="00767DED"/>
    <w:rsid w:val="00771042"/>
    <w:rsid w:val="00777B6B"/>
    <w:rsid w:val="007802D1"/>
    <w:rsid w:val="007929A9"/>
    <w:rsid w:val="0079331F"/>
    <w:rsid w:val="007A6539"/>
    <w:rsid w:val="007A77D3"/>
    <w:rsid w:val="007B0A50"/>
    <w:rsid w:val="007B5A95"/>
    <w:rsid w:val="007B6556"/>
    <w:rsid w:val="007B7092"/>
    <w:rsid w:val="007C2FA2"/>
    <w:rsid w:val="007C35EA"/>
    <w:rsid w:val="007C4711"/>
    <w:rsid w:val="007C5A2B"/>
    <w:rsid w:val="007C7B4C"/>
    <w:rsid w:val="007D09B2"/>
    <w:rsid w:val="007E09EE"/>
    <w:rsid w:val="007E4421"/>
    <w:rsid w:val="007E4921"/>
    <w:rsid w:val="007F760D"/>
    <w:rsid w:val="0080023D"/>
    <w:rsid w:val="00802862"/>
    <w:rsid w:val="00811AF5"/>
    <w:rsid w:val="0081355D"/>
    <w:rsid w:val="008262A5"/>
    <w:rsid w:val="008303F4"/>
    <w:rsid w:val="00832080"/>
    <w:rsid w:val="008402AF"/>
    <w:rsid w:val="008432ED"/>
    <w:rsid w:val="00845368"/>
    <w:rsid w:val="008513BE"/>
    <w:rsid w:val="0085198B"/>
    <w:rsid w:val="00852397"/>
    <w:rsid w:val="00854D09"/>
    <w:rsid w:val="00861D49"/>
    <w:rsid w:val="00865243"/>
    <w:rsid w:val="00866B24"/>
    <w:rsid w:val="00866E9A"/>
    <w:rsid w:val="00870469"/>
    <w:rsid w:val="00872416"/>
    <w:rsid w:val="00873754"/>
    <w:rsid w:val="0087384B"/>
    <w:rsid w:val="00895273"/>
    <w:rsid w:val="008965CE"/>
    <w:rsid w:val="00896674"/>
    <w:rsid w:val="008A1B31"/>
    <w:rsid w:val="008A373B"/>
    <w:rsid w:val="008B0586"/>
    <w:rsid w:val="008B5F4C"/>
    <w:rsid w:val="008C09DB"/>
    <w:rsid w:val="008C140F"/>
    <w:rsid w:val="008C3FDE"/>
    <w:rsid w:val="008C4E6D"/>
    <w:rsid w:val="008D10C7"/>
    <w:rsid w:val="008D4122"/>
    <w:rsid w:val="008D4293"/>
    <w:rsid w:val="008E3DBD"/>
    <w:rsid w:val="008E57C1"/>
    <w:rsid w:val="008E7740"/>
    <w:rsid w:val="008F71FF"/>
    <w:rsid w:val="008F760D"/>
    <w:rsid w:val="00902C3D"/>
    <w:rsid w:val="009050BC"/>
    <w:rsid w:val="0090600D"/>
    <w:rsid w:val="00911A99"/>
    <w:rsid w:val="00911C04"/>
    <w:rsid w:val="00915447"/>
    <w:rsid w:val="0092283C"/>
    <w:rsid w:val="009229CC"/>
    <w:rsid w:val="00923481"/>
    <w:rsid w:val="00931AE0"/>
    <w:rsid w:val="00934591"/>
    <w:rsid w:val="009354EE"/>
    <w:rsid w:val="00940211"/>
    <w:rsid w:val="00960847"/>
    <w:rsid w:val="00962DC3"/>
    <w:rsid w:val="00966B99"/>
    <w:rsid w:val="00966D78"/>
    <w:rsid w:val="00967D4E"/>
    <w:rsid w:val="00974606"/>
    <w:rsid w:val="00982B02"/>
    <w:rsid w:val="00987D86"/>
    <w:rsid w:val="00994D4B"/>
    <w:rsid w:val="009A4A9F"/>
    <w:rsid w:val="009C0A37"/>
    <w:rsid w:val="009C2CC4"/>
    <w:rsid w:val="009C474B"/>
    <w:rsid w:val="009C5F7F"/>
    <w:rsid w:val="009D2ECB"/>
    <w:rsid w:val="009D4C53"/>
    <w:rsid w:val="009D4DF6"/>
    <w:rsid w:val="009D7942"/>
    <w:rsid w:val="009E024A"/>
    <w:rsid w:val="009E33CE"/>
    <w:rsid w:val="009E5D14"/>
    <w:rsid w:val="009E67C7"/>
    <w:rsid w:val="009E7ECB"/>
    <w:rsid w:val="009F0E0D"/>
    <w:rsid w:val="009F18D2"/>
    <w:rsid w:val="009F1F12"/>
    <w:rsid w:val="009F4EE7"/>
    <w:rsid w:val="00A0231E"/>
    <w:rsid w:val="00A04D11"/>
    <w:rsid w:val="00A06F57"/>
    <w:rsid w:val="00A137FB"/>
    <w:rsid w:val="00A14279"/>
    <w:rsid w:val="00A16D2D"/>
    <w:rsid w:val="00A21A57"/>
    <w:rsid w:val="00A26D0A"/>
    <w:rsid w:val="00A31AC6"/>
    <w:rsid w:val="00A3395A"/>
    <w:rsid w:val="00A364C5"/>
    <w:rsid w:val="00A376DE"/>
    <w:rsid w:val="00A3798D"/>
    <w:rsid w:val="00A40B5A"/>
    <w:rsid w:val="00A46835"/>
    <w:rsid w:val="00A46DED"/>
    <w:rsid w:val="00A502E8"/>
    <w:rsid w:val="00A52763"/>
    <w:rsid w:val="00A55495"/>
    <w:rsid w:val="00A601B6"/>
    <w:rsid w:val="00A6059D"/>
    <w:rsid w:val="00A61880"/>
    <w:rsid w:val="00A62DC8"/>
    <w:rsid w:val="00A65CCF"/>
    <w:rsid w:val="00A72D7E"/>
    <w:rsid w:val="00A82C88"/>
    <w:rsid w:val="00A82DC7"/>
    <w:rsid w:val="00A84262"/>
    <w:rsid w:val="00A84D6A"/>
    <w:rsid w:val="00A91150"/>
    <w:rsid w:val="00AA234A"/>
    <w:rsid w:val="00AA468C"/>
    <w:rsid w:val="00AA7203"/>
    <w:rsid w:val="00AB1856"/>
    <w:rsid w:val="00AB564C"/>
    <w:rsid w:val="00AC408B"/>
    <w:rsid w:val="00AD170B"/>
    <w:rsid w:val="00AE26D6"/>
    <w:rsid w:val="00AE709E"/>
    <w:rsid w:val="00AF1E9D"/>
    <w:rsid w:val="00AF25E1"/>
    <w:rsid w:val="00B02019"/>
    <w:rsid w:val="00B0529C"/>
    <w:rsid w:val="00B12C2C"/>
    <w:rsid w:val="00B179E4"/>
    <w:rsid w:val="00B24E46"/>
    <w:rsid w:val="00B364CC"/>
    <w:rsid w:val="00B44547"/>
    <w:rsid w:val="00B474B5"/>
    <w:rsid w:val="00B512D6"/>
    <w:rsid w:val="00B520B4"/>
    <w:rsid w:val="00B5240C"/>
    <w:rsid w:val="00B62C58"/>
    <w:rsid w:val="00B755B3"/>
    <w:rsid w:val="00B76670"/>
    <w:rsid w:val="00B84CCB"/>
    <w:rsid w:val="00B928B8"/>
    <w:rsid w:val="00B94F8E"/>
    <w:rsid w:val="00BA03A5"/>
    <w:rsid w:val="00BA1BB1"/>
    <w:rsid w:val="00BA28DF"/>
    <w:rsid w:val="00BA3900"/>
    <w:rsid w:val="00BB3B24"/>
    <w:rsid w:val="00BC697B"/>
    <w:rsid w:val="00BD4DEC"/>
    <w:rsid w:val="00BD7170"/>
    <w:rsid w:val="00BE57EA"/>
    <w:rsid w:val="00BE724E"/>
    <w:rsid w:val="00C00E47"/>
    <w:rsid w:val="00C01A2C"/>
    <w:rsid w:val="00C10531"/>
    <w:rsid w:val="00C346AB"/>
    <w:rsid w:val="00C415F7"/>
    <w:rsid w:val="00C41BCF"/>
    <w:rsid w:val="00C42CC2"/>
    <w:rsid w:val="00C50D55"/>
    <w:rsid w:val="00C52F4C"/>
    <w:rsid w:val="00C572E4"/>
    <w:rsid w:val="00C61F40"/>
    <w:rsid w:val="00C6262E"/>
    <w:rsid w:val="00C62BFF"/>
    <w:rsid w:val="00C67C32"/>
    <w:rsid w:val="00C71E0F"/>
    <w:rsid w:val="00C72973"/>
    <w:rsid w:val="00C72AB7"/>
    <w:rsid w:val="00C73C07"/>
    <w:rsid w:val="00C746F4"/>
    <w:rsid w:val="00C76C7B"/>
    <w:rsid w:val="00C94602"/>
    <w:rsid w:val="00C965B0"/>
    <w:rsid w:val="00CA05D7"/>
    <w:rsid w:val="00CA073D"/>
    <w:rsid w:val="00CA135F"/>
    <w:rsid w:val="00CA2D09"/>
    <w:rsid w:val="00CB4397"/>
    <w:rsid w:val="00CB5A2C"/>
    <w:rsid w:val="00CD0C63"/>
    <w:rsid w:val="00CD2DC2"/>
    <w:rsid w:val="00CD5892"/>
    <w:rsid w:val="00CE051B"/>
    <w:rsid w:val="00CE1DC4"/>
    <w:rsid w:val="00CE26B2"/>
    <w:rsid w:val="00CE4EEE"/>
    <w:rsid w:val="00CF4587"/>
    <w:rsid w:val="00CF5359"/>
    <w:rsid w:val="00D0058E"/>
    <w:rsid w:val="00D01CCE"/>
    <w:rsid w:val="00D0455B"/>
    <w:rsid w:val="00D1083B"/>
    <w:rsid w:val="00D1137A"/>
    <w:rsid w:val="00D140D6"/>
    <w:rsid w:val="00D15521"/>
    <w:rsid w:val="00D162A0"/>
    <w:rsid w:val="00D170D0"/>
    <w:rsid w:val="00D24374"/>
    <w:rsid w:val="00D355A5"/>
    <w:rsid w:val="00D37D2F"/>
    <w:rsid w:val="00D40055"/>
    <w:rsid w:val="00D4017E"/>
    <w:rsid w:val="00D4091E"/>
    <w:rsid w:val="00D525CF"/>
    <w:rsid w:val="00D81593"/>
    <w:rsid w:val="00D87BCB"/>
    <w:rsid w:val="00D9441B"/>
    <w:rsid w:val="00DA1525"/>
    <w:rsid w:val="00DA2923"/>
    <w:rsid w:val="00DA2B27"/>
    <w:rsid w:val="00DA44A4"/>
    <w:rsid w:val="00DA6587"/>
    <w:rsid w:val="00DB3FA2"/>
    <w:rsid w:val="00DC4B5C"/>
    <w:rsid w:val="00DD04CA"/>
    <w:rsid w:val="00DD54BA"/>
    <w:rsid w:val="00DE07AA"/>
    <w:rsid w:val="00DE3AD7"/>
    <w:rsid w:val="00DF22B3"/>
    <w:rsid w:val="00DF3589"/>
    <w:rsid w:val="00DF5931"/>
    <w:rsid w:val="00DF78A7"/>
    <w:rsid w:val="00E0101A"/>
    <w:rsid w:val="00E07862"/>
    <w:rsid w:val="00E1561C"/>
    <w:rsid w:val="00E174CD"/>
    <w:rsid w:val="00E20149"/>
    <w:rsid w:val="00E21510"/>
    <w:rsid w:val="00E23354"/>
    <w:rsid w:val="00E23EA6"/>
    <w:rsid w:val="00E25703"/>
    <w:rsid w:val="00E30158"/>
    <w:rsid w:val="00E33650"/>
    <w:rsid w:val="00E3500D"/>
    <w:rsid w:val="00E4246E"/>
    <w:rsid w:val="00E528A5"/>
    <w:rsid w:val="00E53595"/>
    <w:rsid w:val="00E5444B"/>
    <w:rsid w:val="00E56BDD"/>
    <w:rsid w:val="00E60478"/>
    <w:rsid w:val="00E60661"/>
    <w:rsid w:val="00E607E5"/>
    <w:rsid w:val="00E6239A"/>
    <w:rsid w:val="00E6256D"/>
    <w:rsid w:val="00E628BE"/>
    <w:rsid w:val="00E7392A"/>
    <w:rsid w:val="00E8790A"/>
    <w:rsid w:val="00E927A8"/>
    <w:rsid w:val="00E962FF"/>
    <w:rsid w:val="00EA15D9"/>
    <w:rsid w:val="00EA5FBC"/>
    <w:rsid w:val="00EC19C3"/>
    <w:rsid w:val="00EC296B"/>
    <w:rsid w:val="00EC40D6"/>
    <w:rsid w:val="00EC66BD"/>
    <w:rsid w:val="00ED094F"/>
    <w:rsid w:val="00ED4F83"/>
    <w:rsid w:val="00ED6BFF"/>
    <w:rsid w:val="00EE3E65"/>
    <w:rsid w:val="00EF1617"/>
    <w:rsid w:val="00EF1CE1"/>
    <w:rsid w:val="00EF21D2"/>
    <w:rsid w:val="00F00013"/>
    <w:rsid w:val="00F032AF"/>
    <w:rsid w:val="00F05DB0"/>
    <w:rsid w:val="00F10C52"/>
    <w:rsid w:val="00F16EDE"/>
    <w:rsid w:val="00F16F8B"/>
    <w:rsid w:val="00F21972"/>
    <w:rsid w:val="00F3139D"/>
    <w:rsid w:val="00F37E48"/>
    <w:rsid w:val="00F43AFB"/>
    <w:rsid w:val="00F45E3D"/>
    <w:rsid w:val="00F47D90"/>
    <w:rsid w:val="00F61849"/>
    <w:rsid w:val="00F70898"/>
    <w:rsid w:val="00F73216"/>
    <w:rsid w:val="00F7359F"/>
    <w:rsid w:val="00F85334"/>
    <w:rsid w:val="00F85B81"/>
    <w:rsid w:val="00F87489"/>
    <w:rsid w:val="00F92D4A"/>
    <w:rsid w:val="00F95D61"/>
    <w:rsid w:val="00F971EB"/>
    <w:rsid w:val="00FA57F8"/>
    <w:rsid w:val="00FC02D4"/>
    <w:rsid w:val="00FC3DA0"/>
    <w:rsid w:val="00FC7D31"/>
    <w:rsid w:val="00FD0FFD"/>
    <w:rsid w:val="00FD5F42"/>
    <w:rsid w:val="00FD6751"/>
    <w:rsid w:val="00FE282E"/>
    <w:rsid w:val="00FE4EFF"/>
    <w:rsid w:val="00FF0B95"/>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E3009B5-B769-4785-8274-CBCD825E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paragraph" w:styleId="NormalWeb">
    <w:name w:val="Normal (Web)"/>
    <w:basedOn w:val="Normal"/>
    <w:uiPriority w:val="99"/>
    <w:unhideWhenUsed/>
    <w:rsid w:val="00854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
    <w:name w:val="reflex"/>
    <w:basedOn w:val="DefaultParagraphFont"/>
    <w:rsid w:val="00124F16"/>
  </w:style>
  <w:style w:type="character" w:customStyle="1" w:styleId="reflex3-block">
    <w:name w:val="reflex3-block"/>
    <w:basedOn w:val="DefaultParagraphFont"/>
    <w:rsid w:val="00124F16"/>
  </w:style>
  <w:style w:type="character" w:customStyle="1" w:styleId="reflex3-alt">
    <w:name w:val="reflex3-alt"/>
    <w:basedOn w:val="DefaultParagraphFont"/>
    <w:rsid w:val="0012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261231951">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728E918B-6E45-446B-A054-450F6B17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5553</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37133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Tami Martin</cp:lastModifiedBy>
  <cp:revision>2</cp:revision>
  <cp:lastPrinted>2020-05-15T22:05:00Z</cp:lastPrinted>
  <dcterms:created xsi:type="dcterms:W3CDTF">2020-05-15T22:31:00Z</dcterms:created>
  <dcterms:modified xsi:type="dcterms:W3CDTF">2020-05-15T22:31:00Z</dcterms:modified>
</cp:coreProperties>
</file>