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B1" w:rsidRDefault="00C239B1" w:rsidP="000A0E4C">
      <w:pPr>
        <w:widowControl w:val="0"/>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i/>
          <w:iCs/>
          <w:sz w:val="28"/>
          <w:szCs w:val="28"/>
        </w:rPr>
        <w:t>R v Lafferty</w:t>
      </w:r>
      <w:r>
        <w:rPr>
          <w:rFonts w:ascii="TimesNewRomanPSMT" w:hAnsi="TimesNewRomanPSMT" w:cs="TimesNewRomanPSMT"/>
          <w:sz w:val="28"/>
          <w:szCs w:val="28"/>
        </w:rPr>
        <w:t>,</w:t>
      </w:r>
      <w:r>
        <w:rPr>
          <w:rFonts w:ascii="TimesNewRomanPSMT" w:hAnsi="TimesNewRomanPSMT" w:cs="TimesNewRomanPSMT"/>
          <w:i/>
          <w:iCs/>
          <w:sz w:val="28"/>
          <w:szCs w:val="28"/>
        </w:rPr>
        <w:t xml:space="preserve"> </w:t>
      </w:r>
      <w:r>
        <w:rPr>
          <w:rFonts w:ascii="TimesNewRomanPSMT" w:hAnsi="TimesNewRomanPSMT" w:cs="TimesNewRomanPSMT"/>
          <w:sz w:val="28"/>
          <w:szCs w:val="28"/>
        </w:rPr>
        <w:t>2020 NWTSC 5</w:t>
      </w:r>
    </w:p>
    <w:p w:rsidR="00C239B1" w:rsidRDefault="00C239B1" w:rsidP="000A0E4C">
      <w:pPr>
        <w:widowControl w:val="0"/>
        <w:autoSpaceDE w:val="0"/>
        <w:autoSpaceDN w:val="0"/>
        <w:adjustRightInd w:val="0"/>
        <w:spacing w:after="0" w:line="240" w:lineRule="auto"/>
        <w:jc w:val="right"/>
        <w:rPr>
          <w:rFonts w:ascii="TimesNewRomanPSMT" w:hAnsi="TimesNewRomanPSMT" w:cs="TimesNewRomanPSMT"/>
          <w:sz w:val="28"/>
          <w:szCs w:val="28"/>
        </w:rPr>
      </w:pPr>
      <w:r>
        <w:rPr>
          <w:rFonts w:ascii="TimesNewRomanPSMT" w:hAnsi="TimesNewRomanPSMT" w:cs="TimesNewRomanPSMT"/>
          <w:sz w:val="28"/>
          <w:szCs w:val="28"/>
        </w:rPr>
        <w:t>Date:  2020 02 2</w:t>
      </w:r>
      <w:r w:rsidR="00606FBD">
        <w:rPr>
          <w:rFonts w:ascii="TimesNewRomanPSMT" w:hAnsi="TimesNewRomanPSMT" w:cs="TimesNewRomanPSMT"/>
          <w:sz w:val="28"/>
          <w:szCs w:val="28"/>
        </w:rPr>
        <w:t>7</w:t>
      </w:r>
    </w:p>
    <w:p w:rsidR="00C239B1" w:rsidRDefault="00C239B1" w:rsidP="000A0E4C">
      <w:pPr>
        <w:widowControl w:val="0"/>
        <w:autoSpaceDE w:val="0"/>
        <w:autoSpaceDN w:val="0"/>
        <w:adjustRightInd w:val="0"/>
        <w:spacing w:after="0" w:line="240" w:lineRule="auto"/>
        <w:jc w:val="right"/>
        <w:rPr>
          <w:rFonts w:ascii="TimesNewRomanPSMT" w:hAnsi="TimesNewRomanPSMT" w:cs="TimesNewRomanPSMT"/>
          <w:sz w:val="28"/>
          <w:szCs w:val="28"/>
        </w:rPr>
      </w:pPr>
      <w:r>
        <w:rPr>
          <w:rFonts w:ascii="TimesNewRomanPSMT" w:hAnsi="TimesNewRomanPSMT" w:cs="TimesNewRomanPSMT"/>
          <w:sz w:val="28"/>
          <w:szCs w:val="28"/>
        </w:rPr>
        <w:t>Docket:  S-1-CR-2018-000 031</w:t>
      </w:r>
    </w:p>
    <w:p w:rsidR="00C239B1" w:rsidRDefault="00C239B1" w:rsidP="000A0E4C">
      <w:pPr>
        <w:widowControl w:val="0"/>
        <w:autoSpaceDE w:val="0"/>
        <w:autoSpaceDN w:val="0"/>
        <w:adjustRightInd w:val="0"/>
        <w:spacing w:after="0" w:line="240" w:lineRule="auto"/>
        <w:jc w:val="right"/>
        <w:rPr>
          <w:rFonts w:ascii="TimesNewRomanPSMT" w:hAnsi="TimesNewRomanPSMT" w:cs="TimesNewRomanPSMT"/>
          <w:sz w:val="28"/>
          <w:szCs w:val="28"/>
        </w:rPr>
      </w:pPr>
      <w:r>
        <w:rPr>
          <w:rFonts w:ascii="TimesNewRomanPSMT" w:hAnsi="TimesNewRomanPSMT" w:cs="TimesNewRomanPSMT"/>
          <w:sz w:val="28"/>
          <w:szCs w:val="28"/>
        </w:rPr>
        <w:t>S-1-CR-2018-000-033</w:t>
      </w:r>
    </w:p>
    <w:p w:rsidR="00C239B1" w:rsidRDefault="00C239B1" w:rsidP="000A0E4C">
      <w:pPr>
        <w:widowControl w:val="0"/>
        <w:autoSpaceDE w:val="0"/>
        <w:autoSpaceDN w:val="0"/>
        <w:adjustRightInd w:val="0"/>
        <w:spacing w:after="0" w:line="240" w:lineRule="auto"/>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IN THE SUPREME COURT OF THE NORTHWEST TERRITORIES</w:t>
      </w: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BETWEEN:</w:t>
      </w:r>
    </w:p>
    <w:p w:rsidR="00C239B1" w:rsidRDefault="00C239B1" w:rsidP="000A0E4C">
      <w:pPr>
        <w:widowControl w:val="0"/>
        <w:autoSpaceDE w:val="0"/>
        <w:autoSpaceDN w:val="0"/>
        <w:adjustRightInd w:val="0"/>
        <w:spacing w:after="0" w:line="240" w:lineRule="auto"/>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HER MAJESTY THE QUEEN</w:t>
      </w: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p>
    <w:p w:rsidR="00306B15" w:rsidRDefault="00306B15" w:rsidP="000A0E4C">
      <w:pPr>
        <w:widowControl w:val="0"/>
        <w:autoSpaceDE w:val="0"/>
        <w:autoSpaceDN w:val="0"/>
        <w:adjustRightInd w:val="0"/>
        <w:spacing w:after="0" w:line="240" w:lineRule="auto"/>
        <w:jc w:val="center"/>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-and-</w:t>
      </w:r>
    </w:p>
    <w:p w:rsidR="00306B15" w:rsidRDefault="00306B15" w:rsidP="000A0E4C">
      <w:pPr>
        <w:widowControl w:val="0"/>
        <w:autoSpaceDE w:val="0"/>
        <w:autoSpaceDN w:val="0"/>
        <w:adjustRightInd w:val="0"/>
        <w:spacing w:after="0" w:line="240" w:lineRule="auto"/>
        <w:jc w:val="center"/>
        <w:rPr>
          <w:rFonts w:ascii="TimesNewRomanPSMT" w:hAnsi="TimesNewRomanPSMT" w:cs="TimesNewRomanPSMT"/>
          <w:sz w:val="28"/>
          <w:szCs w:val="28"/>
        </w:rPr>
      </w:pPr>
    </w:p>
    <w:p w:rsidR="00C239B1" w:rsidRDefault="00C239B1" w:rsidP="000A0E4C">
      <w:pPr>
        <w:widowControl w:val="0"/>
        <w:tabs>
          <w:tab w:val="left" w:pos="6396"/>
        </w:tabs>
        <w:autoSpaceDE w:val="0"/>
        <w:autoSpaceDN w:val="0"/>
        <w:adjustRightInd w:val="0"/>
        <w:spacing w:after="0" w:line="240" w:lineRule="auto"/>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DALTON LEE LAFFERTY</w:t>
      </w: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u w:val="single"/>
        </w:rPr>
      </w:pPr>
      <w:r>
        <w:rPr>
          <w:rFonts w:ascii="TimesNewRomanPSMT" w:hAnsi="TimesNewRomanPSMT" w:cs="TimesNewRomanPSMT"/>
          <w:sz w:val="28"/>
          <w:szCs w:val="28"/>
          <w:u w:val="single"/>
        </w:rPr>
        <w:t xml:space="preserve">RULING ON CHALLENGE TO MANDATORY </w:t>
      </w:r>
    </w:p>
    <w:p w:rsidR="00C239B1" w:rsidRDefault="00C239B1" w:rsidP="000A0E4C">
      <w:pPr>
        <w:widowControl w:val="0"/>
        <w:autoSpaceDE w:val="0"/>
        <w:autoSpaceDN w:val="0"/>
        <w:adjustRightInd w:val="0"/>
        <w:spacing w:after="0" w:line="240" w:lineRule="auto"/>
        <w:jc w:val="center"/>
        <w:rPr>
          <w:rFonts w:ascii="TimesNewRomanPSMT" w:hAnsi="TimesNewRomanPSMT" w:cs="TimesNewRomanPSMT"/>
          <w:sz w:val="28"/>
          <w:szCs w:val="28"/>
          <w:u w:val="single"/>
        </w:rPr>
      </w:pPr>
      <w:r>
        <w:rPr>
          <w:rFonts w:ascii="TimesNewRomanPSMT" w:hAnsi="TimesNewRomanPSMT" w:cs="TimesNewRomanPSMT"/>
          <w:sz w:val="28"/>
          <w:szCs w:val="28"/>
          <w:u w:val="single"/>
        </w:rPr>
        <w:t xml:space="preserve">LIFETIME </w:t>
      </w:r>
      <w:r>
        <w:rPr>
          <w:rFonts w:ascii="TimesNewRomanPSMT" w:hAnsi="TimesNewRomanPSMT" w:cs="TimesNewRomanPSMT"/>
          <w:i/>
          <w:iCs/>
          <w:sz w:val="28"/>
          <w:szCs w:val="28"/>
          <w:u w:val="single"/>
        </w:rPr>
        <w:t xml:space="preserve">SOIRA </w:t>
      </w:r>
      <w:r>
        <w:rPr>
          <w:rFonts w:ascii="TimesNewRomanPSMT" w:hAnsi="TimesNewRomanPSMT" w:cs="TimesNewRomanPSMT"/>
          <w:sz w:val="28"/>
          <w:szCs w:val="28"/>
          <w:u w:val="single"/>
        </w:rPr>
        <w:t>ORDER</w:t>
      </w:r>
    </w:p>
    <w:p w:rsidR="00C239B1" w:rsidRDefault="00C239B1" w:rsidP="000A0E4C">
      <w:pPr>
        <w:widowControl w:val="0"/>
        <w:autoSpaceDE w:val="0"/>
        <w:autoSpaceDN w:val="0"/>
        <w:adjustRightInd w:val="0"/>
        <w:spacing w:after="0" w:line="240" w:lineRule="auto"/>
        <w:rPr>
          <w:rFonts w:ascii="Calibri" w:hAnsi="Calibri" w:cs="Calibri"/>
          <w:sz w:val="28"/>
          <w:szCs w:val="28"/>
        </w:rPr>
      </w:pPr>
    </w:p>
    <w:p w:rsidR="000A0E4C" w:rsidRDefault="000A0E4C" w:rsidP="000A0E4C">
      <w:pPr>
        <w:widowControl w:val="0"/>
        <w:autoSpaceDE w:val="0"/>
        <w:autoSpaceDN w:val="0"/>
        <w:adjustRightInd w:val="0"/>
        <w:spacing w:after="0" w:line="240" w:lineRule="auto"/>
        <w:rPr>
          <w:rFonts w:ascii="Calibri" w:hAnsi="Calibri" w:cs="Calibri"/>
          <w:sz w:val="28"/>
          <w:szCs w:val="28"/>
        </w:rPr>
      </w:pPr>
    </w:p>
    <w:p w:rsidR="00C239B1" w:rsidRDefault="00C239B1" w:rsidP="000A0E4C">
      <w:pPr>
        <w:widowControl w:val="0"/>
        <w:autoSpaceDE w:val="0"/>
        <w:autoSpaceDN w:val="0"/>
        <w:adjustRightInd w:val="0"/>
        <w:spacing w:after="0" w:line="240" w:lineRule="auto"/>
        <w:rPr>
          <w:rFonts w:ascii="Calibri" w:hAnsi="Calibri" w:cs="Calibri"/>
          <w:sz w:val="28"/>
          <w:szCs w:val="28"/>
        </w:rPr>
      </w:pPr>
      <w:r>
        <w:rPr>
          <w:rFonts w:ascii="TimesNewRomanPSMT" w:hAnsi="TimesNewRomanPSMT" w:cs="TimesNewRomanPSMT"/>
          <w:sz w:val="28"/>
          <w:szCs w:val="28"/>
        </w:rPr>
        <w:t xml:space="preserve">I)  INTRODUCTION </w:t>
      </w:r>
    </w:p>
    <w:p w:rsidR="00C239B1" w:rsidRDefault="00C239B1" w:rsidP="000A0E4C">
      <w:pPr>
        <w:widowControl w:val="0"/>
        <w:autoSpaceDE w:val="0"/>
        <w:autoSpaceDN w:val="0"/>
        <w:adjustRightInd w:val="0"/>
        <w:spacing w:after="0" w:line="240" w:lineRule="auto"/>
        <w:rPr>
          <w:rFonts w:ascii="Calibri" w:hAnsi="Calibri" w:cs="Calibri"/>
          <w:sz w:val="28"/>
          <w:szCs w:val="28"/>
        </w:rPr>
      </w:pPr>
    </w:p>
    <w:p w:rsidR="00C239B1" w:rsidRPr="00450E3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sidRPr="00450E31">
        <w:rPr>
          <w:rFonts w:ascii="TimesNewRomanPSMT" w:hAnsi="TimesNewRomanPSMT" w:cs="TimesNewRomanPSMT"/>
          <w:sz w:val="28"/>
          <w:szCs w:val="28"/>
        </w:rPr>
        <w:t>Several months ago, Dalton Lafferty pleaded guilty to two counts of sexual assault arising from incidents involving two different victims.  The Crown proceeded by indictment on both charges</w:t>
      </w:r>
      <w:r w:rsidR="00B700B5" w:rsidRPr="00450E31">
        <w:rPr>
          <w:rFonts w:ascii="TimesNewRomanPSMT" w:hAnsi="TimesNewRomanPSMT" w:cs="TimesNewRomanPSMT"/>
          <w:sz w:val="28"/>
          <w:szCs w:val="28"/>
        </w:rPr>
        <w:t>.</w:t>
      </w:r>
      <w:r w:rsidRPr="00450E31">
        <w:rPr>
          <w:rFonts w:ascii="TimesNewRomanPSMT" w:hAnsi="TimesNewRomanPSMT" w:cs="TimesNewRomanPSMT"/>
          <w:sz w:val="28"/>
          <w:szCs w:val="28"/>
        </w:rPr>
        <w:t xml:space="preserve"> </w:t>
      </w:r>
      <w:r w:rsidR="00E55267">
        <w:rPr>
          <w:rFonts w:ascii="TimesNewRomanPSMT" w:hAnsi="TimesNewRomanPSMT" w:cs="TimesNewRomanPSMT"/>
          <w:sz w:val="28"/>
          <w:szCs w:val="28"/>
        </w:rPr>
        <w:t xml:space="preserve"> </w:t>
      </w:r>
      <w:r w:rsidRPr="00450E31">
        <w:rPr>
          <w:rFonts w:ascii="TimesNewRomanPSMT" w:hAnsi="TimesNewRomanPSMT" w:cs="TimesNewRomanPSMT"/>
          <w:sz w:val="28"/>
          <w:szCs w:val="28"/>
        </w:rPr>
        <w:t>Mr. Lafferty faced, on each of them, a mandatory minimum sentence of imprisonment for 1 year.</w:t>
      </w:r>
      <w:r w:rsidR="00E55267">
        <w:rPr>
          <w:rFonts w:ascii="TimesNewRomanPSMT" w:hAnsi="TimesNewRomanPSMT" w:cs="TimesNewRomanPSMT"/>
          <w:sz w:val="28"/>
          <w:szCs w:val="28"/>
        </w:rPr>
        <w:t xml:space="preserve"> </w:t>
      </w:r>
      <w:r w:rsidRPr="00450E31">
        <w:rPr>
          <w:rFonts w:ascii="TimesNewRomanPSMT" w:hAnsi="TimesNewRomanPSMT" w:cs="TimesNewRomanPSMT"/>
          <w:sz w:val="28"/>
          <w:szCs w:val="28"/>
        </w:rPr>
        <w:t xml:space="preserve"> </w:t>
      </w:r>
      <w:r w:rsidRPr="00450E31">
        <w:rPr>
          <w:rFonts w:ascii="TimesNewRomanPSMT" w:hAnsi="TimesNewRomanPSMT" w:cs="TimesNewRomanPSMT"/>
          <w:i/>
          <w:iCs/>
          <w:sz w:val="28"/>
          <w:szCs w:val="28"/>
        </w:rPr>
        <w:t>Criminal Code</w:t>
      </w:r>
      <w:r w:rsidRPr="00450E31">
        <w:rPr>
          <w:rFonts w:ascii="TimesNewRomanPSMT" w:hAnsi="TimesNewRomanPSMT" w:cs="TimesNewRomanPSMT"/>
          <w:sz w:val="28"/>
          <w:szCs w:val="28"/>
        </w:rPr>
        <w:t xml:space="preserve">, R.S.C.1985, c. C-46, s. 271(a) (the </w:t>
      </w:r>
      <w:r w:rsidRPr="00450E31">
        <w:rPr>
          <w:rFonts w:ascii="TimesNewRomanPSMT" w:hAnsi="TimesNewRomanPSMT" w:cs="TimesNewRomanPSMT"/>
          <w:i/>
          <w:iCs/>
          <w:sz w:val="28"/>
          <w:szCs w:val="28"/>
        </w:rPr>
        <w:t>Criminal Code</w:t>
      </w:r>
      <w:r w:rsidR="00D408B4" w:rsidRPr="00450E31">
        <w:rPr>
          <w:rFonts w:ascii="TimesNewRomanPSMT" w:hAnsi="TimesNewRomanPSMT" w:cs="TimesNewRomanPSMT"/>
          <w:sz w:val="28"/>
          <w:szCs w:val="28"/>
        </w:rPr>
        <w:t>).</w:t>
      </w:r>
      <w:r w:rsidR="00B700B5" w:rsidRPr="00450E31">
        <w:rPr>
          <w:rFonts w:ascii="TimesNewRomanPSMT" w:hAnsi="TimesNewRomanPSMT" w:cs="TimesNewRomanPSMT"/>
          <w:sz w:val="28"/>
          <w:szCs w:val="28"/>
        </w:rPr>
        <w:t xml:space="preserve">  </w:t>
      </w:r>
      <w:r w:rsidRPr="00450E31">
        <w:rPr>
          <w:rFonts w:ascii="TimesNewRomanPSMT" w:hAnsi="TimesNewRomanPSMT" w:cs="TimesNewRomanPSMT"/>
          <w:sz w:val="28"/>
          <w:szCs w:val="28"/>
        </w:rPr>
        <w:t xml:space="preserve">In addition, Sections 490.012 and 490.013(2.1) of the </w:t>
      </w:r>
      <w:r w:rsidRPr="00450E31">
        <w:rPr>
          <w:rFonts w:ascii="TimesNewRomanPSMT" w:hAnsi="TimesNewRomanPSMT" w:cs="TimesNewRomanPSMT"/>
          <w:i/>
          <w:iCs/>
          <w:sz w:val="28"/>
          <w:szCs w:val="28"/>
        </w:rPr>
        <w:t>Criminal Code</w:t>
      </w:r>
      <w:r w:rsidRPr="00450E31">
        <w:rPr>
          <w:rFonts w:ascii="TimesNewRomanPSMT" w:hAnsi="TimesNewRomanPSMT" w:cs="TimesNewRomanPSMT"/>
          <w:sz w:val="28"/>
          <w:szCs w:val="28"/>
        </w:rPr>
        <w:t xml:space="preserve"> mandated that he be required, for the rest of his life, to comply with </w:t>
      </w:r>
      <w:r w:rsidRPr="00450E31">
        <w:rPr>
          <w:rFonts w:ascii="TimesNewRomanPSMT" w:hAnsi="TimesNewRomanPSMT" w:cs="TimesNewRomanPSMT"/>
          <w:sz w:val="28"/>
          <w:szCs w:val="28"/>
        </w:rPr>
        <w:lastRenderedPageBreak/>
        <w:t xml:space="preserve">the requirements of the </w:t>
      </w:r>
      <w:r w:rsidRPr="00450E31">
        <w:rPr>
          <w:rFonts w:ascii="TimesNewRomanPSMT" w:hAnsi="TimesNewRomanPSMT" w:cs="TimesNewRomanPSMT"/>
          <w:i/>
          <w:iCs/>
          <w:sz w:val="28"/>
          <w:szCs w:val="28"/>
        </w:rPr>
        <w:t>Sex Offender Registration Act</w:t>
      </w:r>
      <w:r w:rsidRPr="00450E31">
        <w:rPr>
          <w:rFonts w:ascii="TimesNewRomanPSMT" w:hAnsi="TimesNewRomanPSMT" w:cs="TimesNewRomanPSMT"/>
          <w:sz w:val="28"/>
          <w:szCs w:val="28"/>
        </w:rPr>
        <w:t>, S.C. 2004, c.10 (</w:t>
      </w:r>
      <w:r w:rsidRPr="00450E31">
        <w:rPr>
          <w:rFonts w:ascii="TimesNewRomanPSMT" w:hAnsi="TimesNewRomanPSMT" w:cs="TimesNewRomanPSMT"/>
          <w:i/>
          <w:iCs/>
          <w:sz w:val="28"/>
          <w:szCs w:val="28"/>
        </w:rPr>
        <w:t>SOIRA</w:t>
      </w:r>
      <w:r w:rsidRPr="00450E31">
        <w:rPr>
          <w:rFonts w:ascii="TimesNewRomanPSMT" w:hAnsi="TimesNewRomanPSMT" w:cs="TimesNewRomanPSMT"/>
          <w:sz w:val="28"/>
          <w:szCs w:val="28"/>
        </w:rPr>
        <w:t>)</w:t>
      </w:r>
    </w:p>
    <w:p w:rsidR="00D408B4" w:rsidRDefault="00D408B4" w:rsidP="00306B15">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Mr. Lafferty filed Applications challenging the constitutionality of </w:t>
      </w:r>
      <w:r w:rsidR="00B700B5">
        <w:rPr>
          <w:rFonts w:ascii="TimesNewRomanPSMT" w:hAnsi="TimesNewRomanPSMT" w:cs="TimesNewRomanPSMT"/>
          <w:sz w:val="28"/>
          <w:szCs w:val="28"/>
        </w:rPr>
        <w:t xml:space="preserve">both </w:t>
      </w:r>
      <w:r>
        <w:rPr>
          <w:rFonts w:ascii="TimesNewRomanPSMT" w:hAnsi="TimesNewRomanPSMT" w:cs="TimesNewRomanPSMT"/>
          <w:sz w:val="28"/>
          <w:szCs w:val="28"/>
        </w:rPr>
        <w:t xml:space="preserve">the mandatory minimum sentence and the mandatory lifetime </w:t>
      </w:r>
      <w:r>
        <w:rPr>
          <w:rFonts w:ascii="TimesNewRomanPSMT" w:hAnsi="TimesNewRomanPSMT" w:cs="TimesNewRomanPSMT"/>
          <w:i/>
          <w:iCs/>
          <w:sz w:val="28"/>
          <w:szCs w:val="28"/>
        </w:rPr>
        <w:t xml:space="preserve">SOIRA </w:t>
      </w:r>
      <w:r>
        <w:rPr>
          <w:rFonts w:ascii="TimesNewRomanPSMT" w:hAnsi="TimesNewRomanPSMT" w:cs="TimesNewRomanPSMT"/>
          <w:sz w:val="28"/>
          <w:szCs w:val="28"/>
        </w:rPr>
        <w:t xml:space="preserve">order. </w:t>
      </w:r>
      <w:r w:rsidR="002D52E0">
        <w:rPr>
          <w:rFonts w:ascii="TimesNewRomanPSMT" w:hAnsi="TimesNewRomanPSMT" w:cs="TimesNewRomanPSMT"/>
          <w:sz w:val="28"/>
          <w:szCs w:val="28"/>
        </w:rPr>
        <w:t xml:space="preserve">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The sentencing hearing proceeded in two stages.  On July 8, 2019, I heard submissions on the challenge to Section 271(a), as well as general sentencing submissions.  The matter was adjourned to August 20, 2019, on the understanding that on that date, I would advise counsel of my conclusion on the challenge to Section 271(a), sentence Mr. Lafferty, and deal with all ancillary orders except the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  It was agreed that I would then hear submissions pertaining to the challenge to the mandatory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 and issue a written decision in due course disposing of that aspect of the matter.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On August 20, 2019, I sentenced Mr. Lafferty</w:t>
      </w:r>
      <w:r w:rsidR="00B700B5">
        <w:rPr>
          <w:rFonts w:ascii="TimesNewRomanPSMT" w:hAnsi="TimesNewRomanPSMT" w:cs="TimesNewRomanPSMT"/>
          <w:sz w:val="28"/>
          <w:szCs w:val="28"/>
        </w:rPr>
        <w:t>.</w:t>
      </w:r>
      <w:r>
        <w:rPr>
          <w:rFonts w:ascii="TimesNewRomanPSMT" w:hAnsi="TimesNewRomanPSMT" w:cs="TimesNewRomanPSMT"/>
          <w:sz w:val="28"/>
          <w:szCs w:val="28"/>
        </w:rPr>
        <w:t xml:space="preserve"> </w:t>
      </w:r>
      <w:r w:rsidR="00B700B5">
        <w:rPr>
          <w:rFonts w:ascii="TimesNewRomanPSMT" w:hAnsi="TimesNewRomanPSMT" w:cs="TimesNewRomanPSMT"/>
          <w:sz w:val="28"/>
          <w:szCs w:val="28"/>
        </w:rPr>
        <w:t xml:space="preserve"> </w:t>
      </w:r>
      <w:r>
        <w:rPr>
          <w:rFonts w:ascii="TimesNewRomanPSMT" w:hAnsi="TimesNewRomanPSMT" w:cs="TimesNewRomanPSMT"/>
          <w:i/>
          <w:iCs/>
          <w:sz w:val="28"/>
          <w:szCs w:val="28"/>
        </w:rPr>
        <w:t>R v Lafferty</w:t>
      </w:r>
      <w:r>
        <w:rPr>
          <w:rFonts w:ascii="TimesNewRomanPSMT" w:hAnsi="TimesNewRomanPSMT" w:cs="TimesNewRomanPSMT"/>
          <w:sz w:val="28"/>
          <w:szCs w:val="28"/>
        </w:rPr>
        <w:t xml:space="preserve">, 2019 NWTSC 38.  I declared the mandatory minimum sentence set out at Section 271(a) to be of no force and effect, with Reasons to follow.  Those Reasons are now reported at </w:t>
      </w:r>
      <w:r>
        <w:rPr>
          <w:rFonts w:ascii="TimesNewRomanPSMT" w:hAnsi="TimesNewRomanPSMT" w:cs="TimesNewRomanPSMT"/>
          <w:i/>
          <w:iCs/>
          <w:sz w:val="28"/>
          <w:szCs w:val="28"/>
        </w:rPr>
        <w:t>R v Lafferty</w:t>
      </w:r>
      <w:r>
        <w:rPr>
          <w:rFonts w:ascii="TimesNewRomanPSMT" w:hAnsi="TimesNewRomanPSMT" w:cs="TimesNewRomanPSMT"/>
          <w:sz w:val="28"/>
          <w:szCs w:val="28"/>
        </w:rPr>
        <w:t>, 2020 NWTSC 4. cor 1 (</w:t>
      </w:r>
      <w:r>
        <w:rPr>
          <w:rFonts w:ascii="TimesNewRomanPSMT" w:hAnsi="TimesNewRomanPSMT" w:cs="TimesNewRomanPSMT"/>
          <w:i/>
          <w:iCs/>
          <w:sz w:val="28"/>
          <w:szCs w:val="28"/>
        </w:rPr>
        <w:t>Lafferty</w:t>
      </w:r>
      <w:r>
        <w:rPr>
          <w:rFonts w:ascii="TimesNewRomanPSMT" w:hAnsi="TimesNewRomanPSMT" w:cs="TimesNewRomanPSMT"/>
          <w:sz w:val="28"/>
          <w:szCs w:val="28"/>
        </w:rPr>
        <w:t xml:space="preserve"> 2020).  I heard submissions on the </w:t>
      </w:r>
      <w:r>
        <w:rPr>
          <w:rFonts w:ascii="TimesNewRomanPSMT" w:hAnsi="TimesNewRomanPSMT" w:cs="TimesNewRomanPSMT"/>
          <w:i/>
          <w:iCs/>
          <w:sz w:val="28"/>
          <w:szCs w:val="28"/>
        </w:rPr>
        <w:t>SOIRA</w:t>
      </w:r>
      <w:r>
        <w:rPr>
          <w:rFonts w:ascii="TimesNewRomanPSMT" w:hAnsi="TimesNewRomanPSMT" w:cs="TimesNewRomanPSMT"/>
          <w:sz w:val="28"/>
          <w:szCs w:val="28"/>
        </w:rPr>
        <w:t xml:space="preserve"> challenge and reserved my decision.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For the following reasons, I have concluded that impugned provisions do not contravene the </w:t>
      </w:r>
      <w:r>
        <w:rPr>
          <w:rFonts w:ascii="TimesNewRomanPSMT" w:hAnsi="TimesNewRomanPSMT" w:cs="TimesNewRomanPSMT"/>
          <w:i/>
          <w:iCs/>
          <w:sz w:val="28"/>
          <w:szCs w:val="28"/>
        </w:rPr>
        <w:t>Charter</w:t>
      </w:r>
      <w:r>
        <w:rPr>
          <w:rFonts w:ascii="Calibri" w:hAnsi="Calibri" w:cs="Calibri"/>
          <w:sz w:val="28"/>
          <w:szCs w:val="28"/>
        </w:rPr>
        <w:t>.</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II) THE </w:t>
      </w:r>
      <w:r>
        <w:rPr>
          <w:rFonts w:ascii="TimesNewRomanPSMT" w:hAnsi="TimesNewRomanPSMT" w:cs="TimesNewRomanPSMT"/>
          <w:i/>
          <w:iCs/>
          <w:sz w:val="28"/>
          <w:szCs w:val="28"/>
        </w:rPr>
        <w:t>SOIRA</w:t>
      </w:r>
      <w:r>
        <w:rPr>
          <w:rFonts w:ascii="TimesNewRomanPSMT" w:hAnsi="TimesNewRomanPSMT" w:cs="TimesNewRomanPSMT"/>
          <w:sz w:val="28"/>
          <w:szCs w:val="28"/>
        </w:rPr>
        <w:t xml:space="preserve"> FRAMEWORK</w:t>
      </w:r>
    </w:p>
    <w:p w:rsidR="00C239B1" w:rsidRDefault="00C239B1" w:rsidP="00306B15">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To put this matter in context, I begin with a brief overview of the framework established by </w:t>
      </w:r>
      <w:r>
        <w:rPr>
          <w:rFonts w:ascii="TimesNewRomanPSMT" w:hAnsi="TimesNewRomanPSMT" w:cs="TimesNewRomanPSMT"/>
          <w:i/>
          <w:iCs/>
          <w:sz w:val="28"/>
          <w:szCs w:val="28"/>
        </w:rPr>
        <w:t>SOIRA</w:t>
      </w:r>
      <w:r>
        <w:rPr>
          <w:rFonts w:ascii="TimesNewRomanPSMT" w:hAnsi="TimesNewRomanPSMT" w:cs="TimesNewRomanPSMT"/>
          <w:sz w:val="28"/>
          <w:szCs w:val="28"/>
        </w:rPr>
        <w:t xml:space="preserve"> and the related </w:t>
      </w:r>
      <w:r>
        <w:rPr>
          <w:rFonts w:ascii="TimesNewRomanPSMT" w:hAnsi="TimesNewRomanPSMT" w:cs="TimesNewRomanPSMT"/>
          <w:i/>
          <w:iCs/>
          <w:sz w:val="28"/>
          <w:szCs w:val="28"/>
        </w:rPr>
        <w:t>Criminal Code</w:t>
      </w:r>
      <w:r>
        <w:rPr>
          <w:rFonts w:ascii="TimesNewRomanPSMT" w:hAnsi="TimesNewRomanPSMT" w:cs="TimesNewRomanPSMT"/>
          <w:sz w:val="28"/>
          <w:szCs w:val="28"/>
        </w:rPr>
        <w:t xml:space="preserve"> provisions.</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w:t>
      </w:r>
      <w:r>
        <w:rPr>
          <w:rFonts w:ascii="TimesNewRomanPSMT" w:hAnsi="TimesNewRomanPSMT" w:cs="TimesNewRomanPSMT"/>
          <w:i/>
          <w:iCs/>
          <w:sz w:val="28"/>
          <w:szCs w:val="28"/>
        </w:rPr>
        <w:t>Criminal Code</w:t>
      </w:r>
      <w:r>
        <w:rPr>
          <w:rFonts w:ascii="TimesNewRomanPSMT" w:hAnsi="TimesNewRomanPSMT" w:cs="TimesNewRomanPSMT"/>
          <w:sz w:val="28"/>
          <w:szCs w:val="28"/>
        </w:rPr>
        <w:t xml:space="preserve"> </w:t>
      </w:r>
      <w:r w:rsidR="00322067">
        <w:rPr>
          <w:rFonts w:ascii="TimesNewRomanPSMT" w:hAnsi="TimesNewRomanPSMT" w:cs="TimesNewRomanPSMT"/>
          <w:sz w:val="28"/>
          <w:szCs w:val="28"/>
        </w:rPr>
        <w:t>makes it</w:t>
      </w:r>
      <w:r>
        <w:rPr>
          <w:rFonts w:ascii="TimesNewRomanPSMT" w:hAnsi="TimesNewRomanPSMT" w:cs="TimesNewRomanPSMT"/>
          <w:sz w:val="28"/>
          <w:szCs w:val="28"/>
        </w:rPr>
        <w:t xml:space="preserve"> mandatory for the sentencing court to make a</w:t>
      </w:r>
      <w:r w:rsidR="00322067">
        <w:rPr>
          <w:rFonts w:ascii="TimesNewRomanPSMT" w:hAnsi="TimesNewRomanPSMT" w:cs="TimesNewRomanPSMT"/>
          <w:sz w:val="28"/>
          <w:szCs w:val="28"/>
        </w:rPr>
        <w:t xml:space="preserve"> </w:t>
      </w:r>
      <w:r w:rsidR="00322067" w:rsidRPr="00322067">
        <w:rPr>
          <w:rFonts w:ascii="TimesNewRomanPSMT" w:hAnsi="TimesNewRomanPSMT" w:cs="TimesNewRomanPSMT"/>
          <w:i/>
          <w:sz w:val="28"/>
          <w:szCs w:val="28"/>
        </w:rPr>
        <w:t>SOIRA</w:t>
      </w:r>
      <w:r>
        <w:rPr>
          <w:rFonts w:ascii="TimesNewRomanPSMT" w:hAnsi="TimesNewRomanPSMT" w:cs="TimesNewRomanPSMT"/>
          <w:sz w:val="28"/>
          <w:szCs w:val="28"/>
        </w:rPr>
        <w:t xml:space="preserve"> order when sentencing an offender for certain designated offen</w:t>
      </w:r>
      <w:r w:rsidR="00CF09DE">
        <w:rPr>
          <w:rFonts w:ascii="TimesNewRomanPSMT" w:hAnsi="TimesNewRomanPSMT" w:cs="TimesNewRomanPSMT"/>
          <w:sz w:val="28"/>
          <w:szCs w:val="28"/>
        </w:rPr>
        <w:t>c</w:t>
      </w:r>
      <w:r>
        <w:rPr>
          <w:rFonts w:ascii="TimesNewRomanPSMT" w:hAnsi="TimesNewRomanPSMT" w:cs="TimesNewRomanPSMT"/>
          <w:sz w:val="28"/>
          <w:szCs w:val="28"/>
        </w:rPr>
        <w:t xml:space="preserve">es.  </w:t>
      </w:r>
      <w:r>
        <w:rPr>
          <w:rFonts w:ascii="TimesNewRomanPSMT" w:hAnsi="TimesNewRomanPSMT" w:cs="TimesNewRomanPSMT"/>
          <w:i/>
          <w:iCs/>
          <w:sz w:val="28"/>
          <w:szCs w:val="28"/>
        </w:rPr>
        <w:t>Criminal Code</w:t>
      </w:r>
      <w:r>
        <w:rPr>
          <w:rFonts w:ascii="TimesNewRomanPSMT" w:hAnsi="TimesNewRomanPSMT" w:cs="TimesNewRomanPSMT"/>
          <w:sz w:val="28"/>
          <w:szCs w:val="28"/>
        </w:rPr>
        <w:t>, s. 490.012(1).  The designated offen</w:t>
      </w:r>
      <w:r w:rsidR="00CF09DE">
        <w:rPr>
          <w:rFonts w:ascii="TimesNewRomanPSMT" w:hAnsi="TimesNewRomanPSMT" w:cs="TimesNewRomanPSMT"/>
          <w:sz w:val="28"/>
          <w:szCs w:val="28"/>
        </w:rPr>
        <w:t>c</w:t>
      </w:r>
      <w:r>
        <w:rPr>
          <w:rFonts w:ascii="TimesNewRomanPSMT" w:hAnsi="TimesNewRomanPSMT" w:cs="TimesNewRomanPSMT"/>
          <w:sz w:val="28"/>
          <w:szCs w:val="28"/>
        </w:rPr>
        <w:t>es include a wide array of sexual offen</w:t>
      </w:r>
      <w:r w:rsidR="00CF09DE">
        <w:rPr>
          <w:rFonts w:ascii="TimesNewRomanPSMT" w:hAnsi="TimesNewRomanPSMT" w:cs="TimesNewRomanPSMT"/>
          <w:sz w:val="28"/>
          <w:szCs w:val="28"/>
        </w:rPr>
        <w:t>c</w:t>
      </w:r>
      <w:r>
        <w:rPr>
          <w:rFonts w:ascii="TimesNewRomanPSMT" w:hAnsi="TimesNewRomanPSMT" w:cs="TimesNewRomanPSMT"/>
          <w:sz w:val="28"/>
          <w:szCs w:val="28"/>
        </w:rPr>
        <w:t>es.</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Offenders subject to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are required to register in person at designated registration centres and provide cer</w:t>
      </w:r>
      <w:r w:rsidR="00606FBD">
        <w:rPr>
          <w:rFonts w:ascii="TimesNewRomanPSMT" w:hAnsi="TimesNewRomanPSMT" w:cs="TimesNewRomanPSMT"/>
          <w:sz w:val="28"/>
          <w:szCs w:val="28"/>
        </w:rPr>
        <w:t>tain information including name</w:t>
      </w:r>
      <w:r>
        <w:rPr>
          <w:rFonts w:ascii="TimesNewRomanPSMT" w:hAnsi="TimesNewRomanPSMT" w:cs="TimesNewRomanPSMT"/>
          <w:sz w:val="28"/>
          <w:szCs w:val="28"/>
        </w:rPr>
        <w:t xml:space="preserve">, aliases, date of birth, gender, height and weight, distinguishing marks, address and contact information for residences, employment, volunteer organizations and educational institutions, driver's licence and passport numbers, and particulars of vehicles they use.  Staff at the registration centres may request additional information and record observable characteristics of the offender.  They may also require that the offender's photograph be taken.  </w:t>
      </w:r>
      <w:r>
        <w:rPr>
          <w:rFonts w:ascii="TimesNewRomanPSMT" w:hAnsi="TimesNewRomanPSMT" w:cs="TimesNewRomanPSMT"/>
          <w:i/>
          <w:iCs/>
          <w:sz w:val="28"/>
          <w:szCs w:val="28"/>
        </w:rPr>
        <w:t>SOIRA</w:t>
      </w:r>
      <w:r>
        <w:rPr>
          <w:rFonts w:ascii="TimesNewRomanPSMT" w:hAnsi="TimesNewRomanPSMT" w:cs="TimesNewRomanPSMT"/>
          <w:sz w:val="28"/>
          <w:szCs w:val="28"/>
        </w:rPr>
        <w:t>, ss. 4-5.</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The reporting obligation is an ongoing one.  Offenders must report annually for the duration of the order, and are also required to report changes in the</w:t>
      </w:r>
      <w:r w:rsidR="00322067">
        <w:rPr>
          <w:rFonts w:ascii="TimesNewRomanPSMT" w:hAnsi="TimesNewRomanPSMT" w:cs="TimesNewRomanPSMT"/>
          <w:sz w:val="28"/>
          <w:szCs w:val="28"/>
        </w:rPr>
        <w:t>ir</w:t>
      </w:r>
      <w:r>
        <w:rPr>
          <w:rFonts w:ascii="TimesNewRomanPSMT" w:hAnsi="TimesNewRomanPSMT" w:cs="TimesNewRomanPSMT"/>
          <w:sz w:val="28"/>
          <w:szCs w:val="28"/>
        </w:rPr>
        <w:t xml:space="preserve"> </w:t>
      </w:r>
      <w:r w:rsidR="00322067">
        <w:rPr>
          <w:rFonts w:ascii="TimesNewRomanPSMT" w:hAnsi="TimesNewRomanPSMT" w:cs="TimesNewRomanPSMT"/>
          <w:sz w:val="28"/>
          <w:szCs w:val="28"/>
        </w:rPr>
        <w:t xml:space="preserve">circumstances to ensure that the </w:t>
      </w:r>
      <w:r>
        <w:rPr>
          <w:rFonts w:ascii="TimesNewRomanPSMT" w:hAnsi="TimesNewRomanPSMT" w:cs="TimesNewRomanPSMT"/>
          <w:sz w:val="28"/>
          <w:szCs w:val="28"/>
        </w:rPr>
        <w:t>information included in the registry</w:t>
      </w:r>
      <w:r w:rsidR="00322067">
        <w:rPr>
          <w:rFonts w:ascii="TimesNewRomanPSMT" w:hAnsi="TimesNewRomanPSMT" w:cs="TimesNewRomanPSMT"/>
          <w:sz w:val="28"/>
          <w:szCs w:val="28"/>
        </w:rPr>
        <w:t xml:space="preserve"> is up to date</w:t>
      </w:r>
      <w:r>
        <w:rPr>
          <w:rFonts w:ascii="TimesNewRomanPSMT" w:hAnsi="TimesNewRomanPSMT" w:cs="TimesNewRomanPSMT"/>
          <w:sz w:val="28"/>
          <w:szCs w:val="28"/>
        </w:rPr>
        <w:t xml:space="preserve">.  Regulations prescribe the reporting methods for different </w:t>
      </w:r>
      <w:r w:rsidR="00322067">
        <w:rPr>
          <w:rFonts w:ascii="TimesNewRomanPSMT" w:hAnsi="TimesNewRomanPSMT" w:cs="TimesNewRomanPSMT"/>
          <w:sz w:val="28"/>
          <w:szCs w:val="28"/>
        </w:rPr>
        <w:t xml:space="preserve">types of </w:t>
      </w:r>
      <w:r>
        <w:rPr>
          <w:rFonts w:ascii="TimesNewRomanPSMT" w:hAnsi="TimesNewRomanPSMT" w:cs="TimesNewRomanPSMT"/>
          <w:sz w:val="28"/>
          <w:szCs w:val="28"/>
        </w:rPr>
        <w:t xml:space="preserve">changes. </w:t>
      </w:r>
      <w:r w:rsidR="002E1341">
        <w:rPr>
          <w:rFonts w:ascii="TimesNewRomanPSMT" w:hAnsi="TimesNewRomanPSMT" w:cs="TimesNewRomanPSMT"/>
          <w:sz w:val="28"/>
          <w:szCs w:val="28"/>
        </w:rPr>
        <w:t xml:space="preserve"> </w:t>
      </w:r>
      <w:r>
        <w:rPr>
          <w:rFonts w:ascii="TimesNewRomanPSMT" w:hAnsi="TimesNewRomanPSMT" w:cs="TimesNewRomanPSMT"/>
          <w:i/>
          <w:iCs/>
          <w:sz w:val="28"/>
          <w:szCs w:val="28"/>
        </w:rPr>
        <w:t>SOIRA</w:t>
      </w:r>
      <w:r>
        <w:rPr>
          <w:rFonts w:ascii="TimesNewRomanPSMT" w:hAnsi="TimesNewRomanPSMT" w:cs="TimesNewRomanPSMT"/>
          <w:sz w:val="28"/>
          <w:szCs w:val="28"/>
        </w:rPr>
        <w:t>, s.4.1.</w:t>
      </w:r>
    </w:p>
    <w:p w:rsidR="00C239B1" w:rsidRDefault="00C239B1" w:rsidP="000A0E4C">
      <w:pPr>
        <w:widowControl w:val="0"/>
        <w:autoSpaceDE w:val="0"/>
        <w:autoSpaceDN w:val="0"/>
        <w:adjustRightInd w:val="0"/>
        <w:spacing w:after="20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Offenders are also required to notify the registration centre if they intend on being away from their primary residence for a period of seven days or more, and provide the addresses and locations where they expect to stay, in </w:t>
      </w:r>
      <w:r>
        <w:rPr>
          <w:rFonts w:ascii="TimesNewRomanPSMT" w:hAnsi="TimesNewRomanPSMT" w:cs="TimesNewRomanPSMT"/>
          <w:sz w:val="28"/>
          <w:szCs w:val="28"/>
        </w:rPr>
        <w:lastRenderedPageBreak/>
        <w:t xml:space="preserve">Canada and outside of Canada.  </w:t>
      </w:r>
      <w:r>
        <w:rPr>
          <w:rFonts w:ascii="TimesNewRomanPSMT" w:hAnsi="TimesNewRomanPSMT" w:cs="TimesNewRomanPSMT"/>
          <w:i/>
          <w:iCs/>
          <w:sz w:val="28"/>
          <w:szCs w:val="28"/>
        </w:rPr>
        <w:t>SOIRA</w:t>
      </w:r>
      <w:r>
        <w:rPr>
          <w:rFonts w:ascii="TimesNewRomanPSMT" w:hAnsi="TimesNewRomanPSMT" w:cs="TimesNewRomanPSMT"/>
          <w:sz w:val="28"/>
          <w:szCs w:val="28"/>
        </w:rPr>
        <w:t>, s. 6.</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Failing to comply with these requirements is an offence punishable by a fine or imprisonment for up to 2 years.  </w:t>
      </w:r>
      <w:r>
        <w:rPr>
          <w:rFonts w:ascii="TimesNewRomanPSMT" w:hAnsi="TimesNewRomanPSMT" w:cs="TimesNewRomanPSMT"/>
          <w:i/>
          <w:iCs/>
          <w:sz w:val="28"/>
          <w:szCs w:val="28"/>
        </w:rPr>
        <w:t>Criminal Code</w:t>
      </w:r>
      <w:r>
        <w:rPr>
          <w:rFonts w:ascii="TimesNewRomanPSMT" w:hAnsi="TimesNewRomanPSMT" w:cs="TimesNewRomanPSMT"/>
          <w:sz w:val="28"/>
          <w:szCs w:val="28"/>
        </w:rPr>
        <w:t>, s.490.031(1) and 490.0311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i/>
          <w:iCs/>
          <w:sz w:val="28"/>
          <w:szCs w:val="28"/>
        </w:rPr>
        <w:t>SOIRA</w:t>
      </w:r>
      <w:r>
        <w:rPr>
          <w:rFonts w:ascii="TimesNewRomanPSMT" w:hAnsi="TimesNewRomanPSMT" w:cs="TimesNewRomanPSMT"/>
          <w:sz w:val="28"/>
          <w:szCs w:val="28"/>
        </w:rPr>
        <w:t xml:space="preserve"> prescribes who is authorized to access the registry, for what purposes, and the circumstances under which information included in the registry may be disclosed.  There are penalties for breaching these consultation and disclosure rules.</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An offender can apply for a termination of a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 after the passage of a certain period of time.  That period of time varies depending on the duration of the order.  </w:t>
      </w:r>
      <w:r>
        <w:rPr>
          <w:rFonts w:ascii="TimesNewRomanPSMT" w:hAnsi="TimesNewRomanPSMT" w:cs="TimesNewRomanPSMT"/>
          <w:i/>
          <w:iCs/>
          <w:sz w:val="28"/>
          <w:szCs w:val="28"/>
        </w:rPr>
        <w:t>Criminal Code</w:t>
      </w:r>
      <w:r>
        <w:rPr>
          <w:rFonts w:ascii="TimesNewRomanPSMT" w:hAnsi="TimesNewRomanPSMT" w:cs="TimesNewRomanPSMT"/>
          <w:sz w:val="28"/>
          <w:szCs w:val="28"/>
        </w:rPr>
        <w:t>, s. 490.015.</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duration of the order is prescribed by Section 490.013 of the </w:t>
      </w:r>
      <w:r>
        <w:rPr>
          <w:rFonts w:ascii="TimesNewRomanPSMT" w:hAnsi="TimesNewRomanPSMT" w:cs="TimesNewRomanPSMT"/>
          <w:i/>
          <w:iCs/>
          <w:sz w:val="28"/>
          <w:szCs w:val="28"/>
        </w:rPr>
        <w:t>Criminal Code</w:t>
      </w:r>
      <w:r>
        <w:rPr>
          <w:rFonts w:ascii="TimesNewRomanPSMT" w:hAnsi="TimesNewRomanPSMT" w:cs="TimesNewRomanPSMT"/>
          <w:sz w:val="28"/>
          <w:szCs w:val="28"/>
        </w:rPr>
        <w:t xml:space="preserve">.  The duration periods range from 10 years to life.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Lifetime orders are mandated when the maximum penalty for the offence is life imprisonment.  They are also mandated if an offender has already been subject to a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 or has been previously convicted of certain designated offen</w:t>
      </w:r>
      <w:r w:rsidR="00CF09DE">
        <w:rPr>
          <w:rFonts w:ascii="TimesNewRomanPSMT" w:hAnsi="TimesNewRomanPSMT" w:cs="TimesNewRomanPSMT"/>
          <w:sz w:val="28"/>
          <w:szCs w:val="28"/>
        </w:rPr>
        <w:t>c</w:t>
      </w:r>
      <w:r>
        <w:rPr>
          <w:rFonts w:ascii="TimesNewRomanPSMT" w:hAnsi="TimesNewRomanPSMT" w:cs="TimesNewRomanPSMT"/>
          <w:sz w:val="28"/>
          <w:szCs w:val="28"/>
        </w:rPr>
        <w:t>es.  Finally, and this is the situation that arises in Mr. Lafferty's case, a lifetime order is mandatory if an offender is convicted of more than one specified designated offen</w:t>
      </w:r>
      <w:r w:rsidR="00CF09DE">
        <w:rPr>
          <w:rFonts w:ascii="TimesNewRomanPSMT" w:hAnsi="TimesNewRomanPSMT" w:cs="TimesNewRomanPSMT"/>
          <w:sz w:val="28"/>
          <w:szCs w:val="28"/>
        </w:rPr>
        <w:t>c</w:t>
      </w:r>
      <w:r>
        <w:rPr>
          <w:rFonts w:ascii="TimesNewRomanPSMT" w:hAnsi="TimesNewRomanPSMT" w:cs="TimesNewRomanPSMT"/>
          <w:sz w:val="28"/>
          <w:szCs w:val="28"/>
        </w:rPr>
        <w:t xml:space="preserve">es.  </w:t>
      </w:r>
      <w:r>
        <w:rPr>
          <w:rFonts w:ascii="TimesNewRomanPSMT" w:hAnsi="TimesNewRomanPSMT" w:cs="TimesNewRomanPSMT"/>
          <w:i/>
          <w:iCs/>
          <w:sz w:val="28"/>
          <w:szCs w:val="28"/>
        </w:rPr>
        <w:t>Criminal Code</w:t>
      </w:r>
      <w:r>
        <w:rPr>
          <w:rFonts w:ascii="TimesNewRomanPSMT" w:hAnsi="TimesNewRomanPSMT" w:cs="TimesNewRomanPSMT"/>
          <w:sz w:val="28"/>
          <w:szCs w:val="28"/>
        </w:rPr>
        <w:t>, s. 490.013(2.1).</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III) ANALYSIS</w:t>
      </w:r>
    </w:p>
    <w:p w:rsidR="00C239B1" w:rsidRDefault="00C239B1" w:rsidP="00306B15">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B700B5"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lastRenderedPageBreak/>
        <w:t>Mr. Lafferty’s</w:t>
      </w:r>
      <w:r w:rsidR="00C239B1">
        <w:rPr>
          <w:rFonts w:ascii="TimesNewRomanPSMT" w:hAnsi="TimesNewRomanPSMT" w:cs="TimesNewRomanPSMT"/>
          <w:sz w:val="28"/>
          <w:szCs w:val="28"/>
        </w:rPr>
        <w:t xml:space="preserve"> Notice of Motion states that his challenge is to Sections 490.012 and 490.013 of the </w:t>
      </w:r>
      <w:r w:rsidR="00C239B1">
        <w:rPr>
          <w:rFonts w:ascii="TimesNewRomanPSMT" w:hAnsi="TimesNewRomanPSMT" w:cs="TimesNewRomanPSMT"/>
          <w:i/>
          <w:iCs/>
          <w:sz w:val="28"/>
          <w:szCs w:val="28"/>
        </w:rPr>
        <w:t>Criminal Code</w:t>
      </w:r>
      <w:r w:rsidR="00C239B1">
        <w:rPr>
          <w:rFonts w:ascii="TimesNewRomanPSMT" w:hAnsi="TimesNewRomanPSMT" w:cs="TimesNewRomanPSMT"/>
          <w:sz w:val="28"/>
          <w:szCs w:val="28"/>
        </w:rPr>
        <w:t xml:space="preserve">.  His submissions were, however, focused on mandatory lifetime orders stemming from Section 490.013(2.1).  His challenge is based on Sections 7 and 12 of the </w:t>
      </w:r>
      <w:r w:rsidRPr="00B700B5">
        <w:rPr>
          <w:rFonts w:ascii="TimesNewRomanPSMT" w:hAnsi="TimesNewRomanPSMT" w:cs="TimesNewRomanPSMT"/>
          <w:i/>
          <w:sz w:val="28"/>
          <w:szCs w:val="28"/>
        </w:rPr>
        <w:t xml:space="preserve">Canadian </w:t>
      </w:r>
      <w:r w:rsidR="00C239B1">
        <w:rPr>
          <w:rFonts w:ascii="TimesNewRomanPSMT" w:hAnsi="TimesNewRomanPSMT" w:cs="TimesNewRomanPSMT"/>
          <w:i/>
          <w:iCs/>
          <w:sz w:val="28"/>
          <w:szCs w:val="28"/>
        </w:rPr>
        <w:t>Charter</w:t>
      </w:r>
      <w:r>
        <w:rPr>
          <w:rFonts w:ascii="TimesNewRomanPSMT" w:hAnsi="TimesNewRomanPSMT" w:cs="TimesNewRomanPSMT"/>
          <w:i/>
          <w:iCs/>
          <w:sz w:val="28"/>
          <w:szCs w:val="28"/>
        </w:rPr>
        <w:t xml:space="preserve"> of Rights and Freedoms</w:t>
      </w:r>
      <w:r>
        <w:rPr>
          <w:rFonts w:ascii="Calibri" w:hAnsi="Calibri" w:cs="Calibri"/>
          <w:sz w:val="28"/>
          <w:szCs w:val="28"/>
        </w:rPr>
        <w:t xml:space="preserve"> </w:t>
      </w:r>
      <w:r w:rsidRPr="00B700B5">
        <w:rPr>
          <w:rFonts w:ascii="Times New Roman" w:hAnsi="Times New Roman"/>
          <w:sz w:val="28"/>
          <w:szCs w:val="28"/>
        </w:rPr>
        <w:t xml:space="preserve">(the </w:t>
      </w:r>
      <w:r w:rsidRPr="00B700B5">
        <w:rPr>
          <w:rFonts w:ascii="Times New Roman" w:hAnsi="Times New Roman"/>
          <w:i/>
          <w:sz w:val="28"/>
          <w:szCs w:val="28"/>
        </w:rPr>
        <w:t>Charter</w:t>
      </w:r>
      <w:r w:rsidRPr="00B700B5">
        <w:rPr>
          <w:rFonts w:ascii="Times New Roman" w:hAnsi="Times New Roman"/>
          <w:sz w:val="28"/>
          <w:szCs w:val="28"/>
        </w:rPr>
        <w:t>)</w:t>
      </w:r>
      <w:r>
        <w:rPr>
          <w:rFonts w:ascii="Times New Roman" w:hAnsi="Times New Roman"/>
          <w:sz w:val="28"/>
          <w:szCs w:val="28"/>
        </w:rPr>
        <w:t>.</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Pr="00E55267" w:rsidRDefault="00E55267" w:rsidP="00E55267">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1. </w:t>
      </w:r>
      <w:r w:rsidR="00C239B1" w:rsidRPr="00E55267">
        <w:rPr>
          <w:rFonts w:ascii="TimesNewRomanPSMT" w:hAnsi="TimesNewRomanPSMT" w:cs="TimesNewRomanPSMT"/>
          <w:sz w:val="28"/>
          <w:szCs w:val="28"/>
        </w:rPr>
        <w:t xml:space="preserve"> Section 7 </w:t>
      </w:r>
    </w:p>
    <w:p w:rsidR="00C239B1" w:rsidRDefault="00C239B1" w:rsidP="00306B15">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Section 7 of the </w:t>
      </w:r>
      <w:r>
        <w:rPr>
          <w:rFonts w:ascii="TimesNewRomanPSMT" w:hAnsi="TimesNewRomanPSMT" w:cs="TimesNewRomanPSMT"/>
          <w:i/>
          <w:iCs/>
          <w:sz w:val="28"/>
          <w:szCs w:val="28"/>
        </w:rPr>
        <w:t>Charter</w:t>
      </w:r>
      <w:r>
        <w:rPr>
          <w:rFonts w:ascii="TimesNewRomanPSMT" w:hAnsi="TimesNewRomanPSMT" w:cs="TimesNewRomanPSMT"/>
          <w:sz w:val="28"/>
          <w:szCs w:val="28"/>
        </w:rPr>
        <w:t xml:space="preserve"> provides that everyone has the right to life, liberty and security of the person and the right not to be deprived thereof except in accordance with the principles of fundamental justice</w:t>
      </w:r>
      <w:r>
        <w:rPr>
          <w:rFonts w:ascii="Calibri" w:hAnsi="Calibri" w:cs="Calibri"/>
          <w:sz w:val="28"/>
          <w:szCs w:val="28"/>
        </w:rPr>
        <w:t>.</w:t>
      </w:r>
      <w:r>
        <w:rPr>
          <w:rFonts w:ascii="TimesNewRomanPSMT" w:hAnsi="TimesNewRomanPSMT" w:cs="TimesNewRomanPSMT"/>
          <w:sz w:val="28"/>
          <w:szCs w:val="28"/>
        </w:rPr>
        <w:t xml:space="preserve">  On a challenge based on this provision an applicant must first establish that the impugned law engages the right to life, liberty or security of the person.  Second, the applicant must establish that the deprivation is not in accordance with the principles of fundamental justice.  </w:t>
      </w:r>
      <w:r>
        <w:rPr>
          <w:rFonts w:ascii="TimesNewRomanPSMT" w:hAnsi="TimesNewRomanPSMT" w:cs="TimesNewRomanPSMT"/>
          <w:i/>
          <w:iCs/>
          <w:sz w:val="28"/>
          <w:szCs w:val="28"/>
        </w:rPr>
        <w:t>Carter v Attorney General of Canada</w:t>
      </w:r>
      <w:r>
        <w:rPr>
          <w:rFonts w:ascii="TimesNewRomanPSMT" w:hAnsi="TimesNewRomanPSMT" w:cs="TimesNewRomanPSMT"/>
          <w:sz w:val="28"/>
          <w:szCs w:val="28"/>
        </w:rPr>
        <w:t>, 2015 SCC 5, para 55.</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Crown concedes that the impugned provisions engage Mr. Lafferty's liberty interests.  The issue is whether they do so in a way that is contrary to the </w:t>
      </w:r>
      <w:r w:rsidR="00A45CBE">
        <w:rPr>
          <w:rFonts w:ascii="TimesNewRomanPSMT" w:hAnsi="TimesNewRomanPSMT" w:cs="TimesNewRomanPSMT"/>
          <w:sz w:val="28"/>
          <w:szCs w:val="28"/>
        </w:rPr>
        <w:t>principles</w:t>
      </w:r>
      <w:r>
        <w:rPr>
          <w:rFonts w:ascii="TimesNewRomanPSMT" w:hAnsi="TimesNewRomanPSMT" w:cs="TimesNewRomanPSMT"/>
          <w:sz w:val="28"/>
          <w:szCs w:val="28"/>
        </w:rPr>
        <w:t xml:space="preserve"> of </w:t>
      </w:r>
      <w:r w:rsidR="00A45CBE">
        <w:rPr>
          <w:rFonts w:ascii="TimesNewRomanPSMT" w:hAnsi="TimesNewRomanPSMT" w:cs="TimesNewRomanPSMT"/>
          <w:sz w:val="28"/>
          <w:szCs w:val="28"/>
        </w:rPr>
        <w:t>fundamental</w:t>
      </w:r>
      <w:r>
        <w:rPr>
          <w:rFonts w:ascii="TimesNewRomanPSMT" w:hAnsi="TimesNewRomanPSMT" w:cs="TimesNewRomanPSMT"/>
          <w:sz w:val="28"/>
          <w:szCs w:val="28"/>
        </w:rPr>
        <w:t xml:space="preserve"> justice.</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principles of fundamental justice include the requirement that laws must not be arbitrary, overbroad or grossly disproportionate.  </w:t>
      </w:r>
      <w:r>
        <w:rPr>
          <w:rFonts w:ascii="TimesNewRomanPSMT" w:hAnsi="TimesNewRomanPSMT" w:cs="TimesNewRomanPSMT"/>
          <w:i/>
          <w:iCs/>
          <w:sz w:val="28"/>
          <w:szCs w:val="28"/>
        </w:rPr>
        <w:t>Carter</w:t>
      </w:r>
      <w:r>
        <w:rPr>
          <w:rFonts w:ascii="TimesNewRomanPSMT" w:hAnsi="TimesNewRomanPSMT" w:cs="TimesNewRomanPSMT"/>
          <w:sz w:val="28"/>
          <w:szCs w:val="28"/>
        </w:rPr>
        <w:t xml:space="preserve">, para 72.  Mr. Lafferty's challenge is based on overbreadth and gross disproportionality.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322067"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Provisions mandating </w:t>
      </w:r>
      <w:r w:rsidRPr="00322067">
        <w:rPr>
          <w:rFonts w:ascii="TimesNewRomanPSMT" w:hAnsi="TimesNewRomanPSMT" w:cs="TimesNewRomanPSMT"/>
          <w:i/>
          <w:sz w:val="28"/>
          <w:szCs w:val="28"/>
        </w:rPr>
        <w:t>SOIRA</w:t>
      </w:r>
      <w:r>
        <w:rPr>
          <w:rFonts w:ascii="TimesNewRomanPSMT" w:hAnsi="TimesNewRomanPSMT" w:cs="TimesNewRomanPSMT"/>
          <w:sz w:val="28"/>
          <w:szCs w:val="28"/>
        </w:rPr>
        <w:t xml:space="preserve"> orders have been challenged</w:t>
      </w:r>
      <w:r w:rsidR="006938E5">
        <w:rPr>
          <w:rFonts w:ascii="TimesNewRomanPSMT" w:hAnsi="TimesNewRomanPSMT" w:cs="TimesNewRomanPSMT"/>
          <w:sz w:val="28"/>
          <w:szCs w:val="28"/>
        </w:rPr>
        <w:t xml:space="preserve"> in a number of cases, for the most part unsuccessfully.</w:t>
      </w:r>
      <w:r>
        <w:rPr>
          <w:rFonts w:ascii="TimesNewRomanPSMT" w:hAnsi="TimesNewRomanPSMT" w:cs="TimesNewRomanPSMT"/>
          <w:sz w:val="28"/>
          <w:szCs w:val="28"/>
        </w:rPr>
        <w:t xml:space="preserve"> </w:t>
      </w:r>
      <w:r w:rsidR="006938E5">
        <w:rPr>
          <w:rFonts w:ascii="TimesNewRomanPSMT" w:hAnsi="TimesNewRomanPSMT" w:cs="TimesNewRomanPSMT"/>
          <w:sz w:val="28"/>
          <w:szCs w:val="28"/>
        </w:rPr>
        <w:t xml:space="preserve"> </w:t>
      </w:r>
      <w:r w:rsidR="00B700B5">
        <w:rPr>
          <w:rFonts w:ascii="TimesNewRomanPSMT" w:hAnsi="TimesNewRomanPSMT" w:cs="TimesNewRomanPSMT"/>
          <w:sz w:val="28"/>
          <w:szCs w:val="28"/>
        </w:rPr>
        <w:t>However,</w:t>
      </w:r>
      <w:r w:rsidR="006938E5">
        <w:rPr>
          <w:rFonts w:ascii="TimesNewRomanPSMT" w:hAnsi="TimesNewRomanPSMT" w:cs="TimesNewRomanPSMT"/>
          <w:sz w:val="28"/>
          <w:szCs w:val="28"/>
        </w:rPr>
        <w:t xml:space="preserve"> a challenge to Sections 490.012 and 490.013(2.1) succeeded in </w:t>
      </w:r>
      <w:r w:rsidR="006938E5">
        <w:rPr>
          <w:rFonts w:ascii="TimesNewRomanPSMT" w:hAnsi="TimesNewRomanPSMT" w:cs="TimesNewRomanPSMT"/>
          <w:i/>
          <w:iCs/>
          <w:sz w:val="28"/>
          <w:szCs w:val="28"/>
        </w:rPr>
        <w:t>R v Ndhlovu</w:t>
      </w:r>
      <w:r w:rsidR="006938E5">
        <w:rPr>
          <w:rFonts w:ascii="TimesNewRomanPSMT" w:hAnsi="TimesNewRomanPSMT" w:cs="TimesNewRomanPSMT"/>
          <w:sz w:val="28"/>
          <w:szCs w:val="28"/>
        </w:rPr>
        <w:t xml:space="preserve">, 2016 ABQB 595. </w:t>
      </w:r>
      <w:r w:rsidR="00397B22">
        <w:rPr>
          <w:rFonts w:ascii="TimesNewRomanPSMT" w:hAnsi="TimesNewRomanPSMT" w:cs="TimesNewRomanPSMT"/>
          <w:sz w:val="28"/>
          <w:szCs w:val="28"/>
        </w:rPr>
        <w:t xml:space="preserve"> </w:t>
      </w:r>
      <w:r w:rsidR="00C239B1">
        <w:rPr>
          <w:rFonts w:ascii="TimesNewRomanPSMT" w:hAnsi="TimesNewRomanPSMT" w:cs="TimesNewRomanPSMT"/>
          <w:sz w:val="28"/>
          <w:szCs w:val="28"/>
        </w:rPr>
        <w:t xml:space="preserve">Mr. Lafferty urges this Court to adopt the analysis in </w:t>
      </w:r>
      <w:r w:rsidR="006938E5" w:rsidRPr="006938E5">
        <w:rPr>
          <w:rFonts w:ascii="TimesNewRomanPSMT" w:hAnsi="TimesNewRomanPSMT" w:cs="TimesNewRomanPSMT"/>
          <w:i/>
          <w:sz w:val="28"/>
          <w:szCs w:val="28"/>
        </w:rPr>
        <w:t>Ndhlovu</w:t>
      </w:r>
      <w:r w:rsidR="006938E5">
        <w:rPr>
          <w:rFonts w:ascii="TimesNewRomanPSMT" w:hAnsi="TimesNewRomanPSMT" w:cs="TimesNewRomanPSMT"/>
          <w:sz w:val="28"/>
          <w:szCs w:val="28"/>
        </w:rPr>
        <w:t xml:space="preserve">.  </w:t>
      </w:r>
      <w:r w:rsidR="00C239B1">
        <w:rPr>
          <w:rFonts w:ascii="TimesNewRomanPSMT" w:hAnsi="TimesNewRomanPSMT" w:cs="TimesNewRomanPSMT"/>
          <w:sz w:val="28"/>
          <w:szCs w:val="28"/>
        </w:rPr>
        <w:t xml:space="preserve">The Crown </w:t>
      </w:r>
      <w:r w:rsidR="006938E5">
        <w:rPr>
          <w:rFonts w:ascii="TimesNewRomanPSMT" w:hAnsi="TimesNewRomanPSMT" w:cs="TimesNewRomanPSMT"/>
          <w:sz w:val="28"/>
          <w:szCs w:val="28"/>
        </w:rPr>
        <w:t xml:space="preserve">argues </w:t>
      </w:r>
      <w:r w:rsidR="006938E5" w:rsidRPr="006938E5">
        <w:rPr>
          <w:rFonts w:ascii="TimesNewRomanPSMT" w:hAnsi="TimesNewRomanPSMT" w:cs="TimesNewRomanPSMT"/>
          <w:i/>
          <w:sz w:val="28"/>
          <w:szCs w:val="28"/>
        </w:rPr>
        <w:t>Ndhlovu</w:t>
      </w:r>
      <w:r w:rsidR="006938E5">
        <w:rPr>
          <w:rFonts w:ascii="TimesNewRomanPSMT" w:hAnsi="TimesNewRomanPSMT" w:cs="TimesNewRomanPSMT"/>
          <w:sz w:val="28"/>
          <w:szCs w:val="28"/>
        </w:rPr>
        <w:t xml:space="preserve"> was wrongly decided and r</w:t>
      </w:r>
      <w:r w:rsidR="00C239B1">
        <w:rPr>
          <w:rFonts w:ascii="TimesNewRomanPSMT" w:hAnsi="TimesNewRomanPSMT" w:cs="TimesNewRomanPSMT"/>
          <w:sz w:val="28"/>
          <w:szCs w:val="28"/>
        </w:rPr>
        <w:t>el</w:t>
      </w:r>
      <w:r w:rsidR="006938E5">
        <w:rPr>
          <w:rFonts w:ascii="TimesNewRomanPSMT" w:hAnsi="TimesNewRomanPSMT" w:cs="TimesNewRomanPSMT"/>
          <w:sz w:val="28"/>
          <w:szCs w:val="28"/>
        </w:rPr>
        <w:t>ies</w:t>
      </w:r>
      <w:r w:rsidR="00C239B1">
        <w:rPr>
          <w:rFonts w:ascii="TimesNewRomanPSMT" w:hAnsi="TimesNewRomanPSMT" w:cs="TimesNewRomanPSMT"/>
          <w:sz w:val="28"/>
          <w:szCs w:val="28"/>
        </w:rPr>
        <w:t xml:space="preserve"> on </w:t>
      </w:r>
      <w:r w:rsidR="006938E5">
        <w:rPr>
          <w:rFonts w:ascii="TimesNewRomanPSMT" w:hAnsi="TimesNewRomanPSMT" w:cs="TimesNewRomanPSMT"/>
          <w:sz w:val="28"/>
          <w:szCs w:val="28"/>
        </w:rPr>
        <w:t xml:space="preserve">subsequent </w:t>
      </w:r>
      <w:r w:rsidR="00C239B1">
        <w:rPr>
          <w:rFonts w:ascii="TimesNewRomanPSMT" w:hAnsi="TimesNewRomanPSMT" w:cs="TimesNewRomanPSMT"/>
          <w:sz w:val="28"/>
          <w:szCs w:val="28"/>
        </w:rPr>
        <w:t xml:space="preserve">cases </w:t>
      </w:r>
      <w:r w:rsidR="006938E5">
        <w:rPr>
          <w:rFonts w:ascii="TimesNewRomanPSMT" w:hAnsi="TimesNewRomanPSMT" w:cs="TimesNewRomanPSMT"/>
          <w:sz w:val="28"/>
          <w:szCs w:val="28"/>
        </w:rPr>
        <w:t>where courts</w:t>
      </w:r>
      <w:r w:rsidR="00C239B1">
        <w:rPr>
          <w:rFonts w:ascii="TimesNewRomanPSMT" w:hAnsi="TimesNewRomanPSMT" w:cs="TimesNewRomanPSMT"/>
          <w:sz w:val="28"/>
          <w:szCs w:val="28"/>
        </w:rPr>
        <w:t xml:space="preserve"> have declined to </w:t>
      </w:r>
      <w:r w:rsidR="006938E5">
        <w:rPr>
          <w:rFonts w:ascii="TimesNewRomanPSMT" w:hAnsi="TimesNewRomanPSMT" w:cs="TimesNewRomanPSMT"/>
          <w:sz w:val="28"/>
          <w:szCs w:val="28"/>
        </w:rPr>
        <w:t>follow it</w:t>
      </w:r>
      <w:r w:rsidR="00C239B1">
        <w:rPr>
          <w:rFonts w:ascii="TimesNewRomanPSMT" w:hAnsi="TimesNewRomanPSMT" w:cs="TimesNewRomanPSMT"/>
          <w:sz w:val="28"/>
          <w:szCs w:val="28"/>
        </w:rPr>
        <w:t xml:space="preserve">.  </w:t>
      </w:r>
      <w:r w:rsidR="00C239B1">
        <w:rPr>
          <w:rFonts w:ascii="TimesNewRomanPSMT" w:hAnsi="TimesNewRomanPSMT" w:cs="TimesNewRomanPSMT"/>
          <w:i/>
          <w:iCs/>
          <w:sz w:val="28"/>
          <w:szCs w:val="28"/>
        </w:rPr>
        <w:t>R v Long</w:t>
      </w:r>
      <w:r w:rsidR="00C239B1">
        <w:rPr>
          <w:rFonts w:ascii="TimesNewRomanPSMT" w:hAnsi="TimesNewRomanPSMT" w:cs="TimesNewRomanPSMT"/>
          <w:sz w:val="28"/>
          <w:szCs w:val="28"/>
        </w:rPr>
        <w:t>, 2018 ONCA 282</w:t>
      </w:r>
      <w:r w:rsidR="000652C0">
        <w:rPr>
          <w:rFonts w:ascii="TimesNewRomanPSMT" w:hAnsi="TimesNewRomanPSMT" w:cs="TimesNewRomanPSMT"/>
          <w:sz w:val="28"/>
          <w:szCs w:val="28"/>
        </w:rPr>
        <w:t>, application for leave to appeal dismissed [2019] S.C.C.A. No.330</w:t>
      </w:r>
      <w:r w:rsidR="00C239B1">
        <w:rPr>
          <w:rFonts w:ascii="TimesNewRomanPSMT" w:hAnsi="TimesNewRomanPSMT" w:cs="TimesNewRomanPSMT"/>
          <w:sz w:val="28"/>
          <w:szCs w:val="28"/>
        </w:rPr>
        <w:t xml:space="preserve">;  </w:t>
      </w:r>
      <w:r w:rsidR="00C239B1">
        <w:rPr>
          <w:rFonts w:ascii="TimesNewRomanPSMT" w:hAnsi="TimesNewRomanPSMT" w:cs="TimesNewRomanPSMT"/>
          <w:i/>
          <w:iCs/>
          <w:sz w:val="28"/>
          <w:szCs w:val="28"/>
        </w:rPr>
        <w:t>R v T.A.S.</w:t>
      </w:r>
      <w:r w:rsidR="00C239B1">
        <w:rPr>
          <w:rFonts w:ascii="TimesNewRomanPSMT" w:hAnsi="TimesNewRomanPSMT" w:cs="TimesNewRomanPSMT"/>
          <w:sz w:val="28"/>
          <w:szCs w:val="28"/>
        </w:rPr>
        <w:t>, 2018 SKQB 183</w:t>
      </w:r>
      <w:r w:rsidR="006938E5">
        <w:rPr>
          <w:rFonts w:ascii="TimesNewRomanPSMT" w:hAnsi="TimesNewRomanPSMT" w:cs="TimesNewRomanPSMT"/>
          <w:sz w:val="28"/>
          <w:szCs w:val="28"/>
        </w:rPr>
        <w:t xml:space="preserve">; </w:t>
      </w:r>
      <w:r w:rsidR="006938E5" w:rsidRPr="006938E5">
        <w:rPr>
          <w:rFonts w:ascii="TimesNewRomanPSMT" w:hAnsi="TimesNewRomanPSMT" w:cs="TimesNewRomanPSMT"/>
          <w:i/>
          <w:sz w:val="28"/>
          <w:szCs w:val="28"/>
        </w:rPr>
        <w:t>R v Jomphe</w:t>
      </w:r>
      <w:r w:rsidR="006938E5">
        <w:rPr>
          <w:rFonts w:ascii="TimesNewRomanPSMT" w:hAnsi="TimesNewRomanPSMT" w:cs="TimesNewRomanPSMT"/>
          <w:sz w:val="28"/>
          <w:szCs w:val="28"/>
        </w:rPr>
        <w:t xml:space="preserve">, 2018 QCCQ 5192; </w:t>
      </w:r>
      <w:r w:rsidR="006938E5" w:rsidRPr="006938E5">
        <w:rPr>
          <w:rFonts w:ascii="TimesNewRomanPSMT" w:hAnsi="TimesNewRomanPSMT" w:cs="TimesNewRomanPSMT"/>
          <w:i/>
          <w:sz w:val="28"/>
          <w:szCs w:val="28"/>
        </w:rPr>
        <w:t>R v B.P.M.</w:t>
      </w:r>
      <w:r w:rsidR="006938E5">
        <w:rPr>
          <w:rFonts w:ascii="TimesNewRomanPSMT" w:hAnsi="TimesNewRomanPSMT" w:cs="TimesNewRomanPSMT"/>
          <w:sz w:val="28"/>
          <w:szCs w:val="28"/>
        </w:rPr>
        <w:t>, 2019 BCPC 156.</w:t>
      </w:r>
      <w:r w:rsidR="00B700B5">
        <w:rPr>
          <w:rFonts w:ascii="TimesNewRomanPSMT" w:hAnsi="TimesNewRomanPSMT" w:cs="TimesNewRomanPSMT"/>
          <w:sz w:val="28"/>
          <w:szCs w:val="28"/>
        </w:rPr>
        <w:t xml:space="preserve">  </w:t>
      </w:r>
      <w:r w:rsidR="00B700B5" w:rsidRPr="00B700B5">
        <w:rPr>
          <w:rFonts w:ascii="TimesNewRomanPSMT" w:hAnsi="TimesNewRomanPSMT" w:cs="TimesNewRomanPSMT"/>
          <w:i/>
          <w:sz w:val="28"/>
          <w:szCs w:val="28"/>
        </w:rPr>
        <w:t>Ndhlovu</w:t>
      </w:r>
      <w:r w:rsidR="00B700B5">
        <w:rPr>
          <w:rFonts w:ascii="TimesNewRomanPSMT" w:hAnsi="TimesNewRomanPSMT" w:cs="TimesNewRomanPSMT"/>
          <w:sz w:val="28"/>
          <w:szCs w:val="28"/>
        </w:rPr>
        <w:t xml:space="preserve"> is </w:t>
      </w:r>
      <w:r w:rsidR="00A45CBE">
        <w:rPr>
          <w:rFonts w:ascii="TimesNewRomanPSMT" w:hAnsi="TimesNewRomanPSMT" w:cs="TimesNewRomanPSMT"/>
          <w:sz w:val="28"/>
          <w:szCs w:val="28"/>
        </w:rPr>
        <w:t>under appeal</w:t>
      </w:r>
      <w:r w:rsidR="00B700B5">
        <w:rPr>
          <w:rFonts w:ascii="TimesNewRomanPSMT" w:hAnsi="TimesNewRomanPSMT" w:cs="TimesNewRomanPSMT"/>
          <w:sz w:val="28"/>
          <w:szCs w:val="28"/>
        </w:rPr>
        <w:t xml:space="preserve">.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A. Overbreadth</w:t>
      </w:r>
    </w:p>
    <w:p w:rsidR="00C239B1" w:rsidRDefault="00C239B1" w:rsidP="00306B15">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6938E5"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I</w:t>
      </w:r>
      <w:r w:rsidR="00C239B1">
        <w:rPr>
          <w:rFonts w:ascii="TimesNewRomanPSMT" w:hAnsi="TimesNewRomanPSMT" w:cs="TimesNewRomanPSMT"/>
          <w:sz w:val="28"/>
          <w:szCs w:val="28"/>
        </w:rPr>
        <w:t xml:space="preserve">n an overbreadth analysis, the first step is identifying the purpose and the effect of the impugned legislation in the context of its overall legislative scheme.  This is very important because whether a law is overbroad turns on the relationship between its purpose and its effect.  </w:t>
      </w:r>
      <w:r w:rsidR="00C239B1">
        <w:rPr>
          <w:rFonts w:ascii="TimesNewRomanPSMT" w:hAnsi="TimesNewRomanPSMT" w:cs="TimesNewRomanPSMT"/>
          <w:i/>
          <w:iCs/>
          <w:sz w:val="28"/>
          <w:szCs w:val="28"/>
        </w:rPr>
        <w:t>R v Moriarity</w:t>
      </w:r>
      <w:r w:rsidR="00C239B1">
        <w:rPr>
          <w:rFonts w:ascii="TimesNewRomanPSMT" w:hAnsi="TimesNewRomanPSMT" w:cs="TimesNewRomanPSMT"/>
          <w:sz w:val="28"/>
          <w:szCs w:val="28"/>
        </w:rPr>
        <w:t xml:space="preserve">, 2015 SCC 55; </w:t>
      </w:r>
      <w:r w:rsidR="00C239B1">
        <w:rPr>
          <w:rFonts w:ascii="TimesNewRomanPSMT" w:hAnsi="TimesNewRomanPSMT" w:cs="TimesNewRomanPSMT"/>
          <w:i/>
          <w:iCs/>
          <w:sz w:val="28"/>
          <w:szCs w:val="28"/>
        </w:rPr>
        <w:t>R v Safarzadeh-Markhali</w:t>
      </w:r>
      <w:r w:rsidR="00C239B1">
        <w:rPr>
          <w:rFonts w:ascii="TimesNewRomanPSMT" w:hAnsi="TimesNewRomanPSMT" w:cs="TimesNewRomanPSMT"/>
          <w:sz w:val="28"/>
          <w:szCs w:val="28"/>
        </w:rPr>
        <w:t>, 2016 SCC 14, para 24</w:t>
      </w:r>
      <w:r w:rsidR="00C239B1">
        <w:rPr>
          <w:rFonts w:ascii="Calibri" w:hAnsi="Calibri" w:cs="Calibri"/>
          <w:sz w:val="28"/>
          <w:szCs w:val="28"/>
        </w:rPr>
        <w:t>.</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To identify the purpose and effect of the legislation, the court may look at statements of purpose contained in the legislation, the text, content and scheme of the legislation, and extrinsic evidence such as the history and evolution of the legislation.  </w:t>
      </w:r>
      <w:r>
        <w:rPr>
          <w:rFonts w:ascii="TimesNewRomanPSMT" w:hAnsi="TimesNewRomanPSMT" w:cs="TimesNewRomanPSMT"/>
          <w:i/>
          <w:iCs/>
          <w:sz w:val="28"/>
          <w:szCs w:val="28"/>
        </w:rPr>
        <w:t>Safarzadeh-Markhali</w:t>
      </w:r>
      <w:r>
        <w:rPr>
          <w:rFonts w:ascii="TimesNewRomanPSMT" w:hAnsi="TimesNewRomanPSMT" w:cs="TimesNewRomanPSMT"/>
          <w:sz w:val="28"/>
          <w:szCs w:val="28"/>
        </w:rPr>
        <w:t>, para 31.</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law's purpose should be characterized in a way that is neither too general nor so narrow that it amounts to a mere repetition of the impugned provision.  The statement of purpose should be precise and succinct, focusing </w:t>
      </w:r>
      <w:r>
        <w:rPr>
          <w:rFonts w:ascii="TimesNewRomanPSMT" w:hAnsi="TimesNewRomanPSMT" w:cs="TimesNewRomanPSMT"/>
          <w:sz w:val="28"/>
          <w:szCs w:val="28"/>
        </w:rPr>
        <w:lastRenderedPageBreak/>
        <w:t xml:space="preserve">on the purpose of the provision subject to the constitutional challenge. </w:t>
      </w:r>
      <w:r>
        <w:rPr>
          <w:rFonts w:ascii="TimesNewRomanPSMT" w:hAnsi="TimesNewRomanPSMT" w:cs="TimesNewRomanPSMT"/>
          <w:i/>
          <w:iCs/>
          <w:sz w:val="28"/>
          <w:szCs w:val="28"/>
        </w:rPr>
        <w:t>Safarzadeh-Markhali</w:t>
      </w:r>
      <w:r>
        <w:rPr>
          <w:rFonts w:ascii="TimesNewRomanPSMT" w:hAnsi="TimesNewRomanPSMT" w:cs="TimesNewRomanPSMT"/>
          <w:sz w:val="28"/>
          <w:szCs w:val="28"/>
        </w:rPr>
        <w:t xml:space="preserve"> paras 27-28.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In </w:t>
      </w:r>
      <w:r>
        <w:rPr>
          <w:rFonts w:ascii="TimesNewRomanPSMT" w:hAnsi="TimesNewRomanPSMT" w:cs="TimesNewRomanPSMT"/>
          <w:i/>
          <w:iCs/>
          <w:sz w:val="28"/>
          <w:szCs w:val="28"/>
        </w:rPr>
        <w:t>Ndholvu</w:t>
      </w:r>
      <w:r>
        <w:rPr>
          <w:rFonts w:ascii="TimesNewRomanPSMT" w:hAnsi="TimesNewRomanPSMT" w:cs="TimesNewRomanPSMT"/>
          <w:sz w:val="28"/>
          <w:szCs w:val="28"/>
        </w:rPr>
        <w:t xml:space="preserve"> the court articulated its conclusion about the purpose of the legislation as follows:</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 I find that the purpose of the original Act is to protect vulnerable people including children in society, by allowing police quick access to current information on convicted sex offenders.</w:t>
      </w:r>
    </w:p>
    <w:p w:rsidR="00C239B1" w:rsidRDefault="00C239B1" w:rsidP="000A0E4C">
      <w:pPr>
        <w:widowControl w:val="0"/>
        <w:autoSpaceDE w:val="0"/>
        <w:autoSpaceDN w:val="0"/>
        <w:adjustRightInd w:val="0"/>
        <w:spacing w:after="0" w:line="240" w:lineRule="auto"/>
        <w:ind w:firstLine="720"/>
        <w:jc w:val="both"/>
        <w:rPr>
          <w:rFonts w:ascii="Calibri" w:hAnsi="Calibri" w:cs="Calibri"/>
          <w:i/>
          <w:iCs/>
          <w:sz w:val="28"/>
          <w:szCs w:val="28"/>
        </w:rPr>
      </w:pPr>
    </w:p>
    <w:p w:rsidR="00C239B1" w:rsidRDefault="00C239B1" w:rsidP="000A0E4C">
      <w:pPr>
        <w:widowControl w:val="0"/>
        <w:autoSpaceDE w:val="0"/>
        <w:autoSpaceDN w:val="0"/>
        <w:adjustRightInd w:val="0"/>
        <w:spacing w:after="0" w:line="240" w:lineRule="auto"/>
        <w:ind w:firstLine="720"/>
        <w:jc w:val="both"/>
        <w:rPr>
          <w:rFonts w:ascii="TimesNewRomanPSMT" w:hAnsi="TimesNewRomanPSMT" w:cs="TimesNewRomanPSMT"/>
          <w:sz w:val="28"/>
          <w:szCs w:val="28"/>
        </w:rPr>
      </w:pPr>
      <w:r>
        <w:rPr>
          <w:rFonts w:ascii="TimesNewRomanPSMT" w:hAnsi="TimesNewRomanPSMT" w:cs="TimesNewRomanPSMT"/>
          <w:i/>
          <w:iCs/>
          <w:sz w:val="28"/>
          <w:szCs w:val="28"/>
        </w:rPr>
        <w:t>Ndhlovu</w:t>
      </w:r>
      <w:r>
        <w:rPr>
          <w:rFonts w:ascii="TimesNewRomanPSMT" w:hAnsi="TimesNewRomanPSMT" w:cs="TimesNewRomanPSMT"/>
          <w:sz w:val="28"/>
          <w:szCs w:val="28"/>
        </w:rPr>
        <w:t>, para 87.</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I do not disagree that this is part of the broad purpose of the legislation, but I find this description does not meet the standard of precision evoked in </w:t>
      </w:r>
      <w:r>
        <w:rPr>
          <w:rFonts w:ascii="TimesNewRomanPSMT" w:hAnsi="TimesNewRomanPSMT" w:cs="TimesNewRomanPSMT"/>
          <w:i/>
          <w:iCs/>
          <w:sz w:val="28"/>
          <w:szCs w:val="28"/>
        </w:rPr>
        <w:t>Moriar</w:t>
      </w:r>
      <w:r w:rsidR="006938E5">
        <w:rPr>
          <w:rFonts w:ascii="TimesNewRomanPSMT" w:hAnsi="TimesNewRomanPSMT" w:cs="TimesNewRomanPSMT"/>
          <w:i/>
          <w:iCs/>
          <w:sz w:val="28"/>
          <w:szCs w:val="28"/>
        </w:rPr>
        <w:t>i</w:t>
      </w:r>
      <w:r>
        <w:rPr>
          <w:rFonts w:ascii="TimesNewRomanPSMT" w:hAnsi="TimesNewRomanPSMT" w:cs="TimesNewRomanPSMT"/>
          <w:i/>
          <w:iCs/>
          <w:sz w:val="28"/>
          <w:szCs w:val="28"/>
        </w:rPr>
        <w:t>ty</w:t>
      </w:r>
      <w:r>
        <w:rPr>
          <w:rFonts w:ascii="TimesNewRomanPSMT" w:hAnsi="TimesNewRomanPSMT" w:cs="TimesNewRomanPSMT"/>
          <w:sz w:val="28"/>
          <w:szCs w:val="28"/>
        </w:rPr>
        <w:t xml:space="preserve"> and </w:t>
      </w:r>
      <w:r>
        <w:rPr>
          <w:rFonts w:ascii="TimesNewRomanPSMT" w:hAnsi="TimesNewRomanPSMT" w:cs="TimesNewRomanPSMT"/>
          <w:i/>
          <w:iCs/>
          <w:sz w:val="28"/>
          <w:szCs w:val="28"/>
        </w:rPr>
        <w:t>Safarzadeh-Markhali</w:t>
      </w:r>
      <w:r>
        <w:rPr>
          <w:rFonts w:ascii="TimesNewRomanPSMT" w:hAnsi="TimesNewRomanPSMT" w:cs="TimesNewRomanPSMT"/>
          <w:sz w:val="28"/>
          <w:szCs w:val="28"/>
        </w:rPr>
        <w:t xml:space="preserve">.  Articulating the purpose of the legislation in such a general way makes it more difficult to proceed to the rest of the analysis.  For example, the </w:t>
      </w:r>
      <w:r w:rsidR="006938E5">
        <w:rPr>
          <w:rFonts w:ascii="TimesNewRomanPSMT" w:hAnsi="TimesNewRomanPSMT" w:cs="TimesNewRomanPSMT"/>
          <w:sz w:val="28"/>
          <w:szCs w:val="28"/>
        </w:rPr>
        <w:t xml:space="preserve">statement of </w:t>
      </w:r>
      <w:r>
        <w:rPr>
          <w:rFonts w:ascii="TimesNewRomanPSMT" w:hAnsi="TimesNewRomanPSMT" w:cs="TimesNewRomanPSMT"/>
          <w:sz w:val="28"/>
          <w:szCs w:val="28"/>
        </w:rPr>
        <w:t xml:space="preserve">purpose </w:t>
      </w:r>
      <w:r w:rsidR="006938E5">
        <w:rPr>
          <w:rFonts w:ascii="TimesNewRomanPSMT" w:hAnsi="TimesNewRomanPSMT" w:cs="TimesNewRomanPSMT"/>
          <w:sz w:val="28"/>
          <w:szCs w:val="28"/>
        </w:rPr>
        <w:t>adopted in</w:t>
      </w:r>
      <w:r>
        <w:rPr>
          <w:rFonts w:ascii="TimesNewRomanPSMT" w:hAnsi="TimesNewRomanPSMT" w:cs="TimesNewRomanPSMT"/>
          <w:sz w:val="28"/>
          <w:szCs w:val="28"/>
        </w:rPr>
        <w:t xml:space="preserve"> </w:t>
      </w:r>
      <w:r>
        <w:rPr>
          <w:rFonts w:ascii="TimesNewRomanPSMT" w:hAnsi="TimesNewRomanPSMT" w:cs="TimesNewRomanPSMT"/>
          <w:i/>
          <w:iCs/>
          <w:sz w:val="28"/>
          <w:szCs w:val="28"/>
        </w:rPr>
        <w:t>Ndhlovu</w:t>
      </w:r>
      <w:r>
        <w:rPr>
          <w:rFonts w:ascii="TimesNewRomanPSMT" w:hAnsi="TimesNewRomanPSMT" w:cs="TimesNewRomanPSMT"/>
          <w:sz w:val="28"/>
          <w:szCs w:val="28"/>
        </w:rPr>
        <w:t xml:space="preserve"> </w:t>
      </w:r>
      <w:r w:rsidR="006938E5">
        <w:rPr>
          <w:rFonts w:ascii="TimesNewRomanPSMT" w:hAnsi="TimesNewRomanPSMT" w:cs="TimesNewRomanPSMT"/>
          <w:sz w:val="28"/>
          <w:szCs w:val="28"/>
        </w:rPr>
        <w:t xml:space="preserve">does not </w:t>
      </w:r>
      <w:r w:rsidR="0065244C">
        <w:rPr>
          <w:rFonts w:ascii="TimesNewRomanPSMT" w:hAnsi="TimesNewRomanPSMT" w:cs="TimesNewRomanPSMT"/>
          <w:sz w:val="28"/>
          <w:szCs w:val="28"/>
        </w:rPr>
        <w:t xml:space="preserve">incorporate any reference to the duration of </w:t>
      </w:r>
      <w:r w:rsidR="0065244C" w:rsidRPr="0065244C">
        <w:rPr>
          <w:rFonts w:ascii="TimesNewRomanPSMT" w:hAnsi="TimesNewRomanPSMT" w:cs="TimesNewRomanPSMT"/>
          <w:i/>
          <w:sz w:val="28"/>
          <w:szCs w:val="28"/>
        </w:rPr>
        <w:t>SOIRA</w:t>
      </w:r>
      <w:r w:rsidR="0065244C">
        <w:rPr>
          <w:rFonts w:ascii="TimesNewRomanPSMT" w:hAnsi="TimesNewRomanPSMT" w:cs="TimesNewRomanPSMT"/>
          <w:sz w:val="28"/>
          <w:szCs w:val="28"/>
        </w:rPr>
        <w:t xml:space="preserve"> orders,</w:t>
      </w:r>
      <w:r w:rsidR="006938E5">
        <w:rPr>
          <w:rFonts w:ascii="TimesNewRomanPSMT" w:hAnsi="TimesNewRomanPSMT" w:cs="TimesNewRomanPSMT"/>
          <w:sz w:val="28"/>
          <w:szCs w:val="28"/>
        </w:rPr>
        <w:t xml:space="preserve"> </w:t>
      </w:r>
      <w:r w:rsidR="0065244C">
        <w:rPr>
          <w:rFonts w:ascii="TimesNewRomanPSMT" w:hAnsi="TimesNewRomanPSMT" w:cs="TimesNewRomanPSMT"/>
          <w:sz w:val="28"/>
          <w:szCs w:val="28"/>
        </w:rPr>
        <w:t>while</w:t>
      </w:r>
      <w:r>
        <w:rPr>
          <w:rFonts w:ascii="TimesNewRomanPSMT" w:hAnsi="TimesNewRomanPSMT" w:cs="TimesNewRomanPSMT"/>
          <w:sz w:val="28"/>
          <w:szCs w:val="28"/>
        </w:rPr>
        <w:t xml:space="preserve"> Mr. Lafferty</w:t>
      </w:r>
      <w:r w:rsidR="006938E5">
        <w:rPr>
          <w:rFonts w:ascii="TimesNewRomanPSMT" w:hAnsi="TimesNewRomanPSMT" w:cs="TimesNewRomanPSMT"/>
          <w:sz w:val="28"/>
          <w:szCs w:val="28"/>
        </w:rPr>
        <w:t>’s challenge</w:t>
      </w:r>
      <w:r w:rsidR="0065244C">
        <w:rPr>
          <w:rFonts w:ascii="TimesNewRomanPSMT" w:hAnsi="TimesNewRomanPSMT" w:cs="TimesNewRomanPSMT"/>
          <w:sz w:val="28"/>
          <w:szCs w:val="28"/>
        </w:rPr>
        <w:t xml:space="preserve"> relies heavily on the fact that under the impugned provisions, he will be subject to a lifetime order</w:t>
      </w:r>
      <w:r w:rsidR="006938E5">
        <w:rPr>
          <w:rFonts w:ascii="TimesNewRomanPSMT" w:hAnsi="TimesNewRomanPSMT" w:cs="TimesNewRomanPSMT"/>
          <w:sz w:val="28"/>
          <w:szCs w:val="28"/>
        </w:rPr>
        <w:t>.</w:t>
      </w:r>
      <w:r>
        <w:rPr>
          <w:rFonts w:ascii="TimesNewRomanPSMT" w:hAnsi="TimesNewRomanPSMT" w:cs="TimesNewRomanPSMT"/>
          <w:sz w:val="28"/>
          <w:szCs w:val="28"/>
        </w:rPr>
        <w:t xml:space="preserve">  </w:t>
      </w:r>
    </w:p>
    <w:p w:rsidR="00C239B1" w:rsidRDefault="00C239B1" w:rsidP="00306B15">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In </w:t>
      </w:r>
      <w:r>
        <w:rPr>
          <w:rFonts w:ascii="TimesNewRomanPSMT" w:hAnsi="TimesNewRomanPSMT" w:cs="TimesNewRomanPSMT"/>
          <w:i/>
          <w:iCs/>
          <w:sz w:val="28"/>
          <w:szCs w:val="28"/>
        </w:rPr>
        <w:t>Long</w:t>
      </w:r>
      <w:r>
        <w:rPr>
          <w:rFonts w:ascii="TimesNewRomanPSMT" w:hAnsi="TimesNewRomanPSMT" w:cs="TimesNewRomanPSMT"/>
          <w:sz w:val="28"/>
          <w:szCs w:val="28"/>
        </w:rPr>
        <w:t>, the Ontario Court of Appeal described the purpose of the legislation much more precisely:</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720" w:right="720"/>
        <w:jc w:val="both"/>
        <w:rPr>
          <w:rFonts w:ascii="Calibri" w:hAnsi="Calibri" w:cs="Calibri"/>
          <w:sz w:val="24"/>
          <w:szCs w:val="24"/>
        </w:rPr>
      </w:pPr>
      <w:r>
        <w:rPr>
          <w:rFonts w:ascii="TimesNewRomanPSMT" w:hAnsi="TimesNewRomanPSMT" w:cs="TimesNewRomanPSMT"/>
          <w:sz w:val="24"/>
          <w:szCs w:val="24"/>
        </w:rPr>
        <w:t xml:space="preserve">(...) The purpose of s. 490.031(2.1) of the </w:t>
      </w:r>
      <w:r w:rsidRPr="006938E5">
        <w:rPr>
          <w:rFonts w:ascii="TimesNewRomanPSMT" w:hAnsi="TimesNewRomanPSMT" w:cs="TimesNewRomanPSMT"/>
          <w:i/>
          <w:sz w:val="24"/>
          <w:szCs w:val="24"/>
        </w:rPr>
        <w:t>Criminal Code</w:t>
      </w:r>
      <w:r>
        <w:rPr>
          <w:rFonts w:ascii="TimesNewRomanPSMT" w:hAnsi="TimesNewRomanPSMT" w:cs="TimesNewRomanPSMT"/>
          <w:sz w:val="24"/>
          <w:szCs w:val="24"/>
        </w:rPr>
        <w:t xml:space="preserve"> is to further public safety by subjecting sex offenders who are at enhanced risk of re-offending to a longer period of registration. </w:t>
      </w:r>
      <w:r w:rsidR="00397B22">
        <w:rPr>
          <w:rFonts w:ascii="TimesNewRomanPSMT" w:hAnsi="TimesNewRomanPSMT" w:cs="TimesNewRomanPSMT"/>
          <w:sz w:val="24"/>
          <w:szCs w:val="24"/>
        </w:rPr>
        <w:t xml:space="preserve"> </w:t>
      </w:r>
      <w:r>
        <w:rPr>
          <w:rFonts w:ascii="TimesNewRomanPSMT" w:hAnsi="TimesNewRomanPSMT" w:cs="TimesNewRomanPSMT"/>
          <w:sz w:val="24"/>
          <w:szCs w:val="24"/>
        </w:rPr>
        <w:t>In the case of offenders (...) who fall within s.490.013(2.1), this means registration for life, subject to the right to apply for termination of the order after 20 years pursuant to s. 490.015(1)(c).</w:t>
      </w:r>
    </w:p>
    <w:p w:rsidR="00C239B1" w:rsidRDefault="00C239B1" w:rsidP="000A0E4C">
      <w:pPr>
        <w:widowControl w:val="0"/>
        <w:autoSpaceDE w:val="0"/>
        <w:autoSpaceDN w:val="0"/>
        <w:adjustRightInd w:val="0"/>
        <w:spacing w:after="0" w:line="240" w:lineRule="auto"/>
        <w:ind w:left="720" w:right="720"/>
        <w:jc w:val="both"/>
        <w:rPr>
          <w:rFonts w:ascii="Calibri" w:hAnsi="Calibri" w:cs="Calibri"/>
          <w:sz w:val="24"/>
          <w:szCs w:val="24"/>
        </w:rPr>
      </w:pPr>
    </w:p>
    <w:p w:rsidR="00C239B1" w:rsidRDefault="00C239B1" w:rsidP="000A0E4C">
      <w:pPr>
        <w:widowControl w:val="0"/>
        <w:autoSpaceDE w:val="0"/>
        <w:autoSpaceDN w:val="0"/>
        <w:adjustRightInd w:val="0"/>
        <w:spacing w:after="0" w:line="240" w:lineRule="auto"/>
        <w:ind w:firstLine="720"/>
        <w:jc w:val="both"/>
        <w:rPr>
          <w:rFonts w:ascii="TimesNewRomanPSMT" w:hAnsi="TimesNewRomanPSMT" w:cs="TimesNewRomanPSMT"/>
          <w:sz w:val="28"/>
          <w:szCs w:val="28"/>
        </w:rPr>
      </w:pPr>
      <w:r>
        <w:rPr>
          <w:rFonts w:ascii="TimesNewRomanPSMT" w:hAnsi="TimesNewRomanPSMT" w:cs="TimesNewRomanPSMT"/>
          <w:i/>
          <w:iCs/>
          <w:sz w:val="28"/>
          <w:szCs w:val="28"/>
        </w:rPr>
        <w:t>Long</w:t>
      </w:r>
      <w:r>
        <w:rPr>
          <w:rFonts w:ascii="TimesNewRomanPSMT" w:hAnsi="TimesNewRomanPSMT" w:cs="TimesNewRomanPSMT"/>
          <w:sz w:val="28"/>
          <w:szCs w:val="28"/>
        </w:rPr>
        <w:t>, para 102.</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In my view, this level of precision in describing the goal of the legislation is more in line with the principles enunciated by the Supreme Court of Canada.  I also agree with th</w:t>
      </w:r>
      <w:r w:rsidR="006938E5">
        <w:rPr>
          <w:rFonts w:ascii="TimesNewRomanPSMT" w:hAnsi="TimesNewRomanPSMT" w:cs="TimesNewRomanPSMT"/>
          <w:sz w:val="28"/>
          <w:szCs w:val="28"/>
        </w:rPr>
        <w:t xml:space="preserve">e substance of this description, in particular the fact that it reflects the connection between duration of </w:t>
      </w:r>
      <w:r w:rsidR="006938E5" w:rsidRPr="006938E5">
        <w:rPr>
          <w:rFonts w:ascii="TimesNewRomanPSMT" w:hAnsi="TimesNewRomanPSMT" w:cs="TimesNewRomanPSMT"/>
          <w:i/>
          <w:sz w:val="28"/>
          <w:szCs w:val="28"/>
        </w:rPr>
        <w:t>SOIRA</w:t>
      </w:r>
      <w:r w:rsidR="006938E5">
        <w:rPr>
          <w:rFonts w:ascii="TimesNewRomanPSMT" w:hAnsi="TimesNewRomanPSMT" w:cs="TimesNewRomanPSMT"/>
          <w:sz w:val="28"/>
          <w:szCs w:val="28"/>
        </w:rPr>
        <w:t xml:space="preserve"> orders and the enhanced risk of re-offending.</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Having identified the goal of the legislation, the next step is to determine whether the impugned law goes further than reasonably necessary to achieve it.  The focus of the analysis at that stage is the means chosen by Parliament to achieve its goal.  In this case, th</w:t>
      </w:r>
      <w:r w:rsidR="0017420F">
        <w:rPr>
          <w:rFonts w:ascii="TimesNewRomanPSMT" w:hAnsi="TimesNewRomanPSMT" w:cs="TimesNewRomanPSMT"/>
          <w:sz w:val="28"/>
          <w:szCs w:val="28"/>
        </w:rPr>
        <w:t>at</w:t>
      </w:r>
      <w:r>
        <w:rPr>
          <w:rFonts w:ascii="TimesNewRomanPSMT" w:hAnsi="TimesNewRomanPSMT" w:cs="TimesNewRomanPSMT"/>
          <w:sz w:val="28"/>
          <w:szCs w:val="28"/>
        </w:rPr>
        <w:t xml:space="preserve"> means is the removal of prosecutorial and judicial discretion as to the duration of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w:t>
      </w:r>
      <w:r>
        <w:rPr>
          <w:rFonts w:ascii="TimesNewRomanPSMT" w:hAnsi="TimesNewRomanPSMT" w:cs="TimesNewRomanPSMT"/>
          <w:i/>
          <w:iCs/>
          <w:sz w:val="28"/>
          <w:szCs w:val="28"/>
        </w:rPr>
        <w:t>Long</w:t>
      </w:r>
      <w:r>
        <w:rPr>
          <w:rFonts w:ascii="TimesNewRomanPSMT" w:hAnsi="TimesNewRomanPSMT" w:cs="TimesNewRomanPSMT"/>
          <w:sz w:val="28"/>
          <w:szCs w:val="28"/>
        </w:rPr>
        <w:t>, para 103.</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Mr. Lafferty argues that </w:t>
      </w:r>
      <w:r w:rsidR="0017420F">
        <w:rPr>
          <w:rFonts w:ascii="TimesNewRomanPSMT" w:hAnsi="TimesNewRomanPSMT" w:cs="TimesNewRomanPSMT"/>
          <w:sz w:val="28"/>
          <w:szCs w:val="28"/>
        </w:rPr>
        <w:t>Section 490.013(2.1)</w:t>
      </w:r>
      <w:r>
        <w:rPr>
          <w:rFonts w:ascii="TimesNewRomanPSMT" w:hAnsi="TimesNewRomanPSMT" w:cs="TimesNewRomanPSMT"/>
          <w:sz w:val="28"/>
          <w:szCs w:val="28"/>
        </w:rPr>
        <w:t xml:space="preserve"> </w:t>
      </w:r>
      <w:r w:rsidR="00A45CBE">
        <w:rPr>
          <w:rFonts w:ascii="TimesNewRomanPSMT" w:hAnsi="TimesNewRomanPSMT" w:cs="TimesNewRomanPSMT"/>
          <w:sz w:val="28"/>
          <w:szCs w:val="28"/>
        </w:rPr>
        <w:t xml:space="preserve">is overbroad because it </w:t>
      </w:r>
      <w:r>
        <w:rPr>
          <w:rFonts w:ascii="TimesNewRomanPSMT" w:hAnsi="TimesNewRomanPSMT" w:cs="TimesNewRomanPSMT"/>
          <w:sz w:val="28"/>
          <w:szCs w:val="28"/>
        </w:rPr>
        <w:t xml:space="preserve">applies to offenders who do not in fact, pose an enhanced risk of re-offending.  He uses the example of a youthful offender who commits two relatively minor sexual offences within a short timeframe and </w:t>
      </w:r>
      <w:r w:rsidR="0017420F">
        <w:rPr>
          <w:rFonts w:ascii="TimesNewRomanPSMT" w:hAnsi="TimesNewRomanPSMT" w:cs="TimesNewRomanPSMT"/>
          <w:sz w:val="28"/>
          <w:szCs w:val="28"/>
        </w:rPr>
        <w:t>is</w:t>
      </w:r>
      <w:r>
        <w:rPr>
          <w:rFonts w:ascii="TimesNewRomanPSMT" w:hAnsi="TimesNewRomanPSMT" w:cs="TimesNewRomanPSMT"/>
          <w:sz w:val="28"/>
          <w:szCs w:val="28"/>
        </w:rPr>
        <w:t xml:space="preserve"> nonetheless subject to</w:t>
      </w:r>
      <w:r w:rsidR="0017420F">
        <w:rPr>
          <w:rFonts w:ascii="TimesNewRomanPSMT" w:hAnsi="TimesNewRomanPSMT" w:cs="TimesNewRomanPSMT"/>
          <w:sz w:val="28"/>
          <w:szCs w:val="28"/>
        </w:rPr>
        <w:t xml:space="preserve"> a lifetime order.  He </w:t>
      </w:r>
      <w:r>
        <w:rPr>
          <w:rFonts w:ascii="TimesNewRomanPSMT" w:hAnsi="TimesNewRomanPSMT" w:cs="TimesNewRomanPSMT"/>
          <w:sz w:val="28"/>
          <w:szCs w:val="28"/>
        </w:rPr>
        <w:t xml:space="preserve">also points out that the provision applies to offenders who, like him, are sentenced for two offences at the same time.  He argues that this is not the same as being what he calls a </w:t>
      </w:r>
      <w:bookmarkStart w:id="0" w:name="_GoBack"/>
      <w:bookmarkEnd w:id="0"/>
      <w:r w:rsidR="00F737F7">
        <w:rPr>
          <w:rFonts w:ascii="TimesNewRomanPSMT" w:hAnsi="TimesNewRomanPSMT" w:cs="TimesNewRomanPSMT"/>
          <w:sz w:val="28"/>
          <w:szCs w:val="28"/>
        </w:rPr>
        <w:t>“</w:t>
      </w:r>
      <w:r w:rsidR="00397B22">
        <w:rPr>
          <w:rFonts w:ascii="TimesNewRomanPSMT" w:hAnsi="TimesNewRomanPSMT" w:cs="TimesNewRomanPSMT"/>
          <w:sz w:val="28"/>
          <w:szCs w:val="28"/>
        </w:rPr>
        <w:t>true recidivist</w:t>
      </w:r>
      <w:r w:rsidR="00F737F7">
        <w:rPr>
          <w:rFonts w:ascii="TimesNewRomanPSMT" w:hAnsi="TimesNewRomanPSMT" w:cs="TimesNewRomanPSMT"/>
          <w:sz w:val="28"/>
          <w:szCs w:val="28"/>
        </w:rPr>
        <w:t>”</w:t>
      </w:r>
      <w:r>
        <w:rPr>
          <w:rFonts w:ascii="TimesNewRomanPSMT" w:hAnsi="TimesNewRomanPSMT" w:cs="TimesNewRomanPSMT"/>
          <w:sz w:val="28"/>
          <w:szCs w:val="28"/>
        </w:rPr>
        <w:t xml:space="preserve">, namely, someone who commits a sexual offence, is convicted and sentenced for it, and later commits a second one.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This argument is the one that prevailed in </w:t>
      </w:r>
      <w:r>
        <w:rPr>
          <w:rFonts w:ascii="TimesNewRomanPSMT" w:hAnsi="TimesNewRomanPSMT" w:cs="TimesNewRomanPSMT"/>
          <w:i/>
          <w:iCs/>
          <w:sz w:val="28"/>
          <w:szCs w:val="28"/>
        </w:rPr>
        <w:t>Ndhlovu</w:t>
      </w:r>
      <w:r>
        <w:rPr>
          <w:rFonts w:ascii="TimesNewRomanPSMT" w:hAnsi="TimesNewRomanPSMT" w:cs="TimesNewRomanPSMT"/>
          <w:sz w:val="28"/>
          <w:szCs w:val="28"/>
        </w:rPr>
        <w:t xml:space="preserve">. </w:t>
      </w:r>
      <w:r w:rsidR="00397B22">
        <w:rPr>
          <w:rFonts w:ascii="TimesNewRomanPSMT" w:hAnsi="TimesNewRomanPSMT" w:cs="TimesNewRomanPSMT"/>
          <w:sz w:val="28"/>
          <w:szCs w:val="28"/>
        </w:rPr>
        <w:t xml:space="preserve"> </w:t>
      </w:r>
      <w:r>
        <w:rPr>
          <w:rFonts w:ascii="TimesNewRomanPSMT" w:hAnsi="TimesNewRomanPSMT" w:cs="TimesNewRomanPSMT"/>
          <w:sz w:val="28"/>
          <w:szCs w:val="28"/>
        </w:rPr>
        <w:t xml:space="preserve">The court concluded that the impugned legislation </w:t>
      </w:r>
      <w:r w:rsidR="0017420F">
        <w:rPr>
          <w:rFonts w:ascii="TimesNewRomanPSMT" w:hAnsi="TimesNewRomanPSMT" w:cs="TimesNewRomanPSMT"/>
          <w:sz w:val="28"/>
          <w:szCs w:val="28"/>
        </w:rPr>
        <w:t xml:space="preserve">was </w:t>
      </w:r>
      <w:r w:rsidR="0017420F">
        <w:rPr>
          <w:rFonts w:ascii="TimesNewRomanPSMT" w:hAnsi="TimesNewRomanPSMT" w:cs="TimesNewRomanPSMT"/>
          <w:sz w:val="28"/>
          <w:szCs w:val="28"/>
        </w:rPr>
        <w:lastRenderedPageBreak/>
        <w:t xml:space="preserve">overbroad because </w:t>
      </w:r>
      <w:r w:rsidR="00B700B5">
        <w:rPr>
          <w:rFonts w:ascii="TimesNewRomanPSMT" w:hAnsi="TimesNewRomanPSMT" w:cs="TimesNewRomanPSMT"/>
          <w:sz w:val="28"/>
          <w:szCs w:val="28"/>
        </w:rPr>
        <w:t>it</w:t>
      </w:r>
      <w:r w:rsidR="0017420F">
        <w:rPr>
          <w:rFonts w:ascii="TimesNewRomanPSMT" w:hAnsi="TimesNewRomanPSMT" w:cs="TimesNewRomanPSMT"/>
          <w:sz w:val="28"/>
          <w:szCs w:val="28"/>
        </w:rPr>
        <w:t xml:space="preserve"> appl</w:t>
      </w:r>
      <w:r w:rsidR="00B700B5">
        <w:rPr>
          <w:rFonts w:ascii="TimesNewRomanPSMT" w:hAnsi="TimesNewRomanPSMT" w:cs="TimesNewRomanPSMT"/>
          <w:sz w:val="28"/>
          <w:szCs w:val="28"/>
        </w:rPr>
        <w:t>ies</w:t>
      </w:r>
      <w:r>
        <w:rPr>
          <w:rFonts w:ascii="TimesNewRomanPSMT" w:hAnsi="TimesNewRomanPSMT" w:cs="TimesNewRomanPSMT"/>
          <w:sz w:val="28"/>
          <w:szCs w:val="28"/>
        </w:rPr>
        <w:t xml:space="preserve"> to offenders who do not actually present a risk to re-offend.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court drew an analogy with Section 179(1)(b) of the </w:t>
      </w:r>
      <w:r>
        <w:rPr>
          <w:rFonts w:ascii="TimesNewRomanPSMT" w:hAnsi="TimesNewRomanPSMT" w:cs="TimesNewRomanPSMT"/>
          <w:i/>
          <w:iCs/>
          <w:sz w:val="28"/>
          <w:szCs w:val="28"/>
        </w:rPr>
        <w:t>Criminal Code</w:t>
      </w:r>
      <w:r>
        <w:rPr>
          <w:rFonts w:ascii="TimesNewRomanPSMT" w:hAnsi="TimesNewRomanPSMT" w:cs="TimesNewRomanPSMT"/>
          <w:sz w:val="28"/>
          <w:szCs w:val="28"/>
        </w:rPr>
        <w:t xml:space="preserve">, which was at issue in </w:t>
      </w:r>
      <w:r>
        <w:rPr>
          <w:rFonts w:ascii="TimesNewRomanPSMT" w:hAnsi="TimesNewRomanPSMT" w:cs="TimesNewRomanPSMT"/>
          <w:i/>
          <w:iCs/>
          <w:sz w:val="28"/>
          <w:szCs w:val="28"/>
        </w:rPr>
        <w:t>R v Heywood</w:t>
      </w:r>
      <w:r>
        <w:rPr>
          <w:rFonts w:ascii="TimesNewRomanPSMT" w:hAnsi="TimesNewRomanPSMT" w:cs="TimesNewRomanPSMT"/>
          <w:sz w:val="28"/>
          <w:szCs w:val="28"/>
        </w:rPr>
        <w:t>, [1994] 3 S.C.R. 761.  Section 179(1)(b) provided that a person convicted of certain sexual offen</w:t>
      </w:r>
      <w:r w:rsidR="00CF09DE">
        <w:rPr>
          <w:rFonts w:ascii="TimesNewRomanPSMT" w:hAnsi="TimesNewRomanPSMT" w:cs="TimesNewRomanPSMT"/>
          <w:sz w:val="28"/>
          <w:szCs w:val="28"/>
        </w:rPr>
        <w:t>c</w:t>
      </w:r>
      <w:r>
        <w:rPr>
          <w:rFonts w:ascii="TimesNewRomanPSMT" w:hAnsi="TimesNewRomanPSMT" w:cs="TimesNewRomanPSMT"/>
          <w:sz w:val="28"/>
          <w:szCs w:val="28"/>
        </w:rPr>
        <w:t xml:space="preserve">es and who was subsequently found </w:t>
      </w:r>
      <w:r w:rsidR="00F737F7">
        <w:rPr>
          <w:rFonts w:ascii="TimesNewRomanPSMT" w:hAnsi="TimesNewRomanPSMT" w:cs="TimesNewRomanPSMT"/>
          <w:sz w:val="28"/>
          <w:szCs w:val="28"/>
        </w:rPr>
        <w:t>“</w:t>
      </w:r>
      <w:r>
        <w:rPr>
          <w:rFonts w:ascii="TimesNewRomanPSMT" w:hAnsi="TimesNewRomanPSMT" w:cs="TimesNewRomanPSMT"/>
          <w:sz w:val="28"/>
          <w:szCs w:val="28"/>
        </w:rPr>
        <w:t>loitering in or near a school ground, playground, public park or bathing area</w:t>
      </w:r>
      <w:r w:rsidR="00F737F7">
        <w:rPr>
          <w:rFonts w:ascii="TimesNewRomanPSMT" w:hAnsi="TimesNewRomanPSMT" w:cs="TimesNewRomanPSMT"/>
          <w:sz w:val="28"/>
          <w:szCs w:val="28"/>
        </w:rPr>
        <w:t>”</w:t>
      </w:r>
      <w:r>
        <w:rPr>
          <w:rFonts w:ascii="TimesNewRomanPSMT" w:hAnsi="TimesNewRomanPSMT" w:cs="TimesNewRomanPSMT"/>
          <w:sz w:val="28"/>
          <w:szCs w:val="28"/>
        </w:rPr>
        <w:t xml:space="preserve"> was guilty of vagrancy.  A majority of the Supreme Court of Canada concluded that this provision was overbroad, among other reasons, because of who it applied to:</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200" w:line="240" w:lineRule="auto"/>
        <w:ind w:left="720" w:right="720"/>
        <w:jc w:val="both"/>
        <w:rPr>
          <w:rFonts w:ascii="Calibri" w:hAnsi="Calibri" w:cs="Calibri"/>
          <w:sz w:val="24"/>
          <w:szCs w:val="24"/>
        </w:rPr>
      </w:pPr>
      <w:r>
        <w:rPr>
          <w:rFonts w:ascii="TimesNewRomanPSMT" w:hAnsi="TimesNewRomanPSMT" w:cs="TimesNewRomanPSMT"/>
          <w:sz w:val="24"/>
          <w:szCs w:val="24"/>
        </w:rPr>
        <w:t>Section 179(1)(b) is overly broad in respect to the people to whom it applies.  It applies to all persons convicted of the listed offen</w:t>
      </w:r>
      <w:r w:rsidR="00CF09DE">
        <w:rPr>
          <w:rFonts w:ascii="TimesNewRomanPSMT" w:hAnsi="TimesNewRomanPSMT" w:cs="TimesNewRomanPSMT"/>
          <w:sz w:val="24"/>
          <w:szCs w:val="24"/>
        </w:rPr>
        <w:t>c</w:t>
      </w:r>
      <w:r>
        <w:rPr>
          <w:rFonts w:ascii="TimesNewRomanPSMT" w:hAnsi="TimesNewRomanPSMT" w:cs="TimesNewRomanPSMT"/>
          <w:sz w:val="24"/>
          <w:szCs w:val="24"/>
        </w:rPr>
        <w:t>es, without regard to whether they constitute a danger to children.</w:t>
      </w:r>
    </w:p>
    <w:p w:rsidR="00C239B1" w:rsidRDefault="00C239B1"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w:t>
      </w:r>
    </w:p>
    <w:p w:rsidR="00C239B1" w:rsidRDefault="00C239B1" w:rsidP="000A0E4C">
      <w:pPr>
        <w:widowControl w:val="0"/>
        <w:autoSpaceDE w:val="0"/>
        <w:autoSpaceDN w:val="0"/>
        <w:adjustRightInd w:val="0"/>
        <w:spacing w:after="0" w:line="240" w:lineRule="auto"/>
        <w:ind w:left="720" w:right="720"/>
        <w:jc w:val="both"/>
        <w:rPr>
          <w:rFonts w:ascii="Calibri" w:hAnsi="Calibri" w:cs="Calibri"/>
          <w:sz w:val="24"/>
          <w:szCs w:val="24"/>
        </w:rPr>
      </w:pPr>
    </w:p>
    <w:p w:rsidR="00C239B1" w:rsidRDefault="00C239B1" w:rsidP="000A0E4C">
      <w:pPr>
        <w:widowControl w:val="0"/>
        <w:autoSpaceDE w:val="0"/>
        <w:autoSpaceDN w:val="0"/>
        <w:adjustRightInd w:val="0"/>
        <w:spacing w:after="20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The effect of this section is that it could be applied to a man convicted at age 18 of sexual assault of an adult woman who was known to him in a situation aggravated by his consumption of alcohol.  Even if that man never committed another offen</w:t>
      </w:r>
      <w:r w:rsidR="00CF09DE">
        <w:rPr>
          <w:rFonts w:ascii="TimesNewRomanPSMT" w:hAnsi="TimesNewRomanPSMT" w:cs="TimesNewRomanPSMT"/>
          <w:sz w:val="24"/>
          <w:szCs w:val="24"/>
        </w:rPr>
        <w:t>c</w:t>
      </w:r>
      <w:r>
        <w:rPr>
          <w:rFonts w:ascii="TimesNewRomanPSMT" w:hAnsi="TimesNewRomanPSMT" w:cs="TimesNewRomanPSMT"/>
          <w:sz w:val="24"/>
          <w:szCs w:val="24"/>
        </w:rPr>
        <w:t>e, and was not considered to be a danger to children, at the age 65 he would still be banned from attending, for all but the shortest length of time, a public park anywhere in Canada.  The limitation on liberty in s.179(1)(b) is simply much broader than is necessary to accomplish its laudable objective of protecting children from becoming victims of sexual offen</w:t>
      </w:r>
      <w:r w:rsidR="00CF09DE">
        <w:rPr>
          <w:rFonts w:ascii="TimesNewRomanPSMT" w:hAnsi="TimesNewRomanPSMT" w:cs="TimesNewRomanPSMT"/>
          <w:sz w:val="24"/>
          <w:szCs w:val="24"/>
        </w:rPr>
        <w:t>c</w:t>
      </w:r>
      <w:r>
        <w:rPr>
          <w:rFonts w:ascii="TimesNewRomanPSMT" w:hAnsi="TimesNewRomanPSMT" w:cs="TimesNewRomanPSMT"/>
          <w:sz w:val="24"/>
          <w:szCs w:val="24"/>
        </w:rPr>
        <w:t xml:space="preserve">es.  </w:t>
      </w:r>
    </w:p>
    <w:p w:rsidR="00C239B1" w:rsidRPr="00CF09DE" w:rsidRDefault="00CF09DE" w:rsidP="002D52E0">
      <w:pPr>
        <w:widowControl w:val="0"/>
        <w:autoSpaceDE w:val="0"/>
        <w:autoSpaceDN w:val="0"/>
        <w:adjustRightInd w:val="0"/>
        <w:spacing w:after="200" w:line="240" w:lineRule="auto"/>
        <w:ind w:firstLine="720"/>
        <w:jc w:val="both"/>
        <w:rPr>
          <w:rFonts w:ascii="Times New Roman" w:hAnsi="Times New Roman"/>
          <w:sz w:val="28"/>
          <w:szCs w:val="28"/>
        </w:rPr>
      </w:pPr>
      <w:r w:rsidRPr="00606FBD">
        <w:rPr>
          <w:rFonts w:ascii="Times New Roman" w:hAnsi="Times New Roman"/>
          <w:i/>
          <w:sz w:val="28"/>
          <w:szCs w:val="28"/>
        </w:rPr>
        <w:t>Heywood</w:t>
      </w:r>
      <w:r w:rsidRPr="00606FBD">
        <w:rPr>
          <w:rFonts w:ascii="Times New Roman" w:hAnsi="Times New Roman"/>
          <w:sz w:val="28"/>
          <w:szCs w:val="28"/>
        </w:rPr>
        <w:t>, para</w:t>
      </w:r>
      <w:r w:rsidR="00606FBD">
        <w:rPr>
          <w:rFonts w:ascii="Times New Roman" w:hAnsi="Times New Roman"/>
          <w:sz w:val="28"/>
          <w:szCs w:val="28"/>
        </w:rPr>
        <w:t>s</w:t>
      </w:r>
      <w:r w:rsidRPr="00606FBD">
        <w:rPr>
          <w:rFonts w:ascii="Times New Roman" w:hAnsi="Times New Roman"/>
          <w:sz w:val="28"/>
          <w:szCs w:val="28"/>
        </w:rPr>
        <w:t xml:space="preserve"> </w:t>
      </w:r>
      <w:r w:rsidR="00606FBD">
        <w:rPr>
          <w:rFonts w:ascii="Times New Roman" w:hAnsi="Times New Roman"/>
          <w:sz w:val="28"/>
          <w:szCs w:val="28"/>
        </w:rPr>
        <w:t>61-</w:t>
      </w:r>
      <w:r w:rsidRPr="00606FBD">
        <w:rPr>
          <w:rFonts w:ascii="Times New Roman" w:hAnsi="Times New Roman"/>
          <w:sz w:val="28"/>
          <w:szCs w:val="28"/>
        </w:rPr>
        <w:t>62</w:t>
      </w:r>
      <w:r w:rsidR="00606FBD">
        <w:rPr>
          <w:rFonts w:ascii="Times New Roman" w:hAnsi="Times New Roman"/>
          <w:sz w:val="28"/>
          <w:szCs w:val="28"/>
        </w:rPr>
        <w:t>.</w:t>
      </w: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court in </w:t>
      </w:r>
      <w:r>
        <w:rPr>
          <w:rFonts w:ascii="TimesNewRomanPSMT" w:hAnsi="TimesNewRomanPSMT" w:cs="TimesNewRomanPSMT"/>
          <w:i/>
          <w:iCs/>
          <w:sz w:val="28"/>
          <w:szCs w:val="28"/>
        </w:rPr>
        <w:t>Ndhlovu</w:t>
      </w:r>
      <w:r>
        <w:rPr>
          <w:rFonts w:ascii="TimesNewRomanPSMT" w:hAnsi="TimesNewRomanPSMT" w:cs="TimesNewRomanPSMT"/>
          <w:sz w:val="28"/>
          <w:szCs w:val="28"/>
        </w:rPr>
        <w:t xml:space="preserve"> concluded that the same was true </w:t>
      </w:r>
      <w:r>
        <w:rPr>
          <w:rFonts w:ascii="TimesNewRomanPSMT" w:hAnsi="TimesNewRomanPSMT" w:cs="TimesNewRomanPSMT"/>
          <w:sz w:val="28"/>
          <w:szCs w:val="28"/>
        </w:rPr>
        <w:lastRenderedPageBreak/>
        <w:t xml:space="preserve">of the lifetime requirement to comply with </w:t>
      </w:r>
      <w:r>
        <w:rPr>
          <w:rFonts w:ascii="TimesNewRomanPSMT" w:hAnsi="TimesNewRomanPSMT" w:cs="TimesNewRomanPSMT"/>
          <w:i/>
          <w:iCs/>
          <w:sz w:val="28"/>
          <w:szCs w:val="28"/>
        </w:rPr>
        <w:t>SOIRA</w:t>
      </w:r>
      <w:r w:rsidR="00AD2A56">
        <w:rPr>
          <w:rFonts w:ascii="TimesNewRomanPSMT" w:hAnsi="TimesNewRomanPSMT" w:cs="TimesNewRomanPSMT"/>
          <w:sz w:val="28"/>
          <w:szCs w:val="28"/>
        </w:rPr>
        <w:t xml:space="preserve">, </w:t>
      </w:r>
      <w:r>
        <w:rPr>
          <w:rFonts w:ascii="TimesNewRomanPSMT" w:hAnsi="TimesNewRomanPSMT" w:cs="TimesNewRomanPSMT"/>
          <w:sz w:val="28"/>
          <w:szCs w:val="28"/>
        </w:rPr>
        <w:t>using a similar hypothetical:</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 xml:space="preserve">The Crown concedes in its brief that the registry will ultimately catch some sex offenders who do not re-offend.  I am satisfied that Mr. Ndhlovu is likely one of these offenders.  Therefore, an analogy may be drawn between the above statement from </w:t>
      </w:r>
      <w:r>
        <w:rPr>
          <w:rFonts w:ascii="TimesNewRomanPSMT" w:hAnsi="TimesNewRomanPSMT" w:cs="TimesNewRomanPSMT"/>
          <w:i/>
          <w:iCs/>
          <w:sz w:val="24"/>
          <w:szCs w:val="24"/>
        </w:rPr>
        <w:t>Heywood</w:t>
      </w:r>
      <w:r>
        <w:rPr>
          <w:rFonts w:ascii="TimesNewRomanPSMT" w:hAnsi="TimesNewRomanPSMT" w:cs="TimesNewRomanPSMT"/>
          <w:sz w:val="24"/>
          <w:szCs w:val="24"/>
        </w:rPr>
        <w:t xml:space="preserve"> and this case.</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9232BE" w:rsidRDefault="009232BE" w:rsidP="000A0E4C">
      <w:pPr>
        <w:widowControl w:val="0"/>
        <w:autoSpaceDE w:val="0"/>
        <w:autoSpaceDN w:val="0"/>
        <w:adjustRightInd w:val="0"/>
        <w:spacing w:after="0" w:line="240" w:lineRule="auto"/>
        <w:jc w:val="both"/>
        <w:rPr>
          <w:rFonts w:ascii="Calibri" w:hAnsi="Calibri" w:cs="Calibri"/>
          <w:sz w:val="28"/>
          <w:szCs w:val="28"/>
        </w:rPr>
      </w:pPr>
    </w:p>
    <w:p w:rsidR="00F27A26" w:rsidRDefault="00F27A26"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1440" w:right="1440"/>
        <w:jc w:val="both"/>
        <w:rPr>
          <w:rFonts w:ascii="TimesNewRomanPSMT" w:hAnsi="TimesNewRomanPSMT" w:cs="TimesNewRomanPSMT"/>
          <w:sz w:val="24"/>
          <w:szCs w:val="24"/>
        </w:rPr>
      </w:pPr>
      <w:r>
        <w:rPr>
          <w:rFonts w:ascii="TimesNewRomanPSMT" w:hAnsi="TimesNewRomanPSMT" w:cs="TimesNewRomanPSMT"/>
          <w:sz w:val="24"/>
          <w:szCs w:val="24"/>
        </w:rPr>
        <w:t>The current legislation will have the effect of requiring Mr. Ndhlovu to register as a sex offender for life, as a result of committing sexual assault of two adult women, known to him, in situation aggravated by his consumption of alcohol when he was 19.  Even if he never committed another offence, and is not considered a danger to society, at the age of 65, he would still be required to report annually to the police, and be reminded of his label as a "sex offender", and risk being included as a subject in criminal investigations in his neighbourhood.  He will also have had to report any travel plans, changes to his personal information, or residence to the police throughout that time.</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The resulting limitation of liberty is broader than necessary to accomplish the objective of assisting in the investigation of sexual crimes, and thus overbroad.</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firstLine="720"/>
        <w:jc w:val="both"/>
        <w:rPr>
          <w:rFonts w:ascii="TimesNewRomanPSMT" w:hAnsi="TimesNewRomanPSMT" w:cs="TimesNewRomanPSMT"/>
          <w:sz w:val="28"/>
          <w:szCs w:val="28"/>
        </w:rPr>
      </w:pPr>
      <w:r>
        <w:rPr>
          <w:rFonts w:ascii="TimesNewRomanPSMT" w:hAnsi="TimesNewRomanPSMT" w:cs="TimesNewRomanPSMT"/>
          <w:i/>
          <w:iCs/>
          <w:sz w:val="28"/>
          <w:szCs w:val="28"/>
        </w:rPr>
        <w:lastRenderedPageBreak/>
        <w:t>Ndhlovu</w:t>
      </w:r>
      <w:r>
        <w:rPr>
          <w:rFonts w:ascii="TimesNewRomanPSMT" w:hAnsi="TimesNewRomanPSMT" w:cs="TimesNewRomanPSMT"/>
          <w:sz w:val="28"/>
          <w:szCs w:val="28"/>
        </w:rPr>
        <w:t>, paras 115-116.</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17420F"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I</w:t>
      </w:r>
      <w:r w:rsidR="00C239B1">
        <w:rPr>
          <w:rFonts w:ascii="TimesNewRomanPSMT" w:hAnsi="TimesNewRomanPSMT" w:cs="TimesNewRomanPSMT"/>
          <w:sz w:val="28"/>
          <w:szCs w:val="28"/>
        </w:rPr>
        <w:t xml:space="preserve">n </w:t>
      </w:r>
      <w:r>
        <w:rPr>
          <w:rFonts w:ascii="TimesNewRomanPSMT" w:hAnsi="TimesNewRomanPSMT" w:cs="TimesNewRomanPSMT"/>
          <w:sz w:val="28"/>
          <w:szCs w:val="28"/>
        </w:rPr>
        <w:t>an</w:t>
      </w:r>
      <w:r w:rsidR="00C239B1">
        <w:rPr>
          <w:rFonts w:ascii="TimesNewRomanPSMT" w:hAnsi="TimesNewRomanPSMT" w:cs="TimesNewRomanPSMT"/>
          <w:sz w:val="28"/>
          <w:szCs w:val="28"/>
        </w:rPr>
        <w:t xml:space="preserve"> overbreadth analysis the issue is whether the law goes further than necessary to achieve the legislative purpose.  In this case I would frame the question as follows: </w:t>
      </w:r>
      <w:r w:rsidR="00F737F7">
        <w:rPr>
          <w:rFonts w:ascii="TimesNewRomanPSMT" w:hAnsi="TimesNewRomanPSMT" w:cs="TimesNewRomanPSMT"/>
          <w:sz w:val="28"/>
          <w:szCs w:val="28"/>
        </w:rPr>
        <w:t>does</w:t>
      </w:r>
      <w:r w:rsidR="00C239B1">
        <w:rPr>
          <w:rFonts w:ascii="TimesNewRomanPSMT" w:hAnsi="TimesNewRomanPSMT" w:cs="TimesNewRomanPSMT"/>
          <w:sz w:val="28"/>
          <w:szCs w:val="28"/>
        </w:rPr>
        <w:t xml:space="preserve"> the combined effect of Sections 490.012 and 490.013(2.1) result in lifetime </w:t>
      </w:r>
      <w:r w:rsidR="00C239B1">
        <w:rPr>
          <w:rFonts w:ascii="TimesNewRomanPSMT" w:hAnsi="TimesNewRomanPSMT" w:cs="TimesNewRomanPSMT"/>
          <w:i/>
          <w:iCs/>
          <w:sz w:val="28"/>
          <w:szCs w:val="28"/>
        </w:rPr>
        <w:t>SOIRA</w:t>
      </w:r>
      <w:r w:rsidR="00C239B1">
        <w:rPr>
          <w:rFonts w:ascii="TimesNewRomanPSMT" w:hAnsi="TimesNewRomanPSMT" w:cs="TimesNewRomanPSMT"/>
          <w:sz w:val="28"/>
          <w:szCs w:val="28"/>
        </w:rPr>
        <w:t xml:space="preserve"> orders applying to offenders who do not present an enhanced risk of re-offending?</w:t>
      </w:r>
      <w:r>
        <w:rPr>
          <w:rFonts w:ascii="TimesNewRomanPSMT" w:hAnsi="TimesNewRomanPSMT" w:cs="TimesNewRomanPSMT"/>
          <w:sz w:val="28"/>
          <w:szCs w:val="28"/>
        </w:rPr>
        <w:t xml:space="preserve">  The issue is not, in my view, whether the provisions catch offenders who will not re-offend.</w:t>
      </w:r>
      <w:r w:rsidR="00397B22">
        <w:rPr>
          <w:rFonts w:ascii="TimesNewRomanPSMT" w:hAnsi="TimesNewRomanPSMT" w:cs="TimesNewRomanPSMT"/>
          <w:sz w:val="28"/>
          <w:szCs w:val="28"/>
        </w:rPr>
        <w:t xml:space="preserve"> </w:t>
      </w:r>
      <w:r>
        <w:rPr>
          <w:rFonts w:ascii="TimesNewRomanPSMT" w:hAnsi="TimesNewRomanPSMT" w:cs="TimesNewRomanPSMT"/>
          <w:sz w:val="28"/>
          <w:szCs w:val="28"/>
        </w:rPr>
        <w:t xml:space="preserve"> They most certainly will, as we know that not 100</w:t>
      </w:r>
      <w:r w:rsidR="00B700B5">
        <w:rPr>
          <w:rFonts w:ascii="TimesNewRomanPSMT" w:hAnsi="TimesNewRomanPSMT" w:cs="TimesNewRomanPSMT"/>
          <w:sz w:val="28"/>
          <w:szCs w:val="28"/>
        </w:rPr>
        <w:t xml:space="preserve"> </w:t>
      </w:r>
      <w:r w:rsidR="00B700B5" w:rsidRPr="00B700B5">
        <w:rPr>
          <w:rFonts w:ascii="TimesNewRomanPSMT" w:hAnsi="TimesNewRomanPSMT" w:cs="TimesNewRomanPSMT"/>
          <w:sz w:val="28"/>
          <w:szCs w:val="28"/>
        </w:rPr>
        <w:t>per</w:t>
      </w:r>
      <w:r w:rsidR="00B700B5">
        <w:rPr>
          <w:rFonts w:ascii="TimesNewRomanPSMT" w:hAnsi="TimesNewRomanPSMT" w:cs="TimesNewRomanPSMT"/>
          <w:sz w:val="28"/>
          <w:szCs w:val="28"/>
        </w:rPr>
        <w:t xml:space="preserve">cent </w:t>
      </w:r>
      <w:r w:rsidRPr="00B700B5">
        <w:rPr>
          <w:rFonts w:ascii="TimesNewRomanPSMT" w:hAnsi="TimesNewRomanPSMT" w:cs="TimesNewRomanPSMT"/>
          <w:sz w:val="28"/>
          <w:szCs w:val="28"/>
        </w:rPr>
        <w:t>of</w:t>
      </w:r>
      <w:r>
        <w:rPr>
          <w:rFonts w:ascii="TimesNewRomanPSMT" w:hAnsi="TimesNewRomanPSMT" w:cs="TimesNewRomanPSMT"/>
          <w:sz w:val="28"/>
          <w:szCs w:val="28"/>
        </w:rPr>
        <w:t xml:space="preserve"> offenders re-offend.  The key issue, in light of the purpose of the legislation, is whether they will catch offenders who do not present an </w:t>
      </w:r>
      <w:r w:rsidRPr="00F737F7">
        <w:rPr>
          <w:rFonts w:ascii="TimesNewRomanPSMT" w:hAnsi="TimesNewRomanPSMT" w:cs="TimesNewRomanPSMT"/>
          <w:i/>
          <w:sz w:val="28"/>
          <w:szCs w:val="28"/>
        </w:rPr>
        <w:t>enhanced</w:t>
      </w:r>
      <w:r>
        <w:rPr>
          <w:rFonts w:ascii="TimesNewRomanPSMT" w:hAnsi="TimesNewRomanPSMT" w:cs="TimesNewRomanPSMT"/>
          <w:sz w:val="28"/>
          <w:szCs w:val="28"/>
        </w:rPr>
        <w:t xml:space="preserve"> </w:t>
      </w:r>
      <w:r w:rsidRPr="0017420F">
        <w:rPr>
          <w:rFonts w:ascii="TimesNewRomanPSMT" w:hAnsi="TimesNewRomanPSMT" w:cs="TimesNewRomanPSMT"/>
          <w:i/>
          <w:sz w:val="28"/>
          <w:szCs w:val="28"/>
        </w:rPr>
        <w:t>risk</w:t>
      </w:r>
      <w:r>
        <w:rPr>
          <w:rFonts w:ascii="TimesNewRomanPSMT" w:hAnsi="TimesNewRomanPSMT" w:cs="TimesNewRomanPSMT"/>
          <w:sz w:val="28"/>
          <w:szCs w:val="28"/>
        </w:rPr>
        <w:t xml:space="preserve"> of re-offending.</w:t>
      </w:r>
      <w:r w:rsidR="00C239B1">
        <w:rPr>
          <w:rFonts w:ascii="TimesNewRomanPSMT" w:hAnsi="TimesNewRomanPSMT" w:cs="TimesNewRomanPSMT"/>
          <w:sz w:val="28"/>
          <w:szCs w:val="28"/>
        </w:rPr>
        <w:t xml:space="preserve">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17420F"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Assessing risk of re-offence is a notoriously difficult exercise. </w:t>
      </w:r>
      <w:r w:rsidR="00397B22">
        <w:rPr>
          <w:rFonts w:ascii="TimesNewRomanPSMT" w:hAnsi="TimesNewRomanPSMT" w:cs="TimesNewRomanPSMT"/>
          <w:sz w:val="28"/>
          <w:szCs w:val="28"/>
        </w:rPr>
        <w:t xml:space="preserve"> </w:t>
      </w:r>
      <w:r>
        <w:rPr>
          <w:rFonts w:ascii="TimesNewRomanPSMT" w:hAnsi="TimesNewRomanPSMT" w:cs="TimesNewRomanPSMT"/>
          <w:sz w:val="28"/>
          <w:szCs w:val="28"/>
        </w:rPr>
        <w:t>This is not an area where certainty can be achieved.</w:t>
      </w:r>
      <w:r w:rsidR="00397B22">
        <w:rPr>
          <w:rFonts w:ascii="TimesNewRomanPSMT" w:hAnsi="TimesNewRomanPSMT" w:cs="TimesNewRomanPSMT"/>
          <w:sz w:val="28"/>
          <w:szCs w:val="28"/>
        </w:rPr>
        <w:t xml:space="preserve"> </w:t>
      </w:r>
      <w:r>
        <w:rPr>
          <w:rFonts w:ascii="TimesNewRomanPSMT" w:hAnsi="TimesNewRomanPSMT" w:cs="TimesNewRomanPSMT"/>
          <w:sz w:val="28"/>
          <w:szCs w:val="28"/>
        </w:rPr>
        <w:t xml:space="preserve"> In that context, t</w:t>
      </w:r>
      <w:r w:rsidR="00C239B1">
        <w:rPr>
          <w:rFonts w:ascii="TimesNewRomanPSMT" w:hAnsi="TimesNewRomanPSMT" w:cs="TimesNewRomanPSMT"/>
          <w:sz w:val="28"/>
          <w:szCs w:val="28"/>
        </w:rPr>
        <w:t>he issue really comes down to whether Parliament was entitled to assume that an individual convicted of two sexual offen</w:t>
      </w:r>
      <w:r>
        <w:rPr>
          <w:rFonts w:ascii="TimesNewRomanPSMT" w:hAnsi="TimesNewRomanPSMT" w:cs="TimesNewRomanPSMT"/>
          <w:sz w:val="28"/>
          <w:szCs w:val="28"/>
        </w:rPr>
        <w:t>c</w:t>
      </w:r>
      <w:r w:rsidR="00C239B1">
        <w:rPr>
          <w:rFonts w:ascii="TimesNewRomanPSMT" w:hAnsi="TimesNewRomanPSMT" w:cs="TimesNewRomanPSMT"/>
          <w:sz w:val="28"/>
          <w:szCs w:val="28"/>
        </w:rPr>
        <w:t>es presents a greater risk of committing sexual crimes than</w:t>
      </w:r>
      <w:r w:rsidR="00B700B5">
        <w:rPr>
          <w:rFonts w:ascii="TimesNewRomanPSMT" w:hAnsi="TimesNewRomanPSMT" w:cs="TimesNewRomanPSMT"/>
          <w:sz w:val="28"/>
          <w:szCs w:val="28"/>
        </w:rPr>
        <w:t xml:space="preserve"> an individual</w:t>
      </w:r>
      <w:r w:rsidR="00C239B1">
        <w:rPr>
          <w:rFonts w:ascii="TimesNewRomanPSMT" w:hAnsi="TimesNewRomanPSMT" w:cs="TimesNewRomanPSMT"/>
          <w:sz w:val="28"/>
          <w:szCs w:val="28"/>
        </w:rPr>
        <w:t xml:space="preserve"> who is convicted of only one such offence, thereby justifying a longer period of registration.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In </w:t>
      </w:r>
      <w:r>
        <w:rPr>
          <w:rFonts w:ascii="TimesNewRomanPSMT" w:hAnsi="TimesNewRomanPSMT" w:cs="TimesNewRomanPSMT"/>
          <w:i/>
          <w:iCs/>
          <w:sz w:val="28"/>
          <w:szCs w:val="28"/>
        </w:rPr>
        <w:t>Long</w:t>
      </w:r>
      <w:r>
        <w:rPr>
          <w:rFonts w:ascii="TimesNewRomanPSMT" w:hAnsi="TimesNewRomanPSMT" w:cs="TimesNewRomanPSMT"/>
          <w:sz w:val="28"/>
          <w:szCs w:val="28"/>
        </w:rPr>
        <w:t>, the court was presented with conflicting arguments on that point</w:t>
      </w:r>
      <w:r w:rsidR="0017420F">
        <w:rPr>
          <w:rFonts w:ascii="TimesNewRomanPSMT" w:hAnsi="TimesNewRomanPSMT" w:cs="TimesNewRomanPSMT"/>
          <w:sz w:val="28"/>
          <w:szCs w:val="28"/>
        </w:rPr>
        <w:t>,</w:t>
      </w:r>
      <w:r>
        <w:rPr>
          <w:rFonts w:ascii="TimesNewRomanPSMT" w:hAnsi="TimesNewRomanPSMT" w:cs="TimesNewRomanPSMT"/>
          <w:sz w:val="28"/>
          <w:szCs w:val="28"/>
        </w:rPr>
        <w:t xml:space="preserve"> </w:t>
      </w:r>
      <w:r w:rsidR="0017420F">
        <w:rPr>
          <w:rFonts w:ascii="TimesNewRomanPSMT" w:hAnsi="TimesNewRomanPSMT" w:cs="TimesNewRomanPSMT"/>
          <w:sz w:val="28"/>
          <w:szCs w:val="28"/>
        </w:rPr>
        <w:t>e</w:t>
      </w:r>
      <w:r>
        <w:rPr>
          <w:rFonts w:ascii="TimesNewRomanPSMT" w:hAnsi="TimesNewRomanPSMT" w:cs="TimesNewRomanPSMT"/>
          <w:sz w:val="28"/>
          <w:szCs w:val="28"/>
        </w:rPr>
        <w:t>ach side invok</w:t>
      </w:r>
      <w:r w:rsidR="0017420F">
        <w:rPr>
          <w:rFonts w:ascii="TimesNewRomanPSMT" w:hAnsi="TimesNewRomanPSMT" w:cs="TimesNewRomanPSMT"/>
          <w:sz w:val="28"/>
          <w:szCs w:val="28"/>
        </w:rPr>
        <w:t>ing</w:t>
      </w:r>
      <w:r>
        <w:rPr>
          <w:rFonts w:ascii="TimesNewRomanPSMT" w:hAnsi="TimesNewRomanPSMT" w:cs="TimesNewRomanPSMT"/>
          <w:sz w:val="28"/>
          <w:szCs w:val="28"/>
        </w:rPr>
        <w:t xml:space="preserve"> common sense in support of its position:</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 we are faced with conflicting arguments appealing to "common sense".  The Crown, on the one hand, asks us to infer that an individual who is convicted of more than one designated sexual offence has a greater propensity to commit sexual crimes than an individual who is convicted of only one such offence.</w:t>
      </w:r>
    </w:p>
    <w:p w:rsidR="00C239B1" w:rsidRDefault="00C239B1"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p>
    <w:p w:rsidR="00F255EA" w:rsidRDefault="00F255EA" w:rsidP="000A0E4C">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p>
    <w:p w:rsidR="00C239B1" w:rsidRDefault="00C239B1" w:rsidP="000A0E4C">
      <w:pPr>
        <w:widowControl w:val="0"/>
        <w:autoSpaceDE w:val="0"/>
        <w:autoSpaceDN w:val="0"/>
        <w:adjustRightInd w:val="0"/>
        <w:spacing w:after="0" w:line="240" w:lineRule="auto"/>
        <w:ind w:left="720" w:right="720"/>
        <w:jc w:val="both"/>
        <w:rPr>
          <w:rFonts w:ascii="Calibri" w:hAnsi="Calibri" w:cs="Calibri"/>
          <w:sz w:val="24"/>
          <w:szCs w:val="24"/>
        </w:rPr>
      </w:pPr>
      <w:r>
        <w:rPr>
          <w:rFonts w:ascii="TimesNewRomanPSMT" w:hAnsi="TimesNewRomanPSMT" w:cs="TimesNewRomanPSMT"/>
          <w:sz w:val="24"/>
          <w:szCs w:val="24"/>
        </w:rPr>
        <w:t>The appellant, on the other hand, supported by the intervener, advances reasonable hypothetical scenarios to argue that the appropriate inference to be drawn is this: in some cases, an individual who is convicted of committing two sexual offen</w:t>
      </w:r>
      <w:r w:rsidR="00CF09DE">
        <w:rPr>
          <w:rFonts w:ascii="TimesNewRomanPSMT" w:hAnsi="TimesNewRomanPSMT" w:cs="TimesNewRomanPSMT"/>
          <w:sz w:val="24"/>
          <w:szCs w:val="24"/>
        </w:rPr>
        <w:t>c</w:t>
      </w:r>
      <w:r>
        <w:rPr>
          <w:rFonts w:ascii="TimesNewRomanPSMT" w:hAnsi="TimesNewRomanPSMT" w:cs="TimesNewRomanPSMT"/>
          <w:sz w:val="24"/>
          <w:szCs w:val="24"/>
        </w:rPr>
        <w:t>es, particularly two of which are minor and proximate in time, is at no greater risk of re-offending than an individual who commits only one such offence.</w:t>
      </w:r>
    </w:p>
    <w:p w:rsidR="00C239B1" w:rsidRDefault="00C239B1" w:rsidP="000A0E4C">
      <w:pPr>
        <w:widowControl w:val="0"/>
        <w:autoSpaceDE w:val="0"/>
        <w:autoSpaceDN w:val="0"/>
        <w:adjustRightInd w:val="0"/>
        <w:spacing w:after="0" w:line="240" w:lineRule="auto"/>
        <w:ind w:left="720" w:right="720"/>
        <w:jc w:val="both"/>
        <w:rPr>
          <w:rFonts w:ascii="Calibri" w:hAnsi="Calibri" w:cs="Calibri"/>
          <w:sz w:val="24"/>
          <w:szCs w:val="24"/>
        </w:rPr>
      </w:pPr>
    </w:p>
    <w:p w:rsidR="00C239B1" w:rsidRDefault="00C239B1" w:rsidP="000A0E4C">
      <w:pPr>
        <w:widowControl w:val="0"/>
        <w:autoSpaceDE w:val="0"/>
        <w:autoSpaceDN w:val="0"/>
        <w:adjustRightInd w:val="0"/>
        <w:spacing w:after="0" w:line="240" w:lineRule="auto"/>
        <w:ind w:firstLine="720"/>
        <w:jc w:val="both"/>
        <w:rPr>
          <w:rFonts w:ascii="TimesNewRomanPSMT" w:hAnsi="TimesNewRomanPSMT" w:cs="TimesNewRomanPSMT"/>
          <w:sz w:val="28"/>
          <w:szCs w:val="28"/>
        </w:rPr>
      </w:pPr>
      <w:r>
        <w:rPr>
          <w:rFonts w:ascii="TimesNewRomanPSMT" w:hAnsi="TimesNewRomanPSMT" w:cs="TimesNewRomanPSMT"/>
          <w:i/>
          <w:iCs/>
          <w:sz w:val="28"/>
          <w:szCs w:val="28"/>
        </w:rPr>
        <w:t>Long</w:t>
      </w:r>
      <w:r>
        <w:rPr>
          <w:rFonts w:ascii="TimesNewRomanPSMT" w:hAnsi="TimesNewRomanPSMT" w:cs="TimesNewRomanPSMT"/>
          <w:sz w:val="28"/>
          <w:szCs w:val="28"/>
        </w:rPr>
        <w:t>, paras 128-129.</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court concluded that Parliament was entitled to draw the inference that conviction for more than one sexual offence is logically probative of an offender's enhanced propensity to commit further sexual offences.  It </w:t>
      </w:r>
      <w:r w:rsidR="00A45CBE">
        <w:rPr>
          <w:rFonts w:ascii="TimesNewRomanPSMT" w:hAnsi="TimesNewRomanPSMT" w:cs="TimesNewRomanPSMT"/>
          <w:sz w:val="28"/>
          <w:szCs w:val="28"/>
        </w:rPr>
        <w:t>found</w:t>
      </w:r>
      <w:r>
        <w:rPr>
          <w:rFonts w:ascii="TimesNewRomanPSMT" w:hAnsi="TimesNewRomanPSMT" w:cs="TimesNewRomanPSMT"/>
          <w:sz w:val="28"/>
          <w:szCs w:val="28"/>
        </w:rPr>
        <w:t xml:space="preserve"> that given that assessment of future risk is inherently imprecise, it was open to Parliament to conclude that the commission of two or more offences is a reasonable proxy for an enhanced risk of re-offending and warranting a longer registration period.  </w:t>
      </w:r>
      <w:r>
        <w:rPr>
          <w:rFonts w:ascii="TimesNewRomanPSMT" w:hAnsi="TimesNewRomanPSMT" w:cs="TimesNewRomanPSMT"/>
          <w:i/>
          <w:iCs/>
          <w:sz w:val="28"/>
          <w:szCs w:val="28"/>
        </w:rPr>
        <w:t>Long</w:t>
      </w:r>
      <w:r>
        <w:rPr>
          <w:rFonts w:ascii="TimesNewRomanPSMT" w:hAnsi="TimesNewRomanPSMT" w:cs="TimesNewRomanPSMT"/>
          <w:sz w:val="28"/>
          <w:szCs w:val="28"/>
        </w:rPr>
        <w:t>, paras 130 and 140.</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Pr="00AD2A56"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sidRPr="00AD2A56">
        <w:rPr>
          <w:rFonts w:ascii="TimesNewRomanPSMT" w:hAnsi="TimesNewRomanPSMT" w:cs="TimesNewRomanPSMT"/>
          <w:sz w:val="28"/>
          <w:szCs w:val="28"/>
        </w:rPr>
        <w:t xml:space="preserve">This analysis was followed in </w:t>
      </w:r>
      <w:r w:rsidRPr="00AD2A56">
        <w:rPr>
          <w:rFonts w:ascii="TimesNewRomanPSMT" w:hAnsi="TimesNewRomanPSMT" w:cs="TimesNewRomanPSMT"/>
          <w:i/>
          <w:iCs/>
          <w:sz w:val="28"/>
          <w:szCs w:val="28"/>
        </w:rPr>
        <w:t>R v T.A.S.,</w:t>
      </w:r>
      <w:r w:rsidRPr="00AD2A56">
        <w:rPr>
          <w:rFonts w:ascii="TimesNewRomanPSMT" w:hAnsi="TimesNewRomanPSMT" w:cs="TimesNewRomanPSMT"/>
          <w:sz w:val="28"/>
          <w:szCs w:val="28"/>
        </w:rPr>
        <w:t xml:space="preserve"> 2018 SKQB 183.  The offender in that case was convicted of Sexual Interference and faced a mandatory </w:t>
      </w:r>
      <w:r w:rsidRPr="00AD2A56">
        <w:rPr>
          <w:rFonts w:ascii="TimesNewRomanPSMT" w:hAnsi="TimesNewRomanPSMT" w:cs="TimesNewRomanPSMT"/>
          <w:i/>
          <w:iCs/>
          <w:sz w:val="28"/>
          <w:szCs w:val="28"/>
        </w:rPr>
        <w:t>SOIRA</w:t>
      </w:r>
      <w:r w:rsidRPr="00AD2A56">
        <w:rPr>
          <w:rFonts w:ascii="TimesNewRomanPSMT" w:hAnsi="TimesNewRomanPSMT" w:cs="TimesNewRomanPSMT"/>
          <w:sz w:val="28"/>
          <w:szCs w:val="28"/>
        </w:rPr>
        <w:t xml:space="preserve"> order for a period of 20 years through the combined effect of Sections 490.012(1) and 490.013.  He challenged the provisions as being contrary to Section 7, on the basis that the impugned provisions catch offenders with little or no risk to re-offend.  Largely adopting the analysis in </w:t>
      </w:r>
      <w:r w:rsidRPr="00AD2A56">
        <w:rPr>
          <w:rFonts w:ascii="TimesNewRomanPSMT" w:hAnsi="TimesNewRomanPSMT" w:cs="TimesNewRomanPSMT"/>
          <w:i/>
          <w:iCs/>
          <w:sz w:val="28"/>
          <w:szCs w:val="28"/>
        </w:rPr>
        <w:t>Long</w:t>
      </w:r>
      <w:r w:rsidRPr="00AD2A56">
        <w:rPr>
          <w:rFonts w:ascii="TimesNewRomanPSMT" w:hAnsi="TimesNewRomanPSMT" w:cs="TimesNewRomanPSMT"/>
          <w:sz w:val="28"/>
          <w:szCs w:val="28"/>
        </w:rPr>
        <w:t>, the court dismissed that challenge.</w:t>
      </w:r>
    </w:p>
    <w:p w:rsidR="00C239B1" w:rsidRDefault="00C239B1" w:rsidP="00F255EA">
      <w:pPr>
        <w:widowControl w:val="0"/>
        <w:autoSpaceDE w:val="0"/>
        <w:autoSpaceDN w:val="0"/>
        <w:adjustRightInd w:val="0"/>
        <w:spacing w:after="0" w:line="240" w:lineRule="auto"/>
        <w:jc w:val="both"/>
        <w:rPr>
          <w:rFonts w:ascii="Calibri" w:hAnsi="Calibri" w:cs="Calibri"/>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conclusion reached in </w:t>
      </w:r>
      <w:r>
        <w:rPr>
          <w:rFonts w:ascii="TimesNewRomanPSMT" w:hAnsi="TimesNewRomanPSMT" w:cs="TimesNewRomanPSMT"/>
          <w:i/>
          <w:iCs/>
          <w:sz w:val="28"/>
          <w:szCs w:val="28"/>
        </w:rPr>
        <w:t>Long</w:t>
      </w:r>
      <w:r>
        <w:rPr>
          <w:rFonts w:ascii="TimesNewRomanPSMT" w:hAnsi="TimesNewRomanPSMT" w:cs="TimesNewRomanPSMT"/>
          <w:sz w:val="28"/>
          <w:szCs w:val="28"/>
        </w:rPr>
        <w:t xml:space="preserve"> is also in line with the conclusion reached in an earlier case, </w:t>
      </w:r>
      <w:r>
        <w:rPr>
          <w:rFonts w:ascii="TimesNewRomanPSMT" w:hAnsi="TimesNewRomanPSMT" w:cs="TimesNewRomanPSMT"/>
          <w:i/>
          <w:iCs/>
          <w:sz w:val="28"/>
          <w:szCs w:val="28"/>
        </w:rPr>
        <w:t>R v Dyck</w:t>
      </w:r>
      <w:r>
        <w:rPr>
          <w:rFonts w:ascii="TimesNewRomanPSMT" w:hAnsi="TimesNewRomanPSMT" w:cs="TimesNewRomanPSMT"/>
          <w:sz w:val="28"/>
          <w:szCs w:val="28"/>
        </w:rPr>
        <w:t xml:space="preserve">, 2008 </w:t>
      </w:r>
      <w:r>
        <w:rPr>
          <w:rFonts w:ascii="TimesNewRomanPSMT" w:hAnsi="TimesNewRomanPSMT" w:cs="TimesNewRomanPSMT"/>
          <w:sz w:val="28"/>
          <w:szCs w:val="28"/>
        </w:rPr>
        <w:lastRenderedPageBreak/>
        <w:t>ONCA 309</w:t>
      </w:r>
      <w:r w:rsidR="0017420F">
        <w:rPr>
          <w:rFonts w:ascii="TimesNewRomanPSMT" w:hAnsi="TimesNewRomanPSMT" w:cs="TimesNewRomanPSMT"/>
          <w:sz w:val="28"/>
          <w:szCs w:val="28"/>
        </w:rPr>
        <w:t>.</w:t>
      </w:r>
      <w:r>
        <w:rPr>
          <w:rFonts w:ascii="TimesNewRomanPSMT" w:hAnsi="TimesNewRomanPSMT" w:cs="TimesNewRomanPSMT"/>
          <w:sz w:val="28"/>
          <w:szCs w:val="28"/>
        </w:rPr>
        <w:t xml:space="preserve">  </w:t>
      </w:r>
      <w:r w:rsidR="0017420F">
        <w:rPr>
          <w:rFonts w:ascii="TimesNewRomanPSMT" w:hAnsi="TimesNewRomanPSMT" w:cs="TimesNewRomanPSMT"/>
          <w:sz w:val="28"/>
          <w:szCs w:val="28"/>
        </w:rPr>
        <w:t>T</w:t>
      </w:r>
      <w:r>
        <w:rPr>
          <w:rFonts w:ascii="TimesNewRomanPSMT" w:hAnsi="TimesNewRomanPSMT" w:cs="TimesNewRomanPSMT"/>
          <w:sz w:val="28"/>
          <w:szCs w:val="28"/>
        </w:rPr>
        <w:t xml:space="preserve">he impugned provisions </w:t>
      </w:r>
      <w:r w:rsidR="0017420F">
        <w:rPr>
          <w:rFonts w:ascii="TimesNewRomanPSMT" w:hAnsi="TimesNewRomanPSMT" w:cs="TimesNewRomanPSMT"/>
          <w:sz w:val="28"/>
          <w:szCs w:val="28"/>
        </w:rPr>
        <w:t xml:space="preserve">in that case </w:t>
      </w:r>
      <w:r>
        <w:rPr>
          <w:rFonts w:ascii="TimesNewRomanPSMT" w:hAnsi="TimesNewRomanPSMT" w:cs="TimesNewRomanPSMT"/>
          <w:sz w:val="28"/>
          <w:szCs w:val="28"/>
        </w:rPr>
        <w:t xml:space="preserve">were </w:t>
      </w:r>
      <w:r w:rsidR="0017420F">
        <w:rPr>
          <w:rFonts w:ascii="TimesNewRomanPSMT" w:hAnsi="TimesNewRomanPSMT" w:cs="TimesNewRomanPSMT"/>
          <w:sz w:val="28"/>
          <w:szCs w:val="28"/>
        </w:rPr>
        <w:t>those of a</w:t>
      </w:r>
      <w:r>
        <w:rPr>
          <w:rFonts w:ascii="TimesNewRomanPSMT" w:hAnsi="TimesNewRomanPSMT" w:cs="TimesNewRomanPSMT"/>
          <w:sz w:val="28"/>
          <w:szCs w:val="28"/>
        </w:rPr>
        <w:t xml:space="preserve"> provincial registration scheme very similar to </w:t>
      </w:r>
      <w:r>
        <w:rPr>
          <w:rFonts w:ascii="TimesNewRomanPSMT" w:hAnsi="TimesNewRomanPSMT" w:cs="TimesNewRomanPSMT"/>
          <w:i/>
          <w:iCs/>
          <w:sz w:val="28"/>
          <w:szCs w:val="28"/>
        </w:rPr>
        <w:t>SOIRA</w:t>
      </w:r>
      <w:r>
        <w:rPr>
          <w:rFonts w:ascii="TimesNewRomanPSMT" w:hAnsi="TimesNewRomanPSMT" w:cs="TimesNewRomanPSMT"/>
          <w:sz w:val="28"/>
          <w:szCs w:val="28"/>
        </w:rPr>
        <w:t xml:space="preserve">.  The challenge was also based on Section 7.  The Ontario Court of Appeal found that the legislation was not overbroad even though it applied to a class of persons who may never re-offend.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Pr="00511CE6"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With respect for those who hold the contrary view, on the issue of overbreadth, I find the analysis in </w:t>
      </w:r>
      <w:r>
        <w:rPr>
          <w:rFonts w:ascii="TimesNewRomanPSMT" w:hAnsi="TimesNewRomanPSMT" w:cs="TimesNewRomanPSMT"/>
          <w:i/>
          <w:iCs/>
          <w:sz w:val="28"/>
          <w:szCs w:val="28"/>
        </w:rPr>
        <w:t>Long</w:t>
      </w:r>
      <w:r>
        <w:rPr>
          <w:rFonts w:ascii="TimesNewRomanPSMT" w:hAnsi="TimesNewRomanPSMT" w:cs="TimesNewRomanPSMT"/>
          <w:sz w:val="28"/>
          <w:szCs w:val="28"/>
        </w:rPr>
        <w:t xml:space="preserve"> compelling and I adopt it.  It was open to Parliament, in furtherance of the objectives of this legislation, to mandate a longer registration period for offenders who have committed two or more sexual offences, on the basis that the commission of two or more offences is a reasonable proxy for enhanced risk of re-offending.</w:t>
      </w:r>
      <w:r w:rsidR="004D56EB">
        <w:rPr>
          <w:rFonts w:ascii="TimesNewRomanPSMT" w:hAnsi="TimesNewRomanPSMT" w:cs="TimesNewRomanPSMT"/>
          <w:sz w:val="28"/>
          <w:szCs w:val="28"/>
        </w:rPr>
        <w:t xml:space="preserve"> </w:t>
      </w:r>
      <w:r>
        <w:rPr>
          <w:rFonts w:ascii="TimesNewRomanPSMT" w:hAnsi="TimesNewRomanPSMT" w:cs="TimesNewRomanPSMT"/>
          <w:sz w:val="28"/>
          <w:szCs w:val="28"/>
        </w:rPr>
        <w:t xml:space="preserve"> Having done so does not render the impugned provisions overbroad.</w:t>
      </w:r>
    </w:p>
    <w:p w:rsidR="00511CE6" w:rsidRDefault="00511CE6" w:rsidP="00511CE6">
      <w:pPr>
        <w:pStyle w:val="ListParagraph"/>
        <w:widowControl w:val="0"/>
        <w:autoSpaceDE w:val="0"/>
        <w:autoSpaceDN w:val="0"/>
        <w:adjustRightInd w:val="0"/>
        <w:spacing w:after="0" w:line="240" w:lineRule="auto"/>
        <w:ind w:left="0"/>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B. Gross disproportionality</w:t>
      </w: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450E31">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A law is grossly disproportionate and contrary to Section 7 if the seriousness of the deprivation of liberty is </w:t>
      </w:r>
      <w:r w:rsidR="0017420F">
        <w:rPr>
          <w:rFonts w:ascii="TimesNewRomanPSMT" w:hAnsi="TimesNewRomanPSMT" w:cs="TimesNewRomanPSMT"/>
          <w:sz w:val="28"/>
          <w:szCs w:val="28"/>
        </w:rPr>
        <w:t>“</w:t>
      </w:r>
      <w:r>
        <w:rPr>
          <w:rFonts w:ascii="TimesNewRomanPSMT" w:hAnsi="TimesNewRomanPSMT" w:cs="TimesNewRomanPSMT"/>
          <w:sz w:val="28"/>
          <w:szCs w:val="28"/>
        </w:rPr>
        <w:t>completely out of sync</w:t>
      </w:r>
      <w:r w:rsidR="0017420F">
        <w:rPr>
          <w:rFonts w:ascii="TimesNewRomanPSMT" w:hAnsi="TimesNewRomanPSMT" w:cs="TimesNewRomanPSMT"/>
          <w:sz w:val="28"/>
          <w:szCs w:val="28"/>
        </w:rPr>
        <w:t>”</w:t>
      </w:r>
      <w:r>
        <w:rPr>
          <w:rFonts w:ascii="TimesNewRomanPSMT" w:hAnsi="TimesNewRomanPSMT" w:cs="TimesNewRomanPSMT"/>
          <w:sz w:val="28"/>
          <w:szCs w:val="28"/>
        </w:rPr>
        <w:t xml:space="preserve"> with the objective of the measure.  The focus </w:t>
      </w:r>
      <w:r w:rsidR="0017420F">
        <w:rPr>
          <w:rFonts w:ascii="TimesNewRomanPSMT" w:hAnsi="TimesNewRomanPSMT" w:cs="TimesNewRomanPSMT"/>
          <w:sz w:val="28"/>
          <w:szCs w:val="28"/>
        </w:rPr>
        <w:t xml:space="preserve">of the inquiry </w:t>
      </w:r>
      <w:r>
        <w:rPr>
          <w:rFonts w:ascii="TimesNewRomanPSMT" w:hAnsi="TimesNewRomanPSMT" w:cs="TimesNewRomanPSMT"/>
          <w:sz w:val="28"/>
          <w:szCs w:val="28"/>
        </w:rPr>
        <w:t xml:space="preserve">is on the impact that the measure has on the rights of the party who alleges the breach.  The standard is a high one. </w:t>
      </w:r>
      <w:r w:rsidR="00607490">
        <w:rPr>
          <w:rFonts w:ascii="TimesNewRomanPSMT" w:hAnsi="TimesNewRomanPSMT" w:cs="TimesNewRomanPSMT"/>
          <w:sz w:val="28"/>
          <w:szCs w:val="28"/>
        </w:rPr>
        <w:t xml:space="preserve"> </w:t>
      </w:r>
      <w:r>
        <w:rPr>
          <w:rFonts w:ascii="TimesNewRomanPSMT" w:hAnsi="TimesNewRomanPSMT" w:cs="TimesNewRomanPSMT"/>
          <w:i/>
          <w:iCs/>
          <w:sz w:val="28"/>
          <w:szCs w:val="28"/>
        </w:rPr>
        <w:t>Carter</w:t>
      </w:r>
      <w:r>
        <w:rPr>
          <w:rFonts w:ascii="TimesNewRomanPSMT" w:hAnsi="TimesNewRomanPSMT" w:cs="TimesNewRomanPSMT"/>
          <w:sz w:val="28"/>
          <w:szCs w:val="28"/>
        </w:rPr>
        <w:t>, para 89.</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Mr. Lafferty argues that this standard is met, using </w:t>
      </w:r>
      <w:r w:rsidR="0017420F">
        <w:rPr>
          <w:rFonts w:ascii="TimesNewRomanPSMT" w:hAnsi="TimesNewRomanPSMT" w:cs="TimesNewRomanPSMT"/>
          <w:sz w:val="28"/>
          <w:szCs w:val="28"/>
        </w:rPr>
        <w:t>again the</w:t>
      </w:r>
      <w:r>
        <w:rPr>
          <w:rFonts w:ascii="TimesNewRomanPSMT" w:hAnsi="TimesNewRomanPSMT" w:cs="TimesNewRomanPSMT"/>
          <w:sz w:val="28"/>
          <w:szCs w:val="28"/>
        </w:rPr>
        <w:t xml:space="preserve"> example of an offender who has been convicted of two minor sexual offences as a young adult, and continues to be required, well into his or her 60's or 70's, to comply with </w:t>
      </w:r>
      <w:r>
        <w:rPr>
          <w:rFonts w:ascii="TimesNewRomanPSMT" w:hAnsi="TimesNewRomanPSMT" w:cs="TimesNewRomanPSMT"/>
          <w:i/>
          <w:iCs/>
          <w:sz w:val="28"/>
          <w:szCs w:val="28"/>
        </w:rPr>
        <w:t>SOIRA</w:t>
      </w:r>
      <w:r>
        <w:rPr>
          <w:rFonts w:ascii="TimesNewRomanPSMT" w:hAnsi="TimesNewRomanPSMT" w:cs="TimesNewRomanPSMT"/>
          <w:sz w:val="28"/>
          <w:szCs w:val="28"/>
        </w:rPr>
        <w:t xml:space="preserve"> reporting requirements.</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The answer about whether the gross disproportionality threshold is met depends in large measure on how one views the seriousness of the legislation's impact on offenders' liberty interest</w:t>
      </w:r>
      <w:r w:rsidR="00E661B5">
        <w:rPr>
          <w:rFonts w:ascii="TimesNewRomanPSMT" w:hAnsi="TimesNewRomanPSMT" w:cs="TimesNewRomanPSMT"/>
          <w:sz w:val="28"/>
          <w:szCs w:val="28"/>
        </w:rPr>
        <w:t>s</w:t>
      </w:r>
      <w:r>
        <w:rPr>
          <w:rFonts w:ascii="TimesNewRomanPSMT" w:hAnsi="TimesNewRomanPSMT" w:cs="TimesNewRomanPSMT"/>
          <w:sz w:val="28"/>
          <w:szCs w:val="28"/>
        </w:rPr>
        <w:t xml:space="preserve">.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In </w:t>
      </w:r>
      <w:r>
        <w:rPr>
          <w:rFonts w:ascii="TimesNewRomanPSMT" w:hAnsi="TimesNewRomanPSMT" w:cs="TimesNewRomanPSMT"/>
          <w:i/>
          <w:iCs/>
          <w:sz w:val="28"/>
          <w:szCs w:val="28"/>
        </w:rPr>
        <w:t>Ndhlovu</w:t>
      </w:r>
      <w:r>
        <w:rPr>
          <w:rFonts w:ascii="TimesNewRomanPSMT" w:hAnsi="TimesNewRomanPSMT" w:cs="TimesNewRomanPSMT"/>
          <w:sz w:val="28"/>
          <w:szCs w:val="28"/>
        </w:rPr>
        <w:t xml:space="preserve">, the court concluded that the impact was significant, taking into account not only the scope of the reporting requirements, but also the other deleterious effects on offenders, such as the impact of random compliance checks, the risk of information being divulged during those checks, and the potential far reaching effects on </w:t>
      </w:r>
      <w:r w:rsidR="00A45CBE">
        <w:rPr>
          <w:rFonts w:ascii="TimesNewRomanPSMT" w:hAnsi="TimesNewRomanPSMT" w:cs="TimesNewRomanPSMT"/>
          <w:sz w:val="28"/>
          <w:szCs w:val="28"/>
        </w:rPr>
        <w:t xml:space="preserve">an </w:t>
      </w:r>
      <w:r>
        <w:rPr>
          <w:rFonts w:ascii="TimesNewRomanPSMT" w:hAnsi="TimesNewRomanPSMT" w:cs="TimesNewRomanPSMT"/>
          <w:sz w:val="28"/>
          <w:szCs w:val="28"/>
        </w:rPr>
        <w:t>offender</w:t>
      </w:r>
      <w:r w:rsidR="00A45CBE">
        <w:rPr>
          <w:rFonts w:ascii="TimesNewRomanPSMT" w:hAnsi="TimesNewRomanPSMT" w:cs="TimesNewRomanPSMT"/>
          <w:sz w:val="28"/>
          <w:szCs w:val="28"/>
        </w:rPr>
        <w:t>’s</w:t>
      </w:r>
      <w:r>
        <w:rPr>
          <w:rFonts w:ascii="TimesNewRomanPSMT" w:hAnsi="TimesNewRomanPSMT" w:cs="TimesNewRomanPSMT"/>
          <w:sz w:val="28"/>
          <w:szCs w:val="28"/>
        </w:rPr>
        <w:t xml:space="preserve"> privacy.  The court concluded that cumulatively, these effects were onerous.  By contrast, in </w:t>
      </w:r>
      <w:r>
        <w:rPr>
          <w:rFonts w:ascii="TimesNewRomanPSMT" w:hAnsi="TimesNewRomanPSMT" w:cs="TimesNewRomanPSMT"/>
          <w:i/>
          <w:iCs/>
          <w:sz w:val="28"/>
          <w:szCs w:val="28"/>
        </w:rPr>
        <w:t>Long</w:t>
      </w:r>
      <w:r>
        <w:rPr>
          <w:rFonts w:ascii="TimesNewRomanPSMT" w:hAnsi="TimesNewRomanPSMT" w:cs="TimesNewRomanPSMT"/>
          <w:sz w:val="28"/>
          <w:szCs w:val="28"/>
        </w:rPr>
        <w:t xml:space="preserve"> and </w:t>
      </w:r>
      <w:r>
        <w:rPr>
          <w:rFonts w:ascii="TimesNewRomanPSMT" w:hAnsi="TimesNewRomanPSMT" w:cs="TimesNewRomanPSMT"/>
          <w:i/>
          <w:iCs/>
          <w:sz w:val="28"/>
          <w:szCs w:val="28"/>
        </w:rPr>
        <w:t>Dyck</w:t>
      </w:r>
      <w:r>
        <w:rPr>
          <w:rFonts w:ascii="TimesNewRomanPSMT" w:hAnsi="TimesNewRomanPSMT" w:cs="TimesNewRomanPSMT"/>
          <w:sz w:val="28"/>
          <w:szCs w:val="28"/>
        </w:rPr>
        <w:t>, the courts found that the effect of registration on an offender's liberty is modest.</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For the purpose of the analysis, I agree that in assessing the impact of the measure on the offenders, regard must be had not only to the reporting requirements but also to some of the other impacts, as was noted in </w:t>
      </w:r>
      <w:r>
        <w:rPr>
          <w:rFonts w:ascii="TimesNewRomanPSMT" w:hAnsi="TimesNewRomanPSMT" w:cs="TimesNewRomanPSMT"/>
          <w:i/>
          <w:iCs/>
          <w:sz w:val="28"/>
          <w:szCs w:val="28"/>
        </w:rPr>
        <w:t>Ndhlovu</w:t>
      </w:r>
      <w:r>
        <w:rPr>
          <w:rFonts w:ascii="Calibri" w:hAnsi="Calibri" w:cs="Calibri"/>
          <w:sz w:val="28"/>
          <w:szCs w:val="28"/>
        </w:rPr>
        <w:t>.</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While I may not agree </w:t>
      </w:r>
      <w:r w:rsidR="0017420F">
        <w:rPr>
          <w:rFonts w:ascii="TimesNewRomanPSMT" w:hAnsi="TimesNewRomanPSMT" w:cs="TimesNewRomanPSMT"/>
          <w:sz w:val="28"/>
          <w:szCs w:val="28"/>
        </w:rPr>
        <w:t xml:space="preserve">entirely </w:t>
      </w:r>
      <w:r>
        <w:rPr>
          <w:rFonts w:ascii="TimesNewRomanPSMT" w:hAnsi="TimesNewRomanPSMT" w:cs="TimesNewRomanPSMT"/>
          <w:sz w:val="28"/>
          <w:szCs w:val="28"/>
        </w:rPr>
        <w:t xml:space="preserve">with characterizing the cumulative impact as </w:t>
      </w:r>
      <w:r w:rsidR="00F737F7">
        <w:rPr>
          <w:rFonts w:ascii="TimesNewRomanPSMT" w:hAnsi="TimesNewRomanPSMT" w:cs="TimesNewRomanPSMT"/>
          <w:sz w:val="28"/>
          <w:szCs w:val="28"/>
        </w:rPr>
        <w:t>“</w:t>
      </w:r>
      <w:r>
        <w:rPr>
          <w:rFonts w:ascii="TimesNewRomanPSMT" w:hAnsi="TimesNewRomanPSMT" w:cs="TimesNewRomanPSMT"/>
          <w:sz w:val="28"/>
          <w:szCs w:val="28"/>
        </w:rPr>
        <w:t>modest</w:t>
      </w:r>
      <w:r w:rsidR="00F737F7">
        <w:rPr>
          <w:rFonts w:ascii="TimesNewRomanPSMT" w:hAnsi="TimesNewRomanPSMT" w:cs="TimesNewRomanPSMT"/>
          <w:sz w:val="28"/>
          <w:szCs w:val="28"/>
        </w:rPr>
        <w:t>”</w:t>
      </w:r>
      <w:r>
        <w:rPr>
          <w:rFonts w:ascii="TimesNewRomanPSMT" w:hAnsi="TimesNewRomanPSMT" w:cs="TimesNewRomanPSMT"/>
          <w:sz w:val="28"/>
          <w:szCs w:val="28"/>
        </w:rPr>
        <w:t xml:space="preserve">, I also disagree with </w:t>
      </w:r>
      <w:r w:rsidR="00577092">
        <w:rPr>
          <w:rFonts w:ascii="TimesNewRomanPSMT" w:hAnsi="TimesNewRomanPSMT" w:cs="TimesNewRomanPSMT"/>
          <w:sz w:val="28"/>
          <w:szCs w:val="28"/>
        </w:rPr>
        <w:t xml:space="preserve">the conclusion reached in </w:t>
      </w:r>
      <w:r w:rsidR="00577092" w:rsidRPr="00577092">
        <w:rPr>
          <w:rFonts w:ascii="TimesNewRomanPSMT" w:hAnsi="TimesNewRomanPSMT" w:cs="TimesNewRomanPSMT"/>
          <w:i/>
          <w:sz w:val="28"/>
          <w:szCs w:val="28"/>
        </w:rPr>
        <w:t>Ndhlovu</w:t>
      </w:r>
      <w:r w:rsidR="00577092">
        <w:rPr>
          <w:rFonts w:ascii="TimesNewRomanPSMT" w:hAnsi="TimesNewRomanPSMT" w:cs="TimesNewRomanPSMT"/>
          <w:sz w:val="28"/>
          <w:szCs w:val="28"/>
        </w:rPr>
        <w:t xml:space="preserve"> as to how significant it is</w:t>
      </w:r>
      <w:r>
        <w:rPr>
          <w:rFonts w:ascii="TimesNewRomanPSMT" w:hAnsi="TimesNewRomanPSMT" w:cs="TimesNewRomanPSMT"/>
          <w:sz w:val="28"/>
          <w:szCs w:val="28"/>
        </w:rPr>
        <w:t xml:space="preserve">.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do not prevent individuals from going anywhere or from doing anything.  They do not, as did the impugned provisions in </w:t>
      </w:r>
      <w:r>
        <w:rPr>
          <w:rFonts w:ascii="TimesNewRomanPSMT" w:hAnsi="TimesNewRomanPSMT" w:cs="TimesNewRomanPSMT"/>
          <w:i/>
          <w:iCs/>
          <w:sz w:val="28"/>
          <w:szCs w:val="28"/>
        </w:rPr>
        <w:t>Heywood</w:t>
      </w:r>
      <w:r>
        <w:rPr>
          <w:rFonts w:ascii="TimesNewRomanPSMT" w:hAnsi="TimesNewRomanPSMT" w:cs="TimesNewRomanPSMT"/>
          <w:sz w:val="28"/>
          <w:szCs w:val="28"/>
        </w:rPr>
        <w:t xml:space="preserve">, make it an offence to simply be </w:t>
      </w:r>
      <w:r w:rsidR="00E55267">
        <w:rPr>
          <w:rFonts w:ascii="TimesNewRomanPSMT" w:hAnsi="TimesNewRomanPSMT" w:cs="TimesNewRomanPSMT"/>
          <w:sz w:val="28"/>
          <w:szCs w:val="28"/>
        </w:rPr>
        <w:t>in a</w:t>
      </w:r>
      <w:r w:rsidR="00B700B5">
        <w:rPr>
          <w:rFonts w:ascii="TimesNewRomanPSMT" w:hAnsi="TimesNewRomanPSMT" w:cs="TimesNewRomanPSMT"/>
          <w:sz w:val="28"/>
          <w:szCs w:val="28"/>
        </w:rPr>
        <w:t xml:space="preserve"> certain place</w:t>
      </w:r>
      <w:r>
        <w:rPr>
          <w:rFonts w:ascii="TimesNewRomanPSMT" w:hAnsi="TimesNewRomanPSMT" w:cs="TimesNewRomanPSMT"/>
          <w:sz w:val="28"/>
          <w:szCs w:val="28"/>
        </w:rPr>
        <w:t xml:space="preserve">.  They do impose a burden on individuals, but in my view that </w:t>
      </w:r>
      <w:r w:rsidR="006E78D3">
        <w:rPr>
          <w:rFonts w:ascii="TimesNewRomanPSMT" w:hAnsi="TimesNewRomanPSMT" w:cs="TimesNewRomanPSMT"/>
          <w:sz w:val="28"/>
          <w:szCs w:val="28"/>
        </w:rPr>
        <w:t>burden</w:t>
      </w:r>
      <w:r>
        <w:rPr>
          <w:rFonts w:ascii="TimesNewRomanPSMT" w:hAnsi="TimesNewRomanPSMT" w:cs="TimesNewRomanPSMT"/>
          <w:sz w:val="28"/>
          <w:szCs w:val="28"/>
        </w:rPr>
        <w:t xml:space="preserve"> is not </w:t>
      </w:r>
      <w:r w:rsidR="00F737F7">
        <w:rPr>
          <w:rFonts w:ascii="TimesNewRomanPSMT" w:hAnsi="TimesNewRomanPSMT" w:cs="TimesNewRomanPSMT"/>
          <w:sz w:val="28"/>
          <w:szCs w:val="28"/>
        </w:rPr>
        <w:t>“</w:t>
      </w:r>
      <w:r>
        <w:rPr>
          <w:rFonts w:ascii="TimesNewRomanPSMT" w:hAnsi="TimesNewRomanPSMT" w:cs="TimesNewRomanPSMT"/>
          <w:sz w:val="28"/>
          <w:szCs w:val="28"/>
        </w:rPr>
        <w:t>completely out of sync</w:t>
      </w:r>
      <w:r w:rsidR="00F737F7">
        <w:rPr>
          <w:rFonts w:ascii="TimesNewRomanPSMT" w:hAnsi="TimesNewRomanPSMT" w:cs="TimesNewRomanPSMT"/>
          <w:sz w:val="28"/>
          <w:szCs w:val="28"/>
        </w:rPr>
        <w:t>”</w:t>
      </w:r>
      <w:r>
        <w:rPr>
          <w:rFonts w:ascii="TimesNewRomanPSMT" w:hAnsi="TimesNewRomanPSMT" w:cs="TimesNewRomanPSMT"/>
          <w:sz w:val="28"/>
          <w:szCs w:val="28"/>
        </w:rPr>
        <w:t xml:space="preserve"> with the objective of the measure.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lastRenderedPageBreak/>
        <w:t>For those reasons, I conclude that Mr. Lafferty’s challenge based on Section 7 must fail</w:t>
      </w:r>
      <w:r>
        <w:rPr>
          <w:rFonts w:ascii="Calibri" w:hAnsi="Calibri" w:cs="Calibri"/>
          <w:sz w:val="28"/>
          <w:szCs w:val="28"/>
        </w:rPr>
        <w:t>.</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900D73" w:rsidRDefault="00900D73" w:rsidP="000A0E4C">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2.  Section 12</w:t>
      </w: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I addressed the legal framework that governs Section 12 challenges in my decision granting Mr. Lafferty's challenge to Section 271(a) of the </w:t>
      </w:r>
      <w:r>
        <w:rPr>
          <w:rFonts w:ascii="TimesNewRomanPSMT" w:hAnsi="TimesNewRomanPSMT" w:cs="TimesNewRomanPSMT"/>
          <w:i/>
          <w:iCs/>
          <w:sz w:val="28"/>
          <w:szCs w:val="28"/>
        </w:rPr>
        <w:t>Criminal Code</w:t>
      </w:r>
      <w:r>
        <w:rPr>
          <w:rFonts w:ascii="TimesNewRomanPSMT" w:hAnsi="TimesNewRomanPSMT" w:cs="TimesNewRomanPSMT"/>
          <w:sz w:val="28"/>
          <w:szCs w:val="28"/>
        </w:rPr>
        <w:t xml:space="preserve">. </w:t>
      </w:r>
      <w:r>
        <w:rPr>
          <w:rFonts w:ascii="TimesNewRomanPSMT" w:hAnsi="TimesNewRomanPSMT" w:cs="TimesNewRomanPSMT"/>
          <w:i/>
          <w:iCs/>
          <w:sz w:val="28"/>
          <w:szCs w:val="28"/>
        </w:rPr>
        <w:t>Lafferty</w:t>
      </w:r>
      <w:r>
        <w:rPr>
          <w:rFonts w:ascii="TimesNewRomanPSMT" w:hAnsi="TimesNewRomanPSMT" w:cs="TimesNewRomanPSMT"/>
          <w:sz w:val="28"/>
          <w:szCs w:val="28"/>
        </w:rPr>
        <w:t xml:space="preserve"> (2020), paras 4-9.  The same </w:t>
      </w:r>
      <w:r w:rsidR="0017420F">
        <w:rPr>
          <w:rFonts w:ascii="TimesNewRomanPSMT" w:hAnsi="TimesNewRomanPSMT" w:cs="TimesNewRomanPSMT"/>
          <w:sz w:val="28"/>
          <w:szCs w:val="28"/>
        </w:rPr>
        <w:t>framework</w:t>
      </w:r>
      <w:r>
        <w:rPr>
          <w:rFonts w:ascii="TimesNewRomanPSMT" w:hAnsi="TimesNewRomanPSMT" w:cs="TimesNewRomanPSMT"/>
          <w:sz w:val="28"/>
          <w:szCs w:val="28"/>
        </w:rPr>
        <w:t xml:space="preserve"> appl</w:t>
      </w:r>
      <w:r w:rsidR="0017420F">
        <w:rPr>
          <w:rFonts w:ascii="TimesNewRomanPSMT" w:hAnsi="TimesNewRomanPSMT" w:cs="TimesNewRomanPSMT"/>
          <w:sz w:val="28"/>
          <w:szCs w:val="28"/>
        </w:rPr>
        <w:t>ies</w:t>
      </w:r>
      <w:r>
        <w:rPr>
          <w:rFonts w:ascii="TimesNewRomanPSMT" w:hAnsi="TimesNewRomanPSMT" w:cs="TimesNewRomanPSMT"/>
          <w:sz w:val="28"/>
          <w:szCs w:val="28"/>
        </w:rPr>
        <w:t xml:space="preserve"> to his Section 12 challenge of Sections 490.012 and 490.013(2.1). </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first issue that arises is whether Section 12 is engaged at all.  Mr. Lafferty argues that </w:t>
      </w:r>
      <w:r>
        <w:rPr>
          <w:rFonts w:ascii="TimesNewRomanPSMT" w:hAnsi="TimesNewRomanPSMT" w:cs="TimesNewRomanPSMT"/>
          <w:i/>
          <w:iCs/>
          <w:sz w:val="28"/>
          <w:szCs w:val="28"/>
        </w:rPr>
        <w:t>SOIRA</w:t>
      </w:r>
      <w:r w:rsidR="00F737F7">
        <w:rPr>
          <w:rFonts w:ascii="TimesNewRomanPSMT" w:hAnsi="TimesNewRomanPSMT" w:cs="TimesNewRomanPSMT"/>
          <w:sz w:val="28"/>
          <w:szCs w:val="28"/>
        </w:rPr>
        <w:t xml:space="preserve"> orders constitute punishment or, at minimum, treatment</w:t>
      </w:r>
      <w:r>
        <w:rPr>
          <w:rFonts w:ascii="TimesNewRomanPSMT" w:hAnsi="TimesNewRomanPSMT" w:cs="TimesNewRomanPSMT"/>
          <w:sz w:val="28"/>
          <w:szCs w:val="28"/>
        </w:rPr>
        <w:t>.  The Crown disputes this assertion.</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The Supreme Court has recently clarifi</w:t>
      </w:r>
      <w:r w:rsidR="00F737F7">
        <w:rPr>
          <w:rFonts w:ascii="TimesNewRomanPSMT" w:hAnsi="TimesNewRomanPSMT" w:cs="TimesNewRomanPSMT"/>
          <w:sz w:val="28"/>
          <w:szCs w:val="28"/>
        </w:rPr>
        <w:t>ed what constitutes punishment</w:t>
      </w:r>
      <w:r>
        <w:rPr>
          <w:rFonts w:ascii="TimesNewRomanPSMT" w:hAnsi="TimesNewRomanPSMT" w:cs="TimesNewRomanPSMT"/>
          <w:sz w:val="28"/>
          <w:szCs w:val="28"/>
        </w:rPr>
        <w:t xml:space="preserve"> for the purposes of Section 12:</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ind w:left="720" w:right="720"/>
        <w:jc w:val="both"/>
        <w:rPr>
          <w:rFonts w:ascii="Calibri" w:hAnsi="Calibri" w:cs="Calibri"/>
          <w:sz w:val="24"/>
          <w:szCs w:val="24"/>
        </w:rPr>
      </w:pPr>
      <w:r>
        <w:rPr>
          <w:rFonts w:ascii="TimesNewRomanPSMT" w:hAnsi="TimesNewRomanPSMT" w:cs="TimesNewRomanPSMT"/>
          <w:sz w:val="24"/>
          <w:szCs w:val="24"/>
        </w:rPr>
        <w:t>(...) a measure constitutes punishment if (1) it is a consequence of conviction that forms part of the arsenal of sanctions to which an accused may be liable in respect of a particular offence, and either (2) is imposed in furtherance of the purpose and principles of sentencing, or (3) it has a significant impact on an offender's liberty or security interests.</w:t>
      </w:r>
    </w:p>
    <w:p w:rsidR="00C239B1" w:rsidRDefault="00C239B1" w:rsidP="000A0E4C">
      <w:pPr>
        <w:widowControl w:val="0"/>
        <w:autoSpaceDE w:val="0"/>
        <w:autoSpaceDN w:val="0"/>
        <w:adjustRightInd w:val="0"/>
        <w:spacing w:after="0" w:line="240" w:lineRule="auto"/>
        <w:ind w:firstLine="720"/>
        <w:jc w:val="both"/>
        <w:rPr>
          <w:rFonts w:ascii="Calibri" w:hAnsi="Calibri" w:cs="Calibri"/>
          <w:i/>
          <w:iCs/>
          <w:sz w:val="28"/>
          <w:szCs w:val="28"/>
        </w:rPr>
      </w:pPr>
    </w:p>
    <w:p w:rsidR="00C239B1" w:rsidRDefault="00C239B1" w:rsidP="000A0E4C">
      <w:pPr>
        <w:widowControl w:val="0"/>
        <w:autoSpaceDE w:val="0"/>
        <w:autoSpaceDN w:val="0"/>
        <w:adjustRightInd w:val="0"/>
        <w:spacing w:after="0" w:line="240" w:lineRule="auto"/>
        <w:ind w:firstLine="720"/>
        <w:jc w:val="both"/>
        <w:rPr>
          <w:rFonts w:ascii="TimesNewRomanPSMT" w:hAnsi="TimesNewRomanPSMT" w:cs="TimesNewRomanPSMT"/>
          <w:sz w:val="28"/>
          <w:szCs w:val="28"/>
        </w:rPr>
      </w:pPr>
      <w:r>
        <w:rPr>
          <w:rFonts w:ascii="TimesNewRomanPSMT" w:hAnsi="TimesNewRomanPSMT" w:cs="TimesNewRomanPSMT"/>
          <w:i/>
          <w:iCs/>
          <w:sz w:val="28"/>
          <w:szCs w:val="28"/>
        </w:rPr>
        <w:t>R v K.R.J.,</w:t>
      </w:r>
      <w:r>
        <w:rPr>
          <w:rFonts w:ascii="TimesNewRomanPSMT" w:hAnsi="TimesNewRomanPSMT" w:cs="TimesNewRomanPSMT"/>
          <w:sz w:val="28"/>
          <w:szCs w:val="28"/>
        </w:rPr>
        <w:t xml:space="preserve"> 2016 SCC 31, para 41.</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Crown concedes that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are a consequence of conviction, but argues that they are not aimed at furthering the purposes and principles of sentencing: </w:t>
      </w:r>
      <w:r>
        <w:rPr>
          <w:rFonts w:ascii="TimesNewRomanPSMT" w:hAnsi="TimesNewRomanPSMT" w:cs="TimesNewRomanPSMT"/>
          <w:sz w:val="28"/>
          <w:szCs w:val="28"/>
        </w:rPr>
        <w:lastRenderedPageBreak/>
        <w:t xml:space="preserve">rather, they are intended to provide investigative tools to the authorities and are aimed at crime prevention.  The Crown also argues, as it did in the context of the Section 7 challenge, that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do not have a significant impact on offenders' liberty or security interests.</w:t>
      </w: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A number of cases, decided before </w:t>
      </w:r>
      <w:r>
        <w:rPr>
          <w:rFonts w:ascii="TimesNewRomanPSMT" w:hAnsi="TimesNewRomanPSMT" w:cs="TimesNewRomanPSMT"/>
          <w:i/>
          <w:iCs/>
          <w:sz w:val="28"/>
          <w:szCs w:val="28"/>
        </w:rPr>
        <w:t xml:space="preserve">K.R.J., </w:t>
      </w:r>
      <w:r>
        <w:rPr>
          <w:rFonts w:ascii="TimesNewRomanPSMT" w:hAnsi="TimesNewRomanPSMT" w:cs="TimesNewRomanPSMT"/>
          <w:sz w:val="28"/>
          <w:szCs w:val="28"/>
        </w:rPr>
        <w:t xml:space="preserve">concluded that </w:t>
      </w:r>
      <w:r>
        <w:rPr>
          <w:rFonts w:ascii="TimesNewRomanPSMT" w:hAnsi="TimesNewRomanPSMT" w:cs="TimesNewRomanPSMT"/>
          <w:i/>
          <w:iCs/>
          <w:sz w:val="28"/>
          <w:szCs w:val="28"/>
        </w:rPr>
        <w:t xml:space="preserve">SOIRA </w:t>
      </w:r>
      <w:r w:rsidR="00F737F7">
        <w:rPr>
          <w:rFonts w:ascii="TimesNewRomanPSMT" w:hAnsi="TimesNewRomanPSMT" w:cs="TimesNewRomanPSMT"/>
          <w:sz w:val="28"/>
          <w:szCs w:val="28"/>
        </w:rPr>
        <w:t xml:space="preserve">orders do not constitute </w:t>
      </w:r>
      <w:r>
        <w:rPr>
          <w:rFonts w:ascii="TimesNewRomanPSMT" w:hAnsi="TimesNewRomanPSMT" w:cs="TimesNewRomanPSMT"/>
          <w:sz w:val="28"/>
          <w:szCs w:val="28"/>
        </w:rPr>
        <w:t>punis</w:t>
      </w:r>
      <w:r w:rsidR="00F737F7">
        <w:rPr>
          <w:rFonts w:ascii="TimesNewRomanPSMT" w:hAnsi="TimesNewRomanPSMT" w:cs="TimesNewRomanPSMT"/>
          <w:sz w:val="28"/>
          <w:szCs w:val="28"/>
        </w:rPr>
        <w:t>hment</w:t>
      </w:r>
      <w:r>
        <w:rPr>
          <w:rFonts w:ascii="TimesNewRomanPSMT" w:hAnsi="TimesNewRomanPSMT" w:cs="TimesNewRomanPSMT"/>
          <w:sz w:val="28"/>
          <w:szCs w:val="28"/>
        </w:rPr>
        <w:t>.</w:t>
      </w:r>
      <w:r>
        <w:rPr>
          <w:rFonts w:ascii="TimesNewRomanPSMT" w:hAnsi="TimesNewRomanPSMT" w:cs="TimesNewRomanPSMT"/>
          <w:i/>
          <w:iCs/>
          <w:sz w:val="28"/>
          <w:szCs w:val="28"/>
        </w:rPr>
        <w:t xml:space="preserve">  Dyck</w:t>
      </w:r>
      <w:r>
        <w:rPr>
          <w:rFonts w:ascii="TimesNewRomanPSMT" w:hAnsi="TimesNewRomanPSMT" w:cs="TimesNewRomanPSMT"/>
          <w:sz w:val="28"/>
          <w:szCs w:val="28"/>
        </w:rPr>
        <w:t xml:space="preserve">; </w:t>
      </w:r>
      <w:r>
        <w:rPr>
          <w:rFonts w:ascii="TimesNewRomanPSMT" w:hAnsi="TimesNewRomanPSMT" w:cs="TimesNewRomanPSMT"/>
          <w:i/>
          <w:iCs/>
          <w:sz w:val="28"/>
          <w:szCs w:val="28"/>
        </w:rPr>
        <w:t>R v Rouschop</w:t>
      </w:r>
      <w:r>
        <w:rPr>
          <w:rFonts w:ascii="TimesNewRomanPSMT" w:hAnsi="TimesNewRomanPSMT" w:cs="TimesNewRomanPSMT"/>
          <w:sz w:val="28"/>
          <w:szCs w:val="28"/>
        </w:rPr>
        <w:t xml:space="preserve">, 2005 O.J. NO.1336; </w:t>
      </w:r>
      <w:r>
        <w:rPr>
          <w:rFonts w:ascii="TimesNewRomanPSMT" w:hAnsi="TimesNewRomanPSMT" w:cs="TimesNewRomanPSMT"/>
          <w:i/>
          <w:iCs/>
          <w:sz w:val="28"/>
          <w:szCs w:val="28"/>
        </w:rPr>
        <w:t>R v Cross</w:t>
      </w:r>
      <w:r>
        <w:rPr>
          <w:rFonts w:ascii="TimesNewRomanPSMT" w:hAnsi="TimesNewRomanPSMT" w:cs="TimesNewRomanPSMT"/>
          <w:sz w:val="28"/>
          <w:szCs w:val="28"/>
        </w:rPr>
        <w:t xml:space="preserve">, 2006 NSCA 30, leave to appeal refused [2006] S.C.C.A. No. 161; </w:t>
      </w:r>
      <w:r>
        <w:rPr>
          <w:rFonts w:ascii="TimesNewRomanPSMT" w:hAnsi="TimesNewRomanPSMT" w:cs="TimesNewRomanPSMT"/>
          <w:i/>
          <w:iCs/>
          <w:sz w:val="28"/>
          <w:szCs w:val="28"/>
        </w:rPr>
        <w:t>R v S.S.C.</w:t>
      </w:r>
      <w:r>
        <w:rPr>
          <w:rFonts w:ascii="TimesNewRomanPSMT" w:hAnsi="TimesNewRomanPSMT" w:cs="TimesNewRomanPSMT"/>
          <w:sz w:val="28"/>
          <w:szCs w:val="28"/>
        </w:rPr>
        <w:t xml:space="preserve">, 2008 BCCA 262.  </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Referring to those authorities, </w:t>
      </w:r>
      <w:r>
        <w:rPr>
          <w:rFonts w:ascii="TimesNewRomanPSMT" w:hAnsi="TimesNewRomanPSMT" w:cs="TimesNewRomanPSMT"/>
          <w:i/>
          <w:iCs/>
          <w:sz w:val="28"/>
          <w:szCs w:val="28"/>
        </w:rPr>
        <w:t>Long</w:t>
      </w:r>
      <w:r>
        <w:rPr>
          <w:rFonts w:ascii="TimesNewRomanPSMT" w:hAnsi="TimesNewRomanPSMT" w:cs="TimesNewRomanPSMT"/>
          <w:sz w:val="28"/>
          <w:szCs w:val="28"/>
        </w:rPr>
        <w:t xml:space="preserve"> appeared to take it as </w:t>
      </w:r>
      <w:r w:rsidR="00694BA8">
        <w:rPr>
          <w:rFonts w:ascii="TimesNewRomanPSMT" w:hAnsi="TimesNewRomanPSMT" w:cs="TimesNewRomanPSMT"/>
          <w:sz w:val="28"/>
          <w:szCs w:val="28"/>
        </w:rPr>
        <w:t>a</w:t>
      </w:r>
      <w:r w:rsidR="00E33DBD">
        <w:rPr>
          <w:rFonts w:ascii="TimesNewRomanPSMT" w:hAnsi="TimesNewRomanPSMT" w:cs="TimesNewRomanPSMT"/>
          <w:sz w:val="28"/>
          <w:szCs w:val="28"/>
        </w:rPr>
        <w:t xml:space="preserve"> </w:t>
      </w:r>
      <w:r>
        <w:rPr>
          <w:rFonts w:ascii="TimesNewRomanPSMT" w:hAnsi="TimesNewRomanPSMT" w:cs="TimesNewRomanPSMT"/>
          <w:sz w:val="28"/>
          <w:szCs w:val="28"/>
        </w:rPr>
        <w:t xml:space="preserve">given that the requirement to register under </w:t>
      </w:r>
      <w:r>
        <w:rPr>
          <w:rFonts w:ascii="TimesNewRomanPSMT" w:hAnsi="TimesNewRomanPSMT" w:cs="TimesNewRomanPSMT"/>
          <w:i/>
          <w:iCs/>
          <w:sz w:val="28"/>
          <w:szCs w:val="28"/>
        </w:rPr>
        <w:t>SOIRA</w:t>
      </w:r>
      <w:r w:rsidR="00F737F7">
        <w:rPr>
          <w:rFonts w:ascii="TimesNewRomanPSMT" w:hAnsi="TimesNewRomanPSMT" w:cs="TimesNewRomanPSMT"/>
          <w:sz w:val="28"/>
          <w:szCs w:val="28"/>
        </w:rPr>
        <w:t xml:space="preserve"> is not punishment</w:t>
      </w:r>
      <w:r>
        <w:rPr>
          <w:rFonts w:ascii="TimesNewRomanPSMT" w:hAnsi="TimesNewRomanPSMT" w:cs="TimesNewRomanPSMT"/>
          <w:sz w:val="28"/>
          <w:szCs w:val="28"/>
        </w:rPr>
        <w:t xml:space="preserve">.  </w:t>
      </w:r>
      <w:r>
        <w:rPr>
          <w:rFonts w:ascii="TimesNewRomanPSMT" w:hAnsi="TimesNewRomanPSMT" w:cs="TimesNewRomanPSMT"/>
          <w:i/>
          <w:iCs/>
          <w:sz w:val="28"/>
          <w:szCs w:val="28"/>
        </w:rPr>
        <w:t>Long</w:t>
      </w:r>
      <w:r>
        <w:rPr>
          <w:rFonts w:ascii="TimesNewRomanPSMT" w:hAnsi="TimesNewRomanPSMT" w:cs="TimesNewRomanPSMT"/>
          <w:sz w:val="28"/>
          <w:szCs w:val="28"/>
        </w:rPr>
        <w:t xml:space="preserve">, para 53.  </w:t>
      </w:r>
      <w:r>
        <w:rPr>
          <w:rFonts w:ascii="TimesNewRomanPSMT" w:hAnsi="TimesNewRomanPSMT" w:cs="TimesNewRomanPSMT"/>
          <w:i/>
          <w:iCs/>
          <w:sz w:val="28"/>
          <w:szCs w:val="28"/>
        </w:rPr>
        <w:t>Long</w:t>
      </w:r>
      <w:r>
        <w:rPr>
          <w:rFonts w:ascii="TimesNewRomanPSMT" w:hAnsi="TimesNewRomanPSMT" w:cs="TimesNewRomanPSMT"/>
          <w:sz w:val="28"/>
          <w:szCs w:val="28"/>
        </w:rPr>
        <w:t xml:space="preserve"> was decided after </w:t>
      </w:r>
      <w:r>
        <w:rPr>
          <w:rFonts w:ascii="TimesNewRomanPSMT" w:hAnsi="TimesNewRomanPSMT" w:cs="TimesNewRomanPSMT"/>
          <w:i/>
          <w:iCs/>
          <w:sz w:val="28"/>
          <w:szCs w:val="28"/>
        </w:rPr>
        <w:t>K.R.J.</w:t>
      </w:r>
      <w:r w:rsidR="004A5085">
        <w:rPr>
          <w:rFonts w:ascii="TimesNewRomanPSMT" w:hAnsi="TimesNewRomanPSMT" w:cs="TimesNewRomanPSMT"/>
          <w:sz w:val="28"/>
          <w:szCs w:val="28"/>
        </w:rPr>
        <w:t xml:space="preserve"> but </w:t>
      </w:r>
      <w:r>
        <w:rPr>
          <w:rFonts w:ascii="TimesNewRomanPSMT" w:hAnsi="TimesNewRomanPSMT" w:cs="TimesNewRomanPSMT"/>
          <w:sz w:val="28"/>
          <w:szCs w:val="28"/>
        </w:rPr>
        <w:t xml:space="preserve">as there was no Section 12 challenge in that case, the issue of </w:t>
      </w:r>
      <w:r>
        <w:rPr>
          <w:rFonts w:ascii="TimesNewRomanPSMT" w:hAnsi="TimesNewRomanPSMT" w:cs="TimesNewRomanPSMT"/>
          <w:i/>
          <w:iCs/>
          <w:sz w:val="28"/>
          <w:szCs w:val="28"/>
        </w:rPr>
        <w:t>K.R.J.</w:t>
      </w:r>
      <w:r>
        <w:rPr>
          <w:rFonts w:ascii="TimesNewRomanPSMT" w:hAnsi="TimesNewRomanPSMT" w:cs="TimesNewRomanPSMT"/>
          <w:sz w:val="28"/>
          <w:szCs w:val="28"/>
        </w:rPr>
        <w:t xml:space="preserve">'s effect on the characterization of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for Section 12 purposes was not argued.</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Calibri" w:hAnsi="Calibri" w:cs="Calibri"/>
          <w:sz w:val="28"/>
          <w:szCs w:val="28"/>
        </w:rPr>
      </w:pPr>
      <w:r>
        <w:rPr>
          <w:rFonts w:ascii="TimesNewRomanPSMT" w:hAnsi="TimesNewRomanPSMT" w:cs="TimesNewRomanPSMT"/>
          <w:sz w:val="28"/>
          <w:szCs w:val="28"/>
        </w:rPr>
        <w:t xml:space="preserve">In a more recent case, the Ontario Court of Appeal considered a challenge of the </w:t>
      </w:r>
      <w:r>
        <w:rPr>
          <w:rFonts w:ascii="TimesNewRomanPSMT" w:hAnsi="TimesNewRomanPSMT" w:cs="TimesNewRomanPSMT"/>
          <w:i/>
          <w:iCs/>
          <w:sz w:val="28"/>
          <w:szCs w:val="28"/>
        </w:rPr>
        <w:t>SOIRA</w:t>
      </w:r>
      <w:r>
        <w:rPr>
          <w:rFonts w:ascii="TimesNewRomanPSMT" w:hAnsi="TimesNewRomanPSMT" w:cs="TimesNewRomanPSMT"/>
          <w:sz w:val="28"/>
          <w:szCs w:val="28"/>
        </w:rPr>
        <w:t xml:space="preserve"> provisions as </w:t>
      </w:r>
      <w:r w:rsidR="00577092">
        <w:rPr>
          <w:rFonts w:ascii="TimesNewRomanPSMT" w:hAnsi="TimesNewRomanPSMT" w:cs="TimesNewRomanPSMT"/>
          <w:sz w:val="28"/>
          <w:szCs w:val="28"/>
        </w:rPr>
        <w:t>they</w:t>
      </w:r>
      <w:r>
        <w:rPr>
          <w:rFonts w:ascii="TimesNewRomanPSMT" w:hAnsi="TimesNewRomanPSMT" w:cs="TimesNewRomanPSMT"/>
          <w:sz w:val="28"/>
          <w:szCs w:val="28"/>
        </w:rPr>
        <w:t xml:space="preserve"> appl</w:t>
      </w:r>
      <w:r w:rsidR="00577092">
        <w:rPr>
          <w:rFonts w:ascii="TimesNewRomanPSMT" w:hAnsi="TimesNewRomanPSMT" w:cs="TimesNewRomanPSMT"/>
          <w:sz w:val="28"/>
          <w:szCs w:val="28"/>
        </w:rPr>
        <w:t>y</w:t>
      </w:r>
      <w:r>
        <w:rPr>
          <w:rFonts w:ascii="TimesNewRomanPSMT" w:hAnsi="TimesNewRomanPSMT" w:cs="TimesNewRomanPSMT"/>
          <w:sz w:val="28"/>
          <w:szCs w:val="28"/>
        </w:rPr>
        <w:t xml:space="preserve"> to a person found to be not criminally responsible due to mental disorder.  The challenge was based on both Section 7 and Section 15.  The Court followed the reasoning in </w:t>
      </w:r>
      <w:r>
        <w:rPr>
          <w:rFonts w:ascii="TimesNewRomanPSMT" w:hAnsi="TimesNewRomanPSMT" w:cs="TimesNewRomanPSMT"/>
          <w:i/>
          <w:iCs/>
          <w:sz w:val="28"/>
          <w:szCs w:val="28"/>
        </w:rPr>
        <w:t>Dyck</w:t>
      </w:r>
      <w:r>
        <w:rPr>
          <w:rFonts w:ascii="TimesNewRomanPSMT" w:hAnsi="TimesNewRomanPSMT" w:cs="TimesNewRomanPSMT"/>
          <w:sz w:val="28"/>
          <w:szCs w:val="28"/>
        </w:rPr>
        <w:t xml:space="preserve"> and </w:t>
      </w:r>
      <w:r>
        <w:rPr>
          <w:rFonts w:ascii="TimesNewRomanPSMT" w:hAnsi="TimesNewRomanPSMT" w:cs="TimesNewRomanPSMT"/>
          <w:i/>
          <w:iCs/>
          <w:sz w:val="28"/>
          <w:szCs w:val="28"/>
        </w:rPr>
        <w:t xml:space="preserve">Long </w:t>
      </w:r>
      <w:r>
        <w:rPr>
          <w:rFonts w:ascii="TimesNewRomanPSMT" w:hAnsi="TimesNewRomanPSMT" w:cs="TimesNewRomanPSMT"/>
          <w:sz w:val="28"/>
          <w:szCs w:val="28"/>
        </w:rPr>
        <w:t xml:space="preserve">in concluding that Section 7 was not infringed.  In so doing, the court commented about </w:t>
      </w:r>
      <w:r>
        <w:rPr>
          <w:rFonts w:ascii="TimesNewRomanPSMT" w:hAnsi="TimesNewRomanPSMT" w:cs="TimesNewRomanPSMT"/>
          <w:i/>
          <w:iCs/>
          <w:sz w:val="28"/>
          <w:szCs w:val="28"/>
        </w:rPr>
        <w:t>SOIRA</w:t>
      </w:r>
      <w:r>
        <w:rPr>
          <w:rFonts w:ascii="TimesNewRomanPSMT" w:hAnsi="TimesNewRomanPSMT" w:cs="TimesNewRomanPSMT"/>
          <w:sz w:val="28"/>
          <w:szCs w:val="28"/>
        </w:rPr>
        <w:t xml:space="preserve"> orders not constituting a punishment or treatment:</w:t>
      </w:r>
    </w:p>
    <w:p w:rsidR="00C239B1" w:rsidRDefault="00C239B1" w:rsidP="00CD356A">
      <w:pPr>
        <w:widowControl w:val="0"/>
        <w:autoSpaceDE w:val="0"/>
        <w:autoSpaceDN w:val="0"/>
        <w:adjustRightInd w:val="0"/>
        <w:spacing w:after="0" w:line="240" w:lineRule="auto"/>
        <w:ind w:left="720"/>
        <w:rPr>
          <w:rFonts w:ascii="Calibri" w:hAnsi="Calibri" w:cs="Calibri"/>
          <w:sz w:val="28"/>
          <w:szCs w:val="28"/>
        </w:rPr>
      </w:pPr>
    </w:p>
    <w:p w:rsidR="00C239B1" w:rsidRDefault="00C239B1" w:rsidP="00CD356A">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 xml:space="preserve">The registration and reporting requirements in </w:t>
      </w:r>
      <w:r>
        <w:rPr>
          <w:rFonts w:ascii="TimesNewRomanPSMT" w:hAnsi="TimesNewRomanPSMT" w:cs="TimesNewRomanPSMT"/>
          <w:i/>
          <w:iCs/>
          <w:sz w:val="24"/>
          <w:szCs w:val="24"/>
        </w:rPr>
        <w:t>SOIRA</w:t>
      </w:r>
      <w:r>
        <w:rPr>
          <w:rFonts w:ascii="TimesNewRomanPSMT" w:hAnsi="TimesNewRomanPSMT" w:cs="TimesNewRomanPSMT"/>
          <w:sz w:val="24"/>
          <w:szCs w:val="24"/>
        </w:rPr>
        <w:t xml:space="preserve"> and </w:t>
      </w:r>
      <w:r w:rsidRPr="0043033C">
        <w:rPr>
          <w:rFonts w:ascii="TimesNewRomanPSMT" w:hAnsi="TimesNewRomanPSMT" w:cs="TimesNewRomanPSMT"/>
          <w:i/>
          <w:sz w:val="24"/>
          <w:szCs w:val="24"/>
        </w:rPr>
        <w:t>Christopher’s Law</w:t>
      </w:r>
      <w:r>
        <w:rPr>
          <w:rFonts w:ascii="TimesNewRomanPSMT" w:hAnsi="TimesNewRomanPSMT" w:cs="TimesNewRomanPSMT"/>
          <w:sz w:val="24"/>
          <w:szCs w:val="24"/>
        </w:rPr>
        <w:t xml:space="preserve"> are not imposed as punishment or treatment (…) Instead they are directed at promoting public safety through the creation and maintenance of a databank that facilitates the effective investigation and prevention of sexual </w:t>
      </w:r>
      <w:r>
        <w:rPr>
          <w:rFonts w:ascii="TimesNewRomanPSMT" w:hAnsi="TimesNewRomanPSMT" w:cs="TimesNewRomanPSMT"/>
          <w:sz w:val="24"/>
          <w:szCs w:val="24"/>
        </w:rPr>
        <w:lastRenderedPageBreak/>
        <w:t>crimes.  Because of the purpose be</w:t>
      </w:r>
      <w:r w:rsidR="00577092">
        <w:rPr>
          <w:rFonts w:ascii="TimesNewRomanPSMT" w:hAnsi="TimesNewRomanPSMT" w:cs="TimesNewRomanPSMT"/>
          <w:sz w:val="24"/>
          <w:szCs w:val="24"/>
        </w:rPr>
        <w:t>hind the registries, an</w:t>
      </w:r>
      <w:r>
        <w:rPr>
          <w:rFonts w:ascii="TimesNewRomanPSMT" w:hAnsi="TimesNewRomanPSMT" w:cs="TimesNewRomanPSMT"/>
          <w:sz w:val="24"/>
          <w:szCs w:val="24"/>
        </w:rPr>
        <w:t xml:space="preserve"> individualized assessment of risk, though crucial in imposing treatment or punishment, is not required to conform with the principles of fundamental justice.  In this sense, sex offender registries are akin to legislation requiring the provision of fingerprints, photographs, or DNA. (…)  </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C239B1" w:rsidP="00577092">
      <w:pPr>
        <w:pStyle w:val="ListParagraph"/>
        <w:widowControl w:val="0"/>
        <w:autoSpaceDE w:val="0"/>
        <w:autoSpaceDN w:val="0"/>
        <w:adjustRightInd w:val="0"/>
        <w:spacing w:after="0" w:line="240" w:lineRule="auto"/>
        <w:ind w:left="0"/>
        <w:jc w:val="both"/>
        <w:rPr>
          <w:rFonts w:ascii="TimesNewRomanPSMT" w:hAnsi="TimesNewRomanPSMT" w:cs="TimesNewRomanPSMT"/>
          <w:sz w:val="28"/>
          <w:szCs w:val="28"/>
        </w:rPr>
      </w:pPr>
      <w:r>
        <w:rPr>
          <w:rFonts w:ascii="TimesNewRomanPSMT" w:hAnsi="TimesNewRomanPSMT" w:cs="TimesNewRomanPSMT"/>
          <w:i/>
          <w:iCs/>
          <w:sz w:val="28"/>
          <w:szCs w:val="28"/>
        </w:rPr>
        <w:t>G v Ontario (Attorney General),</w:t>
      </w:r>
      <w:r>
        <w:rPr>
          <w:rFonts w:ascii="TimesNewRomanPSMT" w:hAnsi="TimesNewRomanPSMT" w:cs="TimesNewRomanPSMT"/>
          <w:sz w:val="28"/>
          <w:szCs w:val="28"/>
        </w:rPr>
        <w:t xml:space="preserve"> 2019 ONCA 264,</w:t>
      </w:r>
      <w:r w:rsidR="004A5085">
        <w:rPr>
          <w:rFonts w:ascii="TimesNewRomanPSMT" w:hAnsi="TimesNewRomanPSMT" w:cs="TimesNewRomanPSMT"/>
          <w:sz w:val="28"/>
          <w:szCs w:val="28"/>
        </w:rPr>
        <w:t xml:space="preserve"> para 81 [citations omitted].  </w:t>
      </w:r>
      <w:r w:rsidR="0043033C">
        <w:rPr>
          <w:rFonts w:ascii="TimesNewRomanPSMT" w:hAnsi="TimesNewRomanPSMT" w:cs="TimesNewRomanPSMT"/>
          <w:sz w:val="28"/>
          <w:szCs w:val="28"/>
        </w:rPr>
        <w:t>T</w:t>
      </w:r>
      <w:r>
        <w:rPr>
          <w:rFonts w:ascii="TimesNewRomanPSMT" w:hAnsi="TimesNewRomanPSMT" w:cs="TimesNewRomanPSMT"/>
          <w:sz w:val="28"/>
          <w:szCs w:val="28"/>
        </w:rPr>
        <w:t xml:space="preserve">he matter is now on reserve in the Supreme Court of Canada, but only on the Section 15 issue.  </w:t>
      </w:r>
      <w:r>
        <w:rPr>
          <w:rFonts w:ascii="TimesNewRomanPSMT" w:hAnsi="TimesNewRomanPSMT" w:cs="TimesNewRomanPSMT"/>
          <w:i/>
          <w:iCs/>
          <w:sz w:val="28"/>
          <w:szCs w:val="28"/>
        </w:rPr>
        <w:t>Ontario (Attorney General) v. G.</w:t>
      </w:r>
      <w:r>
        <w:rPr>
          <w:rFonts w:ascii="TimesNewRomanPSMT" w:hAnsi="TimesNewRomanPSMT" w:cs="TimesNewRomanPSMT"/>
          <w:sz w:val="28"/>
          <w:szCs w:val="28"/>
        </w:rPr>
        <w:t xml:space="preserve">, [2019] S.C.C.A. NO.138. </w:t>
      </w:r>
    </w:p>
    <w:p w:rsidR="00C239B1" w:rsidRDefault="00C239B1" w:rsidP="00CD356A">
      <w:pPr>
        <w:widowControl w:val="0"/>
        <w:autoSpaceDE w:val="0"/>
        <w:autoSpaceDN w:val="0"/>
        <w:adjustRightInd w:val="0"/>
        <w:spacing w:after="0" w:line="240" w:lineRule="auto"/>
        <w:jc w:val="both"/>
        <w:rPr>
          <w:rFonts w:ascii="Calibri" w:hAnsi="Calibri" w:cs="Calibri"/>
          <w:b/>
          <w:bCs/>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i/>
          <w:iCs/>
          <w:sz w:val="28"/>
          <w:szCs w:val="28"/>
        </w:rPr>
        <w:t>Long</w:t>
      </w:r>
      <w:r>
        <w:rPr>
          <w:rFonts w:ascii="TimesNewRomanPSMT" w:hAnsi="TimesNewRomanPSMT" w:cs="TimesNewRomanPSMT"/>
          <w:sz w:val="28"/>
          <w:szCs w:val="28"/>
        </w:rPr>
        <w:t xml:space="preserve"> and </w:t>
      </w:r>
      <w:r>
        <w:rPr>
          <w:rFonts w:ascii="TimesNewRomanPSMT" w:hAnsi="TimesNewRomanPSMT" w:cs="TimesNewRomanPSMT"/>
          <w:i/>
          <w:iCs/>
          <w:sz w:val="28"/>
          <w:szCs w:val="28"/>
        </w:rPr>
        <w:t>G</w:t>
      </w:r>
      <w:r>
        <w:rPr>
          <w:rFonts w:ascii="TimesNewRomanPSMT" w:hAnsi="TimesNewRomanPSMT" w:cs="TimesNewRomanPSMT"/>
          <w:sz w:val="28"/>
          <w:szCs w:val="28"/>
        </w:rPr>
        <w:t xml:space="preserve"> appear t</w:t>
      </w:r>
      <w:r w:rsidR="00F737F7">
        <w:rPr>
          <w:rFonts w:ascii="TimesNewRomanPSMT" w:hAnsi="TimesNewRomanPSMT" w:cs="TimesNewRomanPSMT"/>
          <w:sz w:val="28"/>
          <w:szCs w:val="28"/>
        </w:rPr>
        <w:t>o have treated the concepts of punishment and treatment</w:t>
      </w:r>
      <w:r>
        <w:rPr>
          <w:rFonts w:ascii="TimesNewRomanPSMT" w:hAnsi="TimesNewRomanPSMT" w:cs="TimesNewRomanPSMT"/>
          <w:sz w:val="28"/>
          <w:szCs w:val="28"/>
        </w:rPr>
        <w:t xml:space="preserve"> together.  However, in </w:t>
      </w:r>
      <w:r>
        <w:rPr>
          <w:rFonts w:ascii="TimesNewRomanPSMT" w:hAnsi="TimesNewRomanPSMT" w:cs="TimesNewRomanPSMT"/>
          <w:i/>
          <w:iCs/>
          <w:sz w:val="28"/>
          <w:szCs w:val="28"/>
        </w:rPr>
        <w:t>R v Rodgers</w:t>
      </w:r>
      <w:r>
        <w:rPr>
          <w:rFonts w:ascii="TimesNewRomanPSMT" w:hAnsi="TimesNewRomanPSMT" w:cs="TimesNewRomanPSMT"/>
          <w:sz w:val="28"/>
          <w:szCs w:val="28"/>
        </w:rPr>
        <w:t xml:space="preserve">, 2006 SCC 15, the Supreme Court of Canada </w:t>
      </w:r>
      <w:r w:rsidR="0043033C">
        <w:rPr>
          <w:rFonts w:ascii="TimesNewRomanPSMT" w:hAnsi="TimesNewRomanPSMT" w:cs="TimesNewRomanPSMT"/>
          <w:sz w:val="28"/>
          <w:szCs w:val="28"/>
        </w:rPr>
        <w:t xml:space="preserve">had </w:t>
      </w:r>
      <w:r>
        <w:rPr>
          <w:rFonts w:ascii="TimesNewRomanPSMT" w:hAnsi="TimesNewRomanPSMT" w:cs="TimesNewRomanPSMT"/>
          <w:sz w:val="28"/>
          <w:szCs w:val="28"/>
        </w:rPr>
        <w:t>dr</w:t>
      </w:r>
      <w:r w:rsidR="0043033C">
        <w:rPr>
          <w:rFonts w:ascii="TimesNewRomanPSMT" w:hAnsi="TimesNewRomanPSMT" w:cs="TimesNewRomanPSMT"/>
          <w:sz w:val="28"/>
          <w:szCs w:val="28"/>
        </w:rPr>
        <w:t>a</w:t>
      </w:r>
      <w:r>
        <w:rPr>
          <w:rFonts w:ascii="TimesNewRomanPSMT" w:hAnsi="TimesNewRomanPSMT" w:cs="TimesNewRomanPSMT"/>
          <w:sz w:val="28"/>
          <w:szCs w:val="28"/>
        </w:rPr>
        <w:t>w</w:t>
      </w:r>
      <w:r w:rsidR="0043033C">
        <w:rPr>
          <w:rFonts w:ascii="TimesNewRomanPSMT" w:hAnsi="TimesNewRomanPSMT" w:cs="TimesNewRomanPSMT"/>
          <w:sz w:val="28"/>
          <w:szCs w:val="28"/>
        </w:rPr>
        <w:t>n</w:t>
      </w:r>
      <w:r>
        <w:rPr>
          <w:rFonts w:ascii="TimesNewRomanPSMT" w:hAnsi="TimesNewRomanPSMT" w:cs="TimesNewRomanPSMT"/>
          <w:sz w:val="28"/>
          <w:szCs w:val="28"/>
        </w:rPr>
        <w:t xml:space="preserve"> a distinction between the two when it was called upon to decide whether DNA sampling constitutes punishment for the purposes of other provisions of the </w:t>
      </w:r>
      <w:r>
        <w:rPr>
          <w:rFonts w:ascii="TimesNewRomanPSMT" w:hAnsi="TimesNewRomanPSMT" w:cs="TimesNewRomanPSMT"/>
          <w:i/>
          <w:iCs/>
          <w:sz w:val="28"/>
          <w:szCs w:val="28"/>
        </w:rPr>
        <w:t>Charter</w:t>
      </w:r>
      <w:r w:rsidR="00F737F7">
        <w:rPr>
          <w:rFonts w:ascii="TimesNewRomanPSMT" w:hAnsi="TimesNewRomanPSMT" w:cs="TimesNewRomanPSMT"/>
          <w:sz w:val="28"/>
          <w:szCs w:val="28"/>
        </w:rPr>
        <w:t>.  In finding that punishment</w:t>
      </w:r>
      <w:r>
        <w:rPr>
          <w:rFonts w:ascii="TimesNewRomanPSMT" w:hAnsi="TimesNewRomanPSMT" w:cs="TimesNewRomanPSMT"/>
          <w:sz w:val="28"/>
          <w:szCs w:val="28"/>
        </w:rPr>
        <w:t xml:space="preserve"> does not encompass every potential consequence of being convicted of a criminal</w:t>
      </w:r>
      <w:r w:rsidR="00F737F7">
        <w:rPr>
          <w:rFonts w:ascii="TimesNewRomanPSMT" w:hAnsi="TimesNewRomanPSMT" w:cs="TimesNewRomanPSMT"/>
          <w:sz w:val="28"/>
          <w:szCs w:val="28"/>
        </w:rPr>
        <w:t xml:space="preserve"> offence, the Court contrasted </w:t>
      </w:r>
      <w:r>
        <w:rPr>
          <w:rFonts w:ascii="TimesNewRomanPSMT" w:hAnsi="TimesNewRomanPSMT" w:cs="TimesNewRomanPSMT"/>
          <w:sz w:val="28"/>
          <w:szCs w:val="28"/>
        </w:rPr>
        <w:t>punishme</w:t>
      </w:r>
      <w:r w:rsidR="00F737F7">
        <w:rPr>
          <w:rFonts w:ascii="TimesNewRomanPSMT" w:hAnsi="TimesNewRomanPSMT" w:cs="TimesNewRomanPSMT"/>
          <w:sz w:val="28"/>
          <w:szCs w:val="28"/>
        </w:rPr>
        <w:t>nt and treatment</w:t>
      </w:r>
      <w:r>
        <w:rPr>
          <w:rFonts w:ascii="TimesNewRomanPSMT" w:hAnsi="TimesNewRomanPSMT" w:cs="TimesNewRomanPSMT"/>
          <w:sz w:val="28"/>
          <w:szCs w:val="28"/>
        </w:rPr>
        <w:t xml:space="preserve">, referring specifically to Section 12 of the </w:t>
      </w:r>
      <w:r>
        <w:rPr>
          <w:rFonts w:ascii="TimesNewRomanPSMT" w:hAnsi="TimesNewRomanPSMT" w:cs="TimesNewRomanPSMT"/>
          <w:i/>
          <w:iCs/>
          <w:sz w:val="28"/>
          <w:szCs w:val="28"/>
        </w:rPr>
        <w:t>Charter</w:t>
      </w:r>
      <w:r>
        <w:rPr>
          <w:rFonts w:ascii="TimesNewRomanPSMT" w:hAnsi="TimesNewRomanPSMT" w:cs="TimesNewRomanPSMT"/>
          <w:sz w:val="28"/>
          <w:szCs w:val="28"/>
        </w:rPr>
        <w:t>:</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C239B1" w:rsidP="00CD356A">
      <w:pPr>
        <w:widowControl w:val="0"/>
        <w:autoSpaceDE w:val="0"/>
        <w:autoSpaceDN w:val="0"/>
        <w:adjustRightInd w:val="0"/>
        <w:spacing w:after="0" w:line="240" w:lineRule="auto"/>
        <w:ind w:left="720" w:right="720"/>
        <w:jc w:val="both"/>
        <w:rPr>
          <w:rFonts w:ascii="TimesNewRomanPSMT" w:hAnsi="TimesNewRomanPSMT" w:cs="TimesNewRomanPSMT"/>
          <w:sz w:val="24"/>
          <w:szCs w:val="24"/>
        </w:rPr>
      </w:pPr>
      <w:r>
        <w:rPr>
          <w:rFonts w:ascii="TimesNewRomanPSMT" w:hAnsi="TimesNewRomanPSMT" w:cs="TimesNewRomanPSMT"/>
          <w:sz w:val="24"/>
          <w:szCs w:val="24"/>
        </w:rPr>
        <w:t xml:space="preserve">(...) the protection afforded by s. 11 must be contrasted with s. 12 of the </w:t>
      </w:r>
      <w:r>
        <w:rPr>
          <w:rFonts w:ascii="TimesNewRomanPSMT" w:hAnsi="TimesNewRomanPSMT" w:cs="TimesNewRomanPSMT"/>
          <w:i/>
          <w:iCs/>
          <w:sz w:val="24"/>
          <w:szCs w:val="24"/>
        </w:rPr>
        <w:t>Charter</w:t>
      </w:r>
      <w:r>
        <w:rPr>
          <w:rFonts w:ascii="TimesNewRomanPSMT" w:hAnsi="TimesNewRomanPSMT" w:cs="TimesNewRomanPSMT"/>
          <w:sz w:val="24"/>
          <w:szCs w:val="24"/>
        </w:rPr>
        <w:t xml:space="preserve"> that protects against cruel and unusual "treatment" or punishment. For example, DNA sampling, ordered as a consequence of conviction, would undoubtedly constitute a "treatment" and, if the physical method for obtaining a DNA sample were cruel and unusual, redress could be obtained under s. 12.</w:t>
      </w:r>
    </w:p>
    <w:p w:rsidR="00C239B1" w:rsidRDefault="00C239B1" w:rsidP="00CD356A">
      <w:pPr>
        <w:widowControl w:val="0"/>
        <w:autoSpaceDE w:val="0"/>
        <w:autoSpaceDN w:val="0"/>
        <w:adjustRightInd w:val="0"/>
        <w:spacing w:after="0" w:line="240" w:lineRule="auto"/>
        <w:ind w:firstLine="720"/>
        <w:jc w:val="both"/>
        <w:rPr>
          <w:rFonts w:ascii="Calibri" w:hAnsi="Calibri" w:cs="Calibri"/>
          <w:i/>
          <w:iCs/>
          <w:sz w:val="28"/>
          <w:szCs w:val="28"/>
        </w:rPr>
      </w:pPr>
    </w:p>
    <w:p w:rsidR="00C239B1" w:rsidRDefault="00C239B1" w:rsidP="00CD356A">
      <w:pPr>
        <w:widowControl w:val="0"/>
        <w:autoSpaceDE w:val="0"/>
        <w:autoSpaceDN w:val="0"/>
        <w:adjustRightInd w:val="0"/>
        <w:spacing w:after="0" w:line="240" w:lineRule="auto"/>
        <w:ind w:firstLine="720"/>
        <w:jc w:val="both"/>
        <w:rPr>
          <w:rFonts w:ascii="TimesNewRomanPSMT" w:hAnsi="TimesNewRomanPSMT" w:cs="TimesNewRomanPSMT"/>
          <w:sz w:val="28"/>
          <w:szCs w:val="28"/>
        </w:rPr>
      </w:pPr>
      <w:r>
        <w:rPr>
          <w:rFonts w:ascii="TimesNewRomanPSMT" w:hAnsi="TimesNewRomanPSMT" w:cs="TimesNewRomanPSMT"/>
          <w:i/>
          <w:iCs/>
          <w:sz w:val="28"/>
          <w:szCs w:val="28"/>
        </w:rPr>
        <w:t>Rodgers</w:t>
      </w:r>
      <w:r>
        <w:rPr>
          <w:rFonts w:ascii="TimesNewRomanPSMT" w:hAnsi="TimesNewRomanPSMT" w:cs="TimesNewRomanPSMT"/>
          <w:sz w:val="28"/>
          <w:szCs w:val="28"/>
        </w:rPr>
        <w:t>, para 63.</w:t>
      </w:r>
    </w:p>
    <w:p w:rsidR="00CD356A" w:rsidRDefault="00CD356A" w:rsidP="00CD356A">
      <w:pPr>
        <w:widowControl w:val="0"/>
        <w:autoSpaceDE w:val="0"/>
        <w:autoSpaceDN w:val="0"/>
        <w:adjustRightInd w:val="0"/>
        <w:spacing w:after="0" w:line="240" w:lineRule="auto"/>
        <w:ind w:firstLine="720"/>
        <w:jc w:val="both"/>
        <w:rPr>
          <w:rFonts w:ascii="TimesNewRomanPSMT" w:hAnsi="TimesNewRomanPSMT" w:cs="TimesNewRomanPSMT"/>
          <w:sz w:val="28"/>
          <w:szCs w:val="28"/>
        </w:rPr>
      </w:pPr>
    </w:p>
    <w:p w:rsidR="00C239B1" w:rsidRDefault="00C239B1" w:rsidP="00CD356A">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i/>
          <w:iCs/>
          <w:sz w:val="28"/>
          <w:szCs w:val="28"/>
        </w:rPr>
        <w:lastRenderedPageBreak/>
        <w:t>Rodgers</w:t>
      </w:r>
      <w:r>
        <w:rPr>
          <w:rFonts w:ascii="TimesNewRomanPSMT" w:hAnsi="TimesNewRomanPSMT" w:cs="TimesNewRomanPSMT"/>
          <w:sz w:val="28"/>
          <w:szCs w:val="28"/>
        </w:rPr>
        <w:t xml:space="preserve"> was not referred to in </w:t>
      </w:r>
      <w:r>
        <w:rPr>
          <w:rFonts w:ascii="TimesNewRomanPSMT" w:hAnsi="TimesNewRomanPSMT" w:cs="TimesNewRomanPSMT"/>
          <w:i/>
          <w:iCs/>
          <w:sz w:val="28"/>
          <w:szCs w:val="28"/>
        </w:rPr>
        <w:t>Long</w:t>
      </w:r>
      <w:r>
        <w:rPr>
          <w:rFonts w:ascii="TimesNewRomanPSMT" w:hAnsi="TimesNewRomanPSMT" w:cs="TimesNewRomanPSMT"/>
          <w:sz w:val="28"/>
          <w:szCs w:val="28"/>
        </w:rPr>
        <w:t xml:space="preserve"> and </w:t>
      </w:r>
      <w:r>
        <w:rPr>
          <w:rFonts w:ascii="TimesNewRomanPSMT" w:hAnsi="TimesNewRomanPSMT" w:cs="TimesNewRomanPSMT"/>
          <w:i/>
          <w:iCs/>
          <w:sz w:val="28"/>
          <w:szCs w:val="28"/>
        </w:rPr>
        <w:t xml:space="preserve">G. </w:t>
      </w:r>
      <w:r w:rsidR="004A5085">
        <w:rPr>
          <w:rFonts w:ascii="TimesNewRomanPSMT" w:hAnsi="TimesNewRomanPSMT" w:cs="TimesNewRomanPSMT"/>
          <w:sz w:val="28"/>
          <w:szCs w:val="28"/>
        </w:rPr>
        <w:t xml:space="preserve"> </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Pr="0043033C" w:rsidRDefault="0043033C"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Whether or not</w:t>
      </w:r>
      <w:r w:rsidRPr="0043033C">
        <w:rPr>
          <w:rFonts w:ascii="TimesNewRomanPSMT" w:hAnsi="TimesNewRomanPSMT" w:cs="TimesNewRomanPSMT"/>
          <w:i/>
          <w:sz w:val="28"/>
          <w:szCs w:val="28"/>
        </w:rPr>
        <w:t xml:space="preserve"> SOIRA</w:t>
      </w:r>
      <w:r>
        <w:rPr>
          <w:rFonts w:ascii="TimesNewRomanPSMT" w:hAnsi="TimesNewRomanPSMT" w:cs="TimesNewRomanPSMT"/>
          <w:sz w:val="28"/>
          <w:szCs w:val="28"/>
        </w:rPr>
        <w:t xml:space="preserve"> orders</w:t>
      </w:r>
      <w:r w:rsidR="00577092">
        <w:rPr>
          <w:rFonts w:ascii="TimesNewRomanPSMT" w:hAnsi="TimesNewRomanPSMT" w:cs="TimesNewRomanPSMT"/>
          <w:sz w:val="28"/>
          <w:szCs w:val="28"/>
        </w:rPr>
        <w:t xml:space="preserve"> constitute punishment</w:t>
      </w:r>
      <w:r>
        <w:rPr>
          <w:rFonts w:ascii="TimesNewRomanPSMT" w:hAnsi="TimesNewRomanPSMT" w:cs="TimesNewRomanPSMT"/>
          <w:sz w:val="28"/>
          <w:szCs w:val="28"/>
        </w:rPr>
        <w:t xml:space="preserve">, viewed through the </w:t>
      </w:r>
      <w:r w:rsidRPr="0043033C">
        <w:rPr>
          <w:rFonts w:ascii="TimesNewRomanPSMT" w:hAnsi="TimesNewRomanPSMT" w:cs="TimesNewRomanPSMT"/>
          <w:i/>
          <w:sz w:val="28"/>
          <w:szCs w:val="28"/>
        </w:rPr>
        <w:t>K.R.J.</w:t>
      </w:r>
      <w:r>
        <w:rPr>
          <w:rFonts w:ascii="TimesNewRomanPSMT" w:hAnsi="TimesNewRomanPSMT" w:cs="TimesNewRomanPSMT"/>
          <w:sz w:val="28"/>
          <w:szCs w:val="28"/>
        </w:rPr>
        <w:t xml:space="preserve"> lens,</w:t>
      </w:r>
      <w:r w:rsidR="00C239B1">
        <w:rPr>
          <w:rFonts w:ascii="TimesNewRomanPSMT" w:hAnsi="TimesNewRomanPSMT" w:cs="TimesNewRomanPSMT"/>
          <w:sz w:val="28"/>
          <w:szCs w:val="28"/>
        </w:rPr>
        <w:t xml:space="preserve"> </w:t>
      </w:r>
      <w:r>
        <w:rPr>
          <w:rFonts w:ascii="TimesNewRomanPSMT" w:hAnsi="TimesNewRomanPSMT" w:cs="TimesNewRomanPSMT"/>
          <w:sz w:val="28"/>
          <w:szCs w:val="28"/>
        </w:rPr>
        <w:t>is not determinative because</w:t>
      </w:r>
      <w:r w:rsidR="00C239B1">
        <w:rPr>
          <w:rFonts w:ascii="TimesNewRomanPSMT" w:hAnsi="TimesNewRomanPSMT" w:cs="TimesNewRomanPSMT"/>
          <w:sz w:val="28"/>
          <w:szCs w:val="28"/>
        </w:rPr>
        <w:t xml:space="preserve"> b</w:t>
      </w:r>
      <w:r>
        <w:rPr>
          <w:rFonts w:ascii="TimesNewRomanPSMT" w:hAnsi="TimesNewRomanPSMT" w:cs="TimesNewRomanPSMT"/>
          <w:sz w:val="28"/>
          <w:szCs w:val="28"/>
        </w:rPr>
        <w:t xml:space="preserve">ased </w:t>
      </w:r>
      <w:r w:rsidR="00C239B1">
        <w:rPr>
          <w:rFonts w:ascii="TimesNewRomanPSMT" w:hAnsi="TimesNewRomanPSMT" w:cs="TimesNewRomanPSMT"/>
          <w:sz w:val="28"/>
          <w:szCs w:val="28"/>
        </w:rPr>
        <w:t xml:space="preserve">on </w:t>
      </w:r>
      <w:r w:rsidR="00C239B1">
        <w:rPr>
          <w:rFonts w:ascii="TimesNewRomanPSMT" w:hAnsi="TimesNewRomanPSMT" w:cs="TimesNewRomanPSMT"/>
          <w:i/>
          <w:iCs/>
          <w:sz w:val="28"/>
          <w:szCs w:val="28"/>
        </w:rPr>
        <w:t>Rodgers</w:t>
      </w:r>
      <w:r w:rsidR="00C239B1">
        <w:rPr>
          <w:rFonts w:ascii="TimesNewRomanPSMT" w:hAnsi="TimesNewRomanPSMT" w:cs="TimesNewRomanPSMT"/>
          <w:sz w:val="28"/>
          <w:szCs w:val="28"/>
        </w:rPr>
        <w:t xml:space="preserve">, a distinction must </w:t>
      </w:r>
      <w:r w:rsidR="00F737F7">
        <w:rPr>
          <w:rFonts w:ascii="TimesNewRomanPSMT" w:hAnsi="TimesNewRomanPSMT" w:cs="TimesNewRomanPSMT"/>
          <w:sz w:val="28"/>
          <w:szCs w:val="28"/>
        </w:rPr>
        <w:t>be drawn between punishment and treatment</w:t>
      </w:r>
      <w:r w:rsidR="00C239B1">
        <w:rPr>
          <w:rFonts w:ascii="TimesNewRomanPSMT" w:hAnsi="TimesNewRomanPSMT" w:cs="TimesNewRomanPSMT"/>
          <w:sz w:val="28"/>
          <w:szCs w:val="28"/>
        </w:rPr>
        <w:t>.</w:t>
      </w:r>
      <w:r w:rsidR="004A5085">
        <w:rPr>
          <w:rFonts w:ascii="TimesNewRomanPSMT" w:hAnsi="TimesNewRomanPSMT" w:cs="TimesNewRomanPSMT"/>
          <w:sz w:val="28"/>
          <w:szCs w:val="28"/>
        </w:rPr>
        <w:t xml:space="preserve"> </w:t>
      </w:r>
      <w:r w:rsidR="00C239B1">
        <w:rPr>
          <w:rFonts w:ascii="TimesNewRomanPSMT" w:hAnsi="TimesNewRomanPSMT" w:cs="TimesNewRomanPSMT"/>
          <w:sz w:val="28"/>
          <w:szCs w:val="28"/>
        </w:rPr>
        <w:t xml:space="preserve"> In my view, if DNA sampling fall</w:t>
      </w:r>
      <w:r w:rsidR="00F737F7">
        <w:rPr>
          <w:rFonts w:ascii="TimesNewRomanPSMT" w:hAnsi="TimesNewRomanPSMT" w:cs="TimesNewRomanPSMT"/>
          <w:sz w:val="28"/>
          <w:szCs w:val="28"/>
        </w:rPr>
        <w:t>s under the scope of treatment</w:t>
      </w:r>
      <w:r w:rsidR="00C239B1">
        <w:rPr>
          <w:rFonts w:ascii="TimesNewRomanPSMT" w:hAnsi="TimesNewRomanPSMT" w:cs="TimesNewRomanPSMT"/>
          <w:sz w:val="28"/>
          <w:szCs w:val="28"/>
        </w:rPr>
        <w:t xml:space="preserve">, the registration and reporting requirements that stem from </w:t>
      </w:r>
      <w:r w:rsidR="00C239B1">
        <w:rPr>
          <w:rFonts w:ascii="TimesNewRomanPSMT" w:hAnsi="TimesNewRomanPSMT" w:cs="TimesNewRomanPSMT"/>
          <w:i/>
          <w:iCs/>
          <w:sz w:val="28"/>
          <w:szCs w:val="28"/>
        </w:rPr>
        <w:t>SOIRA</w:t>
      </w:r>
      <w:r w:rsidR="00C239B1">
        <w:rPr>
          <w:rFonts w:ascii="TimesNewRomanPSMT" w:hAnsi="TimesNewRomanPSMT" w:cs="TimesNewRomanPSMT"/>
          <w:sz w:val="28"/>
          <w:szCs w:val="28"/>
        </w:rPr>
        <w:t xml:space="preserve"> orders do as well.  For that reason, irrespective of whether </w:t>
      </w:r>
      <w:r w:rsidR="00C239B1">
        <w:rPr>
          <w:rFonts w:ascii="TimesNewRomanPSMT" w:hAnsi="TimesNewRomanPSMT" w:cs="TimesNewRomanPSMT"/>
          <w:i/>
          <w:iCs/>
          <w:sz w:val="28"/>
          <w:szCs w:val="28"/>
        </w:rPr>
        <w:t>SOIRA</w:t>
      </w:r>
      <w:r w:rsidR="00C239B1">
        <w:rPr>
          <w:rFonts w:ascii="TimesNewRomanPSMT" w:hAnsi="TimesNewRomanPSMT" w:cs="TimesNewRomanPSMT"/>
          <w:sz w:val="28"/>
          <w:szCs w:val="28"/>
        </w:rPr>
        <w:t xml:space="preserve"> orders constitute punishment, I agree with Mr. Lafferty that Section 12 is engaged.  </w:t>
      </w:r>
    </w:p>
    <w:p w:rsidR="00C239B1" w:rsidRPr="00131C64" w:rsidRDefault="00C239B1" w:rsidP="00CD356A">
      <w:pPr>
        <w:widowControl w:val="0"/>
        <w:autoSpaceDE w:val="0"/>
        <w:autoSpaceDN w:val="0"/>
        <w:adjustRightInd w:val="0"/>
        <w:spacing w:after="0" w:line="240" w:lineRule="auto"/>
        <w:jc w:val="both"/>
        <w:rPr>
          <w:rFonts w:ascii="Calibri" w:hAnsi="Calibri" w:cs="Calibri"/>
          <w:sz w:val="28"/>
          <w:szCs w:val="28"/>
          <w:lang w:val="en-US"/>
        </w:rPr>
      </w:pPr>
    </w:p>
    <w:p w:rsidR="00C239B1" w:rsidRDefault="0043033C"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The </w:t>
      </w:r>
      <w:r w:rsidR="00B700B5">
        <w:rPr>
          <w:rFonts w:ascii="TimesNewRomanPSMT" w:hAnsi="TimesNewRomanPSMT" w:cs="TimesNewRomanPSMT"/>
          <w:sz w:val="28"/>
          <w:szCs w:val="28"/>
        </w:rPr>
        <w:t xml:space="preserve">bigger problem for Mr. Lafferty </w:t>
      </w:r>
      <w:r>
        <w:rPr>
          <w:rFonts w:ascii="TimesNewRomanPSMT" w:hAnsi="TimesNewRomanPSMT" w:cs="TimesNewRomanPSMT"/>
          <w:sz w:val="28"/>
          <w:szCs w:val="28"/>
        </w:rPr>
        <w:t xml:space="preserve">on </w:t>
      </w:r>
      <w:r w:rsidR="00B700B5">
        <w:rPr>
          <w:rFonts w:ascii="TimesNewRomanPSMT" w:hAnsi="TimesNewRomanPSMT" w:cs="TimesNewRomanPSMT"/>
          <w:sz w:val="28"/>
          <w:szCs w:val="28"/>
        </w:rPr>
        <w:t>his</w:t>
      </w:r>
      <w:r>
        <w:rPr>
          <w:rFonts w:ascii="TimesNewRomanPSMT" w:hAnsi="TimesNewRomanPSMT" w:cs="TimesNewRomanPSMT"/>
          <w:sz w:val="28"/>
          <w:szCs w:val="28"/>
        </w:rPr>
        <w:t xml:space="preserve"> Section 12 challenge is </w:t>
      </w:r>
      <w:r w:rsidR="00B700B5">
        <w:rPr>
          <w:rFonts w:ascii="TimesNewRomanPSMT" w:hAnsi="TimesNewRomanPSMT" w:cs="TimesNewRomanPSMT"/>
          <w:sz w:val="28"/>
          <w:szCs w:val="28"/>
        </w:rPr>
        <w:t>having</w:t>
      </w:r>
      <w:r>
        <w:rPr>
          <w:rFonts w:ascii="TimesNewRomanPSMT" w:hAnsi="TimesNewRomanPSMT" w:cs="TimesNewRomanPSMT"/>
          <w:sz w:val="28"/>
          <w:szCs w:val="28"/>
        </w:rPr>
        <w:t xml:space="preserve"> mandatory lifetime </w:t>
      </w:r>
      <w:r w:rsidRPr="0043033C">
        <w:rPr>
          <w:rFonts w:ascii="TimesNewRomanPSMT" w:hAnsi="TimesNewRomanPSMT" w:cs="TimesNewRomanPSMT"/>
          <w:i/>
          <w:sz w:val="28"/>
          <w:szCs w:val="28"/>
        </w:rPr>
        <w:t>SOIRA</w:t>
      </w:r>
      <w:r>
        <w:rPr>
          <w:rFonts w:ascii="TimesNewRomanPSMT" w:hAnsi="TimesNewRomanPSMT" w:cs="TimesNewRomanPSMT"/>
          <w:sz w:val="28"/>
          <w:szCs w:val="28"/>
        </w:rPr>
        <w:t xml:space="preserve"> characterized as “cruel or unusual” within the meaning of Section 12.</w:t>
      </w:r>
      <w:r w:rsidR="00C239B1">
        <w:rPr>
          <w:rFonts w:ascii="TimesNewRomanPSMT" w:hAnsi="TimesNewRomanPSMT" w:cs="TimesNewRomanPSMT"/>
          <w:sz w:val="28"/>
          <w:szCs w:val="28"/>
        </w:rPr>
        <w:t xml:space="preserve">  To offend Section 12, a measure must </w:t>
      </w:r>
      <w:r w:rsidR="00577092">
        <w:rPr>
          <w:rFonts w:ascii="TimesNewRomanPSMT" w:hAnsi="TimesNewRomanPSMT" w:cs="TimesNewRomanPSMT"/>
          <w:sz w:val="28"/>
          <w:szCs w:val="28"/>
        </w:rPr>
        <w:t>be</w:t>
      </w:r>
      <w:r w:rsidR="00C239B1">
        <w:rPr>
          <w:rFonts w:ascii="TimesNewRomanPSMT" w:hAnsi="TimesNewRomanPSMT" w:cs="TimesNewRomanPSMT"/>
          <w:sz w:val="28"/>
          <w:szCs w:val="28"/>
        </w:rPr>
        <w:t xml:space="preserve"> </w:t>
      </w:r>
      <w:r w:rsidR="00577092">
        <w:rPr>
          <w:rFonts w:ascii="TimesNewRomanPSMT" w:hAnsi="TimesNewRomanPSMT" w:cs="TimesNewRomanPSMT"/>
          <w:sz w:val="28"/>
          <w:szCs w:val="28"/>
        </w:rPr>
        <w:t>“</w:t>
      </w:r>
      <w:r w:rsidR="00C239B1">
        <w:rPr>
          <w:rFonts w:ascii="TimesNewRomanPSMT" w:hAnsi="TimesNewRomanPSMT" w:cs="TimesNewRomanPSMT"/>
          <w:sz w:val="28"/>
          <w:szCs w:val="28"/>
        </w:rPr>
        <w:t>so excessive as to outrage standards of decency</w:t>
      </w:r>
      <w:r w:rsidR="00577092">
        <w:rPr>
          <w:rFonts w:ascii="TimesNewRomanPSMT" w:hAnsi="TimesNewRomanPSMT" w:cs="TimesNewRomanPSMT"/>
          <w:sz w:val="28"/>
          <w:szCs w:val="28"/>
        </w:rPr>
        <w:t>”</w:t>
      </w:r>
      <w:r w:rsidR="00C239B1">
        <w:rPr>
          <w:rFonts w:ascii="TimesNewRomanPSMT" w:hAnsi="TimesNewRomanPSMT" w:cs="TimesNewRomanPSMT"/>
          <w:sz w:val="28"/>
          <w:szCs w:val="28"/>
        </w:rPr>
        <w:t xml:space="preserve"> </w:t>
      </w:r>
      <w:r>
        <w:rPr>
          <w:rFonts w:ascii="TimesNewRomanPSMT" w:hAnsi="TimesNewRomanPSMT" w:cs="TimesNewRomanPSMT"/>
          <w:sz w:val="28"/>
          <w:szCs w:val="28"/>
        </w:rPr>
        <w:t>and</w:t>
      </w:r>
      <w:r w:rsidR="00C239B1">
        <w:rPr>
          <w:rFonts w:ascii="TimesNewRomanPSMT" w:hAnsi="TimesNewRomanPSMT" w:cs="TimesNewRomanPSMT"/>
          <w:sz w:val="28"/>
          <w:szCs w:val="28"/>
        </w:rPr>
        <w:t xml:space="preserve"> </w:t>
      </w:r>
      <w:r w:rsidR="00577092">
        <w:rPr>
          <w:rFonts w:ascii="TimesNewRomanPSMT" w:hAnsi="TimesNewRomanPSMT" w:cs="TimesNewRomanPSMT"/>
          <w:sz w:val="28"/>
          <w:szCs w:val="28"/>
        </w:rPr>
        <w:t>“</w:t>
      </w:r>
      <w:r w:rsidR="00C239B1">
        <w:rPr>
          <w:rFonts w:ascii="TimesNewRomanPSMT" w:hAnsi="TimesNewRomanPSMT" w:cs="TimesNewRomanPSMT"/>
          <w:sz w:val="28"/>
          <w:szCs w:val="28"/>
        </w:rPr>
        <w:t>abhorrent or intolerable</w:t>
      </w:r>
      <w:r w:rsidR="00577092">
        <w:rPr>
          <w:rFonts w:ascii="TimesNewRomanPSMT" w:hAnsi="TimesNewRomanPSMT" w:cs="TimesNewRomanPSMT"/>
          <w:sz w:val="28"/>
          <w:szCs w:val="28"/>
        </w:rPr>
        <w:t>”</w:t>
      </w:r>
      <w:r w:rsidR="00C239B1">
        <w:rPr>
          <w:rFonts w:ascii="TimesNewRomanPSMT" w:hAnsi="TimesNewRomanPSMT" w:cs="TimesNewRomanPSMT"/>
          <w:sz w:val="28"/>
          <w:szCs w:val="28"/>
        </w:rPr>
        <w:t xml:space="preserve"> to society.  </w:t>
      </w:r>
      <w:r w:rsidR="00C239B1">
        <w:rPr>
          <w:rFonts w:ascii="TimesNewRomanPSMT" w:hAnsi="TimesNewRomanPSMT" w:cs="TimesNewRomanPSMT"/>
          <w:i/>
          <w:iCs/>
          <w:sz w:val="28"/>
          <w:szCs w:val="28"/>
        </w:rPr>
        <w:t>R v Nur</w:t>
      </w:r>
      <w:r w:rsidR="00C239B1">
        <w:rPr>
          <w:rFonts w:ascii="TimesNewRomanPSMT" w:hAnsi="TimesNewRomanPSMT" w:cs="TimesNewRomanPSMT"/>
          <w:sz w:val="28"/>
          <w:szCs w:val="28"/>
        </w:rPr>
        <w:t xml:space="preserve">, 2015 SCC 15; </w:t>
      </w:r>
      <w:r w:rsidR="00C239B1">
        <w:rPr>
          <w:rFonts w:ascii="TimesNewRomanPSMT" w:hAnsi="TimesNewRomanPSMT" w:cs="TimesNewRomanPSMT"/>
          <w:i/>
          <w:iCs/>
          <w:sz w:val="28"/>
          <w:szCs w:val="28"/>
        </w:rPr>
        <w:t>R v Lloyd</w:t>
      </w:r>
      <w:r w:rsidR="00C239B1">
        <w:rPr>
          <w:rFonts w:ascii="TimesNewRomanPSMT" w:hAnsi="TimesNewRomanPSMT" w:cs="TimesNewRomanPSMT"/>
          <w:sz w:val="28"/>
          <w:szCs w:val="28"/>
        </w:rPr>
        <w:t xml:space="preserve">, 2016 SCC 13; </w:t>
      </w:r>
      <w:r w:rsidR="00C239B1">
        <w:rPr>
          <w:rFonts w:ascii="TimesNewRomanPSMT" w:hAnsi="TimesNewRomanPSMT" w:cs="TimesNewRomanPSMT"/>
          <w:i/>
          <w:iCs/>
          <w:sz w:val="28"/>
          <w:szCs w:val="28"/>
        </w:rPr>
        <w:t>R v Morrison</w:t>
      </w:r>
      <w:r w:rsidR="00C239B1">
        <w:rPr>
          <w:rFonts w:ascii="TimesNewRomanPSMT" w:hAnsi="TimesNewRomanPSMT" w:cs="TimesNewRomanPSMT"/>
          <w:sz w:val="28"/>
          <w:szCs w:val="28"/>
        </w:rPr>
        <w:t xml:space="preserve">, 2019 SCC 15.  As I have stated already, I accept that the reporting requirements under </w:t>
      </w:r>
      <w:r w:rsidR="00C239B1">
        <w:rPr>
          <w:rFonts w:ascii="TimesNewRomanPSMT" w:hAnsi="TimesNewRomanPSMT" w:cs="TimesNewRomanPSMT"/>
          <w:i/>
          <w:iCs/>
          <w:sz w:val="28"/>
          <w:szCs w:val="28"/>
        </w:rPr>
        <w:t>SOIRA</w:t>
      </w:r>
      <w:r w:rsidR="00C239B1">
        <w:rPr>
          <w:rFonts w:ascii="TimesNewRomanPSMT" w:hAnsi="TimesNewRomanPSMT" w:cs="TimesNewRomanPSMT"/>
          <w:sz w:val="28"/>
          <w:szCs w:val="28"/>
        </w:rPr>
        <w:t xml:space="preserve"> are not trivial. </w:t>
      </w:r>
      <w:r w:rsidR="004A5085">
        <w:rPr>
          <w:rFonts w:ascii="TimesNewRomanPSMT" w:hAnsi="TimesNewRomanPSMT" w:cs="TimesNewRomanPSMT"/>
          <w:sz w:val="28"/>
          <w:szCs w:val="28"/>
        </w:rPr>
        <w:t xml:space="preserve"> </w:t>
      </w:r>
      <w:r w:rsidR="00C239B1">
        <w:rPr>
          <w:rFonts w:ascii="TimesNewRomanPSMT" w:hAnsi="TimesNewRomanPSMT" w:cs="TimesNewRomanPSMT"/>
          <w:sz w:val="28"/>
          <w:szCs w:val="28"/>
        </w:rPr>
        <w:t>Neither is being subject to them for a lifetime.  However, that is a far cry from finding that they are grossly disproportionate</w:t>
      </w:r>
      <w:r w:rsidR="00B700B5">
        <w:rPr>
          <w:rFonts w:ascii="TimesNewRomanPSMT" w:hAnsi="TimesNewRomanPSMT" w:cs="TimesNewRomanPSMT"/>
          <w:sz w:val="28"/>
          <w:szCs w:val="28"/>
        </w:rPr>
        <w:t>.</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43033C"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Gross disproportionality in the context of Section 12 is conceptually</w:t>
      </w:r>
      <w:r w:rsidR="00C239B1">
        <w:rPr>
          <w:rFonts w:ascii="TimesNewRomanPSMT" w:hAnsi="TimesNewRomanPSMT" w:cs="TimesNewRomanPSMT"/>
          <w:sz w:val="28"/>
          <w:szCs w:val="28"/>
        </w:rPr>
        <w:t xml:space="preserve"> distinct</w:t>
      </w:r>
      <w:r>
        <w:rPr>
          <w:rFonts w:ascii="TimesNewRomanPSMT" w:hAnsi="TimesNewRomanPSMT" w:cs="TimesNewRomanPSMT"/>
          <w:sz w:val="28"/>
          <w:szCs w:val="28"/>
        </w:rPr>
        <w:t xml:space="preserve"> from gross disproportionality in the context of Section 7.</w:t>
      </w:r>
      <w:r w:rsidR="005131B6">
        <w:rPr>
          <w:rFonts w:ascii="TimesNewRomanPSMT" w:hAnsi="TimesNewRomanPSMT" w:cs="TimesNewRomanPSMT"/>
          <w:sz w:val="28"/>
          <w:szCs w:val="28"/>
        </w:rPr>
        <w:t xml:space="preserve">  The threshold is not </w:t>
      </w:r>
      <w:r>
        <w:rPr>
          <w:rFonts w:ascii="TimesNewRomanPSMT" w:hAnsi="TimesNewRomanPSMT" w:cs="TimesNewRomanPSMT"/>
          <w:sz w:val="28"/>
          <w:szCs w:val="28"/>
        </w:rPr>
        <w:t xml:space="preserve">described </w:t>
      </w:r>
      <w:r w:rsidR="005131B6">
        <w:rPr>
          <w:rFonts w:ascii="TimesNewRomanPSMT" w:hAnsi="TimesNewRomanPSMT" w:cs="TimesNewRomanPSMT"/>
          <w:sz w:val="28"/>
          <w:szCs w:val="28"/>
        </w:rPr>
        <w:t>using the same</w:t>
      </w:r>
      <w:r>
        <w:rPr>
          <w:rFonts w:ascii="TimesNewRomanPSMT" w:hAnsi="TimesNewRomanPSMT" w:cs="TimesNewRomanPSMT"/>
          <w:sz w:val="28"/>
          <w:szCs w:val="28"/>
        </w:rPr>
        <w:t xml:space="preserve"> language</w:t>
      </w:r>
      <w:r w:rsidR="005131B6">
        <w:rPr>
          <w:rFonts w:ascii="TimesNewRomanPSMT" w:hAnsi="TimesNewRomanPSMT" w:cs="TimesNewRomanPSMT"/>
          <w:sz w:val="28"/>
          <w:szCs w:val="28"/>
        </w:rPr>
        <w:t xml:space="preserve">.  But in both cases the bar is set very high and ultimately, </w:t>
      </w:r>
      <w:r w:rsidR="00E661B5">
        <w:rPr>
          <w:rFonts w:ascii="TimesNewRomanPSMT" w:hAnsi="TimesNewRomanPSMT" w:cs="TimesNewRomanPSMT"/>
          <w:sz w:val="28"/>
          <w:szCs w:val="28"/>
        </w:rPr>
        <w:t xml:space="preserve">the threshold is </w:t>
      </w:r>
      <w:r w:rsidR="005131B6">
        <w:rPr>
          <w:rFonts w:ascii="TimesNewRomanPSMT" w:hAnsi="TimesNewRomanPSMT" w:cs="TimesNewRomanPSMT"/>
          <w:sz w:val="28"/>
          <w:szCs w:val="28"/>
        </w:rPr>
        <w:t>very similar.</w:t>
      </w:r>
      <w:r w:rsidR="00C239B1">
        <w:rPr>
          <w:rFonts w:ascii="TimesNewRomanPSMT" w:hAnsi="TimesNewRomanPSMT" w:cs="TimesNewRomanPSMT"/>
          <w:sz w:val="28"/>
          <w:szCs w:val="28"/>
        </w:rPr>
        <w:t xml:space="preserve">  Mr. Lafferty’s challenge under Section 12 fails for the same reason</w:t>
      </w:r>
      <w:r w:rsidR="005131B6">
        <w:rPr>
          <w:rFonts w:ascii="TimesNewRomanPSMT" w:hAnsi="TimesNewRomanPSMT" w:cs="TimesNewRomanPSMT"/>
          <w:sz w:val="28"/>
          <w:szCs w:val="28"/>
        </w:rPr>
        <w:t>s</w:t>
      </w:r>
      <w:r w:rsidR="00C239B1">
        <w:rPr>
          <w:rFonts w:ascii="TimesNewRomanPSMT" w:hAnsi="TimesNewRomanPSMT" w:cs="TimesNewRomanPSMT"/>
          <w:sz w:val="28"/>
          <w:szCs w:val="28"/>
        </w:rPr>
        <w:t xml:space="preserve"> </w:t>
      </w:r>
      <w:r w:rsidR="005131B6">
        <w:rPr>
          <w:rFonts w:ascii="TimesNewRomanPSMT" w:hAnsi="TimesNewRomanPSMT" w:cs="TimesNewRomanPSMT"/>
          <w:sz w:val="28"/>
          <w:szCs w:val="28"/>
        </w:rPr>
        <w:t xml:space="preserve">that </w:t>
      </w:r>
      <w:r w:rsidR="00C239B1">
        <w:rPr>
          <w:rFonts w:ascii="TimesNewRomanPSMT" w:hAnsi="TimesNewRomanPSMT" w:cs="TimesNewRomanPSMT"/>
          <w:sz w:val="28"/>
          <w:szCs w:val="28"/>
        </w:rPr>
        <w:t>it did on the “gross disproportionality” branch of the test under Section 7.</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C239B1" w:rsidP="00CD356A">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lastRenderedPageBreak/>
        <w:t>III) CONCLUSION</w:t>
      </w:r>
    </w:p>
    <w:p w:rsidR="00C239B1" w:rsidRDefault="00C239B1" w:rsidP="00CD356A">
      <w:pPr>
        <w:widowControl w:val="0"/>
        <w:autoSpaceDE w:val="0"/>
        <w:autoSpaceDN w:val="0"/>
        <w:adjustRightInd w:val="0"/>
        <w:spacing w:after="0" w:line="240" w:lineRule="auto"/>
        <w:jc w:val="both"/>
        <w:rPr>
          <w:rFonts w:ascii="TimesNewRomanPSMT" w:hAnsi="TimesNewRomanPSMT" w:cs="TimesNewRomanPSMT"/>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For these reasons, I conclude that Sections 490</w:t>
      </w:r>
      <w:r w:rsidR="00B700B5">
        <w:rPr>
          <w:rFonts w:ascii="TimesNewRomanPSMT" w:hAnsi="TimesNewRomanPSMT" w:cs="TimesNewRomanPSMT"/>
          <w:sz w:val="28"/>
          <w:szCs w:val="28"/>
        </w:rPr>
        <w:t>.</w:t>
      </w:r>
      <w:r>
        <w:rPr>
          <w:rFonts w:ascii="TimesNewRomanPSMT" w:hAnsi="TimesNewRomanPSMT" w:cs="TimesNewRomanPSMT"/>
          <w:sz w:val="28"/>
          <w:szCs w:val="28"/>
        </w:rPr>
        <w:t>012 and 490.013(2.1) do not contravene the</w:t>
      </w:r>
      <w:r>
        <w:rPr>
          <w:rFonts w:ascii="TimesNewRomanPSMT" w:hAnsi="TimesNewRomanPSMT" w:cs="TimesNewRomanPSMT"/>
          <w:i/>
          <w:iCs/>
          <w:sz w:val="28"/>
          <w:szCs w:val="28"/>
        </w:rPr>
        <w:t xml:space="preserve"> Charter</w:t>
      </w:r>
      <w:r>
        <w:rPr>
          <w:rFonts w:ascii="TimesNewRomanPSMT" w:hAnsi="TimesNewRomanPSMT" w:cs="TimesNewRomanPSMT"/>
          <w:sz w:val="28"/>
          <w:szCs w:val="28"/>
        </w:rPr>
        <w:t xml:space="preserve">.  </w:t>
      </w:r>
    </w:p>
    <w:p w:rsidR="00C239B1" w:rsidRDefault="00C239B1" w:rsidP="00CD356A">
      <w:pPr>
        <w:widowControl w:val="0"/>
        <w:autoSpaceDE w:val="0"/>
        <w:autoSpaceDN w:val="0"/>
        <w:adjustRightInd w:val="0"/>
        <w:spacing w:after="0" w:line="240" w:lineRule="auto"/>
        <w:jc w:val="both"/>
        <w:rPr>
          <w:rFonts w:ascii="Calibri" w:hAnsi="Calibri" w:cs="Calibri"/>
          <w:sz w:val="28"/>
          <w:szCs w:val="28"/>
        </w:rPr>
      </w:pPr>
    </w:p>
    <w:p w:rsidR="00C239B1" w:rsidRDefault="00C239B1" w:rsidP="00CC6958">
      <w:pPr>
        <w:pStyle w:val="ListParagraph"/>
        <w:widowControl w:val="0"/>
        <w:numPr>
          <w:ilvl w:val="0"/>
          <w:numId w:val="3"/>
        </w:numPr>
        <w:autoSpaceDE w:val="0"/>
        <w:autoSpaceDN w:val="0"/>
        <w:adjustRightInd w:val="0"/>
        <w:spacing w:after="0" w:line="24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That being so, an Order will issue requiring Mr. Lafferty to comply with the requirements of </w:t>
      </w:r>
      <w:r>
        <w:rPr>
          <w:rFonts w:ascii="TimesNewRomanPSMT" w:hAnsi="TimesNewRomanPSMT" w:cs="TimesNewRomanPSMT"/>
          <w:i/>
          <w:iCs/>
          <w:sz w:val="28"/>
          <w:szCs w:val="28"/>
        </w:rPr>
        <w:t>SOIRA</w:t>
      </w:r>
      <w:r>
        <w:rPr>
          <w:rFonts w:ascii="TimesNewRomanPSMT" w:hAnsi="TimesNewRomanPSMT" w:cs="TimesNewRomanPSMT"/>
          <w:sz w:val="28"/>
          <w:szCs w:val="28"/>
        </w:rPr>
        <w:t xml:space="preserve"> for life.  I hereby direct the Clerk of the Court to prepare the Order and to take the </w:t>
      </w:r>
      <w:r w:rsidR="00E661B5">
        <w:rPr>
          <w:rFonts w:ascii="TimesNewRomanPSMT" w:hAnsi="TimesNewRomanPSMT" w:cs="TimesNewRomanPSMT"/>
          <w:sz w:val="28"/>
          <w:szCs w:val="28"/>
        </w:rPr>
        <w:t xml:space="preserve">necessary </w:t>
      </w:r>
      <w:r>
        <w:rPr>
          <w:rFonts w:ascii="TimesNewRomanPSMT" w:hAnsi="TimesNewRomanPSMT" w:cs="TimesNewRomanPSMT"/>
          <w:sz w:val="28"/>
          <w:szCs w:val="28"/>
        </w:rPr>
        <w:t xml:space="preserve">steps to ensure that Mr. Lafferty is </w:t>
      </w:r>
      <w:r w:rsidR="00577092">
        <w:rPr>
          <w:rFonts w:ascii="TimesNewRomanPSMT" w:hAnsi="TimesNewRomanPSMT" w:cs="TimesNewRomanPSMT"/>
          <w:sz w:val="28"/>
          <w:szCs w:val="28"/>
        </w:rPr>
        <w:t>fully aware</w:t>
      </w:r>
      <w:r>
        <w:rPr>
          <w:rFonts w:ascii="TimesNewRomanPSMT" w:hAnsi="TimesNewRomanPSMT" w:cs="TimesNewRomanPSMT"/>
          <w:sz w:val="28"/>
          <w:szCs w:val="28"/>
        </w:rPr>
        <w:t xml:space="preserve"> of the obligations that this Order will place on him when he is released from custody, as well as his right to apply for a termination order in due course.</w:t>
      </w:r>
    </w:p>
    <w:p w:rsidR="00C239B1" w:rsidRDefault="00C239B1" w:rsidP="000A0E4C">
      <w:pPr>
        <w:widowControl w:val="0"/>
        <w:autoSpaceDE w:val="0"/>
        <w:autoSpaceDN w:val="0"/>
        <w:adjustRightInd w:val="0"/>
        <w:spacing w:after="200" w:line="240" w:lineRule="auto"/>
        <w:jc w:val="both"/>
        <w:rPr>
          <w:rFonts w:ascii="Calibri" w:hAnsi="Calibri" w:cs="Calibri"/>
          <w:sz w:val="28"/>
          <w:szCs w:val="28"/>
        </w:rPr>
      </w:pPr>
    </w:p>
    <w:p w:rsidR="00C239B1" w:rsidRDefault="00C239B1" w:rsidP="000A0E4C">
      <w:pPr>
        <w:widowControl w:val="0"/>
        <w:autoSpaceDE w:val="0"/>
        <w:autoSpaceDN w:val="0"/>
        <w:adjustRightInd w:val="0"/>
        <w:spacing w:after="0" w:line="240" w:lineRule="auto"/>
        <w:jc w:val="both"/>
        <w:rPr>
          <w:rFonts w:ascii="Calibri" w:hAnsi="Calibri" w:cs="Calibri"/>
          <w:sz w:val="28"/>
          <w:szCs w:val="28"/>
        </w:rPr>
      </w:pPr>
    </w:p>
    <w:p w:rsidR="00EB43A9" w:rsidRDefault="00EB43A9" w:rsidP="000A0E4C">
      <w:pPr>
        <w:widowControl w:val="0"/>
        <w:autoSpaceDE w:val="0"/>
        <w:autoSpaceDN w:val="0"/>
        <w:adjustRightInd w:val="0"/>
        <w:spacing w:after="0" w:line="240" w:lineRule="auto"/>
        <w:jc w:val="both"/>
        <w:rPr>
          <w:rFonts w:ascii="Calibri" w:hAnsi="Calibri" w:cs="Calibri"/>
          <w:sz w:val="28"/>
          <w:szCs w:val="28"/>
        </w:rPr>
      </w:pPr>
    </w:p>
    <w:p w:rsidR="00C239B1" w:rsidRPr="00672AB0" w:rsidRDefault="00C239B1" w:rsidP="000A0E4C">
      <w:pPr>
        <w:widowControl w:val="0"/>
        <w:autoSpaceDE w:val="0"/>
        <w:autoSpaceDN w:val="0"/>
        <w:adjustRightInd w:val="0"/>
        <w:spacing w:after="0" w:line="240" w:lineRule="auto"/>
        <w:ind w:left="5040" w:firstLine="720"/>
        <w:rPr>
          <w:rFonts w:ascii="TimesNewRomanPSMT" w:hAnsi="TimesNewRomanPSMT" w:cs="TimesNewRomanPSMT"/>
          <w:sz w:val="28"/>
          <w:szCs w:val="28"/>
          <w:lang w:val="fr-CA"/>
        </w:rPr>
      </w:pPr>
      <w:r w:rsidRPr="00672AB0">
        <w:rPr>
          <w:rFonts w:ascii="TimesNewRomanPSMT" w:hAnsi="TimesNewRomanPSMT" w:cs="TimesNewRomanPSMT"/>
          <w:sz w:val="28"/>
          <w:szCs w:val="28"/>
          <w:lang w:val="fr-CA"/>
        </w:rPr>
        <w:t>L.A. Charbonneau</w:t>
      </w:r>
    </w:p>
    <w:p w:rsidR="00C239B1" w:rsidRPr="00672AB0" w:rsidRDefault="00C239B1" w:rsidP="000A0E4C">
      <w:pPr>
        <w:widowControl w:val="0"/>
        <w:autoSpaceDE w:val="0"/>
        <w:autoSpaceDN w:val="0"/>
        <w:adjustRightInd w:val="0"/>
        <w:spacing w:after="0" w:line="240" w:lineRule="auto"/>
        <w:rPr>
          <w:rFonts w:ascii="TimesNewRomanPSMT" w:hAnsi="TimesNewRomanPSMT" w:cs="TimesNewRomanPSMT"/>
          <w:sz w:val="28"/>
          <w:szCs w:val="28"/>
          <w:lang w:val="fr-CA"/>
        </w:rPr>
      </w:pP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r>
      <w:r w:rsidRPr="00672AB0">
        <w:rPr>
          <w:rFonts w:ascii="TimesNewRomanPSMT" w:hAnsi="TimesNewRomanPSMT" w:cs="TimesNewRomanPSMT"/>
          <w:sz w:val="28"/>
          <w:szCs w:val="28"/>
          <w:lang w:val="fr-CA"/>
        </w:rPr>
        <w:tab/>
        <w:t>J.S.C.</w:t>
      </w:r>
    </w:p>
    <w:p w:rsidR="00C239B1" w:rsidRPr="00672AB0" w:rsidRDefault="00C239B1" w:rsidP="000A0E4C">
      <w:pPr>
        <w:widowControl w:val="0"/>
        <w:autoSpaceDE w:val="0"/>
        <w:autoSpaceDN w:val="0"/>
        <w:adjustRightInd w:val="0"/>
        <w:spacing w:after="0" w:line="240" w:lineRule="auto"/>
        <w:rPr>
          <w:rFonts w:ascii="TimesNewRomanPSMT" w:hAnsi="TimesNewRomanPSMT" w:cs="TimesNewRomanPSMT"/>
          <w:sz w:val="28"/>
          <w:szCs w:val="28"/>
          <w:lang w:val="fr-CA"/>
        </w:rPr>
      </w:pPr>
    </w:p>
    <w:p w:rsidR="00C239B1" w:rsidRDefault="00C239B1" w:rsidP="000A0E4C">
      <w:pPr>
        <w:widowControl w:val="0"/>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Dated in Yellowknife, NT this </w:t>
      </w:r>
    </w:p>
    <w:p w:rsidR="00C239B1" w:rsidRDefault="00CD356A" w:rsidP="000A0E4C">
      <w:pPr>
        <w:widowControl w:val="0"/>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2</w:t>
      </w:r>
      <w:r w:rsidR="00606FBD">
        <w:rPr>
          <w:rFonts w:ascii="TimesNewRomanPSMT" w:hAnsi="TimesNewRomanPSMT" w:cs="TimesNewRomanPSMT"/>
          <w:sz w:val="28"/>
          <w:szCs w:val="28"/>
        </w:rPr>
        <w:t>7</w:t>
      </w:r>
      <w:r w:rsidR="00C239B1">
        <w:rPr>
          <w:rFonts w:ascii="TimesNewRomanPSMT" w:hAnsi="TimesNewRomanPSMT" w:cs="TimesNewRomanPSMT"/>
          <w:sz w:val="28"/>
          <w:szCs w:val="28"/>
          <w:vertAlign w:val="superscript"/>
        </w:rPr>
        <w:t>th</w:t>
      </w:r>
      <w:r w:rsidR="00C239B1">
        <w:rPr>
          <w:rFonts w:ascii="TimesNewRomanPSMT" w:hAnsi="TimesNewRomanPSMT" w:cs="TimesNewRomanPSMT"/>
          <w:sz w:val="28"/>
          <w:szCs w:val="28"/>
        </w:rPr>
        <w:t xml:space="preserve"> day of February 2020</w:t>
      </w:r>
    </w:p>
    <w:p w:rsidR="00C239B1" w:rsidRDefault="00C239B1" w:rsidP="000A0E4C">
      <w:pPr>
        <w:widowControl w:val="0"/>
        <w:autoSpaceDE w:val="0"/>
        <w:autoSpaceDN w:val="0"/>
        <w:adjustRightInd w:val="0"/>
        <w:spacing w:after="0" w:line="240" w:lineRule="auto"/>
        <w:rPr>
          <w:rFonts w:ascii="TimesNewRomanPSMT" w:hAnsi="TimesNewRomanPSMT" w:cs="TimesNewRomanPSMT"/>
          <w:sz w:val="28"/>
          <w:szCs w:val="28"/>
        </w:rPr>
      </w:pPr>
    </w:p>
    <w:p w:rsidR="00C239B1"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Counsel for the Crown:</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Martha Chertkow and Alexander Godfrey</w:t>
      </w:r>
    </w:p>
    <w:p w:rsidR="00306B15" w:rsidRDefault="00C239B1" w:rsidP="000A0E4C">
      <w:pPr>
        <w:widowControl w:val="0"/>
        <w:autoSpaceDE w:val="0"/>
        <w:autoSpaceDN w:val="0"/>
        <w:adjustRightInd w:val="0"/>
        <w:spacing w:after="0" w:line="240" w:lineRule="auto"/>
        <w:jc w:val="both"/>
        <w:rPr>
          <w:rFonts w:ascii="TimesNewRomanPSMT" w:hAnsi="TimesNewRomanPSMT" w:cs="TimesNewRomanPSMT"/>
          <w:sz w:val="28"/>
          <w:szCs w:val="28"/>
        </w:rPr>
        <w:sectPr w:rsidR="00306B15" w:rsidSect="00306B15">
          <w:headerReference w:type="default" r:id="rId7"/>
          <w:pgSz w:w="12240" w:h="15840"/>
          <w:pgMar w:top="1440" w:right="1440" w:bottom="1170" w:left="1440" w:header="720" w:footer="720" w:gutter="0"/>
          <w:cols w:space="720"/>
          <w:noEndnote/>
          <w:titlePg/>
          <w:docGrid w:linePitch="299"/>
        </w:sectPr>
      </w:pPr>
      <w:r>
        <w:rPr>
          <w:rFonts w:ascii="TimesNewRomanPSMT" w:hAnsi="TimesNewRomanPSMT" w:cs="TimesNewRomanPSMT"/>
          <w:sz w:val="28"/>
          <w:szCs w:val="28"/>
        </w:rPr>
        <w:t xml:space="preserve">Counsel for the Accused:  </w:t>
      </w:r>
      <w:r>
        <w:rPr>
          <w:rFonts w:ascii="TimesNewRomanPSMT" w:hAnsi="TimesNewRomanPSMT" w:cs="TimesNewRomanPSMT"/>
          <w:sz w:val="28"/>
          <w:szCs w:val="28"/>
        </w:rPr>
        <w:tab/>
      </w:r>
      <w:r>
        <w:rPr>
          <w:rFonts w:ascii="TimesNewRomanPSMT" w:hAnsi="TimesNewRomanPSMT" w:cs="TimesNewRomanPSMT"/>
          <w:sz w:val="28"/>
          <w:szCs w:val="28"/>
        </w:rPr>
        <w:tab/>
        <w:t>Charles Davison</w:t>
      </w:r>
    </w:p>
    <w:p w:rsidR="00C239B1" w:rsidRDefault="00C239B1" w:rsidP="000A0E4C">
      <w:pPr>
        <w:widowControl w:val="0"/>
        <w:tabs>
          <w:tab w:val="right" w:pos="4230"/>
        </w:tabs>
        <w:autoSpaceDE w:val="0"/>
        <w:autoSpaceDN w:val="0"/>
        <w:adjustRightInd w:val="0"/>
        <w:spacing w:after="0" w:line="240" w:lineRule="auto"/>
        <w:ind w:right="-432"/>
        <w:jc w:val="both"/>
        <w:rPr>
          <w:rFonts w:ascii="TimesNewRomanPSMT" w:hAnsi="TimesNewRomanPSMT" w:cs="TimesNewRomanPSMT"/>
          <w:sz w:val="28"/>
          <w:szCs w:val="28"/>
          <w:u w:val="single"/>
        </w:rPr>
      </w:pPr>
    </w:p>
    <w:tbl>
      <w:tblPr>
        <w:tblpPr w:leftFromText="180" w:rightFromText="180" w:vertAnchor="text" w:horzAnchor="margin" w:tblpXSpec="right" w:tblpY="824"/>
        <w:tblW w:w="666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660"/>
      </w:tblGrid>
      <w:tr w:rsidR="00306B15" w:rsidRPr="00306B15" w:rsidTr="001B2403">
        <w:tc>
          <w:tcPr>
            <w:tcW w:w="6660" w:type="dxa"/>
            <w:tcBorders>
              <w:top w:val="nil"/>
              <w:left w:val="nil"/>
              <w:right w:val="nil"/>
            </w:tcBorders>
          </w:tcPr>
          <w:p w:rsidR="001F5D66" w:rsidRDefault="00306B15" w:rsidP="00306B15">
            <w:pPr>
              <w:tabs>
                <w:tab w:val="right" w:pos="4230"/>
              </w:tabs>
              <w:spacing w:after="200" w:line="240" w:lineRule="auto"/>
              <w:ind w:right="252"/>
              <w:contextualSpacing/>
              <w:jc w:val="right"/>
              <w:rPr>
                <w:rFonts w:ascii="Times New Roman" w:eastAsia="Times New Roman" w:hAnsi="Times New Roman"/>
                <w:sz w:val="28"/>
                <w:szCs w:val="28"/>
                <w:lang w:eastAsia="en-US"/>
              </w:rPr>
            </w:pPr>
            <w:r w:rsidRPr="00306B15">
              <w:rPr>
                <w:rFonts w:ascii="Times New Roman" w:eastAsia="Times New Roman" w:hAnsi="Times New Roman"/>
                <w:sz w:val="28"/>
                <w:szCs w:val="28"/>
                <w:lang w:eastAsia="en-US"/>
              </w:rPr>
              <w:t>S-1-CR-2018-000 031</w:t>
            </w:r>
          </w:p>
          <w:p w:rsidR="00306B15" w:rsidRPr="00306B15" w:rsidRDefault="00306B15" w:rsidP="00306B15">
            <w:pPr>
              <w:tabs>
                <w:tab w:val="right" w:pos="4230"/>
              </w:tabs>
              <w:spacing w:after="200" w:line="240" w:lineRule="auto"/>
              <w:ind w:right="252"/>
              <w:contextualSpacing/>
              <w:jc w:val="right"/>
              <w:rPr>
                <w:rFonts w:ascii="Times New Roman" w:eastAsia="Times New Roman" w:hAnsi="Times New Roman"/>
                <w:sz w:val="28"/>
                <w:szCs w:val="28"/>
                <w:lang w:val="en-US" w:eastAsia="en-US"/>
              </w:rPr>
            </w:pPr>
            <w:r w:rsidRPr="00306B15">
              <w:rPr>
                <w:rFonts w:ascii="Times New Roman" w:eastAsia="Times New Roman" w:hAnsi="Times New Roman"/>
                <w:sz w:val="28"/>
                <w:szCs w:val="28"/>
                <w:lang w:eastAsia="en-US"/>
              </w:rPr>
              <w:t>S-1-CR-2018-000 033</w:t>
            </w:r>
          </w:p>
        </w:tc>
      </w:tr>
      <w:tr w:rsidR="00306B15" w:rsidRPr="00306B15" w:rsidTr="001B2403">
        <w:tc>
          <w:tcPr>
            <w:tcW w:w="6660" w:type="dxa"/>
            <w:tcBorders>
              <w:left w:val="nil"/>
              <w:right w:val="nil"/>
            </w:tcBorders>
          </w:tcPr>
          <w:p w:rsidR="00306B15" w:rsidRPr="00306B15" w:rsidRDefault="00306B15" w:rsidP="00306B15">
            <w:pPr>
              <w:spacing w:after="0" w:line="240" w:lineRule="auto"/>
              <w:ind w:right="-432"/>
              <w:contextualSpacing/>
              <w:jc w:val="center"/>
              <w:rPr>
                <w:rFonts w:ascii="Times New Roman" w:eastAsia="Times New Roman" w:hAnsi="Times New Roman"/>
                <w:b/>
                <w:bCs/>
                <w:sz w:val="28"/>
                <w:szCs w:val="28"/>
                <w:lang w:val="en-GB" w:eastAsia="en-US"/>
              </w:rPr>
            </w:pPr>
          </w:p>
          <w:p w:rsidR="00306B15" w:rsidRPr="00306B15" w:rsidRDefault="00306B15" w:rsidP="00306B15">
            <w:pPr>
              <w:spacing w:after="0" w:line="240" w:lineRule="auto"/>
              <w:ind w:right="-432"/>
              <w:contextualSpacing/>
              <w:jc w:val="center"/>
              <w:rPr>
                <w:rFonts w:ascii="Times New Roman" w:eastAsia="Times New Roman" w:hAnsi="Times New Roman"/>
                <w:b/>
                <w:bCs/>
                <w:sz w:val="28"/>
                <w:szCs w:val="28"/>
                <w:lang w:val="en-GB" w:eastAsia="en-US"/>
              </w:rPr>
            </w:pPr>
            <w:r w:rsidRPr="00306B15">
              <w:rPr>
                <w:rFonts w:ascii="Times New Roman" w:eastAsia="Times New Roman" w:hAnsi="Times New Roman"/>
                <w:b/>
                <w:bCs/>
                <w:sz w:val="28"/>
                <w:szCs w:val="28"/>
                <w:lang w:val="en-GB" w:eastAsia="en-US"/>
              </w:rPr>
              <w:t>IN THE SUPREME COURT OF THE</w:t>
            </w:r>
          </w:p>
          <w:p w:rsidR="00306B15" w:rsidRDefault="00306B15" w:rsidP="00306B15">
            <w:pPr>
              <w:spacing w:after="0" w:line="240" w:lineRule="auto"/>
              <w:ind w:right="-432"/>
              <w:contextualSpacing/>
              <w:jc w:val="center"/>
              <w:rPr>
                <w:rFonts w:ascii="Times New Roman" w:eastAsia="Times New Roman" w:hAnsi="Times New Roman"/>
                <w:b/>
                <w:bCs/>
                <w:sz w:val="28"/>
                <w:szCs w:val="28"/>
                <w:lang w:val="en-GB" w:eastAsia="en-US"/>
              </w:rPr>
            </w:pPr>
            <w:r w:rsidRPr="00306B15">
              <w:rPr>
                <w:rFonts w:ascii="Times New Roman" w:eastAsia="Times New Roman" w:hAnsi="Times New Roman"/>
                <w:b/>
                <w:bCs/>
                <w:sz w:val="28"/>
                <w:szCs w:val="28"/>
                <w:lang w:val="en-GB" w:eastAsia="en-US"/>
              </w:rPr>
              <w:t>NORTHWEST TERRITORIES</w:t>
            </w:r>
          </w:p>
          <w:p w:rsidR="005E17A6" w:rsidRPr="00306B15" w:rsidRDefault="005E17A6" w:rsidP="00306B15">
            <w:pPr>
              <w:spacing w:after="0" w:line="240" w:lineRule="auto"/>
              <w:ind w:right="-432"/>
              <w:contextualSpacing/>
              <w:jc w:val="center"/>
              <w:rPr>
                <w:rFonts w:ascii="Times New Roman" w:eastAsia="Times New Roman" w:hAnsi="Times New Roman"/>
                <w:sz w:val="28"/>
                <w:szCs w:val="28"/>
                <w:lang w:val="en-GB" w:eastAsia="en-US"/>
              </w:rPr>
            </w:pPr>
          </w:p>
        </w:tc>
      </w:tr>
      <w:tr w:rsidR="00306B15" w:rsidRPr="00306B15" w:rsidTr="001B2403">
        <w:tc>
          <w:tcPr>
            <w:tcW w:w="6660" w:type="dxa"/>
            <w:tcBorders>
              <w:left w:val="nil"/>
              <w:right w:val="nil"/>
            </w:tcBorders>
          </w:tcPr>
          <w:p w:rsidR="00306B15" w:rsidRPr="00306B15" w:rsidRDefault="00306B15" w:rsidP="00306B15">
            <w:pPr>
              <w:spacing w:after="0" w:line="240" w:lineRule="auto"/>
              <w:ind w:right="-432"/>
              <w:contextualSpacing/>
              <w:rPr>
                <w:rFonts w:ascii="Times New Roman" w:eastAsia="Times New Roman" w:hAnsi="Times New Roman"/>
                <w:b/>
                <w:bCs/>
                <w:sz w:val="28"/>
                <w:szCs w:val="28"/>
                <w:lang w:val="en-GB" w:eastAsia="en-US"/>
              </w:rPr>
            </w:pPr>
          </w:p>
          <w:p w:rsidR="00306B15" w:rsidRPr="00306B15" w:rsidRDefault="00306B15" w:rsidP="00306B15">
            <w:pPr>
              <w:spacing w:after="0" w:line="240" w:lineRule="auto"/>
              <w:ind w:right="-432"/>
              <w:contextualSpacing/>
              <w:rPr>
                <w:rFonts w:ascii="Times New Roman" w:eastAsia="Times New Roman" w:hAnsi="Times New Roman"/>
                <w:b/>
                <w:bCs/>
                <w:sz w:val="28"/>
                <w:szCs w:val="28"/>
                <w:lang w:val="en-GB" w:eastAsia="en-US"/>
              </w:rPr>
            </w:pPr>
            <w:r w:rsidRPr="00306B15">
              <w:rPr>
                <w:rFonts w:ascii="Times New Roman" w:eastAsia="Times New Roman" w:hAnsi="Times New Roman"/>
                <w:b/>
                <w:bCs/>
                <w:sz w:val="28"/>
                <w:szCs w:val="28"/>
                <w:lang w:val="en-GB" w:eastAsia="en-US"/>
              </w:rPr>
              <w:t>BETWEEN:</w:t>
            </w:r>
          </w:p>
          <w:p w:rsidR="00306B15" w:rsidRPr="00306B15" w:rsidRDefault="00306B15" w:rsidP="00306B15">
            <w:pPr>
              <w:spacing w:after="0" w:line="240" w:lineRule="auto"/>
              <w:ind w:right="-432"/>
              <w:contextualSpacing/>
              <w:rPr>
                <w:rFonts w:ascii="Times New Roman" w:eastAsia="Times New Roman" w:hAnsi="Times New Roman"/>
                <w:b/>
                <w:bCs/>
                <w:sz w:val="28"/>
                <w:szCs w:val="28"/>
                <w:lang w:val="en-GB" w:eastAsia="en-US"/>
              </w:rPr>
            </w:pPr>
          </w:p>
          <w:p w:rsidR="00306B15" w:rsidRPr="00306B15" w:rsidRDefault="00306B15" w:rsidP="00306B15">
            <w:pPr>
              <w:spacing w:after="0" w:line="240" w:lineRule="auto"/>
              <w:jc w:val="center"/>
              <w:rPr>
                <w:rFonts w:ascii="Times New Roman" w:eastAsia="Times New Roman" w:hAnsi="Times New Roman"/>
                <w:color w:val="000000"/>
                <w:sz w:val="28"/>
                <w:szCs w:val="28"/>
                <w:lang w:eastAsia="en-US"/>
              </w:rPr>
            </w:pPr>
            <w:r w:rsidRPr="00306B15">
              <w:rPr>
                <w:rFonts w:ascii="Times New Roman" w:eastAsia="Times New Roman" w:hAnsi="Times New Roman"/>
                <w:color w:val="000000"/>
                <w:sz w:val="28"/>
                <w:szCs w:val="28"/>
                <w:lang w:eastAsia="en-US"/>
              </w:rPr>
              <w:t>HER MAJESTY THE QUEEN</w:t>
            </w:r>
          </w:p>
          <w:p w:rsidR="00306B15" w:rsidRPr="00306B15" w:rsidRDefault="00306B15" w:rsidP="00306B15">
            <w:pPr>
              <w:spacing w:after="0" w:line="240" w:lineRule="auto"/>
              <w:rPr>
                <w:rFonts w:ascii="Times New Roman" w:eastAsia="Times New Roman" w:hAnsi="Times New Roman"/>
                <w:color w:val="000000"/>
                <w:sz w:val="28"/>
                <w:szCs w:val="28"/>
                <w:lang w:eastAsia="en-US"/>
              </w:rPr>
            </w:pPr>
          </w:p>
          <w:p w:rsidR="00306B15" w:rsidRPr="00306B15" w:rsidRDefault="00306B15" w:rsidP="00306B15">
            <w:pPr>
              <w:spacing w:after="0" w:line="240" w:lineRule="auto"/>
              <w:rPr>
                <w:rFonts w:ascii="Times New Roman" w:eastAsia="Times New Roman" w:hAnsi="Times New Roman"/>
                <w:color w:val="000000"/>
                <w:sz w:val="28"/>
                <w:szCs w:val="28"/>
                <w:lang w:eastAsia="en-US"/>
              </w:rPr>
            </w:pPr>
          </w:p>
          <w:p w:rsidR="00306B15" w:rsidRPr="00306B15" w:rsidRDefault="00306B15" w:rsidP="00306B15">
            <w:pPr>
              <w:spacing w:after="0" w:line="240" w:lineRule="auto"/>
              <w:jc w:val="center"/>
              <w:rPr>
                <w:rFonts w:ascii="Times New Roman" w:eastAsia="Times New Roman" w:hAnsi="Times New Roman"/>
                <w:color w:val="000000"/>
                <w:sz w:val="28"/>
                <w:szCs w:val="28"/>
                <w:lang w:eastAsia="en-US"/>
              </w:rPr>
            </w:pPr>
            <w:r w:rsidRPr="00306B15">
              <w:rPr>
                <w:rFonts w:ascii="Times New Roman" w:eastAsia="Times New Roman" w:hAnsi="Times New Roman"/>
                <w:color w:val="000000"/>
                <w:sz w:val="28"/>
                <w:szCs w:val="28"/>
                <w:lang w:eastAsia="en-US"/>
              </w:rPr>
              <w:t>-and-</w:t>
            </w:r>
          </w:p>
          <w:p w:rsidR="00306B15" w:rsidRPr="00306B15" w:rsidRDefault="00306B15" w:rsidP="00306B15">
            <w:pPr>
              <w:spacing w:after="0" w:line="240" w:lineRule="auto"/>
              <w:jc w:val="center"/>
              <w:rPr>
                <w:rFonts w:ascii="Times New Roman" w:eastAsia="Times New Roman" w:hAnsi="Times New Roman"/>
                <w:color w:val="000000"/>
                <w:sz w:val="28"/>
                <w:szCs w:val="28"/>
                <w:lang w:eastAsia="en-US"/>
              </w:rPr>
            </w:pPr>
          </w:p>
          <w:p w:rsidR="00306B15" w:rsidRPr="00306B15" w:rsidRDefault="00306B15" w:rsidP="00306B15">
            <w:pPr>
              <w:tabs>
                <w:tab w:val="left" w:pos="6396"/>
              </w:tabs>
              <w:spacing w:after="0" w:line="240" w:lineRule="auto"/>
              <w:rPr>
                <w:rFonts w:ascii="Times New Roman" w:eastAsia="Times New Roman" w:hAnsi="Times New Roman"/>
                <w:color w:val="000000"/>
                <w:sz w:val="28"/>
                <w:szCs w:val="28"/>
                <w:lang w:eastAsia="en-US"/>
              </w:rPr>
            </w:pPr>
          </w:p>
          <w:p w:rsidR="00306B15" w:rsidRPr="00306B15" w:rsidRDefault="00306B15" w:rsidP="00306B15">
            <w:pPr>
              <w:spacing w:after="0" w:line="240" w:lineRule="auto"/>
              <w:jc w:val="center"/>
              <w:rPr>
                <w:rFonts w:ascii="Times New Roman" w:eastAsia="Times New Roman" w:hAnsi="Times New Roman"/>
                <w:color w:val="000000"/>
                <w:sz w:val="28"/>
                <w:szCs w:val="28"/>
                <w:lang w:eastAsia="en-US"/>
              </w:rPr>
            </w:pPr>
            <w:r w:rsidRPr="00306B15">
              <w:rPr>
                <w:rFonts w:ascii="Times New Roman" w:eastAsia="Times New Roman" w:hAnsi="Times New Roman"/>
                <w:color w:val="000000"/>
                <w:sz w:val="28"/>
                <w:szCs w:val="28"/>
                <w:lang w:eastAsia="en-US"/>
              </w:rPr>
              <w:t>DALTON LEE LAFFERTY</w:t>
            </w:r>
          </w:p>
          <w:p w:rsidR="00306B15" w:rsidRPr="00306B15" w:rsidRDefault="00306B15" w:rsidP="00306B15">
            <w:pPr>
              <w:spacing w:after="0" w:line="240" w:lineRule="auto"/>
              <w:jc w:val="center"/>
              <w:rPr>
                <w:rFonts w:ascii="Times New Roman" w:eastAsia="Times New Roman" w:hAnsi="Times New Roman"/>
                <w:color w:val="000000"/>
                <w:sz w:val="28"/>
                <w:szCs w:val="28"/>
                <w:lang w:eastAsia="en-US"/>
              </w:rPr>
            </w:pPr>
          </w:p>
          <w:p w:rsidR="00306B15" w:rsidRPr="00306B15" w:rsidRDefault="00306B15" w:rsidP="00306B15">
            <w:pPr>
              <w:spacing w:after="0" w:line="240" w:lineRule="auto"/>
              <w:jc w:val="center"/>
              <w:rPr>
                <w:rFonts w:ascii="Times New Roman" w:eastAsia="Times New Roman" w:hAnsi="Times New Roman"/>
                <w:color w:val="000000"/>
                <w:sz w:val="28"/>
                <w:szCs w:val="28"/>
                <w:lang w:eastAsia="en-US"/>
              </w:rPr>
            </w:pPr>
          </w:p>
          <w:p w:rsidR="00306B15" w:rsidRPr="00306B15" w:rsidRDefault="00306B15" w:rsidP="00306B15">
            <w:pPr>
              <w:spacing w:after="0" w:line="240" w:lineRule="auto"/>
              <w:ind w:right="-432"/>
              <w:contextualSpacing/>
              <w:rPr>
                <w:rFonts w:ascii="Times New Roman" w:eastAsia="Times New Roman" w:hAnsi="Times New Roman"/>
                <w:b/>
                <w:bCs/>
                <w:sz w:val="28"/>
                <w:szCs w:val="28"/>
                <w:lang w:val="en-GB" w:eastAsia="en-US"/>
              </w:rPr>
            </w:pPr>
          </w:p>
        </w:tc>
      </w:tr>
      <w:tr w:rsidR="00306B15" w:rsidRPr="00306B15" w:rsidTr="001B2403">
        <w:trPr>
          <w:trHeight w:val="1496"/>
        </w:trPr>
        <w:tc>
          <w:tcPr>
            <w:tcW w:w="6660" w:type="dxa"/>
            <w:tcBorders>
              <w:left w:val="nil"/>
              <w:right w:val="nil"/>
            </w:tcBorders>
          </w:tcPr>
          <w:p w:rsidR="00306B15" w:rsidRPr="00306B15" w:rsidRDefault="00306B15" w:rsidP="00306B15">
            <w:pPr>
              <w:tabs>
                <w:tab w:val="right" w:pos="4230"/>
              </w:tabs>
              <w:spacing w:after="200" w:line="240" w:lineRule="auto"/>
              <w:ind w:right="72"/>
              <w:contextualSpacing/>
              <w:jc w:val="center"/>
              <w:rPr>
                <w:rFonts w:ascii="Times New Roman" w:eastAsia="Times New Roman" w:hAnsi="Times New Roman"/>
                <w:sz w:val="28"/>
                <w:szCs w:val="28"/>
                <w:lang w:eastAsia="en-US"/>
              </w:rPr>
            </w:pPr>
          </w:p>
          <w:p w:rsidR="00306B15" w:rsidRPr="00306B15" w:rsidRDefault="00306B15" w:rsidP="00306B15">
            <w:pPr>
              <w:widowControl w:val="0"/>
              <w:autoSpaceDE w:val="0"/>
              <w:autoSpaceDN w:val="0"/>
              <w:adjustRightInd w:val="0"/>
              <w:spacing w:after="0" w:line="240" w:lineRule="auto"/>
              <w:jc w:val="center"/>
              <w:rPr>
                <w:rFonts w:ascii="TimesNewRomanPSMT" w:hAnsi="TimesNewRomanPSMT" w:cs="TimesNewRomanPSMT"/>
                <w:sz w:val="28"/>
                <w:szCs w:val="28"/>
              </w:rPr>
            </w:pPr>
            <w:r w:rsidRPr="00306B15">
              <w:rPr>
                <w:rFonts w:ascii="TimesNewRomanPSMT" w:hAnsi="TimesNewRomanPSMT" w:cs="TimesNewRomanPSMT"/>
                <w:sz w:val="28"/>
                <w:szCs w:val="28"/>
              </w:rPr>
              <w:t xml:space="preserve">RULING ON CHALLENGE TO MANDATORY </w:t>
            </w:r>
          </w:p>
          <w:p w:rsidR="00306B15" w:rsidRPr="00306B15" w:rsidRDefault="00306B15" w:rsidP="00306B15">
            <w:pPr>
              <w:widowControl w:val="0"/>
              <w:autoSpaceDE w:val="0"/>
              <w:autoSpaceDN w:val="0"/>
              <w:adjustRightInd w:val="0"/>
              <w:spacing w:after="0" w:line="240" w:lineRule="auto"/>
              <w:jc w:val="center"/>
              <w:rPr>
                <w:rFonts w:ascii="TimesNewRomanPSMT" w:hAnsi="TimesNewRomanPSMT" w:cs="TimesNewRomanPSMT"/>
                <w:sz w:val="28"/>
                <w:szCs w:val="28"/>
              </w:rPr>
            </w:pPr>
            <w:r w:rsidRPr="00306B15">
              <w:rPr>
                <w:rFonts w:ascii="TimesNewRomanPSMT" w:hAnsi="TimesNewRomanPSMT" w:cs="TimesNewRomanPSMT"/>
                <w:sz w:val="28"/>
                <w:szCs w:val="28"/>
              </w:rPr>
              <w:t xml:space="preserve">LIFETIME </w:t>
            </w:r>
            <w:r w:rsidRPr="00306B15">
              <w:rPr>
                <w:rFonts w:ascii="TimesNewRomanPSMT" w:hAnsi="TimesNewRomanPSMT" w:cs="TimesNewRomanPSMT"/>
                <w:i/>
                <w:iCs/>
                <w:sz w:val="28"/>
                <w:szCs w:val="28"/>
              </w:rPr>
              <w:t xml:space="preserve">SOIRA </w:t>
            </w:r>
            <w:r w:rsidRPr="00306B15">
              <w:rPr>
                <w:rFonts w:ascii="TimesNewRomanPSMT" w:hAnsi="TimesNewRomanPSMT" w:cs="TimesNewRomanPSMT"/>
                <w:sz w:val="28"/>
                <w:szCs w:val="28"/>
              </w:rPr>
              <w:t>ORDER</w:t>
            </w:r>
          </w:p>
          <w:p w:rsidR="00306B15" w:rsidRPr="00306B15" w:rsidRDefault="00306B15" w:rsidP="00306B15">
            <w:pPr>
              <w:tabs>
                <w:tab w:val="right" w:pos="4230"/>
              </w:tabs>
              <w:spacing w:after="200" w:line="240" w:lineRule="auto"/>
              <w:contextualSpacing/>
              <w:jc w:val="center"/>
              <w:rPr>
                <w:rFonts w:ascii="Times New Roman" w:eastAsia="Times New Roman" w:hAnsi="Times New Roman"/>
                <w:sz w:val="28"/>
                <w:szCs w:val="28"/>
                <w:lang w:eastAsia="en-US"/>
              </w:rPr>
            </w:pPr>
            <w:r w:rsidRPr="00306B15">
              <w:rPr>
                <w:rFonts w:ascii="Times New Roman" w:eastAsia="Times New Roman" w:hAnsi="Times New Roman"/>
                <w:sz w:val="28"/>
                <w:szCs w:val="28"/>
                <w:lang w:eastAsia="en-US"/>
              </w:rPr>
              <w:t>OF THE HONOURABLE JUSTICE</w:t>
            </w:r>
          </w:p>
          <w:p w:rsidR="00306B15" w:rsidRDefault="00306B15" w:rsidP="00306B15">
            <w:pPr>
              <w:tabs>
                <w:tab w:val="right" w:pos="4230"/>
              </w:tabs>
              <w:spacing w:after="200" w:line="240" w:lineRule="auto"/>
              <w:contextualSpacing/>
              <w:jc w:val="center"/>
              <w:rPr>
                <w:rFonts w:ascii="Times New Roman" w:eastAsia="Times New Roman" w:hAnsi="Times New Roman"/>
                <w:sz w:val="28"/>
                <w:szCs w:val="28"/>
                <w:lang w:eastAsia="en-US"/>
              </w:rPr>
            </w:pPr>
            <w:r w:rsidRPr="00306B15">
              <w:rPr>
                <w:rFonts w:ascii="Times New Roman" w:eastAsia="Times New Roman" w:hAnsi="Times New Roman"/>
                <w:sz w:val="28"/>
                <w:szCs w:val="28"/>
                <w:lang w:eastAsia="en-US"/>
              </w:rPr>
              <w:t>L.A. CHARBONNEAU</w:t>
            </w:r>
          </w:p>
          <w:p w:rsidR="00306B15" w:rsidRPr="00306B15" w:rsidRDefault="00306B15" w:rsidP="00306B15">
            <w:pPr>
              <w:tabs>
                <w:tab w:val="right" w:pos="4230"/>
              </w:tabs>
              <w:spacing w:after="200" w:line="240" w:lineRule="auto"/>
              <w:contextualSpacing/>
              <w:jc w:val="center"/>
              <w:rPr>
                <w:rFonts w:ascii="Times New Roman" w:eastAsia="Times New Roman" w:hAnsi="Times New Roman"/>
                <w:sz w:val="28"/>
                <w:szCs w:val="28"/>
                <w:lang w:val="en-US" w:eastAsia="en-US"/>
              </w:rPr>
            </w:pPr>
          </w:p>
        </w:tc>
      </w:tr>
    </w:tbl>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4C3077" w:rsidRDefault="004C3077" w:rsidP="000A0E4C">
      <w:pPr>
        <w:widowControl w:val="0"/>
        <w:autoSpaceDE w:val="0"/>
        <w:autoSpaceDN w:val="0"/>
        <w:adjustRightInd w:val="0"/>
        <w:spacing w:after="200" w:line="240" w:lineRule="auto"/>
        <w:rPr>
          <w:rFonts w:ascii="TimesNewRomanPSMT" w:hAnsi="TimesNewRomanPSMT" w:cs="TimesNewRomanPSMT"/>
          <w:sz w:val="28"/>
          <w:szCs w:val="28"/>
          <w:u w:val="single"/>
        </w:rPr>
      </w:pPr>
    </w:p>
    <w:p w:rsidR="00C239B1" w:rsidRDefault="00C239B1" w:rsidP="000A0E4C">
      <w:pPr>
        <w:widowControl w:val="0"/>
        <w:tabs>
          <w:tab w:val="right" w:pos="4230"/>
        </w:tabs>
        <w:autoSpaceDE w:val="0"/>
        <w:autoSpaceDN w:val="0"/>
        <w:adjustRightInd w:val="0"/>
        <w:spacing w:after="0" w:line="240" w:lineRule="auto"/>
        <w:ind w:right="-630"/>
        <w:rPr>
          <w:rFonts w:ascii="TimesNewRomanPSMT" w:hAnsi="TimesNewRomanPSMT" w:cs="TimesNewRomanPSMT"/>
          <w:sz w:val="28"/>
          <w:szCs w:val="28"/>
        </w:rPr>
      </w:pPr>
    </w:p>
    <w:sectPr w:rsidR="00C239B1" w:rsidSect="00306B15">
      <w:pgSz w:w="12240" w:h="15840"/>
      <w:pgMar w:top="1440" w:right="1440" w:bottom="117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3F" w:rsidRDefault="00644A3F" w:rsidP="00306B15">
      <w:pPr>
        <w:spacing w:after="0" w:line="240" w:lineRule="auto"/>
      </w:pPr>
      <w:r>
        <w:separator/>
      </w:r>
    </w:p>
  </w:endnote>
  <w:endnote w:type="continuationSeparator" w:id="0">
    <w:p w:rsidR="00644A3F" w:rsidRDefault="00644A3F" w:rsidP="0030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3F" w:rsidRDefault="00644A3F" w:rsidP="00306B15">
      <w:pPr>
        <w:spacing w:after="0" w:line="240" w:lineRule="auto"/>
      </w:pPr>
      <w:r>
        <w:separator/>
      </w:r>
    </w:p>
  </w:footnote>
  <w:footnote w:type="continuationSeparator" w:id="0">
    <w:p w:rsidR="00644A3F" w:rsidRDefault="00644A3F" w:rsidP="00306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15" w:rsidRPr="00306B15" w:rsidRDefault="00306B15">
    <w:pPr>
      <w:pStyle w:val="Header"/>
      <w:jc w:val="right"/>
      <w:rPr>
        <w:rFonts w:ascii="Times New Roman" w:hAnsi="Times New Roman"/>
      </w:rPr>
    </w:pPr>
    <w:r w:rsidRPr="00306B15">
      <w:rPr>
        <w:rFonts w:ascii="Times New Roman" w:hAnsi="Times New Roman"/>
      </w:rPr>
      <w:t xml:space="preserve">Page: </w:t>
    </w:r>
    <w:sdt>
      <w:sdtPr>
        <w:rPr>
          <w:rFonts w:ascii="Times New Roman" w:hAnsi="Times New Roman"/>
        </w:rPr>
        <w:id w:val="-609818143"/>
        <w:docPartObj>
          <w:docPartGallery w:val="Page Numbers (Top of Page)"/>
          <w:docPartUnique/>
        </w:docPartObj>
      </w:sdtPr>
      <w:sdtEndPr>
        <w:rPr>
          <w:noProof/>
        </w:rPr>
      </w:sdtEndPr>
      <w:sdtContent>
        <w:r w:rsidRPr="00306B15">
          <w:rPr>
            <w:rFonts w:ascii="Times New Roman" w:hAnsi="Times New Roman"/>
          </w:rPr>
          <w:fldChar w:fldCharType="begin"/>
        </w:r>
        <w:r w:rsidRPr="00306B15">
          <w:rPr>
            <w:rFonts w:ascii="Times New Roman" w:hAnsi="Times New Roman"/>
          </w:rPr>
          <w:instrText xml:space="preserve"> PAGE   \* MERGEFORMAT </w:instrText>
        </w:r>
        <w:r w:rsidRPr="00306B15">
          <w:rPr>
            <w:rFonts w:ascii="Times New Roman" w:hAnsi="Times New Roman"/>
          </w:rPr>
          <w:fldChar w:fldCharType="separate"/>
        </w:r>
        <w:r w:rsidR="00131C64">
          <w:rPr>
            <w:rFonts w:ascii="Times New Roman" w:hAnsi="Times New Roman"/>
            <w:noProof/>
          </w:rPr>
          <w:t>7</w:t>
        </w:r>
        <w:r w:rsidRPr="00306B15">
          <w:rPr>
            <w:rFonts w:ascii="Times New Roman" w:hAnsi="Times New Roman"/>
            <w:noProof/>
          </w:rPr>
          <w:fldChar w:fldCharType="end"/>
        </w:r>
      </w:sdtContent>
    </w:sdt>
  </w:p>
  <w:p w:rsidR="00306B15" w:rsidRDefault="00306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94D1F"/>
    <w:multiLevelType w:val="hybridMultilevel"/>
    <w:tmpl w:val="B1F44B24"/>
    <w:lvl w:ilvl="0" w:tplc="069C06CE">
      <w:start w:val="1"/>
      <w:numFmt w:val="decimal"/>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577F1"/>
    <w:multiLevelType w:val="hybridMultilevel"/>
    <w:tmpl w:val="78A8214A"/>
    <w:lvl w:ilvl="0" w:tplc="069C06CE">
      <w:start w:val="1"/>
      <w:numFmt w:val="decimal"/>
      <w:lvlText w:val="[%1]"/>
      <w:lvlJc w:val="left"/>
      <w:pPr>
        <w:ind w:left="828"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 w15:restartNumberingAfterBreak="0">
    <w:nsid w:val="72142C19"/>
    <w:multiLevelType w:val="hybridMultilevel"/>
    <w:tmpl w:val="D940E9FA"/>
    <w:lvl w:ilvl="0" w:tplc="069C06CE">
      <w:start w:val="1"/>
      <w:numFmt w:val="decimal"/>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80E9F"/>
    <w:multiLevelType w:val="hybridMultilevel"/>
    <w:tmpl w:val="94C6113E"/>
    <w:lvl w:ilvl="0" w:tplc="E962F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B0"/>
    <w:rsid w:val="000652C0"/>
    <w:rsid w:val="000A0E4C"/>
    <w:rsid w:val="00131C64"/>
    <w:rsid w:val="0017420F"/>
    <w:rsid w:val="001A6420"/>
    <w:rsid w:val="001F5D66"/>
    <w:rsid w:val="00214B61"/>
    <w:rsid w:val="002D52E0"/>
    <w:rsid w:val="002E1341"/>
    <w:rsid w:val="00306B15"/>
    <w:rsid w:val="00322067"/>
    <w:rsid w:val="003345BD"/>
    <w:rsid w:val="00397B22"/>
    <w:rsid w:val="004028BC"/>
    <w:rsid w:val="0043033C"/>
    <w:rsid w:val="00450E31"/>
    <w:rsid w:val="004A5085"/>
    <w:rsid w:val="004C3077"/>
    <w:rsid w:val="004D56EB"/>
    <w:rsid w:val="00511CE6"/>
    <w:rsid w:val="005131B6"/>
    <w:rsid w:val="00577092"/>
    <w:rsid w:val="005E17A6"/>
    <w:rsid w:val="00606FBD"/>
    <w:rsid w:val="00607490"/>
    <w:rsid w:val="00620145"/>
    <w:rsid w:val="00644A3F"/>
    <w:rsid w:val="0065244C"/>
    <w:rsid w:val="00672AB0"/>
    <w:rsid w:val="006938E5"/>
    <w:rsid w:val="00694BA8"/>
    <w:rsid w:val="006E78D3"/>
    <w:rsid w:val="007B3B9C"/>
    <w:rsid w:val="00827E58"/>
    <w:rsid w:val="00900D73"/>
    <w:rsid w:val="009232BE"/>
    <w:rsid w:val="009422FC"/>
    <w:rsid w:val="00A45CBE"/>
    <w:rsid w:val="00AD2A56"/>
    <w:rsid w:val="00B700B5"/>
    <w:rsid w:val="00C239B1"/>
    <w:rsid w:val="00C47147"/>
    <w:rsid w:val="00C60507"/>
    <w:rsid w:val="00C62274"/>
    <w:rsid w:val="00C66A7B"/>
    <w:rsid w:val="00CC6958"/>
    <w:rsid w:val="00CD356A"/>
    <w:rsid w:val="00CF09DE"/>
    <w:rsid w:val="00D408B4"/>
    <w:rsid w:val="00E33DBD"/>
    <w:rsid w:val="00E4382A"/>
    <w:rsid w:val="00E55267"/>
    <w:rsid w:val="00E661B5"/>
    <w:rsid w:val="00E75EC2"/>
    <w:rsid w:val="00EB43A9"/>
    <w:rsid w:val="00F255EA"/>
    <w:rsid w:val="00F27A26"/>
    <w:rsid w:val="00F3196A"/>
    <w:rsid w:val="00F52148"/>
    <w:rsid w:val="00F5295D"/>
    <w:rsid w:val="00F73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F0B10269-979F-4ACC-90CE-4DD75307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15"/>
    <w:rPr>
      <w:lang w:val="en-CA" w:eastAsia="en-CA"/>
    </w:rPr>
  </w:style>
  <w:style w:type="paragraph" w:styleId="Footer">
    <w:name w:val="footer"/>
    <w:basedOn w:val="Normal"/>
    <w:link w:val="FooterChar"/>
    <w:uiPriority w:val="99"/>
    <w:unhideWhenUsed/>
    <w:rsid w:val="00306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15"/>
    <w:rPr>
      <w:lang w:val="en-CA" w:eastAsia="en-CA"/>
    </w:rPr>
  </w:style>
  <w:style w:type="paragraph" w:styleId="ListParagraph">
    <w:name w:val="List Paragraph"/>
    <w:basedOn w:val="Normal"/>
    <w:uiPriority w:val="34"/>
    <w:qFormat/>
    <w:rsid w:val="00450E31"/>
    <w:pPr>
      <w:ind w:left="720"/>
      <w:contextualSpacing/>
    </w:pPr>
  </w:style>
  <w:style w:type="paragraph" w:styleId="BalloonText">
    <w:name w:val="Balloon Text"/>
    <w:basedOn w:val="Normal"/>
    <w:link w:val="BalloonTextChar"/>
    <w:uiPriority w:val="99"/>
    <w:semiHidden/>
    <w:unhideWhenUsed/>
    <w:rsid w:val="0060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90"/>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4340</Words>
  <Characters>22007</Characters>
  <Application>Microsoft Office Word</Application>
  <DocSecurity>4</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O'Rourke</dc:creator>
  <cp:keywords/>
  <dc:description/>
  <cp:lastModifiedBy>Shirley Mair</cp:lastModifiedBy>
  <cp:revision>2</cp:revision>
  <cp:lastPrinted>2020-02-27T19:13:00Z</cp:lastPrinted>
  <dcterms:created xsi:type="dcterms:W3CDTF">2020-02-27T20:29:00Z</dcterms:created>
  <dcterms:modified xsi:type="dcterms:W3CDTF">2020-02-27T20:29:00Z</dcterms:modified>
</cp:coreProperties>
</file>