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24" w:rsidRDefault="002A3E01" w:rsidP="00E92A4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081824">
        <w:rPr>
          <w:rFonts w:ascii="Times New Roman" w:hAnsi="Times New Roman" w:cs="Times New Roman"/>
          <w:i/>
          <w:sz w:val="24"/>
          <w:szCs w:val="24"/>
        </w:rPr>
        <w:t>The Commissioner of the Northwest Territories v</w:t>
      </w:r>
    </w:p>
    <w:p w:rsidR="00B94F8E" w:rsidRPr="0032647A" w:rsidRDefault="00081824" w:rsidP="00E92A4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923115 NWT Limited et al., </w:t>
      </w:r>
      <w:r w:rsidR="00845368">
        <w:rPr>
          <w:rFonts w:ascii="Times New Roman" w:hAnsi="Times New Roman" w:cs="Times New Roman"/>
          <w:sz w:val="24"/>
          <w:szCs w:val="24"/>
        </w:rPr>
        <w:t>201</w:t>
      </w:r>
      <w:r w:rsidR="00283913">
        <w:rPr>
          <w:rFonts w:ascii="Times New Roman" w:hAnsi="Times New Roman" w:cs="Times New Roman"/>
          <w:sz w:val="24"/>
          <w:szCs w:val="24"/>
        </w:rPr>
        <w:t>9</w:t>
      </w:r>
      <w:r w:rsidR="00E23354">
        <w:rPr>
          <w:rFonts w:ascii="Times New Roman" w:hAnsi="Times New Roman" w:cs="Times New Roman"/>
          <w:sz w:val="24"/>
          <w:szCs w:val="24"/>
        </w:rPr>
        <w:t xml:space="preserve"> NWTSC </w:t>
      </w:r>
      <w:r w:rsidR="00283913">
        <w:rPr>
          <w:rFonts w:ascii="Times New Roman" w:hAnsi="Times New Roman" w:cs="Times New Roman"/>
          <w:sz w:val="24"/>
          <w:szCs w:val="24"/>
        </w:rPr>
        <w:t>13</w:t>
      </w:r>
    </w:p>
    <w:p w:rsidR="00B94F8E" w:rsidRPr="0032647A" w:rsidRDefault="001922F6" w:rsidP="00E92A45">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EA15D9" w:rsidRPr="0032647A">
        <w:rPr>
          <w:rFonts w:ascii="Times New Roman" w:hAnsi="Times New Roman" w:cs="Times New Roman"/>
          <w:sz w:val="28"/>
          <w:szCs w:val="28"/>
        </w:rPr>
        <w:t>1</w:t>
      </w:r>
      <w:r w:rsidR="00283913">
        <w:rPr>
          <w:rFonts w:ascii="Times New Roman" w:hAnsi="Times New Roman" w:cs="Times New Roman"/>
          <w:sz w:val="28"/>
          <w:szCs w:val="28"/>
        </w:rPr>
        <w:t>9</w:t>
      </w:r>
      <w:r w:rsidR="00B94F8E" w:rsidRPr="0032647A">
        <w:rPr>
          <w:rFonts w:ascii="Times New Roman" w:hAnsi="Times New Roman" w:cs="Times New Roman"/>
          <w:sz w:val="28"/>
          <w:szCs w:val="28"/>
        </w:rPr>
        <w:t xml:space="preserve"> </w:t>
      </w:r>
      <w:r w:rsidR="00283913">
        <w:rPr>
          <w:rFonts w:ascii="Times New Roman" w:hAnsi="Times New Roman" w:cs="Times New Roman"/>
          <w:sz w:val="28"/>
          <w:szCs w:val="28"/>
        </w:rPr>
        <w:t>04</w:t>
      </w:r>
      <w:r w:rsidR="00081824">
        <w:rPr>
          <w:rFonts w:ascii="Times New Roman" w:hAnsi="Times New Roman" w:cs="Times New Roman"/>
          <w:sz w:val="28"/>
          <w:szCs w:val="28"/>
        </w:rPr>
        <w:t xml:space="preserve"> </w:t>
      </w:r>
      <w:r w:rsidR="0058795A">
        <w:rPr>
          <w:rFonts w:ascii="Times New Roman" w:hAnsi="Times New Roman" w:cs="Times New Roman"/>
          <w:sz w:val="28"/>
          <w:szCs w:val="28"/>
        </w:rPr>
        <w:t>10</w:t>
      </w:r>
    </w:p>
    <w:p w:rsidR="00B94F8E" w:rsidRDefault="001922F6" w:rsidP="00E92A45">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3079CA" w:rsidRPr="0032647A">
        <w:rPr>
          <w:rFonts w:ascii="Times New Roman" w:hAnsi="Times New Roman" w:cs="Times New Roman"/>
          <w:sz w:val="28"/>
          <w:szCs w:val="28"/>
        </w:rPr>
        <w:t>S-</w:t>
      </w:r>
      <w:r w:rsidR="00B94F8E" w:rsidRPr="0032647A">
        <w:rPr>
          <w:rFonts w:ascii="Times New Roman" w:hAnsi="Times New Roman" w:cs="Times New Roman"/>
          <w:sz w:val="28"/>
          <w:szCs w:val="28"/>
        </w:rPr>
        <w:t>1-</w:t>
      </w:r>
      <w:r w:rsidR="007B1B0E">
        <w:rPr>
          <w:rFonts w:ascii="Times New Roman" w:hAnsi="Times New Roman" w:cs="Times New Roman"/>
          <w:sz w:val="28"/>
          <w:szCs w:val="28"/>
        </w:rPr>
        <w:t>CV 2014-000-056</w:t>
      </w:r>
    </w:p>
    <w:p w:rsidR="00CB5C02" w:rsidRDefault="00CB5C02" w:rsidP="00E92A45">
      <w:pPr>
        <w:spacing w:after="0" w:line="240" w:lineRule="auto"/>
        <w:jc w:val="right"/>
        <w:rPr>
          <w:rFonts w:ascii="Times New Roman" w:hAnsi="Times New Roman" w:cs="Times New Roman"/>
          <w:sz w:val="28"/>
          <w:szCs w:val="28"/>
        </w:rPr>
      </w:pPr>
    </w:p>
    <w:p w:rsidR="00CB5C02" w:rsidRDefault="00CB5C02" w:rsidP="00E92A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CB5C02" w:rsidRDefault="00CB5C02" w:rsidP="00E92A45">
      <w:pPr>
        <w:spacing w:after="0" w:line="240" w:lineRule="auto"/>
        <w:rPr>
          <w:rFonts w:ascii="Times New Roman" w:hAnsi="Times New Roman" w:cs="Times New Roman"/>
          <w:b/>
          <w:sz w:val="28"/>
          <w:szCs w:val="28"/>
        </w:rPr>
      </w:pPr>
    </w:p>
    <w:p w:rsidR="00CB5C02" w:rsidRPr="00CB5C02" w:rsidRDefault="00CB5C02" w:rsidP="00E92A45">
      <w:pPr>
        <w:spacing w:after="0" w:line="240" w:lineRule="auto"/>
        <w:rPr>
          <w:rFonts w:ascii="Times New Roman" w:hAnsi="Times New Roman" w:cs="Times New Roman"/>
          <w:b/>
          <w:sz w:val="28"/>
          <w:szCs w:val="28"/>
        </w:rPr>
      </w:pPr>
      <w:r>
        <w:rPr>
          <w:rFonts w:ascii="Times New Roman" w:hAnsi="Times New Roman" w:cs="Times New Roman"/>
          <w:b/>
          <w:sz w:val="28"/>
          <w:szCs w:val="28"/>
        </w:rPr>
        <w:t>BETWEEN:</w:t>
      </w:r>
    </w:p>
    <w:p w:rsidR="00B94F8E" w:rsidRPr="0032647A" w:rsidRDefault="00B94F8E" w:rsidP="00E92A45">
      <w:pPr>
        <w:spacing w:after="0" w:line="240" w:lineRule="auto"/>
        <w:jc w:val="right"/>
        <w:rPr>
          <w:rFonts w:ascii="Times New Roman" w:hAnsi="Times New Roman" w:cs="Times New Roman"/>
          <w:sz w:val="28"/>
          <w:szCs w:val="28"/>
        </w:rPr>
      </w:pPr>
    </w:p>
    <w:p w:rsidR="00081824" w:rsidRPr="003320CF" w:rsidRDefault="00081824" w:rsidP="00E92A45">
      <w:pPr>
        <w:shd w:val="clear" w:color="auto" w:fill="FFFFFF"/>
        <w:spacing w:after="0" w:line="240" w:lineRule="auto"/>
        <w:jc w:val="center"/>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THE COMMISSIONER OF THE NORTHWEST TERRITORIES</w:t>
      </w:r>
    </w:p>
    <w:p w:rsidR="00081824" w:rsidRPr="003320CF" w:rsidRDefault="00081824" w:rsidP="00E92A45">
      <w:pPr>
        <w:shd w:val="clear" w:color="auto" w:fill="FFFFFF"/>
        <w:spacing w:after="0" w:line="240" w:lineRule="auto"/>
        <w:jc w:val="both"/>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 </w:t>
      </w:r>
    </w:p>
    <w:p w:rsidR="00081824" w:rsidRPr="003320CF" w:rsidRDefault="00081824" w:rsidP="00E92A45">
      <w:pPr>
        <w:shd w:val="clear" w:color="auto" w:fill="FFFFFF"/>
        <w:spacing w:after="0" w:line="240" w:lineRule="auto"/>
        <w:jc w:val="right"/>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Plaintiff</w:t>
      </w:r>
    </w:p>
    <w:p w:rsidR="00081824" w:rsidRPr="003320CF" w:rsidRDefault="00081824" w:rsidP="00E92A45">
      <w:pPr>
        <w:shd w:val="clear" w:color="auto" w:fill="FFFFFF"/>
        <w:spacing w:after="0" w:line="240" w:lineRule="auto"/>
        <w:jc w:val="both"/>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 </w:t>
      </w:r>
    </w:p>
    <w:p w:rsidR="00081824" w:rsidRDefault="00081824" w:rsidP="00E92A45">
      <w:pPr>
        <w:shd w:val="clear" w:color="auto" w:fill="FFFFFF"/>
        <w:spacing w:after="0" w:line="240" w:lineRule="auto"/>
        <w:jc w:val="center"/>
        <w:rPr>
          <w:rFonts w:ascii="Times New Roman" w:eastAsia="Times New Roman" w:hAnsi="Times New Roman" w:cs="Times New Roman"/>
          <w:color w:val="000000"/>
          <w:sz w:val="28"/>
          <w:szCs w:val="28"/>
        </w:rPr>
      </w:pPr>
      <w:r w:rsidRPr="003320CF">
        <w:rPr>
          <w:rFonts w:ascii="Times New Roman" w:eastAsia="Times New Roman" w:hAnsi="Times New Roman" w:cs="Times New Roman"/>
          <w:color w:val="000000"/>
          <w:sz w:val="28"/>
          <w:szCs w:val="28"/>
        </w:rPr>
        <w:t>-and-</w:t>
      </w:r>
    </w:p>
    <w:p w:rsidR="00CB5C02" w:rsidRPr="003320CF" w:rsidRDefault="00CB5C02" w:rsidP="00E92A45">
      <w:pPr>
        <w:shd w:val="clear" w:color="auto" w:fill="FFFFFF"/>
        <w:spacing w:after="0" w:line="240" w:lineRule="auto"/>
        <w:jc w:val="center"/>
        <w:rPr>
          <w:rFonts w:ascii="Calibri" w:eastAsia="Times New Roman" w:hAnsi="Calibri" w:cs="Times New Roman"/>
          <w:color w:val="000000"/>
        </w:rPr>
      </w:pPr>
    </w:p>
    <w:p w:rsidR="00081824" w:rsidRPr="003320CF" w:rsidRDefault="00081824" w:rsidP="00E92A45">
      <w:pPr>
        <w:shd w:val="clear" w:color="auto" w:fill="FFFFFF"/>
        <w:spacing w:after="0" w:line="240" w:lineRule="auto"/>
        <w:jc w:val="both"/>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 </w:t>
      </w:r>
    </w:p>
    <w:p w:rsidR="00081824" w:rsidRPr="003320CF" w:rsidRDefault="00081824" w:rsidP="00E92A45">
      <w:pPr>
        <w:shd w:val="clear" w:color="auto" w:fill="FFFFFF"/>
        <w:spacing w:after="0" w:line="240" w:lineRule="auto"/>
        <w:jc w:val="center"/>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923115 N.W.T. LIMITED o/a PIN/TAYLOR ARCHITECTS, AMEC AMERICAS LIMITED o/a AMEC EARTH AND ENVIRONMENTAL, AMEC EARTH AND ENVIRONMENTAL, a division of AMEC AMERICAS LIMITED, ENCOMPASS INC. o/a ARCTIC FOUNDATIONS OF CANADA, ARCTIC FOUNDATIONS OF CANADA INC., IGOR HOLUBEC, IGOR HOLUBEC CONSULTING INC., EBA ENGINEERING CONSULTANTS LTD., JOHN ARMSTRONG, BRAD R. NELSON, JOHN ARMSTRONG and BRAD R. NELSON, carrying on business as a partnership under the firm name of ARMSTRONG AND NELSON ENGINEERS AND LAND SURVEYORS, 851791 N.W.T. LTD. o/a ROWE’S CONSTRUCTION and DOWLAND CONTRACTING LTD.</w:t>
      </w:r>
    </w:p>
    <w:p w:rsidR="00081824" w:rsidRPr="003320CF" w:rsidRDefault="00081824" w:rsidP="00E92A45">
      <w:pPr>
        <w:shd w:val="clear" w:color="auto" w:fill="FFFFFF"/>
        <w:spacing w:after="0" w:line="240" w:lineRule="auto"/>
        <w:jc w:val="both"/>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 </w:t>
      </w:r>
    </w:p>
    <w:p w:rsidR="00081824" w:rsidRPr="003320CF" w:rsidRDefault="00081824" w:rsidP="00E92A45">
      <w:pPr>
        <w:shd w:val="clear" w:color="auto" w:fill="FFFFFF"/>
        <w:spacing w:after="0" w:line="240" w:lineRule="auto"/>
        <w:jc w:val="right"/>
        <w:rPr>
          <w:rFonts w:ascii="Calibri" w:eastAsia="Times New Roman" w:hAnsi="Calibri" w:cs="Times New Roman"/>
          <w:color w:val="000000"/>
        </w:rPr>
      </w:pPr>
      <w:r w:rsidRPr="003320CF">
        <w:rPr>
          <w:rFonts w:ascii="Times New Roman" w:eastAsia="Times New Roman" w:hAnsi="Times New Roman" w:cs="Times New Roman"/>
          <w:color w:val="000000"/>
          <w:sz w:val="28"/>
          <w:szCs w:val="28"/>
        </w:rPr>
        <w:t>Defendants</w:t>
      </w:r>
    </w:p>
    <w:p w:rsidR="00081824" w:rsidRDefault="00081824" w:rsidP="00A64D28">
      <w:pPr>
        <w:spacing w:after="0" w:line="240" w:lineRule="auto"/>
        <w:jc w:val="center"/>
        <w:rPr>
          <w:rFonts w:ascii="Times New Roman" w:hAnsi="Times New Roman" w:cs="Times New Roman"/>
          <w:b/>
          <w:sz w:val="28"/>
          <w:szCs w:val="28"/>
        </w:rPr>
      </w:pPr>
    </w:p>
    <w:p w:rsidR="003D3E8C" w:rsidRPr="00F45E3D" w:rsidRDefault="00AE709E" w:rsidP="00A64D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MEMORANDUM </w:t>
      </w:r>
      <w:r w:rsidR="00C52F4C">
        <w:rPr>
          <w:rFonts w:ascii="Times New Roman" w:hAnsi="Times New Roman" w:cs="Times New Roman"/>
          <w:b/>
          <w:sz w:val="28"/>
          <w:szCs w:val="28"/>
        </w:rPr>
        <w:t>OF JUDGMENT</w:t>
      </w:r>
      <w:r w:rsidR="00124D86">
        <w:rPr>
          <w:rFonts w:ascii="Times New Roman" w:hAnsi="Times New Roman" w:cs="Times New Roman"/>
          <w:b/>
          <w:sz w:val="28"/>
          <w:szCs w:val="28"/>
        </w:rPr>
        <w:t xml:space="preserve"> ON COSTS</w:t>
      </w:r>
    </w:p>
    <w:p w:rsidR="003D3E8C" w:rsidRPr="0032647A" w:rsidRDefault="003D3E8C" w:rsidP="00E92A45">
      <w:pPr>
        <w:pStyle w:val="ListParagraph"/>
        <w:spacing w:after="0" w:line="240" w:lineRule="auto"/>
        <w:ind w:left="0"/>
        <w:jc w:val="center"/>
        <w:rPr>
          <w:rFonts w:ascii="Times New Roman" w:hAnsi="Times New Roman" w:cs="Times New Roman"/>
          <w:sz w:val="28"/>
          <w:szCs w:val="28"/>
        </w:rPr>
      </w:pPr>
    </w:p>
    <w:p w:rsidR="00124D86" w:rsidRDefault="00124D86"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w:t>
      </w:r>
      <w:r w:rsidR="00754CC1">
        <w:rPr>
          <w:rFonts w:ascii="Times New Roman" w:hAnsi="Times New Roman" w:cs="Times New Roman"/>
          <w:sz w:val="28"/>
          <w:szCs w:val="28"/>
        </w:rPr>
        <w:t>e defendant</w:t>
      </w:r>
      <w:r>
        <w:rPr>
          <w:rFonts w:ascii="Times New Roman" w:hAnsi="Times New Roman" w:cs="Times New Roman"/>
          <w:sz w:val="28"/>
          <w:szCs w:val="28"/>
        </w:rPr>
        <w:t>s</w:t>
      </w:r>
      <w:r w:rsidR="0058365B">
        <w:rPr>
          <w:rFonts w:ascii="Times New Roman" w:hAnsi="Times New Roman" w:cs="Times New Roman"/>
          <w:sz w:val="28"/>
          <w:szCs w:val="28"/>
        </w:rPr>
        <w:t xml:space="preserve"> Igor Holubec</w:t>
      </w:r>
      <w:r>
        <w:rPr>
          <w:rFonts w:ascii="Times New Roman" w:hAnsi="Times New Roman" w:cs="Times New Roman"/>
          <w:sz w:val="28"/>
          <w:szCs w:val="28"/>
        </w:rPr>
        <w:t xml:space="preserve"> and Igor Holubec Consulting Inc. (</w:t>
      </w:r>
      <w:r w:rsidR="00C63413">
        <w:rPr>
          <w:rFonts w:ascii="Times New Roman" w:hAnsi="Times New Roman" w:cs="Times New Roman"/>
          <w:sz w:val="28"/>
          <w:szCs w:val="28"/>
        </w:rPr>
        <w:t xml:space="preserve">together, </w:t>
      </w:r>
      <w:r>
        <w:rPr>
          <w:rFonts w:ascii="Times New Roman" w:hAnsi="Times New Roman" w:cs="Times New Roman"/>
          <w:sz w:val="28"/>
          <w:szCs w:val="28"/>
        </w:rPr>
        <w:t>“Holubec”</w:t>
      </w:r>
      <w:r w:rsidR="00B1144E">
        <w:rPr>
          <w:rFonts w:ascii="Times New Roman" w:hAnsi="Times New Roman" w:cs="Times New Roman"/>
          <w:sz w:val="28"/>
          <w:szCs w:val="28"/>
        </w:rPr>
        <w:t xml:space="preserve"> or the “Holubec defendants”</w:t>
      </w:r>
      <w:r>
        <w:rPr>
          <w:rFonts w:ascii="Times New Roman" w:hAnsi="Times New Roman" w:cs="Times New Roman"/>
          <w:sz w:val="28"/>
          <w:szCs w:val="28"/>
        </w:rPr>
        <w:t xml:space="preserve">) were awarded summary judgment and granted party-and-party costs: </w:t>
      </w:r>
      <w:r>
        <w:rPr>
          <w:rFonts w:ascii="Times New Roman" w:hAnsi="Times New Roman" w:cs="Times New Roman"/>
          <w:i/>
          <w:sz w:val="28"/>
          <w:szCs w:val="28"/>
        </w:rPr>
        <w:t xml:space="preserve">The Commissioner of the Northwest Territories v 923115 NWT Limited et al., </w:t>
      </w:r>
      <w:r>
        <w:rPr>
          <w:rFonts w:ascii="Times New Roman" w:hAnsi="Times New Roman" w:cs="Times New Roman"/>
          <w:sz w:val="28"/>
          <w:szCs w:val="28"/>
        </w:rPr>
        <w:t xml:space="preserve">2018 NWTSC 24.  With the Plaintiff’s consent, the issue of the scale of costs was re-opened and argued in Chambers.   </w:t>
      </w:r>
    </w:p>
    <w:p w:rsidR="00124D86" w:rsidRDefault="00124D86"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 the N</w:t>
      </w:r>
      <w:r w:rsidR="00B1144E">
        <w:rPr>
          <w:rFonts w:ascii="Times New Roman" w:hAnsi="Times New Roman" w:cs="Times New Roman"/>
          <w:sz w:val="28"/>
          <w:szCs w:val="28"/>
        </w:rPr>
        <w:t>otice of Motion</w:t>
      </w:r>
      <w:r>
        <w:rPr>
          <w:rFonts w:ascii="Times New Roman" w:hAnsi="Times New Roman" w:cs="Times New Roman"/>
          <w:sz w:val="28"/>
          <w:szCs w:val="28"/>
        </w:rPr>
        <w:t>, Holubec seeks the following;</w:t>
      </w:r>
    </w:p>
    <w:p w:rsidR="00BA0F82" w:rsidRDefault="00124D86" w:rsidP="00E92A45">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An order for costs on a solicitor-and-client scale</w:t>
      </w:r>
      <w:r w:rsidR="00BA0F82">
        <w:rPr>
          <w:rFonts w:ascii="Times New Roman" w:hAnsi="Times New Roman" w:cs="Times New Roman"/>
          <w:sz w:val="28"/>
          <w:szCs w:val="28"/>
        </w:rPr>
        <w:t xml:space="preserve"> for defending the action and reasonable disbursements;</w:t>
      </w:r>
    </w:p>
    <w:p w:rsidR="00BA0F82" w:rsidRDefault="00BA0F82" w:rsidP="00E92A45">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An order for costs on a solicitor-and-client basis for all fees and reasonable disbursements incurred in the costs application; and</w:t>
      </w:r>
    </w:p>
    <w:p w:rsidR="00D162A0" w:rsidRDefault="00BA0F82" w:rsidP="00E92A45">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An order for punitive costs against the Plaintiff</w:t>
      </w:r>
      <w:r w:rsidR="00081824">
        <w:rPr>
          <w:rFonts w:ascii="Times New Roman" w:hAnsi="Times New Roman" w:cs="Times New Roman"/>
          <w:sz w:val="28"/>
          <w:szCs w:val="28"/>
        </w:rPr>
        <w:t>.</w:t>
      </w:r>
      <w:r w:rsidR="00845368">
        <w:rPr>
          <w:rFonts w:ascii="Times New Roman" w:hAnsi="Times New Roman" w:cs="Times New Roman"/>
          <w:sz w:val="28"/>
          <w:szCs w:val="28"/>
        </w:rPr>
        <w:t xml:space="preserve"> </w:t>
      </w:r>
      <w:r w:rsidR="002B5C72">
        <w:rPr>
          <w:rFonts w:ascii="Times New Roman" w:hAnsi="Times New Roman" w:cs="Times New Roman"/>
          <w:sz w:val="28"/>
          <w:szCs w:val="28"/>
        </w:rPr>
        <w:t xml:space="preserve"> </w:t>
      </w:r>
    </w:p>
    <w:p w:rsidR="008A1FDA" w:rsidRPr="008A1FDA" w:rsidRDefault="008A1A71" w:rsidP="00E92A45">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BACKGROUND</w:t>
      </w:r>
    </w:p>
    <w:p w:rsidR="008A1FDA" w:rsidRDefault="008A1FDA"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facts giving rise to the lawsuit and, in particular, </w:t>
      </w:r>
      <w:r w:rsidR="00417CD8">
        <w:rPr>
          <w:rFonts w:ascii="Times New Roman" w:hAnsi="Times New Roman" w:cs="Times New Roman"/>
          <w:sz w:val="28"/>
          <w:szCs w:val="28"/>
        </w:rPr>
        <w:t>the Holubec defendants’</w:t>
      </w:r>
      <w:r>
        <w:rPr>
          <w:rFonts w:ascii="Times New Roman" w:hAnsi="Times New Roman" w:cs="Times New Roman"/>
          <w:sz w:val="28"/>
          <w:szCs w:val="28"/>
        </w:rPr>
        <w:t xml:space="preserve"> role in it, are set out in </w:t>
      </w:r>
      <w:r>
        <w:rPr>
          <w:rFonts w:ascii="Times New Roman" w:hAnsi="Times New Roman" w:cs="Times New Roman"/>
          <w:i/>
          <w:sz w:val="28"/>
          <w:szCs w:val="28"/>
        </w:rPr>
        <w:t xml:space="preserve">The Commissioner of the Northwest Territories v 923115 NWT Limited et al., supra.  </w:t>
      </w:r>
      <w:r w:rsidR="00F40A44">
        <w:rPr>
          <w:rFonts w:ascii="Times New Roman" w:hAnsi="Times New Roman" w:cs="Times New Roman"/>
          <w:sz w:val="28"/>
          <w:szCs w:val="28"/>
        </w:rPr>
        <w:t>The essential facts are summarized here</w:t>
      </w:r>
      <w:r w:rsidR="00B1144E">
        <w:rPr>
          <w:rFonts w:ascii="Times New Roman" w:hAnsi="Times New Roman" w:cs="Times New Roman"/>
          <w:sz w:val="28"/>
          <w:szCs w:val="28"/>
        </w:rPr>
        <w:t>.</w:t>
      </w:r>
    </w:p>
    <w:p w:rsidR="00D9055B" w:rsidRDefault="00266394"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lawsuit was filed April 9, 2014.</w:t>
      </w:r>
      <w:r w:rsidR="00D7735A">
        <w:rPr>
          <w:rFonts w:ascii="Times New Roman" w:hAnsi="Times New Roman" w:cs="Times New Roman"/>
          <w:sz w:val="28"/>
          <w:szCs w:val="28"/>
        </w:rPr>
        <w:t xml:space="preserve"> </w:t>
      </w:r>
      <w:r>
        <w:rPr>
          <w:rFonts w:ascii="Times New Roman" w:hAnsi="Times New Roman" w:cs="Times New Roman"/>
          <w:sz w:val="28"/>
          <w:szCs w:val="28"/>
        </w:rPr>
        <w:t xml:space="preserve"> The Plaintiff</w:t>
      </w:r>
      <w:r w:rsidR="00193231">
        <w:rPr>
          <w:rFonts w:ascii="Times New Roman" w:hAnsi="Times New Roman" w:cs="Times New Roman"/>
          <w:sz w:val="28"/>
          <w:szCs w:val="28"/>
        </w:rPr>
        <w:t xml:space="preserve"> alleged </w:t>
      </w:r>
      <w:r w:rsidR="00881A06">
        <w:rPr>
          <w:rFonts w:ascii="Times New Roman" w:hAnsi="Times New Roman" w:cs="Times New Roman"/>
          <w:sz w:val="28"/>
          <w:szCs w:val="28"/>
        </w:rPr>
        <w:t xml:space="preserve">that </w:t>
      </w:r>
      <w:r w:rsidR="00193231">
        <w:rPr>
          <w:rFonts w:ascii="Times New Roman" w:hAnsi="Times New Roman" w:cs="Times New Roman"/>
          <w:sz w:val="28"/>
          <w:szCs w:val="28"/>
        </w:rPr>
        <w:t xml:space="preserve">(1) </w:t>
      </w:r>
      <w:r w:rsidR="00881A06">
        <w:rPr>
          <w:rFonts w:ascii="Times New Roman" w:hAnsi="Times New Roman" w:cs="Times New Roman"/>
          <w:sz w:val="28"/>
          <w:szCs w:val="28"/>
        </w:rPr>
        <w:t xml:space="preserve">the defendant Arctic Foundations of Canada Inc. </w:t>
      </w:r>
      <w:r w:rsidR="000C5A6A">
        <w:rPr>
          <w:rFonts w:ascii="Times New Roman" w:hAnsi="Times New Roman" w:cs="Times New Roman"/>
          <w:sz w:val="28"/>
          <w:szCs w:val="28"/>
        </w:rPr>
        <w:t xml:space="preserve">(“AFC”) </w:t>
      </w:r>
      <w:r w:rsidR="00881A06">
        <w:rPr>
          <w:rFonts w:ascii="Times New Roman" w:hAnsi="Times New Roman" w:cs="Times New Roman"/>
          <w:sz w:val="28"/>
          <w:szCs w:val="28"/>
        </w:rPr>
        <w:t>hired Holubec to provide geotechnical engineering services for the design, manufactur</w:t>
      </w:r>
      <w:r w:rsidR="00B71CF7">
        <w:rPr>
          <w:rFonts w:ascii="Times New Roman" w:hAnsi="Times New Roman" w:cs="Times New Roman"/>
          <w:sz w:val="28"/>
          <w:szCs w:val="28"/>
        </w:rPr>
        <w:t>e and installation of a thermosy</w:t>
      </w:r>
      <w:r w:rsidR="00881A06">
        <w:rPr>
          <w:rFonts w:ascii="Times New Roman" w:hAnsi="Times New Roman" w:cs="Times New Roman"/>
          <w:sz w:val="28"/>
          <w:szCs w:val="28"/>
        </w:rPr>
        <w:t>phon foundation and gravel pad for a school</w:t>
      </w:r>
      <w:r w:rsidR="00193231">
        <w:rPr>
          <w:rFonts w:ascii="Times New Roman" w:hAnsi="Times New Roman" w:cs="Times New Roman"/>
          <w:sz w:val="28"/>
          <w:szCs w:val="28"/>
        </w:rPr>
        <w:t xml:space="preserve">; (2) Holubec </w:t>
      </w:r>
      <w:r w:rsidR="00881A06">
        <w:rPr>
          <w:rFonts w:ascii="Times New Roman" w:hAnsi="Times New Roman" w:cs="Times New Roman"/>
          <w:sz w:val="28"/>
          <w:szCs w:val="28"/>
        </w:rPr>
        <w:t>reviewed an</w:t>
      </w:r>
      <w:r w:rsidR="00193231">
        <w:rPr>
          <w:rFonts w:ascii="Times New Roman" w:hAnsi="Times New Roman" w:cs="Times New Roman"/>
          <w:sz w:val="28"/>
          <w:szCs w:val="28"/>
        </w:rPr>
        <w:t>d approved the design</w:t>
      </w:r>
      <w:r w:rsidR="00FA24FD">
        <w:rPr>
          <w:rFonts w:ascii="Times New Roman" w:hAnsi="Times New Roman" w:cs="Times New Roman"/>
          <w:sz w:val="28"/>
          <w:szCs w:val="28"/>
        </w:rPr>
        <w:t xml:space="preserve"> for the foundation and gravel pad, as well as providing </w:t>
      </w:r>
      <w:r w:rsidR="00881A06">
        <w:rPr>
          <w:rFonts w:ascii="Times New Roman" w:hAnsi="Times New Roman" w:cs="Times New Roman"/>
          <w:sz w:val="28"/>
          <w:szCs w:val="28"/>
        </w:rPr>
        <w:t xml:space="preserve">advice </w:t>
      </w:r>
      <w:r w:rsidR="00193231">
        <w:rPr>
          <w:rFonts w:ascii="Times New Roman" w:hAnsi="Times New Roman" w:cs="Times New Roman"/>
          <w:sz w:val="28"/>
          <w:szCs w:val="28"/>
        </w:rPr>
        <w:t xml:space="preserve">on site drainage; </w:t>
      </w:r>
      <w:r w:rsidR="00881A06">
        <w:rPr>
          <w:rFonts w:ascii="Times New Roman" w:hAnsi="Times New Roman" w:cs="Times New Roman"/>
          <w:sz w:val="28"/>
          <w:szCs w:val="28"/>
        </w:rPr>
        <w:t>(</w:t>
      </w:r>
      <w:r w:rsidR="00FA24FD">
        <w:rPr>
          <w:rFonts w:ascii="Times New Roman" w:hAnsi="Times New Roman" w:cs="Times New Roman"/>
          <w:sz w:val="28"/>
          <w:szCs w:val="28"/>
        </w:rPr>
        <w:t xml:space="preserve">3) </w:t>
      </w:r>
      <w:r w:rsidR="00881A06">
        <w:rPr>
          <w:rFonts w:ascii="Times New Roman" w:hAnsi="Times New Roman" w:cs="Times New Roman"/>
          <w:sz w:val="28"/>
          <w:szCs w:val="28"/>
        </w:rPr>
        <w:t>the Plaintiff relied on Holubec to design and install</w:t>
      </w:r>
      <w:r w:rsidR="00193231">
        <w:rPr>
          <w:rFonts w:ascii="Times New Roman" w:hAnsi="Times New Roman" w:cs="Times New Roman"/>
          <w:sz w:val="28"/>
          <w:szCs w:val="28"/>
        </w:rPr>
        <w:t xml:space="preserve"> the</w:t>
      </w:r>
      <w:r w:rsidR="00FA24FD">
        <w:rPr>
          <w:rFonts w:ascii="Times New Roman" w:hAnsi="Times New Roman" w:cs="Times New Roman"/>
          <w:sz w:val="28"/>
          <w:szCs w:val="28"/>
        </w:rPr>
        <w:t xml:space="preserve"> foundation and gravel pad; (5) </w:t>
      </w:r>
      <w:r w:rsidR="00193231">
        <w:rPr>
          <w:rFonts w:ascii="Times New Roman" w:hAnsi="Times New Roman" w:cs="Times New Roman"/>
          <w:sz w:val="28"/>
          <w:szCs w:val="28"/>
        </w:rPr>
        <w:t>Ho</w:t>
      </w:r>
      <w:r w:rsidR="00FA24FD">
        <w:rPr>
          <w:rFonts w:ascii="Times New Roman" w:hAnsi="Times New Roman" w:cs="Times New Roman"/>
          <w:sz w:val="28"/>
          <w:szCs w:val="28"/>
        </w:rPr>
        <w:t>lubec</w:t>
      </w:r>
      <w:r w:rsidR="00B71CF7">
        <w:rPr>
          <w:rFonts w:ascii="Times New Roman" w:hAnsi="Times New Roman" w:cs="Times New Roman"/>
          <w:sz w:val="28"/>
          <w:szCs w:val="28"/>
        </w:rPr>
        <w:t xml:space="preserve"> was negligent in the advice </w:t>
      </w:r>
      <w:r w:rsidR="00FA24FD">
        <w:rPr>
          <w:rFonts w:ascii="Times New Roman" w:hAnsi="Times New Roman" w:cs="Times New Roman"/>
          <w:sz w:val="28"/>
          <w:szCs w:val="28"/>
        </w:rPr>
        <w:t xml:space="preserve">provided, specifically, </w:t>
      </w:r>
      <w:r w:rsidR="00B026D0">
        <w:rPr>
          <w:rFonts w:ascii="Times New Roman" w:hAnsi="Times New Roman" w:cs="Times New Roman"/>
          <w:sz w:val="28"/>
          <w:szCs w:val="28"/>
        </w:rPr>
        <w:t xml:space="preserve">Holubec </w:t>
      </w:r>
      <w:r w:rsidR="00FA24FD">
        <w:rPr>
          <w:rFonts w:ascii="Times New Roman" w:hAnsi="Times New Roman" w:cs="Times New Roman"/>
          <w:sz w:val="28"/>
          <w:szCs w:val="28"/>
        </w:rPr>
        <w:t xml:space="preserve">fell short of the standard of care expected of a professional engineer; and (6) because </w:t>
      </w:r>
      <w:r w:rsidR="00B71CF7">
        <w:rPr>
          <w:rFonts w:ascii="Times New Roman" w:hAnsi="Times New Roman" w:cs="Times New Roman"/>
          <w:sz w:val="28"/>
          <w:szCs w:val="28"/>
        </w:rPr>
        <w:t xml:space="preserve">of </w:t>
      </w:r>
      <w:r w:rsidR="00A010A0">
        <w:rPr>
          <w:rFonts w:ascii="Times New Roman" w:hAnsi="Times New Roman" w:cs="Times New Roman"/>
          <w:sz w:val="28"/>
          <w:szCs w:val="28"/>
        </w:rPr>
        <w:t>Holubec’s negligence, the foundation failed.</w:t>
      </w:r>
      <w:r w:rsidR="00FA24FD">
        <w:rPr>
          <w:rFonts w:ascii="Times New Roman" w:hAnsi="Times New Roman" w:cs="Times New Roman"/>
          <w:sz w:val="28"/>
          <w:szCs w:val="28"/>
        </w:rPr>
        <w:t xml:space="preserve"> </w:t>
      </w:r>
    </w:p>
    <w:p w:rsidR="009E4842" w:rsidRPr="00D9055B" w:rsidRDefault="009E4842"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school was completed in 2008.</w:t>
      </w:r>
      <w:r w:rsidR="00D7735A">
        <w:rPr>
          <w:rFonts w:ascii="Times New Roman" w:hAnsi="Times New Roman" w:cs="Times New Roman"/>
          <w:sz w:val="28"/>
          <w:szCs w:val="28"/>
        </w:rPr>
        <w:t xml:space="preserve"> </w:t>
      </w:r>
      <w:r>
        <w:rPr>
          <w:rFonts w:ascii="Times New Roman" w:hAnsi="Times New Roman" w:cs="Times New Roman"/>
          <w:sz w:val="28"/>
          <w:szCs w:val="28"/>
        </w:rPr>
        <w:t xml:space="preserve"> While it is not clear exactly when the serious issues with the school </w:t>
      </w:r>
      <w:r w:rsidR="00F40A44">
        <w:rPr>
          <w:rFonts w:ascii="Times New Roman" w:hAnsi="Times New Roman" w:cs="Times New Roman"/>
          <w:sz w:val="28"/>
          <w:szCs w:val="28"/>
        </w:rPr>
        <w:t>first arose,</w:t>
      </w:r>
      <w:r>
        <w:rPr>
          <w:rFonts w:ascii="Times New Roman" w:hAnsi="Times New Roman" w:cs="Times New Roman"/>
          <w:sz w:val="28"/>
          <w:szCs w:val="28"/>
        </w:rPr>
        <w:t xml:space="preserve"> cracks in the flooring and other problems were reported by members of the Plaintiff’s staff in 2012.  </w:t>
      </w:r>
    </w:p>
    <w:p w:rsidR="00AB3AEC" w:rsidRPr="00AB3AEC" w:rsidRDefault="00417CD8"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r w:rsidR="00F40A44">
        <w:rPr>
          <w:rFonts w:ascii="Times New Roman" w:hAnsi="Times New Roman" w:cs="Times New Roman"/>
          <w:sz w:val="28"/>
          <w:szCs w:val="28"/>
        </w:rPr>
        <w:t xml:space="preserve">Holubec’s advice is </w:t>
      </w:r>
      <w:r w:rsidR="00AB3AEC">
        <w:rPr>
          <w:rFonts w:ascii="Times New Roman" w:hAnsi="Times New Roman" w:cs="Times New Roman"/>
          <w:sz w:val="28"/>
          <w:szCs w:val="28"/>
        </w:rPr>
        <w:t>contained in a written report dated September 8, 2005.</w:t>
      </w:r>
      <w:r w:rsidR="00671113">
        <w:rPr>
          <w:rFonts w:ascii="Times New Roman" w:hAnsi="Times New Roman" w:cs="Times New Roman"/>
          <w:sz w:val="28"/>
          <w:szCs w:val="28"/>
        </w:rPr>
        <w:t xml:space="preserve"> </w:t>
      </w:r>
      <w:r w:rsidR="00AB3AEC">
        <w:rPr>
          <w:rFonts w:ascii="Times New Roman" w:hAnsi="Times New Roman" w:cs="Times New Roman"/>
          <w:sz w:val="28"/>
          <w:szCs w:val="28"/>
        </w:rPr>
        <w:t xml:space="preserve"> This was in the Plaintiff’s po</w:t>
      </w:r>
      <w:r w:rsidR="00F40A44">
        <w:rPr>
          <w:rFonts w:ascii="Times New Roman" w:hAnsi="Times New Roman" w:cs="Times New Roman"/>
          <w:sz w:val="28"/>
          <w:szCs w:val="28"/>
        </w:rPr>
        <w:t>ssession when it filed the suit in 2014.</w:t>
      </w:r>
      <w:r w:rsidR="00AB3AEC">
        <w:rPr>
          <w:rFonts w:ascii="Times New Roman" w:hAnsi="Times New Roman" w:cs="Times New Roman"/>
          <w:sz w:val="28"/>
          <w:szCs w:val="28"/>
        </w:rPr>
        <w:t xml:space="preserve">  The re</w:t>
      </w:r>
      <w:r w:rsidR="00F40A44">
        <w:rPr>
          <w:rFonts w:ascii="Times New Roman" w:hAnsi="Times New Roman" w:cs="Times New Roman"/>
          <w:sz w:val="28"/>
          <w:szCs w:val="28"/>
        </w:rPr>
        <w:t>port is</w:t>
      </w:r>
      <w:r w:rsidR="00AB3AEC">
        <w:rPr>
          <w:rFonts w:ascii="Times New Roman" w:hAnsi="Times New Roman" w:cs="Times New Roman"/>
          <w:sz w:val="28"/>
          <w:szCs w:val="28"/>
        </w:rPr>
        <w:t xml:space="preserve"> four pages long.  Drawings of </w:t>
      </w:r>
      <w:r w:rsidR="00F40A44">
        <w:rPr>
          <w:rFonts w:ascii="Times New Roman" w:hAnsi="Times New Roman" w:cs="Times New Roman"/>
          <w:sz w:val="28"/>
          <w:szCs w:val="28"/>
        </w:rPr>
        <w:t xml:space="preserve">the thermosyphon foundation are attached to it.  These are </w:t>
      </w:r>
      <w:r w:rsidR="00AB3AEC">
        <w:rPr>
          <w:rFonts w:ascii="Times New Roman" w:hAnsi="Times New Roman" w:cs="Times New Roman"/>
          <w:sz w:val="28"/>
          <w:szCs w:val="28"/>
        </w:rPr>
        <w:t>marked “draft” and they were not prepared by Mr. Holubec.  He did, however, add schematics of proposed d</w:t>
      </w:r>
      <w:r w:rsidR="00F40A44">
        <w:rPr>
          <w:rFonts w:ascii="Times New Roman" w:hAnsi="Times New Roman" w:cs="Times New Roman"/>
          <w:sz w:val="28"/>
          <w:szCs w:val="28"/>
        </w:rPr>
        <w:t>rainage systems to the drawings and these are</w:t>
      </w:r>
      <w:r w:rsidR="00AB3AEC">
        <w:rPr>
          <w:rFonts w:ascii="Times New Roman" w:hAnsi="Times New Roman" w:cs="Times New Roman"/>
          <w:sz w:val="28"/>
          <w:szCs w:val="28"/>
        </w:rPr>
        <w:t xml:space="preserve"> referenced in the written report.</w:t>
      </w:r>
      <w:r w:rsidR="00D7735A">
        <w:rPr>
          <w:rFonts w:ascii="Times New Roman" w:hAnsi="Times New Roman" w:cs="Times New Roman"/>
          <w:sz w:val="28"/>
          <w:szCs w:val="28"/>
        </w:rPr>
        <w:t xml:space="preserve"> </w:t>
      </w:r>
      <w:r w:rsidR="00F40A44">
        <w:rPr>
          <w:rFonts w:ascii="Times New Roman" w:hAnsi="Times New Roman" w:cs="Times New Roman"/>
          <w:sz w:val="28"/>
          <w:szCs w:val="28"/>
        </w:rPr>
        <w:t xml:space="preserve"> His engineering stamp is</w:t>
      </w:r>
      <w:r w:rsidR="00AB3AEC">
        <w:rPr>
          <w:rFonts w:ascii="Times New Roman" w:hAnsi="Times New Roman" w:cs="Times New Roman"/>
          <w:sz w:val="28"/>
          <w:szCs w:val="28"/>
        </w:rPr>
        <w:t xml:space="preserve"> affixed to the report, but not to the drawings.  </w:t>
      </w:r>
    </w:p>
    <w:p w:rsidR="00D9055B" w:rsidRDefault="0058365B"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the application for summary judgment it was determined that </w:t>
      </w:r>
      <w:r w:rsidR="00266394">
        <w:rPr>
          <w:rFonts w:ascii="Times New Roman" w:hAnsi="Times New Roman" w:cs="Times New Roman"/>
          <w:sz w:val="28"/>
          <w:szCs w:val="28"/>
        </w:rPr>
        <w:t xml:space="preserve">(1) </w:t>
      </w:r>
      <w:r>
        <w:rPr>
          <w:rFonts w:ascii="Times New Roman" w:hAnsi="Times New Roman" w:cs="Times New Roman"/>
          <w:sz w:val="28"/>
          <w:szCs w:val="28"/>
        </w:rPr>
        <w:t xml:space="preserve">Holubec was retained by AFC after construction of the foundation had </w:t>
      </w:r>
      <w:r w:rsidR="00F40A44">
        <w:rPr>
          <w:rFonts w:ascii="Times New Roman" w:hAnsi="Times New Roman" w:cs="Times New Roman"/>
          <w:sz w:val="28"/>
          <w:szCs w:val="28"/>
        </w:rPr>
        <w:t>already begun</w:t>
      </w:r>
      <w:r>
        <w:rPr>
          <w:rFonts w:ascii="Times New Roman" w:hAnsi="Times New Roman" w:cs="Times New Roman"/>
          <w:sz w:val="28"/>
          <w:szCs w:val="28"/>
        </w:rPr>
        <w:t xml:space="preserve">; (2) </w:t>
      </w:r>
      <w:r w:rsidR="00266394">
        <w:rPr>
          <w:rFonts w:ascii="Times New Roman" w:hAnsi="Times New Roman" w:cs="Times New Roman"/>
          <w:sz w:val="28"/>
          <w:szCs w:val="28"/>
        </w:rPr>
        <w:t xml:space="preserve">Holubec was not retained to conduct a full review of the design, nor a full geotechnical review; (3) </w:t>
      </w:r>
      <w:r w:rsidR="00B71CF7">
        <w:rPr>
          <w:rFonts w:ascii="Times New Roman" w:hAnsi="Times New Roman" w:cs="Times New Roman"/>
          <w:sz w:val="28"/>
          <w:szCs w:val="28"/>
        </w:rPr>
        <w:t xml:space="preserve">the scope of </w:t>
      </w:r>
      <w:r>
        <w:rPr>
          <w:rFonts w:ascii="Times New Roman" w:hAnsi="Times New Roman" w:cs="Times New Roman"/>
          <w:sz w:val="28"/>
          <w:szCs w:val="28"/>
        </w:rPr>
        <w:t>Holubec’s retainer was limited to providing advice to AFC on the soundness of the assumptions AFC used in its model</w:t>
      </w:r>
      <w:r w:rsidR="00AB6D9E">
        <w:rPr>
          <w:rFonts w:ascii="Times New Roman" w:hAnsi="Times New Roman" w:cs="Times New Roman"/>
          <w:sz w:val="28"/>
          <w:szCs w:val="28"/>
        </w:rPr>
        <w:t xml:space="preserve">; </w:t>
      </w:r>
      <w:r w:rsidR="00266394">
        <w:rPr>
          <w:rFonts w:ascii="Times New Roman" w:hAnsi="Times New Roman" w:cs="Times New Roman"/>
          <w:sz w:val="28"/>
          <w:szCs w:val="28"/>
        </w:rPr>
        <w:t>(4</w:t>
      </w:r>
      <w:r w:rsidR="00B71CF7">
        <w:rPr>
          <w:rFonts w:ascii="Times New Roman" w:hAnsi="Times New Roman" w:cs="Times New Roman"/>
          <w:sz w:val="28"/>
          <w:szCs w:val="28"/>
        </w:rPr>
        <w:t xml:space="preserve">) </w:t>
      </w:r>
      <w:r w:rsidR="007E6647">
        <w:rPr>
          <w:rFonts w:ascii="Times New Roman" w:hAnsi="Times New Roman" w:cs="Times New Roman"/>
          <w:sz w:val="28"/>
          <w:szCs w:val="28"/>
        </w:rPr>
        <w:t xml:space="preserve">Holubec </w:t>
      </w:r>
      <w:r w:rsidR="007D3E2A">
        <w:rPr>
          <w:rFonts w:ascii="Times New Roman" w:hAnsi="Times New Roman" w:cs="Times New Roman"/>
          <w:sz w:val="28"/>
          <w:szCs w:val="28"/>
        </w:rPr>
        <w:t xml:space="preserve">also </w:t>
      </w:r>
      <w:r w:rsidR="007E6647">
        <w:rPr>
          <w:rFonts w:ascii="Times New Roman" w:hAnsi="Times New Roman" w:cs="Times New Roman"/>
          <w:sz w:val="28"/>
          <w:szCs w:val="28"/>
        </w:rPr>
        <w:t xml:space="preserve">provided </w:t>
      </w:r>
      <w:r w:rsidR="00266394">
        <w:rPr>
          <w:rFonts w:ascii="Times New Roman" w:hAnsi="Times New Roman" w:cs="Times New Roman"/>
          <w:sz w:val="28"/>
          <w:szCs w:val="28"/>
        </w:rPr>
        <w:t xml:space="preserve">limited </w:t>
      </w:r>
      <w:r w:rsidR="007E6647">
        <w:rPr>
          <w:rFonts w:ascii="Times New Roman" w:hAnsi="Times New Roman" w:cs="Times New Roman"/>
          <w:sz w:val="28"/>
          <w:szCs w:val="28"/>
        </w:rPr>
        <w:t xml:space="preserve">geotechnical advice, primarily on how to prevent </w:t>
      </w:r>
      <w:r w:rsidR="007E6647">
        <w:rPr>
          <w:rFonts w:ascii="Times New Roman" w:hAnsi="Times New Roman" w:cs="Times New Roman"/>
          <w:sz w:val="28"/>
          <w:szCs w:val="28"/>
        </w:rPr>
        <w:lastRenderedPageBreak/>
        <w:t>wate</w:t>
      </w:r>
      <w:r w:rsidR="00B026D0">
        <w:rPr>
          <w:rFonts w:ascii="Times New Roman" w:hAnsi="Times New Roman" w:cs="Times New Roman"/>
          <w:sz w:val="28"/>
          <w:szCs w:val="28"/>
        </w:rPr>
        <w:t>r from entering the foundation;</w:t>
      </w:r>
      <w:r w:rsidR="00D9055B">
        <w:rPr>
          <w:rFonts w:ascii="Times New Roman" w:hAnsi="Times New Roman" w:cs="Times New Roman"/>
          <w:sz w:val="28"/>
          <w:szCs w:val="28"/>
        </w:rPr>
        <w:t xml:space="preserve"> </w:t>
      </w:r>
      <w:r w:rsidR="00266394">
        <w:rPr>
          <w:rFonts w:ascii="Times New Roman" w:hAnsi="Times New Roman" w:cs="Times New Roman"/>
          <w:sz w:val="28"/>
          <w:szCs w:val="28"/>
        </w:rPr>
        <w:t>(5</w:t>
      </w:r>
      <w:r w:rsidR="00B71CF7">
        <w:rPr>
          <w:rFonts w:ascii="Times New Roman" w:hAnsi="Times New Roman" w:cs="Times New Roman"/>
          <w:sz w:val="28"/>
          <w:szCs w:val="28"/>
        </w:rPr>
        <w:t xml:space="preserve">) no reliance was placed on </w:t>
      </w:r>
      <w:r w:rsidR="007E6647">
        <w:rPr>
          <w:rFonts w:ascii="Times New Roman" w:hAnsi="Times New Roman" w:cs="Times New Roman"/>
          <w:sz w:val="28"/>
          <w:szCs w:val="28"/>
        </w:rPr>
        <w:t>Holubec’s report in designing or constructing the foundation</w:t>
      </w:r>
      <w:r w:rsidR="00B026D0">
        <w:rPr>
          <w:rFonts w:ascii="Times New Roman" w:hAnsi="Times New Roman" w:cs="Times New Roman"/>
          <w:sz w:val="28"/>
          <w:szCs w:val="28"/>
        </w:rPr>
        <w:t xml:space="preserve">; and (6) </w:t>
      </w:r>
      <w:r w:rsidR="007E6647">
        <w:rPr>
          <w:rFonts w:ascii="Times New Roman" w:hAnsi="Times New Roman" w:cs="Times New Roman"/>
          <w:sz w:val="28"/>
          <w:szCs w:val="28"/>
        </w:rPr>
        <w:t>had there been such reliance, it would not have been rea</w:t>
      </w:r>
      <w:r w:rsidR="00D9055B">
        <w:rPr>
          <w:rFonts w:ascii="Times New Roman" w:hAnsi="Times New Roman" w:cs="Times New Roman"/>
          <w:sz w:val="28"/>
          <w:szCs w:val="28"/>
        </w:rPr>
        <w:t xml:space="preserve">sonable.  </w:t>
      </w:r>
    </w:p>
    <w:p w:rsidR="00F571CD" w:rsidRPr="000C293D" w:rsidRDefault="008A1FDA" w:rsidP="00E92A45">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EVIDENCE IN THIS APPLICATION</w:t>
      </w:r>
    </w:p>
    <w:p w:rsidR="008A1FDA" w:rsidRDefault="000C293D"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Both parties’ evidence with respect to this applicat</w:t>
      </w:r>
      <w:r w:rsidR="00620930">
        <w:rPr>
          <w:rFonts w:ascii="Times New Roman" w:hAnsi="Times New Roman" w:cs="Times New Roman"/>
          <w:sz w:val="28"/>
          <w:szCs w:val="28"/>
        </w:rPr>
        <w:t xml:space="preserve">ion is voluminous and </w:t>
      </w:r>
      <w:r>
        <w:rPr>
          <w:rFonts w:ascii="Times New Roman" w:hAnsi="Times New Roman" w:cs="Times New Roman"/>
          <w:sz w:val="28"/>
          <w:szCs w:val="28"/>
        </w:rPr>
        <w:t xml:space="preserve">covers many of the same areas canvassed in the summary judgment application.  Although I have read through and considered all of it, </w:t>
      </w:r>
      <w:r w:rsidR="00CF02B2">
        <w:rPr>
          <w:rFonts w:ascii="Times New Roman" w:hAnsi="Times New Roman" w:cs="Times New Roman"/>
          <w:sz w:val="28"/>
          <w:szCs w:val="28"/>
        </w:rPr>
        <w:t xml:space="preserve">my comments are limited to those portions which are </w:t>
      </w:r>
      <w:r w:rsidR="00620930">
        <w:rPr>
          <w:rFonts w:ascii="Times New Roman" w:hAnsi="Times New Roman" w:cs="Times New Roman"/>
          <w:sz w:val="28"/>
          <w:szCs w:val="28"/>
        </w:rPr>
        <w:t xml:space="preserve">most </w:t>
      </w:r>
      <w:r>
        <w:rPr>
          <w:rFonts w:ascii="Times New Roman" w:hAnsi="Times New Roman" w:cs="Times New Roman"/>
          <w:sz w:val="28"/>
          <w:szCs w:val="28"/>
        </w:rPr>
        <w:t xml:space="preserve">relevant to the general analysis and therefore, some aspects are excluded from the summary below.  </w:t>
      </w:r>
    </w:p>
    <w:p w:rsidR="000C293D" w:rsidRPr="00AB3AEC" w:rsidRDefault="00C63413" w:rsidP="00E92A45">
      <w:pPr>
        <w:pStyle w:val="ListParagraph"/>
        <w:spacing w:after="240" w:line="240" w:lineRule="auto"/>
        <w:ind w:left="0"/>
        <w:contextualSpacing w:val="0"/>
        <w:jc w:val="both"/>
        <w:rPr>
          <w:rFonts w:ascii="Times New Roman" w:hAnsi="Times New Roman" w:cs="Times New Roman"/>
          <w:b/>
          <w:i/>
          <w:sz w:val="28"/>
          <w:szCs w:val="28"/>
        </w:rPr>
      </w:pPr>
      <w:r w:rsidRPr="00AB3AEC">
        <w:rPr>
          <w:rFonts w:ascii="Times New Roman" w:hAnsi="Times New Roman" w:cs="Times New Roman"/>
          <w:b/>
          <w:i/>
          <w:sz w:val="28"/>
          <w:szCs w:val="28"/>
        </w:rPr>
        <w:t xml:space="preserve">Igor </w:t>
      </w:r>
      <w:r w:rsidR="000C293D" w:rsidRPr="00AB3AEC">
        <w:rPr>
          <w:rFonts w:ascii="Times New Roman" w:hAnsi="Times New Roman" w:cs="Times New Roman"/>
          <w:b/>
          <w:i/>
          <w:sz w:val="28"/>
          <w:szCs w:val="28"/>
        </w:rPr>
        <w:t>Holubec’s Evidence</w:t>
      </w:r>
    </w:p>
    <w:p w:rsidR="00C457DE" w:rsidRPr="00C457DE" w:rsidRDefault="004E77F8"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Igor </w:t>
      </w:r>
      <w:r w:rsidR="008E2140" w:rsidRPr="00C457DE">
        <w:rPr>
          <w:rFonts w:ascii="Times New Roman" w:hAnsi="Times New Roman" w:cs="Times New Roman"/>
          <w:sz w:val="28"/>
          <w:szCs w:val="28"/>
        </w:rPr>
        <w:t xml:space="preserve">Holubec retained counsel </w:t>
      </w:r>
      <w:r>
        <w:rPr>
          <w:rFonts w:ascii="Times New Roman" w:hAnsi="Times New Roman" w:cs="Times New Roman"/>
          <w:sz w:val="28"/>
          <w:szCs w:val="28"/>
        </w:rPr>
        <w:t xml:space="preserve">on behalf of himself and his firm </w:t>
      </w:r>
      <w:r w:rsidR="008E2140" w:rsidRPr="00C457DE">
        <w:rPr>
          <w:rFonts w:ascii="Times New Roman" w:hAnsi="Times New Roman" w:cs="Times New Roman"/>
          <w:sz w:val="28"/>
          <w:szCs w:val="28"/>
        </w:rPr>
        <w:t xml:space="preserve">shortly after being served with the Statement of Claim.  He says he had difficulty in finding a lawyer who could take his case, but that Mr. Regel, his current counsel, agreed to do so.  </w:t>
      </w:r>
      <w:r w:rsidR="00C457DE" w:rsidRPr="00C457DE">
        <w:rPr>
          <w:rFonts w:ascii="Times New Roman" w:hAnsi="Times New Roman" w:cs="Times New Roman"/>
          <w:sz w:val="28"/>
          <w:szCs w:val="28"/>
        </w:rPr>
        <w:t xml:space="preserve">He entered into a retainer agreement which provided that he would pay an hourly fee of $600.00.  </w:t>
      </w:r>
    </w:p>
    <w:p w:rsidR="008E2140" w:rsidRDefault="00CF02B2"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Mr. Holubec believed</w:t>
      </w:r>
      <w:r w:rsidR="008E2140" w:rsidRPr="00C457DE">
        <w:rPr>
          <w:rFonts w:ascii="Times New Roman" w:hAnsi="Times New Roman" w:cs="Times New Roman"/>
          <w:sz w:val="28"/>
          <w:szCs w:val="28"/>
        </w:rPr>
        <w:t xml:space="preserve"> he </w:t>
      </w:r>
      <w:r w:rsidR="004E77F8">
        <w:rPr>
          <w:rFonts w:ascii="Times New Roman" w:hAnsi="Times New Roman" w:cs="Times New Roman"/>
          <w:sz w:val="28"/>
          <w:szCs w:val="28"/>
        </w:rPr>
        <w:t xml:space="preserve">and his firm </w:t>
      </w:r>
      <w:r w:rsidR="008E2140" w:rsidRPr="00C457DE">
        <w:rPr>
          <w:rFonts w:ascii="Times New Roman" w:hAnsi="Times New Roman" w:cs="Times New Roman"/>
          <w:sz w:val="28"/>
          <w:szCs w:val="28"/>
        </w:rPr>
        <w:t>had been include</w:t>
      </w:r>
      <w:r>
        <w:rPr>
          <w:rFonts w:ascii="Times New Roman" w:hAnsi="Times New Roman" w:cs="Times New Roman"/>
          <w:sz w:val="28"/>
          <w:szCs w:val="28"/>
        </w:rPr>
        <w:t xml:space="preserve">d in the lawsuit in error and so </w:t>
      </w:r>
      <w:r w:rsidR="00C457DE">
        <w:rPr>
          <w:rFonts w:ascii="Times New Roman" w:hAnsi="Times New Roman" w:cs="Times New Roman"/>
          <w:sz w:val="28"/>
          <w:szCs w:val="28"/>
        </w:rPr>
        <w:t>he instructed counsel to take steps to bring the matter to a conclusion without incurring significant fees.  Acting on these instructions, Mr. Regel contacted the Plaintiff’s counsel by email on February 8, 2016 and wrote the following:</w:t>
      </w:r>
    </w:p>
    <w:p w:rsidR="00C457DE" w:rsidRPr="006A5315" w:rsidRDefault="00C457DE" w:rsidP="00E92A45">
      <w:pPr>
        <w:pStyle w:val="ListParagraph"/>
        <w:spacing w:after="240" w:line="240" w:lineRule="auto"/>
        <w:ind w:right="720"/>
        <w:contextualSpacing w:val="0"/>
        <w:jc w:val="both"/>
        <w:rPr>
          <w:rFonts w:ascii="Times New Roman" w:hAnsi="Times New Roman" w:cs="Times New Roman"/>
          <w:sz w:val="24"/>
          <w:szCs w:val="24"/>
        </w:rPr>
      </w:pPr>
      <w:r w:rsidRPr="006A5315">
        <w:rPr>
          <w:rFonts w:ascii="Times New Roman" w:hAnsi="Times New Roman" w:cs="Times New Roman"/>
          <w:sz w:val="24"/>
          <w:szCs w:val="24"/>
        </w:rPr>
        <w:t>[Mr. Holubec] indicates he received between two and three thousand dollars on the job for some advice, which he says was NOT followed.  He maintains there is no viable cause of action against him.</w:t>
      </w:r>
    </w:p>
    <w:p w:rsidR="00C457DE" w:rsidRPr="006A5315" w:rsidRDefault="00C457DE" w:rsidP="00E92A45">
      <w:pPr>
        <w:pStyle w:val="ListParagraph"/>
        <w:spacing w:after="240" w:line="240" w:lineRule="auto"/>
        <w:ind w:right="720"/>
        <w:contextualSpacing w:val="0"/>
        <w:jc w:val="both"/>
        <w:rPr>
          <w:rFonts w:ascii="Times New Roman" w:hAnsi="Times New Roman" w:cs="Times New Roman"/>
          <w:sz w:val="24"/>
          <w:szCs w:val="24"/>
        </w:rPr>
      </w:pPr>
      <w:r w:rsidRPr="006A5315">
        <w:rPr>
          <w:rFonts w:ascii="Times New Roman" w:hAnsi="Times New Roman" w:cs="Times New Roman"/>
          <w:sz w:val="24"/>
          <w:szCs w:val="24"/>
        </w:rPr>
        <w:t xml:space="preserve">If this is a case </w:t>
      </w:r>
      <w:r w:rsidR="006A5315" w:rsidRPr="006A5315">
        <w:rPr>
          <w:rFonts w:ascii="Times New Roman" w:hAnsi="Times New Roman" w:cs="Times New Roman"/>
          <w:sz w:val="24"/>
          <w:szCs w:val="24"/>
        </w:rPr>
        <w:t>where</w:t>
      </w:r>
      <w:r w:rsidRPr="006A5315">
        <w:rPr>
          <w:rFonts w:ascii="Times New Roman" w:hAnsi="Times New Roman" w:cs="Times New Roman"/>
          <w:sz w:val="24"/>
          <w:szCs w:val="24"/>
        </w:rPr>
        <w:t xml:space="preserve"> he was included just to ensure everyone in any way involved was captured in the action, without having any reason to think he was at fault, I would ask that you consider discontinuing against him.  If you discontinue he will still cooperate with production of documents and as a witness. </w:t>
      </w:r>
    </w:p>
    <w:p w:rsidR="00C457DE" w:rsidRPr="006A5315" w:rsidRDefault="00C457DE" w:rsidP="00E92A45">
      <w:pPr>
        <w:pStyle w:val="ListParagraph"/>
        <w:spacing w:after="240" w:line="240" w:lineRule="auto"/>
        <w:ind w:right="720"/>
        <w:contextualSpacing w:val="0"/>
        <w:jc w:val="both"/>
        <w:rPr>
          <w:rFonts w:ascii="Times New Roman" w:hAnsi="Times New Roman" w:cs="Times New Roman"/>
          <w:sz w:val="24"/>
          <w:szCs w:val="24"/>
        </w:rPr>
      </w:pPr>
      <w:r w:rsidRPr="006A5315">
        <w:rPr>
          <w:rFonts w:ascii="Times New Roman" w:hAnsi="Times New Roman" w:cs="Times New Roman"/>
          <w:sz w:val="24"/>
          <w:szCs w:val="24"/>
        </w:rPr>
        <w:t>[. . . ]</w:t>
      </w:r>
    </w:p>
    <w:p w:rsidR="00C457DE" w:rsidRDefault="00C457DE" w:rsidP="00E92A45">
      <w:pPr>
        <w:pStyle w:val="ListParagraph"/>
        <w:spacing w:after="240" w:line="240" w:lineRule="auto"/>
        <w:ind w:right="720"/>
        <w:contextualSpacing w:val="0"/>
        <w:jc w:val="both"/>
        <w:rPr>
          <w:rFonts w:ascii="Times New Roman" w:hAnsi="Times New Roman" w:cs="Times New Roman"/>
          <w:sz w:val="24"/>
          <w:szCs w:val="24"/>
        </w:rPr>
      </w:pPr>
      <w:r w:rsidRPr="006A5315">
        <w:rPr>
          <w:rFonts w:ascii="Times New Roman" w:hAnsi="Times New Roman" w:cs="Times New Roman"/>
          <w:sz w:val="24"/>
          <w:szCs w:val="24"/>
        </w:rPr>
        <w:t xml:space="preserve">I do understand there are generally two sides to a story.  I have not wasted his money doing a full review of the circumstances.  If there is some anticipated evidence against him I understand your wish to proceed.  If, however, he was included simply as an abundance of caution without any real basis for thinking he was at fault, I would ask that you reconsider the decision </w:t>
      </w:r>
      <w:r w:rsidR="000C0F7B">
        <w:rPr>
          <w:rFonts w:ascii="Times New Roman" w:hAnsi="Times New Roman" w:cs="Times New Roman"/>
          <w:sz w:val="24"/>
          <w:szCs w:val="24"/>
        </w:rPr>
        <w:t>t</w:t>
      </w:r>
      <w:r w:rsidRPr="006A5315">
        <w:rPr>
          <w:rFonts w:ascii="Times New Roman" w:hAnsi="Times New Roman" w:cs="Times New Roman"/>
          <w:sz w:val="24"/>
          <w:szCs w:val="24"/>
        </w:rPr>
        <w:t xml:space="preserve">o include him in the lawsuit.  If you wish to speak with him directly on a without prejudice basis </w:t>
      </w:r>
      <w:r w:rsidR="006A5315" w:rsidRPr="006A5315">
        <w:rPr>
          <w:rFonts w:ascii="Times New Roman" w:hAnsi="Times New Roman" w:cs="Times New Roman"/>
          <w:sz w:val="24"/>
          <w:szCs w:val="24"/>
        </w:rPr>
        <w:t xml:space="preserve">to assist in making up your mind I am sure that could be arranged.  </w:t>
      </w:r>
    </w:p>
    <w:p w:rsidR="006A5315" w:rsidRDefault="006A5315" w:rsidP="00E92A45">
      <w:pPr>
        <w:pStyle w:val="ListParagraph"/>
        <w:spacing w:after="240" w:line="240" w:lineRule="auto"/>
        <w:contextualSpacing w:val="0"/>
        <w:jc w:val="right"/>
        <w:rPr>
          <w:rFonts w:ascii="Times New Roman" w:hAnsi="Times New Roman" w:cs="Times New Roman"/>
          <w:sz w:val="28"/>
          <w:szCs w:val="28"/>
        </w:rPr>
      </w:pPr>
      <w:r w:rsidRPr="002659B9">
        <w:rPr>
          <w:rFonts w:ascii="Times New Roman" w:hAnsi="Times New Roman" w:cs="Times New Roman"/>
          <w:sz w:val="28"/>
          <w:szCs w:val="28"/>
        </w:rPr>
        <w:t>Affidavit of Igor Holubec, Sworn May 18, 2018, Exhibit “A”</w:t>
      </w:r>
    </w:p>
    <w:p w:rsidR="0057289E" w:rsidRPr="002659B9" w:rsidRDefault="0057289E" w:rsidP="0057289E">
      <w:pPr>
        <w:pStyle w:val="ListParagraph"/>
        <w:spacing w:after="0" w:line="240" w:lineRule="auto"/>
        <w:contextualSpacing w:val="0"/>
        <w:jc w:val="right"/>
        <w:rPr>
          <w:rFonts w:ascii="Times New Roman" w:hAnsi="Times New Roman" w:cs="Times New Roman"/>
          <w:sz w:val="28"/>
          <w:szCs w:val="28"/>
        </w:rPr>
      </w:pPr>
    </w:p>
    <w:p w:rsidR="001507FC" w:rsidRPr="004B1722" w:rsidRDefault="001507FC"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On February 17, 2016 Mr. Regel served the Plaintiff’s counse</w:t>
      </w:r>
      <w:r w:rsidR="00C63413">
        <w:rPr>
          <w:rFonts w:ascii="Times New Roman" w:hAnsi="Times New Roman" w:cs="Times New Roman"/>
          <w:sz w:val="28"/>
          <w:szCs w:val="28"/>
        </w:rPr>
        <w:t>l with a written</w:t>
      </w:r>
      <w:r w:rsidR="008C69CA">
        <w:rPr>
          <w:rFonts w:ascii="Times New Roman" w:hAnsi="Times New Roman" w:cs="Times New Roman"/>
          <w:sz w:val="28"/>
          <w:szCs w:val="28"/>
        </w:rPr>
        <w:t xml:space="preserve"> offer to s</w:t>
      </w:r>
      <w:r w:rsidR="004E77F8">
        <w:rPr>
          <w:rFonts w:ascii="Times New Roman" w:hAnsi="Times New Roman" w:cs="Times New Roman"/>
          <w:sz w:val="28"/>
          <w:szCs w:val="28"/>
        </w:rPr>
        <w:t>ettle the Plaintiff’s claim against Holubec for $100.00, exclusive of costs,</w:t>
      </w:r>
      <w:r w:rsidR="00712640">
        <w:rPr>
          <w:rFonts w:ascii="Times New Roman" w:hAnsi="Times New Roman" w:cs="Times New Roman"/>
          <w:sz w:val="28"/>
          <w:szCs w:val="28"/>
        </w:rPr>
        <w:t xml:space="preserve"> </w:t>
      </w:r>
      <w:r w:rsidR="004E77F8">
        <w:rPr>
          <w:rFonts w:ascii="Times New Roman" w:hAnsi="Times New Roman" w:cs="Times New Roman"/>
          <w:sz w:val="28"/>
          <w:szCs w:val="28"/>
        </w:rPr>
        <w:t>under</w:t>
      </w:r>
      <w:r>
        <w:rPr>
          <w:rFonts w:ascii="Times New Roman" w:hAnsi="Times New Roman" w:cs="Times New Roman"/>
          <w:sz w:val="28"/>
          <w:szCs w:val="28"/>
        </w:rPr>
        <w:t xml:space="preserve"> Rule</w:t>
      </w:r>
      <w:r w:rsidR="004B1722">
        <w:rPr>
          <w:rFonts w:ascii="Times New Roman" w:hAnsi="Times New Roman" w:cs="Times New Roman"/>
          <w:sz w:val="28"/>
          <w:szCs w:val="28"/>
        </w:rPr>
        <w:t>s</w:t>
      </w:r>
      <w:r>
        <w:rPr>
          <w:rFonts w:ascii="Times New Roman" w:hAnsi="Times New Roman" w:cs="Times New Roman"/>
          <w:sz w:val="28"/>
          <w:szCs w:val="28"/>
        </w:rPr>
        <w:t xml:space="preserve"> 193</w:t>
      </w:r>
      <w:r w:rsidR="004B1722">
        <w:rPr>
          <w:rFonts w:ascii="Times New Roman" w:hAnsi="Times New Roman" w:cs="Times New Roman"/>
          <w:sz w:val="28"/>
          <w:szCs w:val="28"/>
        </w:rPr>
        <w:t xml:space="preserve"> to 203 of the </w:t>
      </w:r>
      <w:r w:rsidR="004B1722">
        <w:rPr>
          <w:rFonts w:ascii="Times New Roman" w:hAnsi="Times New Roman" w:cs="Times New Roman"/>
          <w:i/>
          <w:sz w:val="28"/>
          <w:szCs w:val="28"/>
        </w:rPr>
        <w:t>Rules of the Supreme Court of the Northwest Territories</w:t>
      </w:r>
      <w:r>
        <w:rPr>
          <w:rFonts w:ascii="Times New Roman" w:hAnsi="Times New Roman" w:cs="Times New Roman"/>
          <w:sz w:val="28"/>
          <w:szCs w:val="28"/>
        </w:rPr>
        <w:t xml:space="preserve">.  </w:t>
      </w:r>
      <w:r w:rsidR="004E77F8">
        <w:rPr>
          <w:rFonts w:ascii="Times New Roman" w:hAnsi="Times New Roman" w:cs="Times New Roman"/>
          <w:sz w:val="28"/>
          <w:szCs w:val="28"/>
        </w:rPr>
        <w:t>Put simply, these rules provide that if the offer is better than the result achieved at trial on application, as the case may be, the offer</w:t>
      </w:r>
      <w:r w:rsidR="00417CD8">
        <w:rPr>
          <w:rFonts w:ascii="Times New Roman" w:hAnsi="Times New Roman" w:cs="Times New Roman"/>
          <w:sz w:val="28"/>
          <w:szCs w:val="28"/>
        </w:rPr>
        <w:t>or is entitled to solicitor and-</w:t>
      </w:r>
      <w:r w:rsidR="004E77F8">
        <w:rPr>
          <w:rFonts w:ascii="Times New Roman" w:hAnsi="Times New Roman" w:cs="Times New Roman"/>
          <w:sz w:val="28"/>
          <w:szCs w:val="28"/>
        </w:rPr>
        <w:t xml:space="preserve">client costs. </w:t>
      </w:r>
      <w:r w:rsidR="00D7735A">
        <w:rPr>
          <w:rFonts w:ascii="Times New Roman" w:hAnsi="Times New Roman" w:cs="Times New Roman"/>
          <w:sz w:val="28"/>
          <w:szCs w:val="28"/>
        </w:rPr>
        <w:t xml:space="preserve"> </w:t>
      </w:r>
      <w:r w:rsidR="004E77F8">
        <w:rPr>
          <w:rFonts w:ascii="Times New Roman" w:hAnsi="Times New Roman" w:cs="Times New Roman"/>
          <w:sz w:val="28"/>
          <w:szCs w:val="28"/>
        </w:rPr>
        <w:t xml:space="preserve">There are, however, specific requirements in those rules, including </w:t>
      </w:r>
      <w:r w:rsidR="00C63413">
        <w:rPr>
          <w:rFonts w:ascii="Times New Roman" w:hAnsi="Times New Roman" w:cs="Times New Roman"/>
          <w:sz w:val="28"/>
          <w:szCs w:val="28"/>
        </w:rPr>
        <w:t>Rule 203(b)(i)</w:t>
      </w:r>
      <w:r w:rsidR="00B1144E">
        <w:rPr>
          <w:rFonts w:ascii="Times New Roman" w:hAnsi="Times New Roman" w:cs="Times New Roman"/>
          <w:sz w:val="28"/>
          <w:szCs w:val="28"/>
        </w:rPr>
        <w:t>,</w:t>
      </w:r>
      <w:r w:rsidR="004E77F8">
        <w:rPr>
          <w:rFonts w:ascii="Times New Roman" w:hAnsi="Times New Roman" w:cs="Times New Roman"/>
          <w:sz w:val="28"/>
          <w:szCs w:val="28"/>
        </w:rPr>
        <w:t xml:space="preserve"> which provides</w:t>
      </w:r>
      <w:r w:rsidR="00C63413">
        <w:rPr>
          <w:rFonts w:ascii="Times New Roman" w:hAnsi="Times New Roman" w:cs="Times New Roman"/>
          <w:sz w:val="28"/>
          <w:szCs w:val="28"/>
        </w:rPr>
        <w:t xml:space="preserve"> that </w:t>
      </w:r>
      <w:r w:rsidR="004E77F8">
        <w:rPr>
          <w:rFonts w:ascii="Times New Roman" w:hAnsi="Times New Roman" w:cs="Times New Roman"/>
          <w:sz w:val="28"/>
          <w:szCs w:val="28"/>
        </w:rPr>
        <w:t xml:space="preserve">the offer </w:t>
      </w:r>
      <w:r w:rsidR="00417CD8">
        <w:rPr>
          <w:rFonts w:ascii="Times New Roman" w:hAnsi="Times New Roman" w:cs="Times New Roman"/>
          <w:sz w:val="28"/>
          <w:szCs w:val="28"/>
        </w:rPr>
        <w:t xml:space="preserve">must </w:t>
      </w:r>
      <w:r w:rsidR="00C63413">
        <w:rPr>
          <w:rFonts w:ascii="Times New Roman" w:hAnsi="Times New Roman" w:cs="Times New Roman"/>
          <w:sz w:val="28"/>
          <w:szCs w:val="28"/>
        </w:rPr>
        <w:t>be an offer to settle the Plaintiff’s claims against all of the defendants.</w:t>
      </w:r>
      <w:r w:rsidR="00D7735A">
        <w:rPr>
          <w:rFonts w:ascii="Times New Roman" w:hAnsi="Times New Roman" w:cs="Times New Roman"/>
          <w:sz w:val="28"/>
          <w:szCs w:val="28"/>
        </w:rPr>
        <w:t xml:space="preserve"> </w:t>
      </w:r>
      <w:r w:rsidR="00C63413">
        <w:rPr>
          <w:rFonts w:ascii="Times New Roman" w:hAnsi="Times New Roman" w:cs="Times New Roman"/>
          <w:sz w:val="28"/>
          <w:szCs w:val="28"/>
        </w:rPr>
        <w:t xml:space="preserve"> </w:t>
      </w:r>
      <w:r w:rsidR="00A14119">
        <w:rPr>
          <w:rFonts w:ascii="Times New Roman" w:hAnsi="Times New Roman" w:cs="Times New Roman"/>
          <w:sz w:val="28"/>
          <w:szCs w:val="28"/>
        </w:rPr>
        <w:t>The Holubec</w:t>
      </w:r>
      <w:r w:rsidR="00B1144E">
        <w:rPr>
          <w:rFonts w:ascii="Times New Roman" w:hAnsi="Times New Roman" w:cs="Times New Roman"/>
          <w:sz w:val="28"/>
          <w:szCs w:val="28"/>
        </w:rPr>
        <w:t xml:space="preserve"> offer did not do this.</w:t>
      </w:r>
      <w:r w:rsidR="00D7735A">
        <w:rPr>
          <w:rFonts w:ascii="Times New Roman" w:hAnsi="Times New Roman" w:cs="Times New Roman"/>
          <w:sz w:val="28"/>
          <w:szCs w:val="28"/>
        </w:rPr>
        <w:t xml:space="preserve"> </w:t>
      </w:r>
      <w:r w:rsidR="00B1144E">
        <w:rPr>
          <w:rFonts w:ascii="Times New Roman" w:hAnsi="Times New Roman" w:cs="Times New Roman"/>
          <w:sz w:val="28"/>
          <w:szCs w:val="28"/>
        </w:rPr>
        <w:t xml:space="preserve"> </w:t>
      </w:r>
      <w:r w:rsidR="00712640">
        <w:rPr>
          <w:rFonts w:ascii="Times New Roman" w:hAnsi="Times New Roman" w:cs="Times New Roman"/>
          <w:sz w:val="28"/>
          <w:szCs w:val="28"/>
        </w:rPr>
        <w:t xml:space="preserve">Accordingly, </w:t>
      </w:r>
      <w:r w:rsidR="004B1722">
        <w:rPr>
          <w:rFonts w:ascii="Times New Roman" w:hAnsi="Times New Roman" w:cs="Times New Roman"/>
          <w:sz w:val="28"/>
          <w:szCs w:val="28"/>
        </w:rPr>
        <w:t xml:space="preserve">Holubec, </w:t>
      </w:r>
      <w:r w:rsidR="00C63413">
        <w:rPr>
          <w:rFonts w:ascii="Times New Roman" w:hAnsi="Times New Roman" w:cs="Times New Roman"/>
          <w:sz w:val="28"/>
          <w:szCs w:val="28"/>
        </w:rPr>
        <w:t>although having succeeded in the</w:t>
      </w:r>
      <w:r w:rsidR="004B1722">
        <w:rPr>
          <w:rFonts w:ascii="Times New Roman" w:hAnsi="Times New Roman" w:cs="Times New Roman"/>
          <w:sz w:val="28"/>
          <w:szCs w:val="28"/>
        </w:rPr>
        <w:t xml:space="preserve"> application for summary judgmen</w:t>
      </w:r>
      <w:r w:rsidR="00417CD8">
        <w:rPr>
          <w:rFonts w:ascii="Times New Roman" w:hAnsi="Times New Roman" w:cs="Times New Roman"/>
          <w:sz w:val="28"/>
          <w:szCs w:val="28"/>
        </w:rPr>
        <w:t>t, is not entitled to solicitor-</w:t>
      </w:r>
      <w:r w:rsidR="004E77F8">
        <w:rPr>
          <w:rFonts w:ascii="Times New Roman" w:hAnsi="Times New Roman" w:cs="Times New Roman"/>
          <w:sz w:val="28"/>
          <w:szCs w:val="28"/>
        </w:rPr>
        <w:t>and</w:t>
      </w:r>
      <w:r w:rsidR="00417CD8">
        <w:rPr>
          <w:rFonts w:ascii="Times New Roman" w:hAnsi="Times New Roman" w:cs="Times New Roman"/>
          <w:sz w:val="28"/>
          <w:szCs w:val="28"/>
        </w:rPr>
        <w:t>-</w:t>
      </w:r>
      <w:r w:rsidR="004B1722">
        <w:rPr>
          <w:rFonts w:ascii="Times New Roman" w:hAnsi="Times New Roman" w:cs="Times New Roman"/>
          <w:sz w:val="28"/>
          <w:szCs w:val="28"/>
        </w:rPr>
        <w:t xml:space="preserve">client costs </w:t>
      </w:r>
      <w:r w:rsidR="00C63413">
        <w:rPr>
          <w:rFonts w:ascii="Times New Roman" w:hAnsi="Times New Roman" w:cs="Times New Roman"/>
          <w:sz w:val="28"/>
          <w:szCs w:val="28"/>
        </w:rPr>
        <w:t xml:space="preserve">through </w:t>
      </w:r>
      <w:r w:rsidR="004B1722">
        <w:rPr>
          <w:rFonts w:ascii="Times New Roman" w:hAnsi="Times New Roman" w:cs="Times New Roman"/>
          <w:sz w:val="28"/>
          <w:szCs w:val="28"/>
        </w:rPr>
        <w:t>operation of the</w:t>
      </w:r>
      <w:r w:rsidR="004E77F8">
        <w:rPr>
          <w:rFonts w:ascii="Times New Roman" w:hAnsi="Times New Roman" w:cs="Times New Roman"/>
          <w:sz w:val="28"/>
          <w:szCs w:val="28"/>
        </w:rPr>
        <w:t>se</w:t>
      </w:r>
      <w:r w:rsidR="004B1722">
        <w:rPr>
          <w:rFonts w:ascii="Times New Roman" w:hAnsi="Times New Roman" w:cs="Times New Roman"/>
          <w:sz w:val="28"/>
          <w:szCs w:val="28"/>
        </w:rPr>
        <w:t xml:space="preserve"> </w:t>
      </w:r>
      <w:r w:rsidR="004E77F8">
        <w:rPr>
          <w:rFonts w:ascii="Times New Roman" w:hAnsi="Times New Roman" w:cs="Times New Roman"/>
          <w:sz w:val="28"/>
          <w:szCs w:val="28"/>
        </w:rPr>
        <w:t>r</w:t>
      </w:r>
      <w:r w:rsidR="004B1722">
        <w:rPr>
          <w:rFonts w:ascii="Times New Roman" w:hAnsi="Times New Roman" w:cs="Times New Roman"/>
          <w:sz w:val="28"/>
          <w:szCs w:val="28"/>
        </w:rPr>
        <w:t xml:space="preserve">ules.  </w:t>
      </w:r>
      <w:r w:rsidR="00C63413">
        <w:rPr>
          <w:rFonts w:ascii="Times New Roman" w:hAnsi="Times New Roman" w:cs="Times New Roman"/>
          <w:sz w:val="28"/>
          <w:szCs w:val="28"/>
        </w:rPr>
        <w:t>The costs cons</w:t>
      </w:r>
      <w:r w:rsidR="00A14119">
        <w:rPr>
          <w:rFonts w:ascii="Times New Roman" w:hAnsi="Times New Roman" w:cs="Times New Roman"/>
          <w:sz w:val="28"/>
          <w:szCs w:val="28"/>
        </w:rPr>
        <w:t xml:space="preserve">equences of the offer </w:t>
      </w:r>
      <w:r w:rsidR="00C63413">
        <w:rPr>
          <w:rFonts w:ascii="Times New Roman" w:hAnsi="Times New Roman" w:cs="Times New Roman"/>
          <w:sz w:val="28"/>
          <w:szCs w:val="28"/>
        </w:rPr>
        <w:t xml:space="preserve">are addressed in more detail later in these reasons. </w:t>
      </w:r>
    </w:p>
    <w:p w:rsidR="006A5315" w:rsidRPr="005D6060" w:rsidRDefault="00AF30CF"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Mr. Regel wrote to the Plaintiff’s counsel</w:t>
      </w:r>
      <w:r w:rsidR="00CF02B2">
        <w:rPr>
          <w:rFonts w:ascii="Times New Roman" w:hAnsi="Times New Roman" w:cs="Times New Roman"/>
          <w:sz w:val="28"/>
          <w:szCs w:val="28"/>
        </w:rPr>
        <w:t xml:space="preserve"> a few weeks later, </w:t>
      </w:r>
      <w:r w:rsidR="00B1144E">
        <w:rPr>
          <w:rFonts w:ascii="Times New Roman" w:hAnsi="Times New Roman" w:cs="Times New Roman"/>
          <w:sz w:val="28"/>
          <w:szCs w:val="28"/>
        </w:rPr>
        <w:t xml:space="preserve">on </w:t>
      </w:r>
      <w:r w:rsidR="00CF02B2">
        <w:rPr>
          <w:rFonts w:ascii="Times New Roman" w:hAnsi="Times New Roman" w:cs="Times New Roman"/>
          <w:sz w:val="28"/>
          <w:szCs w:val="28"/>
        </w:rPr>
        <w:t>February 24, 2016.</w:t>
      </w:r>
      <w:r>
        <w:rPr>
          <w:rFonts w:ascii="Times New Roman" w:hAnsi="Times New Roman" w:cs="Times New Roman"/>
          <w:sz w:val="28"/>
          <w:szCs w:val="28"/>
        </w:rPr>
        <w:t xml:space="preserve">  He advised that his clients’ Statement of Defence would be filed that day and he proposed a meeting with the Plaintiff’s counsel, Mr. Holubec and </w:t>
      </w:r>
      <w:r w:rsidR="005D6060">
        <w:rPr>
          <w:rFonts w:ascii="Times New Roman" w:hAnsi="Times New Roman" w:cs="Times New Roman"/>
          <w:sz w:val="28"/>
          <w:szCs w:val="28"/>
        </w:rPr>
        <w:t xml:space="preserve">one of the Plaintiff’s engineers with a view to demonstrating that Mr. Holubec’s advice had not been followed.  He also advised that if the Plaintiff wished to </w:t>
      </w:r>
      <w:r w:rsidR="00A14119">
        <w:rPr>
          <w:rFonts w:ascii="Times New Roman" w:hAnsi="Times New Roman" w:cs="Times New Roman"/>
          <w:sz w:val="28"/>
          <w:szCs w:val="28"/>
        </w:rPr>
        <w:t xml:space="preserve">continue with </w:t>
      </w:r>
      <w:r w:rsidR="005D6060">
        <w:rPr>
          <w:rFonts w:ascii="Times New Roman" w:hAnsi="Times New Roman" w:cs="Times New Roman"/>
          <w:sz w:val="28"/>
          <w:szCs w:val="28"/>
        </w:rPr>
        <w:t>proceed</w:t>
      </w:r>
      <w:r w:rsidR="00A14119">
        <w:rPr>
          <w:rFonts w:ascii="Times New Roman" w:hAnsi="Times New Roman" w:cs="Times New Roman"/>
          <w:sz w:val="28"/>
          <w:szCs w:val="28"/>
        </w:rPr>
        <w:t>ings</w:t>
      </w:r>
      <w:r w:rsidR="00B1144E">
        <w:rPr>
          <w:rFonts w:ascii="Times New Roman" w:hAnsi="Times New Roman" w:cs="Times New Roman"/>
          <w:sz w:val="28"/>
          <w:szCs w:val="28"/>
        </w:rPr>
        <w:t xml:space="preserve"> against Holubec</w:t>
      </w:r>
      <w:r w:rsidR="005D6060">
        <w:rPr>
          <w:rFonts w:ascii="Times New Roman" w:hAnsi="Times New Roman" w:cs="Times New Roman"/>
          <w:sz w:val="28"/>
          <w:szCs w:val="28"/>
        </w:rPr>
        <w:t xml:space="preserve">, he would be bringing a summary judgment application.  </w:t>
      </w:r>
      <w:r w:rsidRPr="005D6060">
        <w:rPr>
          <w:rFonts w:ascii="Times New Roman" w:hAnsi="Times New Roman" w:cs="Times New Roman"/>
          <w:sz w:val="28"/>
          <w:szCs w:val="28"/>
        </w:rPr>
        <w:t xml:space="preserve"> </w:t>
      </w:r>
    </w:p>
    <w:p w:rsidR="00AF30CF" w:rsidRDefault="002B0C73"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On April 4, 2016 Mr. Regel sent another email to the Plaintiff’s counsel.  He said he was in Yellowknife unexpectedly and asked if they could meet.  The Plaintiff’s counsel replied that her scheduled could not accommodate it and that, in any event, she had not received a final response from her client with respect to a discussion.  She also said she was still in the process of review</w:t>
      </w:r>
      <w:r w:rsidR="000C293D">
        <w:rPr>
          <w:rFonts w:ascii="Times New Roman" w:hAnsi="Times New Roman" w:cs="Times New Roman"/>
          <w:sz w:val="28"/>
          <w:szCs w:val="28"/>
        </w:rPr>
        <w:t xml:space="preserve">ing documents pertaining to </w:t>
      </w:r>
      <w:r>
        <w:rPr>
          <w:rFonts w:ascii="Times New Roman" w:hAnsi="Times New Roman" w:cs="Times New Roman"/>
          <w:sz w:val="28"/>
          <w:szCs w:val="28"/>
        </w:rPr>
        <w:t xml:space="preserve">Holubec and other defendants. </w:t>
      </w:r>
    </w:p>
    <w:p w:rsidR="002B0C73" w:rsidRDefault="002B0C73"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Regel sent a letter to the Plaintiff’s counsel on June 16, </w:t>
      </w:r>
      <w:r w:rsidR="000C293D">
        <w:rPr>
          <w:rFonts w:ascii="Times New Roman" w:hAnsi="Times New Roman" w:cs="Times New Roman"/>
          <w:sz w:val="28"/>
          <w:szCs w:val="28"/>
        </w:rPr>
        <w:t>2016.  H</w:t>
      </w:r>
      <w:r>
        <w:rPr>
          <w:rFonts w:ascii="Times New Roman" w:hAnsi="Times New Roman" w:cs="Times New Roman"/>
          <w:sz w:val="28"/>
          <w:szCs w:val="28"/>
        </w:rPr>
        <w:t>e again asked for a meeting:</w:t>
      </w:r>
    </w:p>
    <w:p w:rsidR="002B0C73" w:rsidRPr="002B0C73" w:rsidRDefault="002B0C73" w:rsidP="00E92A45">
      <w:pPr>
        <w:pStyle w:val="ListParagraph"/>
        <w:spacing w:after="240" w:line="240" w:lineRule="auto"/>
        <w:ind w:right="720"/>
        <w:contextualSpacing w:val="0"/>
        <w:jc w:val="both"/>
        <w:rPr>
          <w:rFonts w:ascii="Times New Roman" w:hAnsi="Times New Roman" w:cs="Times New Roman"/>
          <w:sz w:val="24"/>
          <w:szCs w:val="24"/>
        </w:rPr>
      </w:pPr>
      <w:r w:rsidRPr="002B0C73">
        <w:rPr>
          <w:rFonts w:ascii="Times New Roman" w:hAnsi="Times New Roman" w:cs="Times New Roman"/>
          <w:sz w:val="24"/>
          <w:szCs w:val="24"/>
        </w:rPr>
        <w:t xml:space="preserve">On another note we previously raised the possibility of an informal meeting between ourselves, our client and an engineer who could speak for your client with respect to whether Mr. Holubec had any involvement that justifies even proceeding to discoveries.  As I said he is adamant that the limited </w:t>
      </w:r>
      <w:r w:rsidR="004E77F8">
        <w:rPr>
          <w:rFonts w:ascii="Times New Roman" w:hAnsi="Times New Roman" w:cs="Times New Roman"/>
          <w:sz w:val="24"/>
          <w:szCs w:val="24"/>
        </w:rPr>
        <w:t>advice he provided was not even</w:t>
      </w:r>
      <w:r w:rsidRPr="002B0C73">
        <w:rPr>
          <w:rFonts w:ascii="Times New Roman" w:hAnsi="Times New Roman" w:cs="Times New Roman"/>
          <w:sz w:val="24"/>
          <w:szCs w:val="24"/>
        </w:rPr>
        <w:t xml:space="preserve"> followed.  Your own pleadings support his position and in the circumstance it could be an abuse of process to insist on proceeding against him – especially when he is not sitting in silence but protesting. </w:t>
      </w:r>
    </w:p>
    <w:p w:rsidR="002B0C73" w:rsidRDefault="002B0C73" w:rsidP="00E92A45">
      <w:pPr>
        <w:pStyle w:val="ListParagraph"/>
        <w:spacing w:after="240" w:line="240" w:lineRule="auto"/>
        <w:ind w:right="720"/>
        <w:contextualSpacing w:val="0"/>
        <w:jc w:val="both"/>
        <w:rPr>
          <w:rFonts w:ascii="Times New Roman" w:hAnsi="Times New Roman" w:cs="Times New Roman"/>
          <w:sz w:val="24"/>
          <w:szCs w:val="24"/>
        </w:rPr>
      </w:pPr>
      <w:r w:rsidRPr="002B0C73">
        <w:rPr>
          <w:rFonts w:ascii="Times New Roman" w:hAnsi="Times New Roman" w:cs="Times New Roman"/>
          <w:sz w:val="24"/>
          <w:szCs w:val="24"/>
        </w:rPr>
        <w:t xml:space="preserve">We had contemplated such a meeting via teleconference but could make arrangements to attend in person if that is your wish.  If you want, we are open to having the meeting </w:t>
      </w:r>
      <w:r w:rsidRPr="002B0C73">
        <w:rPr>
          <w:rFonts w:ascii="Times New Roman" w:hAnsi="Times New Roman" w:cs="Times New Roman"/>
          <w:i/>
          <w:sz w:val="24"/>
          <w:szCs w:val="24"/>
        </w:rPr>
        <w:t>on the record with a tran</w:t>
      </w:r>
      <w:r w:rsidR="000C293D">
        <w:rPr>
          <w:rFonts w:ascii="Times New Roman" w:hAnsi="Times New Roman" w:cs="Times New Roman"/>
          <w:i/>
          <w:sz w:val="24"/>
          <w:szCs w:val="24"/>
        </w:rPr>
        <w:t>script being made that you could</w:t>
      </w:r>
      <w:r w:rsidRPr="002B0C73">
        <w:rPr>
          <w:rFonts w:ascii="Times New Roman" w:hAnsi="Times New Roman" w:cs="Times New Roman"/>
          <w:i/>
          <w:sz w:val="24"/>
          <w:szCs w:val="24"/>
        </w:rPr>
        <w:t xml:space="preserve"> use in the same fashion as a discovery transcript, and even having other parties who </w:t>
      </w:r>
      <w:r w:rsidRPr="002B0C73">
        <w:rPr>
          <w:rFonts w:ascii="Times New Roman" w:hAnsi="Times New Roman" w:cs="Times New Roman"/>
          <w:i/>
          <w:sz w:val="24"/>
          <w:szCs w:val="24"/>
        </w:rPr>
        <w:lastRenderedPageBreak/>
        <w:t xml:space="preserve">might wish to dispute Mr. Holubec’s position present as well.  </w:t>
      </w:r>
      <w:r w:rsidRPr="002B0C73">
        <w:rPr>
          <w:rFonts w:ascii="Times New Roman" w:hAnsi="Times New Roman" w:cs="Times New Roman"/>
          <w:sz w:val="24"/>
          <w:szCs w:val="24"/>
        </w:rPr>
        <w:t>Please confirm if you are open to attempting to resolve the claim against Mr. Holubec in this fashion. (emphasis in original).</w:t>
      </w:r>
    </w:p>
    <w:p w:rsidR="002B0C73" w:rsidRPr="002659B9" w:rsidRDefault="002B0C73" w:rsidP="00E92A45">
      <w:pPr>
        <w:pStyle w:val="ListParagraph"/>
        <w:spacing w:after="240" w:line="240" w:lineRule="auto"/>
        <w:contextualSpacing w:val="0"/>
        <w:jc w:val="right"/>
        <w:rPr>
          <w:rFonts w:ascii="Times New Roman" w:hAnsi="Times New Roman" w:cs="Times New Roman"/>
          <w:sz w:val="28"/>
          <w:szCs w:val="28"/>
        </w:rPr>
      </w:pPr>
      <w:r w:rsidRPr="002659B9">
        <w:rPr>
          <w:rFonts w:ascii="Times New Roman" w:hAnsi="Times New Roman" w:cs="Times New Roman"/>
          <w:sz w:val="28"/>
          <w:szCs w:val="28"/>
        </w:rPr>
        <w:t>Affidavit of Igor Holubec</w:t>
      </w:r>
      <w:r w:rsidRPr="002659B9">
        <w:rPr>
          <w:rFonts w:ascii="Times New Roman" w:hAnsi="Times New Roman" w:cs="Times New Roman"/>
          <w:i/>
          <w:sz w:val="28"/>
          <w:szCs w:val="28"/>
        </w:rPr>
        <w:t>, supra,</w:t>
      </w:r>
      <w:r w:rsidRPr="002659B9">
        <w:rPr>
          <w:rFonts w:ascii="Times New Roman" w:hAnsi="Times New Roman" w:cs="Times New Roman"/>
          <w:sz w:val="28"/>
          <w:szCs w:val="28"/>
        </w:rPr>
        <w:t xml:space="preserve"> Exhibit </w:t>
      </w:r>
      <w:r w:rsidR="002659B9" w:rsidRPr="002659B9">
        <w:rPr>
          <w:rFonts w:ascii="Times New Roman" w:hAnsi="Times New Roman" w:cs="Times New Roman"/>
          <w:sz w:val="28"/>
          <w:szCs w:val="28"/>
        </w:rPr>
        <w:t>“E”</w:t>
      </w:r>
    </w:p>
    <w:p w:rsidR="004E77F8" w:rsidRDefault="001507FC"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No settlement meeting took place and t</w:t>
      </w:r>
      <w:r w:rsidRPr="001507FC">
        <w:rPr>
          <w:rFonts w:ascii="Times New Roman" w:hAnsi="Times New Roman" w:cs="Times New Roman"/>
          <w:sz w:val="28"/>
          <w:szCs w:val="28"/>
        </w:rPr>
        <w:t>h</w:t>
      </w:r>
      <w:r w:rsidR="00B1144E">
        <w:rPr>
          <w:rFonts w:ascii="Times New Roman" w:hAnsi="Times New Roman" w:cs="Times New Roman"/>
          <w:sz w:val="28"/>
          <w:szCs w:val="28"/>
        </w:rPr>
        <w:t xml:space="preserve">e parties moved on to </w:t>
      </w:r>
      <w:r w:rsidRPr="001507FC">
        <w:rPr>
          <w:rFonts w:ascii="Times New Roman" w:hAnsi="Times New Roman" w:cs="Times New Roman"/>
          <w:sz w:val="28"/>
          <w:szCs w:val="28"/>
        </w:rPr>
        <w:t>document</w:t>
      </w:r>
      <w:r w:rsidR="00B1144E">
        <w:rPr>
          <w:rFonts w:ascii="Times New Roman" w:hAnsi="Times New Roman" w:cs="Times New Roman"/>
          <w:sz w:val="28"/>
          <w:szCs w:val="28"/>
        </w:rPr>
        <w:t xml:space="preserve"> discovery</w:t>
      </w:r>
      <w:r>
        <w:rPr>
          <w:rFonts w:ascii="Times New Roman" w:hAnsi="Times New Roman" w:cs="Times New Roman"/>
          <w:sz w:val="28"/>
          <w:szCs w:val="28"/>
        </w:rPr>
        <w:t>.</w:t>
      </w:r>
      <w:r w:rsidR="00D773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FC">
        <w:rPr>
          <w:rFonts w:ascii="Times New Roman" w:hAnsi="Times New Roman" w:cs="Times New Roman"/>
          <w:sz w:val="28"/>
          <w:szCs w:val="28"/>
        </w:rPr>
        <w:t xml:space="preserve">Mr. Holubec deposes that he reviewed </w:t>
      </w:r>
      <w:r>
        <w:rPr>
          <w:rFonts w:ascii="Times New Roman" w:hAnsi="Times New Roman" w:cs="Times New Roman"/>
          <w:sz w:val="28"/>
          <w:szCs w:val="28"/>
        </w:rPr>
        <w:t xml:space="preserve">some 3,400 pages of documents, which he received from Mr. Regel on November 14, 2016.  </w:t>
      </w:r>
    </w:p>
    <w:p w:rsidR="002659B9" w:rsidRDefault="001507FC"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Subsequently, </w:t>
      </w:r>
      <w:r w:rsidR="000C62BB">
        <w:rPr>
          <w:rFonts w:ascii="Times New Roman" w:hAnsi="Times New Roman" w:cs="Times New Roman"/>
          <w:sz w:val="28"/>
          <w:szCs w:val="28"/>
        </w:rPr>
        <w:t xml:space="preserve">on November 25, 2016, </w:t>
      </w:r>
      <w:r>
        <w:rPr>
          <w:rFonts w:ascii="Times New Roman" w:hAnsi="Times New Roman" w:cs="Times New Roman"/>
          <w:sz w:val="28"/>
          <w:szCs w:val="28"/>
        </w:rPr>
        <w:t xml:space="preserve">Mr. Regel </w:t>
      </w:r>
      <w:r w:rsidR="00CF02B2">
        <w:rPr>
          <w:rFonts w:ascii="Times New Roman" w:hAnsi="Times New Roman" w:cs="Times New Roman"/>
          <w:sz w:val="28"/>
          <w:szCs w:val="28"/>
        </w:rPr>
        <w:t xml:space="preserve">requested additional documents which were </w:t>
      </w:r>
      <w:r>
        <w:rPr>
          <w:rFonts w:ascii="Times New Roman" w:hAnsi="Times New Roman" w:cs="Times New Roman"/>
          <w:sz w:val="28"/>
          <w:szCs w:val="28"/>
        </w:rPr>
        <w:t>referenced, but not included</w:t>
      </w:r>
      <w:r w:rsidR="00CF02B2">
        <w:rPr>
          <w:rFonts w:ascii="Times New Roman" w:hAnsi="Times New Roman" w:cs="Times New Roman"/>
          <w:sz w:val="28"/>
          <w:szCs w:val="28"/>
        </w:rPr>
        <w:t xml:space="preserve">, in the Plaintiff’s production. He </w:t>
      </w:r>
      <w:r>
        <w:rPr>
          <w:rFonts w:ascii="Times New Roman" w:hAnsi="Times New Roman" w:cs="Times New Roman"/>
          <w:sz w:val="28"/>
          <w:szCs w:val="28"/>
        </w:rPr>
        <w:t xml:space="preserve">considered </w:t>
      </w:r>
      <w:r w:rsidR="00CF02B2">
        <w:rPr>
          <w:rFonts w:ascii="Times New Roman" w:hAnsi="Times New Roman" w:cs="Times New Roman"/>
          <w:sz w:val="28"/>
          <w:szCs w:val="28"/>
        </w:rPr>
        <w:t xml:space="preserve">these </w:t>
      </w:r>
      <w:r>
        <w:rPr>
          <w:rFonts w:ascii="Times New Roman" w:hAnsi="Times New Roman" w:cs="Times New Roman"/>
          <w:sz w:val="28"/>
          <w:szCs w:val="28"/>
        </w:rPr>
        <w:t xml:space="preserve">material to </w:t>
      </w:r>
      <w:r w:rsidR="00D41259">
        <w:rPr>
          <w:rFonts w:ascii="Times New Roman" w:hAnsi="Times New Roman" w:cs="Times New Roman"/>
          <w:sz w:val="28"/>
          <w:szCs w:val="28"/>
        </w:rPr>
        <w:t xml:space="preserve">the question of </w:t>
      </w:r>
      <w:r w:rsidR="00A14119">
        <w:rPr>
          <w:rFonts w:ascii="Times New Roman" w:hAnsi="Times New Roman" w:cs="Times New Roman"/>
          <w:sz w:val="28"/>
          <w:szCs w:val="28"/>
        </w:rPr>
        <w:t xml:space="preserve">his clients’ </w:t>
      </w:r>
      <w:r>
        <w:rPr>
          <w:rFonts w:ascii="Times New Roman" w:hAnsi="Times New Roman" w:cs="Times New Roman"/>
          <w:sz w:val="28"/>
          <w:szCs w:val="28"/>
        </w:rPr>
        <w:t xml:space="preserve">liability.  </w:t>
      </w:r>
      <w:r w:rsidR="000C62BB">
        <w:rPr>
          <w:rFonts w:ascii="Times New Roman" w:hAnsi="Times New Roman" w:cs="Times New Roman"/>
          <w:sz w:val="28"/>
          <w:szCs w:val="28"/>
        </w:rPr>
        <w:t xml:space="preserve">The Plaintiff’s lawyer declined to produce them, indicating that they would be “more appropriately raised with the deponent for the plaintiff at his examination for discovery” the following January. </w:t>
      </w:r>
      <w:r w:rsidR="00E019F8">
        <w:rPr>
          <w:rFonts w:ascii="Times New Roman" w:hAnsi="Times New Roman" w:cs="Times New Roman"/>
          <w:sz w:val="28"/>
          <w:szCs w:val="28"/>
        </w:rPr>
        <w:t xml:space="preserve"> Mr. Holubec deposes that had he been provided these documents when requested it would have saved him the expense of having his lawyer attend </w:t>
      </w:r>
      <w:r w:rsidR="00CF02B2">
        <w:rPr>
          <w:rFonts w:ascii="Times New Roman" w:hAnsi="Times New Roman" w:cs="Times New Roman"/>
          <w:sz w:val="28"/>
          <w:szCs w:val="28"/>
        </w:rPr>
        <w:t xml:space="preserve">certain portions of the </w:t>
      </w:r>
      <w:r w:rsidR="00E019F8">
        <w:rPr>
          <w:rFonts w:ascii="Times New Roman" w:hAnsi="Times New Roman" w:cs="Times New Roman"/>
          <w:sz w:val="28"/>
          <w:szCs w:val="28"/>
        </w:rPr>
        <w:t xml:space="preserve">examinations for discovery. </w:t>
      </w:r>
    </w:p>
    <w:p w:rsidR="00F571CD" w:rsidRDefault="00F571CD"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Plaintiff’s witness was scheduled for examinations for discovery on January 24, 2017 in Yellowknife.  Mr. Holubec was not able to be in Yellowknife at that time, but on December 20, 2016 he travelled from his home in Ontario to meet Mr. Regel in Alberta, to prepare for the examinations. </w:t>
      </w:r>
    </w:p>
    <w:p w:rsidR="00F571CD" w:rsidRDefault="00F571CD"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At some point in January of 2017 the Plaintiff’s counsel advised that the examinations for discovery would be adjourned.  On Janua</w:t>
      </w:r>
      <w:r w:rsidR="00E069D3">
        <w:rPr>
          <w:rFonts w:ascii="Times New Roman" w:hAnsi="Times New Roman" w:cs="Times New Roman"/>
          <w:sz w:val="28"/>
          <w:szCs w:val="28"/>
        </w:rPr>
        <w:t>ry 16, 2017 Mr. Regel had a number of email exchanges with the Plaintiff’s counsel and I infer from these that the Plaintiff’s officer required further time to prepare.  Among other things, Mr. Regel stated:</w:t>
      </w:r>
    </w:p>
    <w:p w:rsidR="00E069D3" w:rsidRDefault="00E069D3" w:rsidP="00E92A45">
      <w:pPr>
        <w:pStyle w:val="ListParagraph"/>
        <w:spacing w:after="240" w:line="240" w:lineRule="auto"/>
        <w:ind w:right="720"/>
        <w:contextualSpacing w:val="0"/>
        <w:jc w:val="both"/>
        <w:rPr>
          <w:rFonts w:ascii="Times New Roman" w:hAnsi="Times New Roman" w:cs="Times New Roman"/>
          <w:sz w:val="24"/>
          <w:szCs w:val="24"/>
        </w:rPr>
      </w:pPr>
      <w:r w:rsidRPr="00E069D3">
        <w:rPr>
          <w:rFonts w:ascii="Times New Roman" w:hAnsi="Times New Roman" w:cs="Times New Roman"/>
          <w:sz w:val="24"/>
          <w:szCs w:val="24"/>
        </w:rPr>
        <w:t>I am not just beating my chest but on reviewing the documents [I] really do not see any rat</w:t>
      </w:r>
      <w:r w:rsidR="004E77F8">
        <w:rPr>
          <w:rFonts w:ascii="Times New Roman" w:hAnsi="Times New Roman" w:cs="Times New Roman"/>
          <w:sz w:val="24"/>
          <w:szCs w:val="24"/>
        </w:rPr>
        <w:t>ional reason for including [</w:t>
      </w:r>
      <w:r w:rsidRPr="00E069D3">
        <w:rPr>
          <w:rFonts w:ascii="Times New Roman" w:hAnsi="Times New Roman" w:cs="Times New Roman"/>
          <w:sz w:val="24"/>
          <w:szCs w:val="24"/>
        </w:rPr>
        <w:t xml:space="preserve">Holubec] in the circumstances.  I am not sure if you overlooked the fact the drawings were clearly marked DRAFT and NOT stamped, the AFC drawings do not form part of the HIS report and the minimal advice he gave was not followed and the failure to follow it – is in part what lead </w:t>
      </w:r>
      <w:r w:rsidRPr="00E069D3">
        <w:rPr>
          <w:rFonts w:ascii="Times New Roman" w:hAnsi="Times New Roman" w:cs="Times New Roman"/>
          <w:i/>
          <w:sz w:val="24"/>
          <w:szCs w:val="24"/>
        </w:rPr>
        <w:t>[sic]</w:t>
      </w:r>
      <w:r w:rsidRPr="00E069D3">
        <w:rPr>
          <w:rFonts w:ascii="Times New Roman" w:hAnsi="Times New Roman" w:cs="Times New Roman"/>
          <w:sz w:val="24"/>
          <w:szCs w:val="24"/>
        </w:rPr>
        <w:t xml:space="preserve"> to the problem.</w:t>
      </w:r>
    </w:p>
    <w:p w:rsidR="00E069D3" w:rsidRPr="00E069D3" w:rsidRDefault="00E069D3" w:rsidP="00E92A45">
      <w:pPr>
        <w:pStyle w:val="ListParagraph"/>
        <w:spacing w:after="240" w:line="240" w:lineRule="auto"/>
        <w:contextualSpacing w:val="0"/>
        <w:jc w:val="right"/>
        <w:rPr>
          <w:rFonts w:ascii="Times New Roman" w:hAnsi="Times New Roman" w:cs="Times New Roman"/>
          <w:sz w:val="28"/>
          <w:szCs w:val="28"/>
        </w:rPr>
      </w:pPr>
      <w:r>
        <w:rPr>
          <w:rFonts w:ascii="Times New Roman" w:hAnsi="Times New Roman" w:cs="Times New Roman"/>
          <w:sz w:val="28"/>
          <w:szCs w:val="28"/>
        </w:rPr>
        <w:t xml:space="preserve">Affidavit of Igor Holubec, </w:t>
      </w:r>
      <w:r>
        <w:rPr>
          <w:rFonts w:ascii="Times New Roman" w:hAnsi="Times New Roman" w:cs="Times New Roman"/>
          <w:i/>
          <w:sz w:val="28"/>
          <w:szCs w:val="28"/>
        </w:rPr>
        <w:t xml:space="preserve">supra, </w:t>
      </w:r>
      <w:r>
        <w:rPr>
          <w:rFonts w:ascii="Times New Roman" w:hAnsi="Times New Roman" w:cs="Times New Roman"/>
          <w:sz w:val="28"/>
          <w:szCs w:val="28"/>
        </w:rPr>
        <w:t>Exhibit I</w:t>
      </w:r>
    </w:p>
    <w:p w:rsidR="00E069D3" w:rsidRDefault="00E069D3"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Plaintiff’s counsel replied, in part, that this did not reflect the Plaintiff’s understanding of </w:t>
      </w:r>
      <w:r w:rsidR="00A14119">
        <w:rPr>
          <w:rFonts w:ascii="Times New Roman" w:hAnsi="Times New Roman" w:cs="Times New Roman"/>
          <w:sz w:val="28"/>
          <w:szCs w:val="28"/>
        </w:rPr>
        <w:t xml:space="preserve">Mr. </w:t>
      </w:r>
      <w:r>
        <w:rPr>
          <w:rFonts w:ascii="Times New Roman" w:hAnsi="Times New Roman" w:cs="Times New Roman"/>
          <w:sz w:val="28"/>
          <w:szCs w:val="28"/>
        </w:rPr>
        <w:t>Holubec’s involvement</w:t>
      </w:r>
      <w:r w:rsidR="00CF02B2">
        <w:rPr>
          <w:rFonts w:ascii="Times New Roman" w:hAnsi="Times New Roman" w:cs="Times New Roman"/>
          <w:sz w:val="28"/>
          <w:szCs w:val="28"/>
        </w:rPr>
        <w:t>,</w:t>
      </w:r>
      <w:r>
        <w:rPr>
          <w:rFonts w:ascii="Times New Roman" w:hAnsi="Times New Roman" w:cs="Times New Roman"/>
          <w:sz w:val="28"/>
          <w:szCs w:val="28"/>
        </w:rPr>
        <w:t xml:space="preserve"> but that she would bring it to her client’s attention. </w:t>
      </w:r>
    </w:p>
    <w:p w:rsidR="0057289E" w:rsidRDefault="0057289E" w:rsidP="0057289E">
      <w:pPr>
        <w:pStyle w:val="ListParagraph"/>
        <w:spacing w:after="240" w:line="240" w:lineRule="auto"/>
        <w:ind w:left="0"/>
        <w:contextualSpacing w:val="0"/>
        <w:jc w:val="both"/>
        <w:rPr>
          <w:rFonts w:ascii="Times New Roman" w:hAnsi="Times New Roman" w:cs="Times New Roman"/>
          <w:sz w:val="28"/>
          <w:szCs w:val="28"/>
        </w:rPr>
      </w:pPr>
    </w:p>
    <w:p w:rsidR="0057289E" w:rsidRDefault="0057289E" w:rsidP="0057289E">
      <w:pPr>
        <w:pStyle w:val="ListParagraph"/>
        <w:spacing w:after="0" w:line="240" w:lineRule="auto"/>
        <w:ind w:left="0"/>
        <w:contextualSpacing w:val="0"/>
        <w:jc w:val="both"/>
        <w:rPr>
          <w:rFonts w:ascii="Times New Roman" w:hAnsi="Times New Roman" w:cs="Times New Roman"/>
          <w:sz w:val="28"/>
          <w:szCs w:val="28"/>
        </w:rPr>
      </w:pPr>
    </w:p>
    <w:p w:rsidR="00615394" w:rsidRDefault="00615394"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Plaintiff’s officer was produced for examinations for discovery in early </w:t>
      </w:r>
      <w:r w:rsidR="00A574D2">
        <w:rPr>
          <w:rFonts w:ascii="Times New Roman" w:hAnsi="Times New Roman" w:cs="Times New Roman"/>
          <w:sz w:val="28"/>
          <w:szCs w:val="28"/>
        </w:rPr>
        <w:t xml:space="preserve">March of 2017. </w:t>
      </w:r>
    </w:p>
    <w:p w:rsidR="00615394" w:rsidRDefault="001E4E19"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Subsequently, </w:t>
      </w:r>
      <w:r w:rsidR="00615394">
        <w:rPr>
          <w:rFonts w:ascii="Times New Roman" w:hAnsi="Times New Roman" w:cs="Times New Roman"/>
          <w:sz w:val="28"/>
          <w:szCs w:val="28"/>
        </w:rPr>
        <w:t xml:space="preserve">Mr. Regel filed the application for summary judgment.  Mr. Holubec swore an affidavit in support of the application.  The Plaintiff’s counsel cross-examined him on that affidavit in May of 2017.  </w:t>
      </w:r>
      <w:r>
        <w:rPr>
          <w:rFonts w:ascii="Times New Roman" w:hAnsi="Times New Roman" w:cs="Times New Roman"/>
          <w:sz w:val="28"/>
          <w:szCs w:val="28"/>
        </w:rPr>
        <w:t>Mr. Regel cross-examined the Plaintiff’s deponent</w:t>
      </w:r>
      <w:r w:rsidR="00417CD8">
        <w:rPr>
          <w:rFonts w:ascii="Times New Roman" w:hAnsi="Times New Roman" w:cs="Times New Roman"/>
          <w:sz w:val="28"/>
          <w:szCs w:val="28"/>
        </w:rPr>
        <w:t>, Mike Burns,</w:t>
      </w:r>
      <w:r>
        <w:rPr>
          <w:rFonts w:ascii="Times New Roman" w:hAnsi="Times New Roman" w:cs="Times New Roman"/>
          <w:sz w:val="28"/>
          <w:szCs w:val="28"/>
        </w:rPr>
        <w:t xml:space="preserve"> on his affidavit as well.  </w:t>
      </w:r>
    </w:p>
    <w:p w:rsidR="00D63794" w:rsidRDefault="00D63794"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Mr. Holubec swore two affidavits in support of this application.</w:t>
      </w:r>
      <w:r w:rsidR="009E58C1">
        <w:rPr>
          <w:rFonts w:ascii="Times New Roman" w:hAnsi="Times New Roman" w:cs="Times New Roman"/>
          <w:sz w:val="28"/>
          <w:szCs w:val="28"/>
        </w:rPr>
        <w:t xml:space="preserve"> </w:t>
      </w:r>
      <w:r>
        <w:rPr>
          <w:rFonts w:ascii="Times New Roman" w:hAnsi="Times New Roman" w:cs="Times New Roman"/>
          <w:sz w:val="28"/>
          <w:szCs w:val="28"/>
        </w:rPr>
        <w:t xml:space="preserve"> In summary, Mr. Holubec says he has suffered great financial strain</w:t>
      </w:r>
      <w:r w:rsidR="00A574D2">
        <w:rPr>
          <w:rFonts w:ascii="Times New Roman" w:hAnsi="Times New Roman" w:cs="Times New Roman"/>
          <w:sz w:val="28"/>
          <w:szCs w:val="28"/>
        </w:rPr>
        <w:t xml:space="preserve">, having found it necessary to </w:t>
      </w:r>
      <w:r w:rsidR="00B14859">
        <w:rPr>
          <w:rFonts w:ascii="Times New Roman" w:hAnsi="Times New Roman" w:cs="Times New Roman"/>
          <w:sz w:val="28"/>
          <w:szCs w:val="28"/>
        </w:rPr>
        <w:t>tap into his savings and to incur debt to cover the legal fees and disbursements associated with the suit.</w:t>
      </w:r>
      <w:r w:rsidR="009E58C1">
        <w:rPr>
          <w:rFonts w:ascii="Times New Roman" w:hAnsi="Times New Roman" w:cs="Times New Roman"/>
          <w:sz w:val="28"/>
          <w:szCs w:val="28"/>
        </w:rPr>
        <w:t xml:space="preserve"> </w:t>
      </w:r>
      <w:r w:rsidR="00B14859">
        <w:rPr>
          <w:rFonts w:ascii="Times New Roman" w:hAnsi="Times New Roman" w:cs="Times New Roman"/>
          <w:sz w:val="28"/>
          <w:szCs w:val="28"/>
        </w:rPr>
        <w:t xml:space="preserve"> He also claims that the suit has taken a toll on his health, although he does not offer independent medical evidence on this.  </w:t>
      </w:r>
      <w:r>
        <w:rPr>
          <w:rFonts w:ascii="Times New Roman" w:hAnsi="Times New Roman" w:cs="Times New Roman"/>
          <w:sz w:val="28"/>
          <w:szCs w:val="28"/>
        </w:rPr>
        <w:t>As of May 7, 2018, Mr. Holubec’s legal fees and disbursements totaled nearly $350,000.00.  In addition, he incurred airfare and travel expenses to attend in Alberta (where his lawyer’s office was located) and in Yellowknife, to prepare for examinations for discovery and to attend for cross-examination on affidavit, respectively.  He also travelled to Yellowknife to attend the application hearing itself.</w:t>
      </w:r>
    </w:p>
    <w:p w:rsidR="00D63794" w:rsidRPr="00E400BC" w:rsidRDefault="0078050E"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Plaintiff did not cross-examine Mr. Holubec on the affidavits he swore in support of this application.  Rather, it questioned Mr. Holubec by way of written interrogatories.  </w:t>
      </w:r>
      <w:r w:rsidR="00D63794">
        <w:rPr>
          <w:rFonts w:ascii="Times New Roman" w:hAnsi="Times New Roman" w:cs="Times New Roman"/>
          <w:sz w:val="28"/>
          <w:szCs w:val="28"/>
        </w:rPr>
        <w:t>It asked Mr. Holubec forty-six questions including, a</w:t>
      </w:r>
      <w:r>
        <w:rPr>
          <w:rFonts w:ascii="Times New Roman" w:hAnsi="Times New Roman" w:cs="Times New Roman"/>
          <w:sz w:val="28"/>
          <w:szCs w:val="28"/>
        </w:rPr>
        <w:t>mong other thi</w:t>
      </w:r>
      <w:r w:rsidR="00E400BC">
        <w:rPr>
          <w:rFonts w:ascii="Times New Roman" w:hAnsi="Times New Roman" w:cs="Times New Roman"/>
          <w:sz w:val="28"/>
          <w:szCs w:val="28"/>
        </w:rPr>
        <w:t>ngs, whether he had worked since retiring or if he intended to do so in future; whether he had sought indemnity from AFC; whether he established his professional corporation as a means of avoiding personal liability for engineering advice; w</w:t>
      </w:r>
      <w:r w:rsidRPr="00E400BC">
        <w:rPr>
          <w:rFonts w:ascii="Times New Roman" w:hAnsi="Times New Roman" w:cs="Times New Roman"/>
          <w:sz w:val="28"/>
          <w:szCs w:val="28"/>
        </w:rPr>
        <w:t>hether he felt his lawyer’s hourly rate was reasonable and whether he had asked his lawyer to use students or juni</w:t>
      </w:r>
      <w:r w:rsidR="00D63794" w:rsidRPr="00E400BC">
        <w:rPr>
          <w:rFonts w:ascii="Times New Roman" w:hAnsi="Times New Roman" w:cs="Times New Roman"/>
          <w:sz w:val="28"/>
          <w:szCs w:val="28"/>
        </w:rPr>
        <w:t xml:space="preserve">or associates to perform work; </w:t>
      </w:r>
      <w:r w:rsidR="00E400BC">
        <w:rPr>
          <w:rFonts w:ascii="Times New Roman" w:hAnsi="Times New Roman" w:cs="Times New Roman"/>
          <w:sz w:val="28"/>
          <w:szCs w:val="28"/>
        </w:rPr>
        <w:t xml:space="preserve">why he thought it would take less time and money to apply for summary judgment than to wait for the Plaintiff to complete examinations for discovery for the other defendants; and to provide copies of his and his wife’s income tax returns for the last three years as well as a statement of assets and liabilities. </w:t>
      </w:r>
    </w:p>
    <w:p w:rsidR="00637E13" w:rsidRDefault="00527003"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sidRPr="00527003">
        <w:rPr>
          <w:rFonts w:ascii="Times New Roman" w:hAnsi="Times New Roman" w:cs="Times New Roman"/>
          <w:sz w:val="28"/>
          <w:szCs w:val="28"/>
        </w:rPr>
        <w:t>Mr. Holubec provided</w:t>
      </w:r>
      <w:r w:rsidR="008A1FDA">
        <w:rPr>
          <w:rFonts w:ascii="Times New Roman" w:hAnsi="Times New Roman" w:cs="Times New Roman"/>
          <w:sz w:val="28"/>
          <w:szCs w:val="28"/>
        </w:rPr>
        <w:t xml:space="preserve"> answers to the interrogatories in June of 2018. </w:t>
      </w:r>
      <w:r w:rsidR="00A574D2">
        <w:rPr>
          <w:rFonts w:ascii="Times New Roman" w:hAnsi="Times New Roman" w:cs="Times New Roman"/>
          <w:sz w:val="28"/>
          <w:szCs w:val="28"/>
        </w:rPr>
        <w:t>Alt</w:t>
      </w:r>
      <w:r w:rsidR="00E400BC">
        <w:rPr>
          <w:rFonts w:ascii="Times New Roman" w:hAnsi="Times New Roman" w:cs="Times New Roman"/>
          <w:sz w:val="28"/>
          <w:szCs w:val="28"/>
        </w:rPr>
        <w:t>hough the questions are connected to</w:t>
      </w:r>
      <w:r w:rsidR="00A574D2">
        <w:rPr>
          <w:rFonts w:ascii="Times New Roman" w:hAnsi="Times New Roman" w:cs="Times New Roman"/>
          <w:sz w:val="28"/>
          <w:szCs w:val="28"/>
        </w:rPr>
        <w:t xml:space="preserve"> things Mr. Holubec raised in his affidavits (such as, for example, </w:t>
      </w:r>
      <w:r w:rsidR="00E400BC">
        <w:rPr>
          <w:rFonts w:ascii="Times New Roman" w:hAnsi="Times New Roman" w:cs="Times New Roman"/>
          <w:sz w:val="28"/>
          <w:szCs w:val="28"/>
        </w:rPr>
        <w:t xml:space="preserve">not having professional liability insurance </w:t>
      </w:r>
      <w:r w:rsidR="004B1722">
        <w:rPr>
          <w:rFonts w:ascii="Times New Roman" w:hAnsi="Times New Roman" w:cs="Times New Roman"/>
          <w:sz w:val="28"/>
          <w:szCs w:val="28"/>
        </w:rPr>
        <w:t xml:space="preserve">and the effect </w:t>
      </w:r>
      <w:r w:rsidR="00E400BC">
        <w:rPr>
          <w:rFonts w:ascii="Times New Roman" w:hAnsi="Times New Roman" w:cs="Times New Roman"/>
          <w:sz w:val="28"/>
          <w:szCs w:val="28"/>
        </w:rPr>
        <w:t xml:space="preserve">of legal fees </w:t>
      </w:r>
      <w:r w:rsidR="00A574D2">
        <w:rPr>
          <w:rFonts w:ascii="Times New Roman" w:hAnsi="Times New Roman" w:cs="Times New Roman"/>
          <w:sz w:val="28"/>
          <w:szCs w:val="28"/>
        </w:rPr>
        <w:t>on his savings</w:t>
      </w:r>
      <w:r w:rsidR="00E400BC">
        <w:rPr>
          <w:rFonts w:ascii="Times New Roman" w:hAnsi="Times New Roman" w:cs="Times New Roman"/>
          <w:sz w:val="28"/>
          <w:szCs w:val="28"/>
        </w:rPr>
        <w:t xml:space="preserve"> and debt load) </w:t>
      </w:r>
      <w:r w:rsidR="004B1722">
        <w:rPr>
          <w:rFonts w:ascii="Times New Roman" w:hAnsi="Times New Roman" w:cs="Times New Roman"/>
          <w:sz w:val="28"/>
          <w:szCs w:val="28"/>
        </w:rPr>
        <w:t>the information sought by way of the interrogatories and the answers provided</w:t>
      </w:r>
      <w:r w:rsidR="00123B79">
        <w:rPr>
          <w:rFonts w:ascii="Times New Roman" w:hAnsi="Times New Roman" w:cs="Times New Roman"/>
          <w:sz w:val="28"/>
          <w:szCs w:val="28"/>
        </w:rPr>
        <w:t xml:space="preserve"> </w:t>
      </w:r>
      <w:r w:rsidR="00E62B98">
        <w:rPr>
          <w:rFonts w:ascii="Times New Roman" w:hAnsi="Times New Roman" w:cs="Times New Roman"/>
          <w:sz w:val="28"/>
          <w:szCs w:val="28"/>
        </w:rPr>
        <w:t xml:space="preserve">do little to inform </w:t>
      </w:r>
      <w:r w:rsidR="004B1722">
        <w:rPr>
          <w:rFonts w:ascii="Times New Roman" w:hAnsi="Times New Roman" w:cs="Times New Roman"/>
          <w:sz w:val="28"/>
          <w:szCs w:val="28"/>
        </w:rPr>
        <w:t>the question of the scale of costs</w:t>
      </w:r>
      <w:r w:rsidR="00123B79">
        <w:rPr>
          <w:rFonts w:ascii="Times New Roman" w:hAnsi="Times New Roman" w:cs="Times New Roman"/>
          <w:sz w:val="28"/>
          <w:szCs w:val="28"/>
        </w:rPr>
        <w:t xml:space="preserve"> and accordingly, the responses will not be summarized here.</w:t>
      </w:r>
    </w:p>
    <w:p w:rsidR="002A14A9" w:rsidRDefault="002A14A9" w:rsidP="00E92A45">
      <w:pPr>
        <w:pStyle w:val="ListParagraph"/>
        <w:spacing w:after="240" w:line="240" w:lineRule="auto"/>
        <w:ind w:left="0"/>
        <w:contextualSpacing w:val="0"/>
        <w:jc w:val="both"/>
        <w:rPr>
          <w:rFonts w:ascii="Times New Roman" w:hAnsi="Times New Roman" w:cs="Times New Roman"/>
          <w:b/>
          <w:i/>
          <w:sz w:val="28"/>
          <w:szCs w:val="28"/>
        </w:rPr>
      </w:pPr>
    </w:p>
    <w:p w:rsidR="00302CB7" w:rsidRPr="00940EC7" w:rsidRDefault="00637E13" w:rsidP="00E92A45">
      <w:pPr>
        <w:pStyle w:val="ListParagraph"/>
        <w:spacing w:after="240" w:line="240" w:lineRule="auto"/>
        <w:ind w:left="0"/>
        <w:contextualSpacing w:val="0"/>
        <w:jc w:val="both"/>
        <w:rPr>
          <w:rFonts w:ascii="Times New Roman" w:hAnsi="Times New Roman" w:cs="Times New Roman"/>
          <w:b/>
          <w:sz w:val="28"/>
          <w:szCs w:val="28"/>
        </w:rPr>
      </w:pPr>
      <w:r w:rsidRPr="00940EC7">
        <w:rPr>
          <w:rFonts w:ascii="Times New Roman" w:hAnsi="Times New Roman" w:cs="Times New Roman"/>
          <w:b/>
          <w:i/>
          <w:sz w:val="28"/>
          <w:szCs w:val="28"/>
        </w:rPr>
        <w:lastRenderedPageBreak/>
        <w:t>The Plaintiff’s Evidence</w:t>
      </w:r>
      <w:r w:rsidR="00302CB7" w:rsidRPr="00940EC7">
        <w:rPr>
          <w:rFonts w:ascii="Times New Roman" w:hAnsi="Times New Roman" w:cs="Times New Roman"/>
          <w:b/>
          <w:sz w:val="28"/>
          <w:szCs w:val="28"/>
        </w:rPr>
        <w:t xml:space="preserve"> </w:t>
      </w:r>
    </w:p>
    <w:p w:rsidR="00AB6D9E" w:rsidRDefault="009D6F65"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1957F2">
        <w:rPr>
          <w:rFonts w:ascii="Times New Roman" w:hAnsi="Times New Roman" w:cs="Times New Roman"/>
          <w:sz w:val="28"/>
          <w:szCs w:val="28"/>
        </w:rPr>
        <w:t>he Plaintiff</w:t>
      </w:r>
      <w:r w:rsidR="007E6647">
        <w:rPr>
          <w:rFonts w:ascii="Times New Roman" w:hAnsi="Times New Roman" w:cs="Times New Roman"/>
          <w:sz w:val="28"/>
          <w:szCs w:val="28"/>
        </w:rPr>
        <w:t xml:space="preserve"> provided </w:t>
      </w:r>
      <w:r w:rsidR="00AB6D9E">
        <w:rPr>
          <w:rFonts w:ascii="Times New Roman" w:hAnsi="Times New Roman" w:cs="Times New Roman"/>
          <w:sz w:val="28"/>
          <w:szCs w:val="28"/>
        </w:rPr>
        <w:t xml:space="preserve">affidavit </w:t>
      </w:r>
      <w:r w:rsidR="001957F2">
        <w:rPr>
          <w:rFonts w:ascii="Times New Roman" w:hAnsi="Times New Roman" w:cs="Times New Roman"/>
          <w:sz w:val="28"/>
          <w:szCs w:val="28"/>
        </w:rPr>
        <w:t xml:space="preserve">evidence about what </w:t>
      </w:r>
      <w:r w:rsidR="00266394">
        <w:rPr>
          <w:rFonts w:ascii="Times New Roman" w:hAnsi="Times New Roman" w:cs="Times New Roman"/>
          <w:sz w:val="28"/>
          <w:szCs w:val="28"/>
        </w:rPr>
        <w:t xml:space="preserve">led to its decision to name </w:t>
      </w:r>
      <w:r w:rsidR="00A14119">
        <w:rPr>
          <w:rFonts w:ascii="Times New Roman" w:hAnsi="Times New Roman" w:cs="Times New Roman"/>
          <w:sz w:val="28"/>
          <w:szCs w:val="28"/>
        </w:rPr>
        <w:t xml:space="preserve">the </w:t>
      </w:r>
      <w:r w:rsidR="001957F2">
        <w:rPr>
          <w:rFonts w:ascii="Times New Roman" w:hAnsi="Times New Roman" w:cs="Times New Roman"/>
          <w:sz w:val="28"/>
          <w:szCs w:val="28"/>
        </w:rPr>
        <w:t>Holubec</w:t>
      </w:r>
      <w:r w:rsidR="00266394">
        <w:rPr>
          <w:rFonts w:ascii="Times New Roman" w:hAnsi="Times New Roman" w:cs="Times New Roman"/>
          <w:sz w:val="28"/>
          <w:szCs w:val="28"/>
        </w:rPr>
        <w:t xml:space="preserve"> </w:t>
      </w:r>
      <w:r w:rsidR="00A14119">
        <w:rPr>
          <w:rFonts w:ascii="Times New Roman" w:hAnsi="Times New Roman" w:cs="Times New Roman"/>
          <w:sz w:val="28"/>
          <w:szCs w:val="28"/>
        </w:rPr>
        <w:t xml:space="preserve">defendants </w:t>
      </w:r>
      <w:r w:rsidR="00266394">
        <w:rPr>
          <w:rFonts w:ascii="Times New Roman" w:hAnsi="Times New Roman" w:cs="Times New Roman"/>
          <w:sz w:val="28"/>
          <w:szCs w:val="28"/>
        </w:rPr>
        <w:t>in the suit.</w:t>
      </w:r>
      <w:r w:rsidR="009E58C1">
        <w:rPr>
          <w:rFonts w:ascii="Times New Roman" w:hAnsi="Times New Roman" w:cs="Times New Roman"/>
          <w:sz w:val="28"/>
          <w:szCs w:val="28"/>
        </w:rPr>
        <w:t xml:space="preserve"> </w:t>
      </w:r>
      <w:r w:rsidR="00266394">
        <w:rPr>
          <w:rFonts w:ascii="Times New Roman" w:hAnsi="Times New Roman" w:cs="Times New Roman"/>
          <w:sz w:val="28"/>
          <w:szCs w:val="28"/>
        </w:rPr>
        <w:t xml:space="preserve"> </w:t>
      </w:r>
      <w:r w:rsidR="00417CD8">
        <w:rPr>
          <w:rFonts w:ascii="Times New Roman" w:hAnsi="Times New Roman" w:cs="Times New Roman"/>
          <w:sz w:val="28"/>
          <w:szCs w:val="28"/>
        </w:rPr>
        <w:t>This</w:t>
      </w:r>
      <w:r w:rsidR="00FC12A4">
        <w:rPr>
          <w:rFonts w:ascii="Times New Roman" w:hAnsi="Times New Roman" w:cs="Times New Roman"/>
          <w:sz w:val="28"/>
          <w:szCs w:val="28"/>
        </w:rPr>
        <w:t xml:space="preserve"> evidence came from Mike Burns.</w:t>
      </w:r>
      <w:r w:rsidR="00AB6D9E">
        <w:rPr>
          <w:rFonts w:ascii="Times New Roman" w:hAnsi="Times New Roman" w:cs="Times New Roman"/>
          <w:sz w:val="28"/>
          <w:szCs w:val="28"/>
        </w:rPr>
        <w:t xml:space="preserve"> Counsel for Holubec cross-examined Mr. Burns on the affida</w:t>
      </w:r>
      <w:r w:rsidR="00940EC7">
        <w:rPr>
          <w:rFonts w:ascii="Times New Roman" w:hAnsi="Times New Roman" w:cs="Times New Roman"/>
          <w:sz w:val="28"/>
          <w:szCs w:val="28"/>
        </w:rPr>
        <w:t xml:space="preserve">vit and a transcript of that examination was before the Court. </w:t>
      </w:r>
    </w:p>
    <w:p w:rsidR="00966DEE" w:rsidRDefault="00AB6D9E"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According to Mr. Burns, </w:t>
      </w:r>
      <w:r w:rsidR="007E6647" w:rsidRPr="00266394">
        <w:rPr>
          <w:rFonts w:ascii="Times New Roman" w:hAnsi="Times New Roman" w:cs="Times New Roman"/>
          <w:sz w:val="28"/>
          <w:szCs w:val="28"/>
        </w:rPr>
        <w:t>s</w:t>
      </w:r>
      <w:r w:rsidR="001957F2" w:rsidRPr="00266394">
        <w:rPr>
          <w:rFonts w:ascii="Times New Roman" w:hAnsi="Times New Roman" w:cs="Times New Roman"/>
          <w:sz w:val="28"/>
          <w:szCs w:val="28"/>
        </w:rPr>
        <w:t>ho</w:t>
      </w:r>
      <w:r>
        <w:rPr>
          <w:rFonts w:ascii="Times New Roman" w:hAnsi="Times New Roman" w:cs="Times New Roman"/>
          <w:sz w:val="28"/>
          <w:szCs w:val="28"/>
        </w:rPr>
        <w:t xml:space="preserve">rtly before the suit was filed </w:t>
      </w:r>
      <w:r w:rsidR="007E6647" w:rsidRPr="00266394">
        <w:rPr>
          <w:rFonts w:ascii="Times New Roman" w:hAnsi="Times New Roman" w:cs="Times New Roman"/>
          <w:sz w:val="28"/>
          <w:szCs w:val="28"/>
        </w:rPr>
        <w:t>the defendant Pin/Taylor Architects (</w:t>
      </w:r>
      <w:r w:rsidR="00CF1DFF" w:rsidRPr="00266394">
        <w:rPr>
          <w:rFonts w:ascii="Times New Roman" w:hAnsi="Times New Roman" w:cs="Times New Roman"/>
          <w:sz w:val="28"/>
          <w:szCs w:val="28"/>
        </w:rPr>
        <w:t>“</w:t>
      </w:r>
      <w:r w:rsidR="007E6647" w:rsidRPr="00266394">
        <w:rPr>
          <w:rFonts w:ascii="Times New Roman" w:hAnsi="Times New Roman" w:cs="Times New Roman"/>
          <w:sz w:val="28"/>
          <w:szCs w:val="28"/>
        </w:rPr>
        <w:t>PTA</w:t>
      </w:r>
      <w:r w:rsidR="00CF1DFF" w:rsidRPr="00266394">
        <w:rPr>
          <w:rFonts w:ascii="Times New Roman" w:hAnsi="Times New Roman" w:cs="Times New Roman"/>
          <w:sz w:val="28"/>
          <w:szCs w:val="28"/>
        </w:rPr>
        <w:t>”</w:t>
      </w:r>
      <w:r w:rsidR="007E6647" w:rsidRPr="00266394">
        <w:rPr>
          <w:rFonts w:ascii="Times New Roman" w:hAnsi="Times New Roman" w:cs="Times New Roman"/>
          <w:sz w:val="28"/>
          <w:szCs w:val="28"/>
        </w:rPr>
        <w:t>)</w:t>
      </w:r>
      <w:r w:rsidR="001957F2" w:rsidRPr="00266394">
        <w:rPr>
          <w:rFonts w:ascii="Times New Roman" w:hAnsi="Times New Roman" w:cs="Times New Roman"/>
          <w:sz w:val="28"/>
          <w:szCs w:val="28"/>
        </w:rPr>
        <w:t xml:space="preserve"> told the Plaintiff the damage to the building was likely due to the foundation shifting.  </w:t>
      </w:r>
      <w:r w:rsidR="00CF1DFF" w:rsidRPr="00266394">
        <w:rPr>
          <w:rFonts w:ascii="Times New Roman" w:hAnsi="Times New Roman" w:cs="Times New Roman"/>
          <w:sz w:val="28"/>
          <w:szCs w:val="28"/>
        </w:rPr>
        <w:t xml:space="preserve">PTA was the architect of record for the project. </w:t>
      </w:r>
      <w:r w:rsidR="001957F2" w:rsidRPr="00266394">
        <w:rPr>
          <w:rFonts w:ascii="Times New Roman" w:hAnsi="Times New Roman" w:cs="Times New Roman"/>
          <w:sz w:val="28"/>
          <w:szCs w:val="28"/>
        </w:rPr>
        <w:t xml:space="preserve">No testing had been done </w:t>
      </w:r>
      <w:r w:rsidR="00CF1DFF" w:rsidRPr="00266394">
        <w:rPr>
          <w:rFonts w:ascii="Times New Roman" w:hAnsi="Times New Roman" w:cs="Times New Roman"/>
          <w:sz w:val="28"/>
          <w:szCs w:val="28"/>
        </w:rPr>
        <w:t xml:space="preserve">at that point </w:t>
      </w:r>
      <w:r w:rsidR="001957F2" w:rsidRPr="00266394">
        <w:rPr>
          <w:rFonts w:ascii="Times New Roman" w:hAnsi="Times New Roman" w:cs="Times New Roman"/>
          <w:sz w:val="28"/>
          <w:szCs w:val="28"/>
        </w:rPr>
        <w:t xml:space="preserve">to determine what was causing </w:t>
      </w:r>
      <w:r w:rsidR="000772EA" w:rsidRPr="00266394">
        <w:rPr>
          <w:rFonts w:ascii="Times New Roman" w:hAnsi="Times New Roman" w:cs="Times New Roman"/>
          <w:sz w:val="28"/>
          <w:szCs w:val="28"/>
        </w:rPr>
        <w:t xml:space="preserve">the shifting and </w:t>
      </w:r>
      <w:r w:rsidR="00CF1DFF" w:rsidRPr="00266394">
        <w:rPr>
          <w:rFonts w:ascii="Times New Roman" w:hAnsi="Times New Roman" w:cs="Times New Roman"/>
          <w:sz w:val="28"/>
          <w:szCs w:val="28"/>
        </w:rPr>
        <w:t>so</w:t>
      </w:r>
      <w:r w:rsidR="00B026D0">
        <w:rPr>
          <w:rFonts w:ascii="Times New Roman" w:hAnsi="Times New Roman" w:cs="Times New Roman"/>
          <w:sz w:val="28"/>
          <w:szCs w:val="28"/>
        </w:rPr>
        <w:t>, according to Mr. Burns,</w:t>
      </w:r>
      <w:r w:rsidR="00CF1DFF" w:rsidRPr="00266394">
        <w:rPr>
          <w:rFonts w:ascii="Times New Roman" w:hAnsi="Times New Roman" w:cs="Times New Roman"/>
          <w:sz w:val="28"/>
          <w:szCs w:val="28"/>
        </w:rPr>
        <w:t xml:space="preserve"> </w:t>
      </w:r>
      <w:r w:rsidR="000772EA" w:rsidRPr="00266394">
        <w:rPr>
          <w:rFonts w:ascii="Times New Roman" w:hAnsi="Times New Roman" w:cs="Times New Roman"/>
          <w:sz w:val="28"/>
          <w:szCs w:val="28"/>
        </w:rPr>
        <w:t>it was not possible to identify what party or parties involved in the project might be liable for the problem.</w:t>
      </w:r>
      <w:r w:rsidR="009E58C1">
        <w:rPr>
          <w:rFonts w:ascii="Times New Roman" w:hAnsi="Times New Roman" w:cs="Times New Roman"/>
          <w:sz w:val="28"/>
          <w:szCs w:val="28"/>
        </w:rPr>
        <w:t xml:space="preserve"> </w:t>
      </w:r>
      <w:r w:rsidR="000772EA" w:rsidRPr="00266394">
        <w:rPr>
          <w:rFonts w:ascii="Times New Roman" w:hAnsi="Times New Roman" w:cs="Times New Roman"/>
          <w:sz w:val="28"/>
          <w:szCs w:val="28"/>
        </w:rPr>
        <w:t xml:space="preserve"> The testing would have to be conducted over a number of years.  Meanwhile, the Plaintiff was concerned that if it did not bring the suit, the limitation period would </w:t>
      </w:r>
      <w:r w:rsidR="00D9055B" w:rsidRPr="00266394">
        <w:rPr>
          <w:rFonts w:ascii="Times New Roman" w:hAnsi="Times New Roman" w:cs="Times New Roman"/>
          <w:sz w:val="28"/>
          <w:szCs w:val="28"/>
        </w:rPr>
        <w:t>expire</w:t>
      </w:r>
      <w:r w:rsidR="009D6F65">
        <w:rPr>
          <w:rFonts w:ascii="Times New Roman" w:hAnsi="Times New Roman" w:cs="Times New Roman"/>
          <w:sz w:val="28"/>
          <w:szCs w:val="28"/>
        </w:rPr>
        <w:t>.</w:t>
      </w:r>
      <w:r w:rsidR="009E58C1">
        <w:rPr>
          <w:rFonts w:ascii="Times New Roman" w:hAnsi="Times New Roman" w:cs="Times New Roman"/>
          <w:sz w:val="28"/>
          <w:szCs w:val="28"/>
        </w:rPr>
        <w:t xml:space="preserve"> </w:t>
      </w:r>
      <w:r w:rsidR="009D6F65">
        <w:rPr>
          <w:rFonts w:ascii="Times New Roman" w:hAnsi="Times New Roman" w:cs="Times New Roman"/>
          <w:sz w:val="28"/>
          <w:szCs w:val="28"/>
        </w:rPr>
        <w:t xml:space="preserve"> </w:t>
      </w:r>
      <w:r w:rsidR="00B026D0">
        <w:rPr>
          <w:rFonts w:ascii="Times New Roman" w:hAnsi="Times New Roman" w:cs="Times New Roman"/>
          <w:sz w:val="28"/>
          <w:szCs w:val="28"/>
        </w:rPr>
        <w:t>Therefore, the Plaintiff</w:t>
      </w:r>
      <w:r w:rsidR="000772EA" w:rsidRPr="00266394">
        <w:rPr>
          <w:rFonts w:ascii="Times New Roman" w:hAnsi="Times New Roman" w:cs="Times New Roman"/>
          <w:sz w:val="28"/>
          <w:szCs w:val="28"/>
        </w:rPr>
        <w:t xml:space="preserve"> decided to name all parties that played a role in the design</w:t>
      </w:r>
      <w:r w:rsidR="00B026D0">
        <w:rPr>
          <w:rFonts w:ascii="Times New Roman" w:hAnsi="Times New Roman" w:cs="Times New Roman"/>
          <w:sz w:val="28"/>
          <w:szCs w:val="28"/>
        </w:rPr>
        <w:t xml:space="preserve"> and construction of the school</w:t>
      </w:r>
      <w:r>
        <w:rPr>
          <w:rFonts w:ascii="Times New Roman" w:hAnsi="Times New Roman" w:cs="Times New Roman"/>
          <w:sz w:val="28"/>
          <w:szCs w:val="28"/>
        </w:rPr>
        <w:t xml:space="preserve">, including </w:t>
      </w:r>
      <w:r w:rsidR="00E41241">
        <w:rPr>
          <w:rFonts w:ascii="Times New Roman" w:hAnsi="Times New Roman" w:cs="Times New Roman"/>
          <w:sz w:val="28"/>
          <w:szCs w:val="28"/>
        </w:rPr>
        <w:t xml:space="preserve">Mr. </w:t>
      </w:r>
      <w:r>
        <w:rPr>
          <w:rFonts w:ascii="Times New Roman" w:hAnsi="Times New Roman" w:cs="Times New Roman"/>
          <w:sz w:val="28"/>
          <w:szCs w:val="28"/>
        </w:rPr>
        <w:t>Holubec</w:t>
      </w:r>
      <w:r w:rsidR="00E41241">
        <w:rPr>
          <w:rFonts w:ascii="Times New Roman" w:hAnsi="Times New Roman" w:cs="Times New Roman"/>
          <w:sz w:val="28"/>
          <w:szCs w:val="28"/>
        </w:rPr>
        <w:t xml:space="preserve"> and his firm</w:t>
      </w:r>
      <w:r w:rsidR="000772EA" w:rsidRPr="00266394">
        <w:rPr>
          <w:rFonts w:ascii="Times New Roman" w:hAnsi="Times New Roman" w:cs="Times New Roman"/>
          <w:sz w:val="28"/>
          <w:szCs w:val="28"/>
        </w:rPr>
        <w:t xml:space="preserve">. </w:t>
      </w:r>
      <w:r w:rsidR="007E6647" w:rsidRPr="00266394">
        <w:rPr>
          <w:rFonts w:ascii="Times New Roman" w:hAnsi="Times New Roman" w:cs="Times New Roman"/>
          <w:sz w:val="28"/>
          <w:szCs w:val="28"/>
        </w:rPr>
        <w:t xml:space="preserve"> </w:t>
      </w:r>
    </w:p>
    <w:p w:rsidR="00E41241" w:rsidRDefault="00E41241"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During cross-examinations on the affidavit he swore in response to the summary judgment application, Mr. Burns admitted that the Plaintiff had no evidence about the nature and scope of the retainer AFC had with Mr. Holubec.</w:t>
      </w:r>
      <w:r w:rsidR="009E58C1">
        <w:rPr>
          <w:rFonts w:ascii="Times New Roman" w:hAnsi="Times New Roman" w:cs="Times New Roman"/>
          <w:sz w:val="28"/>
          <w:szCs w:val="28"/>
        </w:rPr>
        <w:t xml:space="preserve"> </w:t>
      </w:r>
      <w:r>
        <w:rPr>
          <w:rFonts w:ascii="Times New Roman" w:hAnsi="Times New Roman" w:cs="Times New Roman"/>
          <w:sz w:val="28"/>
          <w:szCs w:val="28"/>
        </w:rPr>
        <w:t xml:space="preserve"> </w:t>
      </w:r>
      <w:r w:rsidR="002A14A9">
        <w:rPr>
          <w:rFonts w:ascii="Times New Roman" w:hAnsi="Times New Roman" w:cs="Times New Roman"/>
          <w:sz w:val="28"/>
          <w:szCs w:val="28"/>
        </w:rPr>
        <w:t xml:space="preserve">Nevertheless, he felt it was reasonable in the circumstances for the Plaintiff to have sued Mr, Holubec and his firm. </w:t>
      </w:r>
      <w:r w:rsidR="00671113">
        <w:rPr>
          <w:rFonts w:ascii="Times New Roman" w:hAnsi="Times New Roman" w:cs="Times New Roman"/>
          <w:sz w:val="28"/>
          <w:szCs w:val="28"/>
        </w:rPr>
        <w:t xml:space="preserve"> </w:t>
      </w:r>
      <w:r w:rsidR="00FC12A4">
        <w:rPr>
          <w:rFonts w:ascii="Times New Roman" w:hAnsi="Times New Roman" w:cs="Times New Roman"/>
          <w:sz w:val="28"/>
          <w:szCs w:val="28"/>
        </w:rPr>
        <w:t>This was stated a</w:t>
      </w:r>
      <w:r>
        <w:rPr>
          <w:rFonts w:ascii="Times New Roman" w:hAnsi="Times New Roman" w:cs="Times New Roman"/>
          <w:sz w:val="28"/>
          <w:szCs w:val="28"/>
        </w:rPr>
        <w:t>t paragraph 11 of the affidavit he swore in response to t</w:t>
      </w:r>
      <w:r w:rsidR="00FC12A4">
        <w:rPr>
          <w:rFonts w:ascii="Times New Roman" w:hAnsi="Times New Roman" w:cs="Times New Roman"/>
          <w:sz w:val="28"/>
          <w:szCs w:val="28"/>
        </w:rPr>
        <w:t>his costs application</w:t>
      </w:r>
      <w:r>
        <w:rPr>
          <w:rFonts w:ascii="Times New Roman" w:hAnsi="Times New Roman" w:cs="Times New Roman"/>
          <w:sz w:val="28"/>
          <w:szCs w:val="28"/>
        </w:rPr>
        <w:t>:</w:t>
      </w:r>
    </w:p>
    <w:p w:rsidR="00E41241" w:rsidRPr="00E41241" w:rsidRDefault="00E41241" w:rsidP="00E92A45">
      <w:pPr>
        <w:pStyle w:val="ListParagraph"/>
        <w:spacing w:after="240" w:line="240" w:lineRule="auto"/>
        <w:ind w:left="1440" w:right="720" w:hanging="720"/>
        <w:contextualSpacing w:val="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A07C8C">
        <w:rPr>
          <w:rFonts w:ascii="Times New Roman" w:hAnsi="Times New Roman" w:cs="Times New Roman"/>
          <w:sz w:val="24"/>
          <w:szCs w:val="24"/>
        </w:rPr>
        <w:t>In my view, it was reasonable for the Plaintiff to bring a claim against Holubec in the absence of a complete picture of what was causing damage to the School and without knowing Holubec’s scope of work, because it was necessary to preserve the Plaintiff’s claims against Holubec.  If we had waited for this information to be collected, it is likely that the limitation period would have elapsed.</w:t>
      </w:r>
    </w:p>
    <w:p w:rsidR="00E62B98" w:rsidRPr="00E62B98" w:rsidRDefault="00E41241"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According to Mr. Burns, t</w:t>
      </w:r>
      <w:r w:rsidR="00E62B98">
        <w:rPr>
          <w:rFonts w:ascii="Times New Roman" w:hAnsi="Times New Roman" w:cs="Times New Roman"/>
          <w:sz w:val="28"/>
          <w:szCs w:val="28"/>
        </w:rPr>
        <w:t>he Plaintiff’s intention from the beginning of the action was to gather information from the named defendants through the discovery process while at the same time engaging in its own testing</w:t>
      </w:r>
      <w:r w:rsidR="00F0129F">
        <w:rPr>
          <w:rFonts w:ascii="Times New Roman" w:hAnsi="Times New Roman" w:cs="Times New Roman"/>
          <w:sz w:val="28"/>
          <w:szCs w:val="28"/>
        </w:rPr>
        <w:t>,</w:t>
      </w:r>
      <w:r w:rsidR="00E62B98">
        <w:rPr>
          <w:rFonts w:ascii="Times New Roman" w:hAnsi="Times New Roman" w:cs="Times New Roman"/>
          <w:sz w:val="28"/>
          <w:szCs w:val="28"/>
        </w:rPr>
        <w:t xml:space="preserve"> before assessing each defendants’ liability.</w:t>
      </w:r>
      <w:r w:rsidR="009E58C1">
        <w:rPr>
          <w:rFonts w:ascii="Times New Roman" w:hAnsi="Times New Roman" w:cs="Times New Roman"/>
          <w:sz w:val="28"/>
          <w:szCs w:val="28"/>
        </w:rPr>
        <w:t xml:space="preserve"> </w:t>
      </w:r>
      <w:r w:rsidR="00E62B98">
        <w:rPr>
          <w:rFonts w:ascii="Times New Roman" w:hAnsi="Times New Roman" w:cs="Times New Roman"/>
          <w:sz w:val="28"/>
          <w:szCs w:val="28"/>
        </w:rPr>
        <w:t xml:space="preserve"> </w:t>
      </w:r>
      <w:r w:rsidR="00966DEE">
        <w:rPr>
          <w:rFonts w:ascii="Times New Roman" w:hAnsi="Times New Roman" w:cs="Times New Roman"/>
          <w:sz w:val="28"/>
          <w:szCs w:val="28"/>
        </w:rPr>
        <w:t>It would discontinue the action against any defendant not liable for damage to the school.</w:t>
      </w:r>
      <w:r w:rsidR="00E62B98">
        <w:rPr>
          <w:rFonts w:ascii="Times New Roman" w:hAnsi="Times New Roman" w:cs="Times New Roman"/>
          <w:sz w:val="28"/>
          <w:szCs w:val="28"/>
        </w:rPr>
        <w:t xml:space="preserve"> </w:t>
      </w:r>
      <w:r w:rsidR="009E58C1">
        <w:rPr>
          <w:rFonts w:ascii="Times New Roman" w:hAnsi="Times New Roman" w:cs="Times New Roman"/>
          <w:sz w:val="28"/>
          <w:szCs w:val="28"/>
        </w:rPr>
        <w:t xml:space="preserve"> </w:t>
      </w:r>
      <w:r w:rsidR="00E62B98">
        <w:rPr>
          <w:rFonts w:ascii="Times New Roman" w:hAnsi="Times New Roman" w:cs="Times New Roman"/>
          <w:sz w:val="28"/>
          <w:szCs w:val="28"/>
        </w:rPr>
        <w:t>Mr. Burns</w:t>
      </w:r>
      <w:r>
        <w:rPr>
          <w:rFonts w:ascii="Times New Roman" w:hAnsi="Times New Roman" w:cs="Times New Roman"/>
          <w:sz w:val="28"/>
          <w:szCs w:val="28"/>
        </w:rPr>
        <w:t xml:space="preserve"> said</w:t>
      </w:r>
      <w:r w:rsidR="00E62B98">
        <w:rPr>
          <w:rFonts w:ascii="Times New Roman" w:hAnsi="Times New Roman" w:cs="Times New Roman"/>
          <w:sz w:val="28"/>
          <w:szCs w:val="28"/>
        </w:rPr>
        <w:t xml:space="preserve"> this strategy was made known to all of the defendants. </w:t>
      </w:r>
    </w:p>
    <w:p w:rsidR="00081824" w:rsidRDefault="00E62B98"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Holubec </w:t>
      </w:r>
      <w:r w:rsidR="00FC6B66">
        <w:rPr>
          <w:rFonts w:ascii="Times New Roman" w:hAnsi="Times New Roman" w:cs="Times New Roman"/>
          <w:sz w:val="28"/>
          <w:szCs w:val="28"/>
        </w:rPr>
        <w:t xml:space="preserve">report was in the Plaintiff’s possession </w:t>
      </w:r>
      <w:r w:rsidR="00E41241">
        <w:rPr>
          <w:rFonts w:ascii="Times New Roman" w:hAnsi="Times New Roman" w:cs="Times New Roman"/>
          <w:sz w:val="28"/>
          <w:szCs w:val="28"/>
        </w:rPr>
        <w:t>for several years</w:t>
      </w:r>
      <w:r>
        <w:rPr>
          <w:rFonts w:ascii="Times New Roman" w:hAnsi="Times New Roman" w:cs="Times New Roman"/>
          <w:sz w:val="28"/>
          <w:szCs w:val="28"/>
        </w:rPr>
        <w:t xml:space="preserve"> before </w:t>
      </w:r>
      <w:r w:rsidR="00FC6B66">
        <w:rPr>
          <w:rFonts w:ascii="Times New Roman" w:hAnsi="Times New Roman" w:cs="Times New Roman"/>
          <w:sz w:val="28"/>
          <w:szCs w:val="28"/>
        </w:rPr>
        <w:t>it filed the lawsuit.</w:t>
      </w:r>
      <w:r w:rsidR="009E58C1">
        <w:rPr>
          <w:rFonts w:ascii="Times New Roman" w:hAnsi="Times New Roman" w:cs="Times New Roman"/>
          <w:sz w:val="28"/>
          <w:szCs w:val="28"/>
        </w:rPr>
        <w:t xml:space="preserve"> </w:t>
      </w:r>
      <w:r w:rsidR="00FC6B66">
        <w:rPr>
          <w:rFonts w:ascii="Times New Roman" w:hAnsi="Times New Roman" w:cs="Times New Roman"/>
          <w:sz w:val="28"/>
          <w:szCs w:val="28"/>
        </w:rPr>
        <w:t xml:space="preserve"> </w:t>
      </w:r>
      <w:r w:rsidR="007D3E2A">
        <w:rPr>
          <w:rFonts w:ascii="Times New Roman" w:hAnsi="Times New Roman" w:cs="Times New Roman"/>
          <w:sz w:val="28"/>
          <w:szCs w:val="28"/>
        </w:rPr>
        <w:t>PTA</w:t>
      </w:r>
      <w:r w:rsidR="00CF1DFF" w:rsidRPr="00DC179B">
        <w:rPr>
          <w:rFonts w:ascii="Times New Roman" w:hAnsi="Times New Roman" w:cs="Times New Roman"/>
          <w:sz w:val="28"/>
          <w:szCs w:val="28"/>
        </w:rPr>
        <w:t xml:space="preserve"> had</w:t>
      </w:r>
      <w:r w:rsidR="00D011DA" w:rsidRPr="00DC179B">
        <w:rPr>
          <w:rFonts w:ascii="Times New Roman" w:hAnsi="Times New Roman" w:cs="Times New Roman"/>
          <w:sz w:val="28"/>
          <w:szCs w:val="28"/>
        </w:rPr>
        <w:t xml:space="preserve"> </w:t>
      </w:r>
      <w:r w:rsidR="007D3E2A">
        <w:rPr>
          <w:rFonts w:ascii="Times New Roman" w:hAnsi="Times New Roman" w:cs="Times New Roman"/>
          <w:sz w:val="28"/>
          <w:szCs w:val="28"/>
        </w:rPr>
        <w:t xml:space="preserve">provided </w:t>
      </w:r>
      <w:r w:rsidR="008C69CA">
        <w:rPr>
          <w:rFonts w:ascii="Times New Roman" w:hAnsi="Times New Roman" w:cs="Times New Roman"/>
          <w:sz w:val="28"/>
          <w:szCs w:val="28"/>
        </w:rPr>
        <w:t xml:space="preserve">a copy to </w:t>
      </w:r>
      <w:r w:rsidR="00B026D0">
        <w:rPr>
          <w:rFonts w:ascii="Times New Roman" w:hAnsi="Times New Roman" w:cs="Times New Roman"/>
          <w:sz w:val="28"/>
          <w:szCs w:val="28"/>
        </w:rPr>
        <w:t>the Plaintiff</w:t>
      </w:r>
      <w:r w:rsidR="008C69CA">
        <w:rPr>
          <w:rFonts w:ascii="Times New Roman" w:hAnsi="Times New Roman" w:cs="Times New Roman"/>
          <w:sz w:val="28"/>
          <w:szCs w:val="28"/>
        </w:rPr>
        <w:t>’s project officer by email</w:t>
      </w:r>
      <w:r w:rsidR="00FC6B66">
        <w:rPr>
          <w:rFonts w:ascii="Times New Roman" w:hAnsi="Times New Roman" w:cs="Times New Roman"/>
          <w:sz w:val="28"/>
          <w:szCs w:val="28"/>
        </w:rPr>
        <w:t xml:space="preserve"> on</w:t>
      </w:r>
      <w:r w:rsidR="00D011DA" w:rsidRPr="00DC179B">
        <w:rPr>
          <w:rFonts w:ascii="Times New Roman" w:hAnsi="Times New Roman" w:cs="Times New Roman"/>
          <w:sz w:val="28"/>
          <w:szCs w:val="28"/>
        </w:rPr>
        <w:t xml:space="preserve"> September 21, 2005.  </w:t>
      </w:r>
      <w:r w:rsidR="008864F5">
        <w:rPr>
          <w:rFonts w:ascii="Times New Roman" w:hAnsi="Times New Roman" w:cs="Times New Roman"/>
          <w:sz w:val="28"/>
          <w:szCs w:val="28"/>
        </w:rPr>
        <w:t xml:space="preserve">Mr. Burns deposes PTA did so as proof that the </w:t>
      </w:r>
      <w:r w:rsidR="008864F5">
        <w:rPr>
          <w:rFonts w:ascii="Times New Roman" w:hAnsi="Times New Roman" w:cs="Times New Roman"/>
          <w:sz w:val="28"/>
          <w:szCs w:val="28"/>
        </w:rPr>
        <w:lastRenderedPageBreak/>
        <w:t xml:space="preserve">foundation’s design had been certified by an engineer </w:t>
      </w:r>
      <w:r w:rsidR="00B026D0">
        <w:rPr>
          <w:rFonts w:ascii="Times New Roman" w:hAnsi="Times New Roman" w:cs="Times New Roman"/>
          <w:sz w:val="28"/>
          <w:szCs w:val="28"/>
        </w:rPr>
        <w:t>licensed</w:t>
      </w:r>
      <w:r w:rsidR="008864F5">
        <w:rPr>
          <w:rFonts w:ascii="Times New Roman" w:hAnsi="Times New Roman" w:cs="Times New Roman"/>
          <w:sz w:val="28"/>
          <w:szCs w:val="28"/>
        </w:rPr>
        <w:t xml:space="preserve"> to practic</w:t>
      </w:r>
      <w:r w:rsidR="00FC12A4">
        <w:rPr>
          <w:rFonts w:ascii="Times New Roman" w:hAnsi="Times New Roman" w:cs="Times New Roman"/>
          <w:sz w:val="28"/>
          <w:szCs w:val="28"/>
        </w:rPr>
        <w:t>e in the Northwest Territories, as required by the construction contract for the foundation.</w:t>
      </w:r>
      <w:r w:rsidR="008C69CA">
        <w:rPr>
          <w:rFonts w:ascii="Times New Roman" w:hAnsi="Times New Roman" w:cs="Times New Roman"/>
          <w:sz w:val="28"/>
          <w:szCs w:val="28"/>
        </w:rPr>
        <w:t xml:space="preserve"> This appears to be what PTA represented to the Plaintiff’s project officer in its email to her.</w:t>
      </w:r>
    </w:p>
    <w:p w:rsidR="00966DEE" w:rsidRPr="00966DEE" w:rsidRDefault="004C313D" w:rsidP="00E92A4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Burns </w:t>
      </w:r>
      <w:r w:rsidR="002872C8">
        <w:rPr>
          <w:rFonts w:ascii="Times New Roman" w:hAnsi="Times New Roman" w:cs="Times New Roman"/>
          <w:sz w:val="28"/>
          <w:szCs w:val="28"/>
        </w:rPr>
        <w:t xml:space="preserve">deposed </w:t>
      </w:r>
      <w:r w:rsidR="00640447" w:rsidRPr="004C313D">
        <w:rPr>
          <w:rFonts w:ascii="Times New Roman" w:hAnsi="Times New Roman" w:cs="Times New Roman"/>
          <w:sz w:val="28"/>
          <w:szCs w:val="28"/>
        </w:rPr>
        <w:t>there was no record of the foundation design being cer</w:t>
      </w:r>
      <w:r w:rsidR="00FC6B66">
        <w:rPr>
          <w:rFonts w:ascii="Times New Roman" w:hAnsi="Times New Roman" w:cs="Times New Roman"/>
          <w:sz w:val="28"/>
          <w:szCs w:val="28"/>
        </w:rPr>
        <w:t>tified by any</w:t>
      </w:r>
      <w:r w:rsidR="00FC12A4">
        <w:rPr>
          <w:rFonts w:ascii="Times New Roman" w:hAnsi="Times New Roman" w:cs="Times New Roman"/>
          <w:sz w:val="28"/>
          <w:szCs w:val="28"/>
        </w:rPr>
        <w:t xml:space="preserve"> other engineer.  It was </w:t>
      </w:r>
      <w:r w:rsidR="00FC6B66">
        <w:rPr>
          <w:rFonts w:ascii="Times New Roman" w:hAnsi="Times New Roman" w:cs="Times New Roman"/>
          <w:sz w:val="28"/>
          <w:szCs w:val="28"/>
        </w:rPr>
        <w:t>assumed</w:t>
      </w:r>
      <w:r>
        <w:rPr>
          <w:rFonts w:ascii="Times New Roman" w:hAnsi="Times New Roman" w:cs="Times New Roman"/>
          <w:sz w:val="28"/>
          <w:szCs w:val="28"/>
        </w:rPr>
        <w:t xml:space="preserve"> that </w:t>
      </w:r>
      <w:r w:rsidR="00640447" w:rsidRPr="004C313D">
        <w:rPr>
          <w:rFonts w:ascii="Times New Roman" w:hAnsi="Times New Roman" w:cs="Times New Roman"/>
          <w:sz w:val="28"/>
          <w:szCs w:val="28"/>
        </w:rPr>
        <w:t xml:space="preserve">AFC engaged Holubec for this purpose.  </w:t>
      </w:r>
      <w:r>
        <w:rPr>
          <w:rFonts w:ascii="Times New Roman" w:hAnsi="Times New Roman" w:cs="Times New Roman"/>
          <w:sz w:val="28"/>
          <w:szCs w:val="28"/>
        </w:rPr>
        <w:t xml:space="preserve">On cross-examination Mr. Burns stated the Plaintiff had “very clear information” from PTA and the quality control contractor, </w:t>
      </w:r>
      <w:r w:rsidR="002872C8">
        <w:rPr>
          <w:rFonts w:ascii="Times New Roman" w:hAnsi="Times New Roman" w:cs="Times New Roman"/>
          <w:sz w:val="28"/>
          <w:szCs w:val="28"/>
        </w:rPr>
        <w:t xml:space="preserve">the defendant </w:t>
      </w:r>
      <w:r>
        <w:rPr>
          <w:rFonts w:ascii="Times New Roman" w:hAnsi="Times New Roman" w:cs="Times New Roman"/>
          <w:sz w:val="28"/>
          <w:szCs w:val="28"/>
        </w:rPr>
        <w:t>AMEC Americas Limited (“AMEC”)</w:t>
      </w:r>
      <w:r w:rsidR="002872C8">
        <w:rPr>
          <w:rFonts w:ascii="Times New Roman" w:hAnsi="Times New Roman" w:cs="Times New Roman"/>
          <w:sz w:val="28"/>
          <w:szCs w:val="28"/>
        </w:rPr>
        <w:t>,</w:t>
      </w:r>
      <w:r>
        <w:rPr>
          <w:rFonts w:ascii="Times New Roman" w:hAnsi="Times New Roman" w:cs="Times New Roman"/>
          <w:sz w:val="28"/>
          <w:szCs w:val="28"/>
        </w:rPr>
        <w:t xml:space="preserve"> that they had relied on those documents to allow the construction to proceed.</w:t>
      </w:r>
    </w:p>
    <w:p w:rsidR="00F80CAC" w:rsidRPr="00C63413" w:rsidRDefault="00C63413" w:rsidP="00E92A45">
      <w:pPr>
        <w:pStyle w:val="ListParagraph"/>
        <w:spacing w:after="240" w:line="240" w:lineRule="auto"/>
        <w:ind w:left="0"/>
        <w:contextualSpacing w:val="0"/>
        <w:jc w:val="both"/>
        <w:rPr>
          <w:rFonts w:ascii="Times New Roman" w:hAnsi="Times New Roman" w:cs="Times New Roman"/>
          <w:b/>
          <w:sz w:val="28"/>
          <w:szCs w:val="28"/>
        </w:rPr>
      </w:pPr>
      <w:r w:rsidRPr="00C63413">
        <w:rPr>
          <w:rFonts w:ascii="Times New Roman" w:hAnsi="Times New Roman" w:cs="Times New Roman"/>
          <w:b/>
          <w:sz w:val="28"/>
          <w:szCs w:val="28"/>
        </w:rPr>
        <w:t>THE LEGAL FRAMEWORK</w:t>
      </w:r>
      <w:r w:rsidRPr="00C63413">
        <w:rPr>
          <w:color w:val="000000"/>
          <w:sz w:val="28"/>
          <w:szCs w:val="28"/>
        </w:rPr>
        <w:t> </w:t>
      </w:r>
      <w:r w:rsidRPr="00C63413">
        <w:rPr>
          <w:rFonts w:ascii="Times New Roman" w:hAnsi="Times New Roman" w:cs="Times New Roman"/>
          <w:color w:val="000000"/>
          <w:sz w:val="28"/>
          <w:szCs w:val="28"/>
        </w:rPr>
        <w:t>  </w:t>
      </w:r>
      <w:r w:rsidRPr="00C63413">
        <w:rPr>
          <w:rFonts w:ascii="Times New Roman" w:hAnsi="Times New Roman" w:cs="Times New Roman"/>
          <w:b/>
          <w:bCs/>
          <w:color w:val="000000"/>
          <w:sz w:val="28"/>
          <w:szCs w:val="28"/>
        </w:rPr>
        <w:t xml:space="preserve"> </w:t>
      </w:r>
    </w:p>
    <w:p w:rsidR="001503BC" w:rsidRPr="001503BC" w:rsidRDefault="008C52C7" w:rsidP="00E92A45">
      <w:pPr>
        <w:pStyle w:val="ListParagraph"/>
        <w:numPr>
          <w:ilvl w:val="0"/>
          <w:numId w:val="10"/>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legal framework is well-known.</w:t>
      </w:r>
      <w:r w:rsidR="009E58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F779D">
        <w:rPr>
          <w:rFonts w:ascii="Times New Roman" w:hAnsi="Times New Roman" w:cs="Times New Roman"/>
          <w:color w:val="000000"/>
          <w:sz w:val="28"/>
          <w:szCs w:val="28"/>
        </w:rPr>
        <w:t xml:space="preserve">Costs </w:t>
      </w:r>
      <w:r w:rsidR="00B6763B">
        <w:rPr>
          <w:rFonts w:ascii="Times New Roman" w:hAnsi="Times New Roman" w:cs="Times New Roman"/>
          <w:color w:val="000000"/>
          <w:sz w:val="28"/>
          <w:szCs w:val="28"/>
        </w:rPr>
        <w:t xml:space="preserve">are discretionary.  They </w:t>
      </w:r>
      <w:r w:rsidR="00BF779D">
        <w:rPr>
          <w:rFonts w:ascii="Times New Roman" w:hAnsi="Times New Roman" w:cs="Times New Roman"/>
          <w:color w:val="000000"/>
          <w:sz w:val="28"/>
          <w:szCs w:val="28"/>
        </w:rPr>
        <w:t>are typically</w:t>
      </w:r>
      <w:r w:rsidR="00C35F4A">
        <w:rPr>
          <w:rFonts w:ascii="Times New Roman" w:hAnsi="Times New Roman" w:cs="Times New Roman"/>
          <w:color w:val="000000"/>
          <w:sz w:val="28"/>
          <w:szCs w:val="28"/>
        </w:rPr>
        <w:t xml:space="preserve"> awarded </w:t>
      </w:r>
      <w:r w:rsidR="00C35F4A" w:rsidRPr="00C35F4A">
        <w:rPr>
          <w:rFonts w:ascii="Times New Roman" w:hAnsi="Times New Roman" w:cs="Times New Roman"/>
          <w:color w:val="000000"/>
          <w:sz w:val="28"/>
          <w:szCs w:val="28"/>
        </w:rPr>
        <w:t xml:space="preserve">on </w:t>
      </w:r>
      <w:r w:rsidR="00F80CAC">
        <w:rPr>
          <w:rFonts w:ascii="Times New Roman" w:hAnsi="Times New Roman" w:cs="Times New Roman"/>
          <w:color w:val="000000"/>
          <w:sz w:val="28"/>
          <w:szCs w:val="28"/>
        </w:rPr>
        <w:t>a</w:t>
      </w:r>
      <w:r w:rsidR="00C35F4A" w:rsidRPr="00C35F4A">
        <w:rPr>
          <w:rFonts w:ascii="Times New Roman" w:hAnsi="Times New Roman" w:cs="Times New Roman"/>
          <w:color w:val="000000"/>
          <w:sz w:val="28"/>
          <w:szCs w:val="28"/>
        </w:rPr>
        <w:t xml:space="preserve"> </w:t>
      </w:r>
      <w:r w:rsidR="00B37C5A">
        <w:rPr>
          <w:rFonts w:ascii="Times New Roman" w:hAnsi="Times New Roman" w:cs="Times New Roman"/>
          <w:color w:val="000000"/>
          <w:sz w:val="28"/>
          <w:szCs w:val="28"/>
        </w:rPr>
        <w:t>“</w:t>
      </w:r>
      <w:r w:rsidR="00C35F4A" w:rsidRPr="00C35F4A">
        <w:rPr>
          <w:rFonts w:ascii="Times New Roman" w:hAnsi="Times New Roman" w:cs="Times New Roman"/>
          <w:color w:val="000000"/>
          <w:sz w:val="28"/>
          <w:szCs w:val="28"/>
        </w:rPr>
        <w:t>party-and-party</w:t>
      </w:r>
      <w:r w:rsidR="00B37C5A">
        <w:rPr>
          <w:rFonts w:ascii="Times New Roman" w:hAnsi="Times New Roman" w:cs="Times New Roman"/>
          <w:color w:val="000000"/>
          <w:sz w:val="28"/>
          <w:szCs w:val="28"/>
        </w:rPr>
        <w:t>”</w:t>
      </w:r>
      <w:r w:rsidR="00C35F4A" w:rsidRPr="00C35F4A">
        <w:rPr>
          <w:rFonts w:ascii="Times New Roman" w:hAnsi="Times New Roman" w:cs="Times New Roman"/>
          <w:color w:val="000000"/>
          <w:sz w:val="28"/>
          <w:szCs w:val="28"/>
        </w:rPr>
        <w:t xml:space="preserve"> scale</w:t>
      </w:r>
      <w:r w:rsidR="00B37C5A">
        <w:rPr>
          <w:rFonts w:ascii="Times New Roman" w:hAnsi="Times New Roman" w:cs="Times New Roman"/>
          <w:color w:val="000000"/>
          <w:sz w:val="28"/>
          <w:szCs w:val="28"/>
        </w:rPr>
        <w:t>,</w:t>
      </w:r>
      <w:r w:rsidR="00F80CAC">
        <w:rPr>
          <w:rFonts w:ascii="Times New Roman" w:hAnsi="Times New Roman" w:cs="Times New Roman"/>
          <w:color w:val="000000"/>
          <w:sz w:val="28"/>
          <w:szCs w:val="28"/>
        </w:rPr>
        <w:t xml:space="preserve"> which provides partial indemnity in accordance with the tariff set out in </w:t>
      </w:r>
      <w:r w:rsidR="009E14FA">
        <w:rPr>
          <w:rFonts w:ascii="Times New Roman" w:hAnsi="Times New Roman" w:cs="Times New Roman"/>
          <w:color w:val="000000"/>
          <w:sz w:val="28"/>
          <w:szCs w:val="28"/>
        </w:rPr>
        <w:t xml:space="preserve">Schedule “A” of </w:t>
      </w:r>
      <w:r w:rsidR="00F80CAC">
        <w:rPr>
          <w:rFonts w:ascii="Times New Roman" w:hAnsi="Times New Roman" w:cs="Times New Roman"/>
          <w:color w:val="000000"/>
          <w:sz w:val="28"/>
          <w:szCs w:val="28"/>
        </w:rPr>
        <w:t xml:space="preserve">the </w:t>
      </w:r>
      <w:hyperlink r:id="rId8" w:history="1">
        <w:r w:rsidR="00C35F4A" w:rsidRPr="00F80CAC">
          <w:rPr>
            <w:rStyle w:val="Hyperlink"/>
            <w:rFonts w:ascii="Times New Roman" w:hAnsi="Times New Roman" w:cs="Times New Roman"/>
            <w:i/>
            <w:iCs/>
            <w:color w:val="000000" w:themeColor="text1"/>
            <w:sz w:val="28"/>
            <w:szCs w:val="28"/>
            <w:u w:val="none"/>
          </w:rPr>
          <w:t>Rules of the Supreme Court of the Northwest Territories</w:t>
        </w:r>
      </w:hyperlink>
      <w:r w:rsidR="00C35F4A" w:rsidRPr="00F80CAC">
        <w:rPr>
          <w:rFonts w:ascii="Times New Roman" w:hAnsi="Times New Roman" w:cs="Times New Roman"/>
          <w:i/>
          <w:iCs/>
          <w:color w:val="000000" w:themeColor="text1"/>
          <w:sz w:val="28"/>
          <w:szCs w:val="28"/>
        </w:rPr>
        <w:t>.</w:t>
      </w:r>
      <w:r w:rsidR="00C35F4A" w:rsidRPr="00C35F4A">
        <w:rPr>
          <w:rFonts w:ascii="Times New Roman" w:hAnsi="Times New Roman" w:cs="Times New Roman"/>
          <w:i/>
          <w:iCs/>
          <w:color w:val="000000"/>
          <w:sz w:val="28"/>
          <w:szCs w:val="28"/>
        </w:rPr>
        <w:t> </w:t>
      </w:r>
      <w:r w:rsidR="009E14FA">
        <w:rPr>
          <w:rFonts w:ascii="Times New Roman" w:hAnsi="Times New Roman" w:cs="Times New Roman"/>
          <w:iCs/>
          <w:color w:val="000000"/>
          <w:sz w:val="28"/>
          <w:szCs w:val="28"/>
        </w:rPr>
        <w:t xml:space="preserve"> Schedule “A” is divided into five columns, each representing costs for steps taken in the suit in relation to the value of the suit or the a</w:t>
      </w:r>
      <w:r w:rsidR="001503BC">
        <w:rPr>
          <w:rFonts w:ascii="Times New Roman" w:hAnsi="Times New Roman" w:cs="Times New Roman"/>
          <w:iCs/>
          <w:color w:val="000000"/>
          <w:sz w:val="28"/>
          <w:szCs w:val="28"/>
        </w:rPr>
        <w:t>mount claimed in damages.</w:t>
      </w:r>
    </w:p>
    <w:p w:rsidR="001503BC" w:rsidRPr="001503BC" w:rsidRDefault="001503BC" w:rsidP="00E92A45">
      <w:pPr>
        <w:pStyle w:val="ListParagraph"/>
        <w:shd w:val="clear" w:color="auto" w:fill="FFFFFF"/>
        <w:spacing w:after="0" w:line="240" w:lineRule="auto"/>
        <w:ind w:left="0"/>
        <w:jc w:val="both"/>
        <w:rPr>
          <w:rFonts w:ascii="Times New Roman" w:hAnsi="Times New Roman" w:cs="Times New Roman"/>
          <w:color w:val="000000"/>
          <w:sz w:val="28"/>
          <w:szCs w:val="28"/>
        </w:rPr>
      </w:pPr>
    </w:p>
    <w:p w:rsidR="00C35F4A" w:rsidRDefault="009E14FA" w:rsidP="00E92A45">
      <w:pPr>
        <w:pStyle w:val="ListParagraph"/>
        <w:numPr>
          <w:ilvl w:val="0"/>
          <w:numId w:val="10"/>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Cs/>
          <w:color w:val="000000"/>
          <w:sz w:val="28"/>
          <w:szCs w:val="28"/>
        </w:rPr>
        <w:t>Recognizing that strict adherence to the tariff may not always provide a just result, the</w:t>
      </w:r>
      <w:r w:rsidR="00C35F4A" w:rsidRPr="00F80CAC">
        <w:rPr>
          <w:rFonts w:ascii="Times New Roman" w:hAnsi="Times New Roman" w:cs="Times New Roman"/>
          <w:color w:val="000000"/>
          <w:sz w:val="28"/>
          <w:szCs w:val="28"/>
        </w:rPr>
        <w:t xml:space="preserve"> Court </w:t>
      </w:r>
      <w:r>
        <w:rPr>
          <w:rFonts w:ascii="Times New Roman" w:hAnsi="Times New Roman" w:cs="Times New Roman"/>
          <w:color w:val="000000"/>
          <w:sz w:val="28"/>
          <w:szCs w:val="28"/>
        </w:rPr>
        <w:t xml:space="preserve">may, in its discretion, </w:t>
      </w:r>
      <w:r w:rsidR="00C35F4A" w:rsidRPr="00F80CAC">
        <w:rPr>
          <w:rFonts w:ascii="Times New Roman" w:hAnsi="Times New Roman" w:cs="Times New Roman"/>
          <w:color w:val="000000"/>
          <w:sz w:val="28"/>
          <w:szCs w:val="28"/>
        </w:rPr>
        <w:t xml:space="preserve">award </w:t>
      </w:r>
      <w:r w:rsidR="00136FED">
        <w:rPr>
          <w:rFonts w:ascii="Times New Roman" w:hAnsi="Times New Roman" w:cs="Times New Roman"/>
          <w:color w:val="000000"/>
          <w:sz w:val="28"/>
          <w:szCs w:val="28"/>
        </w:rPr>
        <w:t xml:space="preserve">“enhanced” </w:t>
      </w:r>
      <w:r w:rsidR="00C35F4A" w:rsidRPr="00F80CAC">
        <w:rPr>
          <w:rFonts w:ascii="Times New Roman" w:hAnsi="Times New Roman" w:cs="Times New Roman"/>
          <w:color w:val="000000"/>
          <w:sz w:val="28"/>
          <w:szCs w:val="28"/>
        </w:rPr>
        <w:t>party-and-party</w:t>
      </w:r>
      <w:r w:rsidR="00F80CAC">
        <w:rPr>
          <w:rFonts w:ascii="Times New Roman" w:hAnsi="Times New Roman" w:cs="Times New Roman"/>
          <w:color w:val="000000"/>
          <w:sz w:val="28"/>
          <w:szCs w:val="28"/>
        </w:rPr>
        <w:t xml:space="preserve"> costs</w:t>
      </w:r>
      <w:r>
        <w:rPr>
          <w:rFonts w:ascii="Times New Roman" w:hAnsi="Times New Roman" w:cs="Times New Roman"/>
          <w:color w:val="000000"/>
          <w:sz w:val="28"/>
          <w:szCs w:val="28"/>
        </w:rPr>
        <w:t xml:space="preserve">.  Enhanced party-and-party costs can be calculated in a variety of ways, such as using </w:t>
      </w:r>
      <w:r w:rsidR="00C35F4A" w:rsidRPr="00F80CAC">
        <w:rPr>
          <w:rFonts w:ascii="Times New Roman" w:hAnsi="Times New Roman" w:cs="Times New Roman"/>
          <w:color w:val="000000"/>
          <w:sz w:val="28"/>
          <w:szCs w:val="28"/>
        </w:rPr>
        <w:t>a multipl</w:t>
      </w:r>
      <w:r>
        <w:rPr>
          <w:rFonts w:ascii="Times New Roman" w:hAnsi="Times New Roman" w:cs="Times New Roman"/>
          <w:color w:val="000000"/>
          <w:sz w:val="28"/>
          <w:szCs w:val="28"/>
        </w:rPr>
        <w:t>ier</w:t>
      </w:r>
      <w:r w:rsidR="00C35F4A" w:rsidRPr="00F80CAC">
        <w:rPr>
          <w:rFonts w:ascii="Times New Roman" w:hAnsi="Times New Roman" w:cs="Times New Roman"/>
          <w:color w:val="000000"/>
          <w:sz w:val="28"/>
          <w:szCs w:val="28"/>
        </w:rPr>
        <w:t xml:space="preserve"> of one of the columns in Schedule “A” </w:t>
      </w:r>
      <w:r w:rsidR="00136FED">
        <w:rPr>
          <w:rFonts w:ascii="Times New Roman" w:hAnsi="Times New Roman" w:cs="Times New Roman"/>
          <w:color w:val="000000"/>
          <w:sz w:val="28"/>
          <w:szCs w:val="28"/>
        </w:rPr>
        <w:t>or calculating costs on</w:t>
      </w:r>
      <w:r w:rsidR="00C35F4A" w:rsidRPr="00F80CAC">
        <w:rPr>
          <w:rFonts w:ascii="Times New Roman" w:hAnsi="Times New Roman" w:cs="Times New Roman"/>
          <w:color w:val="000000"/>
          <w:sz w:val="28"/>
          <w:szCs w:val="28"/>
        </w:rPr>
        <w:t xml:space="preserve"> the basis of a column that corresponds to a higher </w:t>
      </w:r>
      <w:r>
        <w:rPr>
          <w:rFonts w:ascii="Times New Roman" w:hAnsi="Times New Roman" w:cs="Times New Roman"/>
          <w:color w:val="000000"/>
          <w:sz w:val="28"/>
          <w:szCs w:val="28"/>
        </w:rPr>
        <w:t xml:space="preserve">amount </w:t>
      </w:r>
      <w:r w:rsidR="00C35F4A" w:rsidRPr="00F80CAC">
        <w:rPr>
          <w:rFonts w:ascii="Times New Roman" w:hAnsi="Times New Roman" w:cs="Times New Roman"/>
          <w:color w:val="000000"/>
          <w:sz w:val="28"/>
          <w:szCs w:val="28"/>
        </w:rPr>
        <w:t>than what is claimed</w:t>
      </w:r>
      <w:r>
        <w:rPr>
          <w:rFonts w:ascii="Times New Roman" w:hAnsi="Times New Roman" w:cs="Times New Roman"/>
          <w:color w:val="000000"/>
          <w:sz w:val="28"/>
          <w:szCs w:val="28"/>
        </w:rPr>
        <w:t xml:space="preserve"> or awarded in </w:t>
      </w:r>
      <w:r w:rsidR="008C52C7">
        <w:rPr>
          <w:rFonts w:ascii="Times New Roman" w:hAnsi="Times New Roman" w:cs="Times New Roman"/>
          <w:color w:val="000000"/>
          <w:sz w:val="28"/>
          <w:szCs w:val="28"/>
        </w:rPr>
        <w:t>the suit.</w:t>
      </w:r>
      <w:r w:rsidR="00B04B60">
        <w:rPr>
          <w:rFonts w:ascii="Times New Roman" w:hAnsi="Times New Roman" w:cs="Times New Roman"/>
          <w:color w:val="000000"/>
          <w:sz w:val="28"/>
          <w:szCs w:val="28"/>
        </w:rPr>
        <w:t xml:space="preserve"> </w:t>
      </w:r>
      <w:r w:rsidR="008C52C7">
        <w:rPr>
          <w:rFonts w:ascii="Times New Roman" w:hAnsi="Times New Roman" w:cs="Times New Roman"/>
          <w:color w:val="000000"/>
          <w:sz w:val="28"/>
          <w:szCs w:val="28"/>
        </w:rPr>
        <w:t xml:space="preserve"> (F</w:t>
      </w:r>
      <w:r>
        <w:rPr>
          <w:rFonts w:ascii="Times New Roman" w:hAnsi="Times New Roman" w:cs="Times New Roman"/>
          <w:color w:val="000000"/>
          <w:sz w:val="28"/>
          <w:szCs w:val="28"/>
        </w:rPr>
        <w:t xml:space="preserve">or example, </w:t>
      </w:r>
      <w:r>
        <w:rPr>
          <w:rFonts w:ascii="Times New Roman" w:hAnsi="Times New Roman" w:cs="Times New Roman"/>
          <w:i/>
          <w:color w:val="000000"/>
          <w:sz w:val="28"/>
          <w:szCs w:val="28"/>
        </w:rPr>
        <w:t xml:space="preserve">Fullowka v Royal Oak Ventures Inc., </w:t>
      </w:r>
      <w:r>
        <w:rPr>
          <w:rFonts w:ascii="Times New Roman" w:hAnsi="Times New Roman" w:cs="Times New Roman"/>
          <w:color w:val="000000"/>
          <w:sz w:val="28"/>
          <w:szCs w:val="28"/>
        </w:rPr>
        <w:t>2008 NWTCA 9).</w:t>
      </w:r>
      <w:r w:rsidR="00B04B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41F44">
        <w:rPr>
          <w:rFonts w:ascii="Times New Roman" w:hAnsi="Times New Roman" w:cs="Times New Roman"/>
          <w:color w:val="000000"/>
          <w:sz w:val="28"/>
          <w:szCs w:val="28"/>
        </w:rPr>
        <w:t> </w:t>
      </w:r>
      <w:r w:rsidR="00B37C5A">
        <w:rPr>
          <w:rFonts w:ascii="Times New Roman" w:hAnsi="Times New Roman" w:cs="Times New Roman"/>
          <w:color w:val="000000"/>
          <w:sz w:val="28"/>
          <w:szCs w:val="28"/>
        </w:rPr>
        <w:t xml:space="preserve">In determining </w:t>
      </w:r>
      <w:r w:rsidR="00D41F44">
        <w:rPr>
          <w:rFonts w:ascii="Times New Roman" w:hAnsi="Times New Roman" w:cs="Times New Roman"/>
          <w:color w:val="000000"/>
          <w:sz w:val="28"/>
          <w:szCs w:val="28"/>
        </w:rPr>
        <w:t>whether enhanced costs are justified</w:t>
      </w:r>
      <w:r w:rsidR="008C52C7">
        <w:rPr>
          <w:rFonts w:ascii="Times New Roman" w:hAnsi="Times New Roman" w:cs="Times New Roman"/>
          <w:color w:val="000000"/>
          <w:sz w:val="28"/>
          <w:szCs w:val="28"/>
        </w:rPr>
        <w:t>,</w:t>
      </w:r>
      <w:r w:rsidR="00D41F44">
        <w:rPr>
          <w:rFonts w:ascii="Times New Roman" w:hAnsi="Times New Roman" w:cs="Times New Roman"/>
          <w:color w:val="000000"/>
          <w:sz w:val="28"/>
          <w:szCs w:val="28"/>
        </w:rPr>
        <w:t xml:space="preserve"> </w:t>
      </w:r>
      <w:r w:rsidR="00670EB6">
        <w:rPr>
          <w:rFonts w:ascii="Times New Roman" w:hAnsi="Times New Roman" w:cs="Times New Roman"/>
          <w:color w:val="000000"/>
          <w:sz w:val="28"/>
          <w:szCs w:val="28"/>
        </w:rPr>
        <w:t xml:space="preserve">the Court may take </w:t>
      </w:r>
      <w:r w:rsidR="00B37C5A">
        <w:rPr>
          <w:rFonts w:ascii="Times New Roman" w:hAnsi="Times New Roman" w:cs="Times New Roman"/>
          <w:color w:val="000000"/>
          <w:sz w:val="28"/>
          <w:szCs w:val="28"/>
        </w:rPr>
        <w:t>a number of factors</w:t>
      </w:r>
      <w:r w:rsidR="00670EB6">
        <w:rPr>
          <w:rFonts w:ascii="Times New Roman" w:hAnsi="Times New Roman" w:cs="Times New Roman"/>
          <w:color w:val="000000"/>
          <w:sz w:val="28"/>
          <w:szCs w:val="28"/>
        </w:rPr>
        <w:t xml:space="preserve"> into account</w:t>
      </w:r>
      <w:r w:rsidR="00B37C5A">
        <w:rPr>
          <w:rFonts w:ascii="Times New Roman" w:hAnsi="Times New Roman" w:cs="Times New Roman"/>
          <w:color w:val="000000"/>
          <w:sz w:val="28"/>
          <w:szCs w:val="28"/>
        </w:rPr>
        <w:t>, including</w:t>
      </w:r>
      <w:r w:rsidR="00670EB6">
        <w:rPr>
          <w:rFonts w:ascii="Times New Roman" w:hAnsi="Times New Roman" w:cs="Times New Roman"/>
          <w:color w:val="000000"/>
          <w:sz w:val="28"/>
          <w:szCs w:val="28"/>
        </w:rPr>
        <w:t>:</w:t>
      </w:r>
      <w:r w:rsidR="00B37C5A">
        <w:rPr>
          <w:rFonts w:ascii="Times New Roman" w:hAnsi="Times New Roman" w:cs="Times New Roman"/>
          <w:color w:val="000000"/>
          <w:sz w:val="28"/>
          <w:szCs w:val="28"/>
        </w:rPr>
        <w:t xml:space="preserve"> </w:t>
      </w:r>
      <w:r w:rsidR="00D41F44">
        <w:rPr>
          <w:rFonts w:ascii="Times New Roman" w:hAnsi="Times New Roman" w:cs="Times New Roman"/>
          <w:color w:val="000000"/>
          <w:sz w:val="28"/>
          <w:szCs w:val="28"/>
        </w:rPr>
        <w:t>the</w:t>
      </w:r>
      <w:r w:rsidR="00C35F4A" w:rsidRPr="00F80CAC">
        <w:rPr>
          <w:rFonts w:ascii="Times New Roman" w:hAnsi="Times New Roman" w:cs="Times New Roman"/>
          <w:color w:val="000000"/>
          <w:sz w:val="28"/>
          <w:szCs w:val="28"/>
        </w:rPr>
        <w:t xml:space="preserve"> complexity of the </w:t>
      </w:r>
      <w:r w:rsidR="00D41F44">
        <w:rPr>
          <w:rFonts w:ascii="Times New Roman" w:hAnsi="Times New Roman" w:cs="Times New Roman"/>
          <w:color w:val="000000"/>
          <w:sz w:val="28"/>
          <w:szCs w:val="28"/>
        </w:rPr>
        <w:t>suit</w:t>
      </w:r>
      <w:r w:rsidR="00670EB6">
        <w:rPr>
          <w:rFonts w:ascii="Times New Roman" w:hAnsi="Times New Roman" w:cs="Times New Roman"/>
          <w:color w:val="000000"/>
          <w:sz w:val="28"/>
          <w:szCs w:val="28"/>
        </w:rPr>
        <w:t>;</w:t>
      </w:r>
      <w:r w:rsidR="00C35F4A" w:rsidRPr="00F80CAC">
        <w:rPr>
          <w:rFonts w:ascii="Times New Roman" w:hAnsi="Times New Roman" w:cs="Times New Roman"/>
          <w:color w:val="000000"/>
          <w:sz w:val="28"/>
          <w:szCs w:val="28"/>
        </w:rPr>
        <w:t xml:space="preserve"> the </w:t>
      </w:r>
      <w:r w:rsidR="001503BC">
        <w:rPr>
          <w:rFonts w:ascii="Times New Roman" w:hAnsi="Times New Roman" w:cs="Times New Roman"/>
          <w:color w:val="000000"/>
          <w:sz w:val="28"/>
          <w:szCs w:val="28"/>
        </w:rPr>
        <w:t>amount</w:t>
      </w:r>
      <w:r w:rsidR="00C35F4A" w:rsidRPr="00F80CAC">
        <w:rPr>
          <w:rFonts w:ascii="Times New Roman" w:hAnsi="Times New Roman" w:cs="Times New Roman"/>
          <w:color w:val="000000"/>
          <w:sz w:val="28"/>
          <w:szCs w:val="28"/>
        </w:rPr>
        <w:t xml:space="preserve"> of the costs recoverable under </w:t>
      </w:r>
      <w:r w:rsidR="001503BC">
        <w:rPr>
          <w:rFonts w:ascii="Times New Roman" w:hAnsi="Times New Roman" w:cs="Times New Roman"/>
          <w:color w:val="000000"/>
          <w:sz w:val="28"/>
          <w:szCs w:val="28"/>
        </w:rPr>
        <w:t xml:space="preserve">the tariff compared to </w:t>
      </w:r>
      <w:r w:rsidR="00C35F4A" w:rsidRPr="00F80CAC">
        <w:rPr>
          <w:rFonts w:ascii="Times New Roman" w:hAnsi="Times New Roman" w:cs="Times New Roman"/>
          <w:color w:val="000000"/>
          <w:sz w:val="28"/>
          <w:szCs w:val="28"/>
        </w:rPr>
        <w:t>the actual costs incurred</w:t>
      </w:r>
      <w:r w:rsidR="00670EB6">
        <w:rPr>
          <w:rFonts w:ascii="Times New Roman" w:hAnsi="Times New Roman" w:cs="Times New Roman"/>
          <w:color w:val="000000"/>
          <w:sz w:val="28"/>
          <w:szCs w:val="28"/>
        </w:rPr>
        <w:t>;</w:t>
      </w:r>
      <w:r w:rsidR="001503BC">
        <w:rPr>
          <w:rFonts w:ascii="Times New Roman" w:hAnsi="Times New Roman" w:cs="Times New Roman"/>
          <w:color w:val="000000"/>
          <w:sz w:val="28"/>
          <w:szCs w:val="28"/>
        </w:rPr>
        <w:t xml:space="preserve"> the conduct of the other party</w:t>
      </w:r>
      <w:r w:rsidR="00346DB8">
        <w:rPr>
          <w:rFonts w:ascii="Times New Roman" w:hAnsi="Times New Roman" w:cs="Times New Roman"/>
          <w:color w:val="000000"/>
          <w:sz w:val="28"/>
          <w:szCs w:val="28"/>
        </w:rPr>
        <w:t xml:space="preserve"> or parties</w:t>
      </w:r>
      <w:r w:rsidR="00670EB6">
        <w:rPr>
          <w:rFonts w:ascii="Times New Roman" w:hAnsi="Times New Roman" w:cs="Times New Roman"/>
          <w:color w:val="000000"/>
          <w:sz w:val="28"/>
          <w:szCs w:val="28"/>
        </w:rPr>
        <w:t>;</w:t>
      </w:r>
      <w:r w:rsidR="00C35F4A" w:rsidRPr="00F80CAC">
        <w:rPr>
          <w:rFonts w:ascii="Times New Roman" w:hAnsi="Times New Roman" w:cs="Times New Roman"/>
          <w:color w:val="000000"/>
          <w:sz w:val="28"/>
          <w:szCs w:val="28"/>
        </w:rPr>
        <w:t xml:space="preserve"> and the importance of the issues raised for </w:t>
      </w:r>
      <w:r w:rsidR="001503BC">
        <w:rPr>
          <w:rFonts w:ascii="Times New Roman" w:hAnsi="Times New Roman" w:cs="Times New Roman"/>
          <w:color w:val="000000"/>
          <w:sz w:val="28"/>
          <w:szCs w:val="28"/>
        </w:rPr>
        <w:t xml:space="preserve">both </w:t>
      </w:r>
      <w:r w:rsidR="00346DB8">
        <w:rPr>
          <w:rFonts w:ascii="Times New Roman" w:hAnsi="Times New Roman" w:cs="Times New Roman"/>
          <w:color w:val="000000"/>
          <w:sz w:val="28"/>
          <w:szCs w:val="28"/>
        </w:rPr>
        <w:t xml:space="preserve">the </w:t>
      </w:r>
      <w:r w:rsidR="001503BC">
        <w:rPr>
          <w:rFonts w:ascii="Times New Roman" w:hAnsi="Times New Roman" w:cs="Times New Roman"/>
          <w:color w:val="000000"/>
          <w:sz w:val="28"/>
          <w:szCs w:val="28"/>
        </w:rPr>
        <w:t>litigants</w:t>
      </w:r>
      <w:r w:rsidR="00C35F4A" w:rsidRPr="00F80CAC">
        <w:rPr>
          <w:rFonts w:ascii="Times New Roman" w:hAnsi="Times New Roman" w:cs="Times New Roman"/>
          <w:color w:val="000000"/>
          <w:sz w:val="28"/>
          <w:szCs w:val="28"/>
        </w:rPr>
        <w:t xml:space="preserve"> and the </w:t>
      </w:r>
      <w:r w:rsidR="001503BC">
        <w:rPr>
          <w:rFonts w:ascii="Times New Roman" w:hAnsi="Times New Roman" w:cs="Times New Roman"/>
          <w:color w:val="000000"/>
          <w:sz w:val="28"/>
          <w:szCs w:val="28"/>
        </w:rPr>
        <w:t>broader community.</w:t>
      </w:r>
      <w:r w:rsidR="00B04B60">
        <w:rPr>
          <w:rFonts w:ascii="Times New Roman" w:hAnsi="Times New Roman" w:cs="Times New Roman"/>
          <w:color w:val="000000"/>
          <w:sz w:val="28"/>
          <w:szCs w:val="28"/>
        </w:rPr>
        <w:t xml:space="preserve"> </w:t>
      </w:r>
      <w:r w:rsidR="00C35F4A" w:rsidRPr="00F80CAC">
        <w:rPr>
          <w:rFonts w:ascii="Times New Roman" w:hAnsi="Times New Roman" w:cs="Times New Roman"/>
          <w:color w:val="000000"/>
          <w:sz w:val="28"/>
          <w:szCs w:val="28"/>
        </w:rPr>
        <w:t> </w:t>
      </w:r>
      <w:bookmarkStart w:id="2" w:name="QuickMark"/>
      <w:bookmarkEnd w:id="2"/>
      <w:r w:rsidR="00C35F4A" w:rsidRPr="00B37C5A">
        <w:rPr>
          <w:rFonts w:ascii="Times New Roman" w:hAnsi="Times New Roman" w:cs="Times New Roman"/>
          <w:i/>
          <w:iCs/>
          <w:color w:val="000000"/>
          <w:sz w:val="28"/>
          <w:szCs w:val="28"/>
        </w:rPr>
        <w:t>WCB </w:t>
      </w:r>
      <w:r w:rsidR="00C35F4A" w:rsidRPr="00B37C5A">
        <w:rPr>
          <w:rFonts w:ascii="Times New Roman" w:hAnsi="Times New Roman" w:cs="Times New Roman"/>
          <w:i/>
          <w:color w:val="000000"/>
          <w:sz w:val="28"/>
          <w:szCs w:val="28"/>
        </w:rPr>
        <w:t>v</w:t>
      </w:r>
      <w:r w:rsidR="00C35F4A" w:rsidRPr="00B37C5A">
        <w:rPr>
          <w:rFonts w:ascii="Times New Roman" w:hAnsi="Times New Roman" w:cs="Times New Roman"/>
          <w:i/>
          <w:iCs/>
          <w:color w:val="000000"/>
          <w:sz w:val="28"/>
          <w:szCs w:val="28"/>
        </w:rPr>
        <w:t> Mercer</w:t>
      </w:r>
      <w:r w:rsidR="00C35F4A" w:rsidRPr="00F80CAC">
        <w:rPr>
          <w:rFonts w:ascii="Times New Roman" w:hAnsi="Times New Roman" w:cs="Times New Roman"/>
          <w:i/>
          <w:iCs/>
          <w:color w:val="000000"/>
          <w:sz w:val="28"/>
          <w:szCs w:val="28"/>
        </w:rPr>
        <w:t xml:space="preserve"> et al; and Mercer v WCB</w:t>
      </w:r>
      <w:r w:rsidR="00C35F4A" w:rsidRPr="00B37C5A">
        <w:rPr>
          <w:rFonts w:ascii="Times New Roman" w:hAnsi="Times New Roman" w:cs="Times New Roman"/>
          <w:sz w:val="28"/>
          <w:szCs w:val="28"/>
        </w:rPr>
        <w:t>, </w:t>
      </w:r>
      <w:hyperlink r:id="rId9" w:history="1">
        <w:r w:rsidR="00C35F4A" w:rsidRPr="00B37C5A">
          <w:rPr>
            <w:rStyle w:val="reflex3-alt"/>
            <w:rFonts w:ascii="Times New Roman" w:hAnsi="Times New Roman" w:cs="Times New Roman"/>
            <w:sz w:val="28"/>
            <w:szCs w:val="28"/>
          </w:rPr>
          <w:t>2012 NWTSC 78</w:t>
        </w:r>
        <w:r w:rsidR="00C35F4A" w:rsidRPr="00B37C5A">
          <w:rPr>
            <w:rStyle w:val="Hyperlink"/>
            <w:rFonts w:ascii="Times New Roman" w:hAnsi="Times New Roman" w:cs="Times New Roman"/>
            <w:color w:val="auto"/>
            <w:sz w:val="28"/>
            <w:szCs w:val="28"/>
          </w:rPr>
          <w:t> (CanLII)</w:t>
        </w:r>
      </w:hyperlink>
      <w:r w:rsidR="00C35F4A" w:rsidRPr="00B37C5A">
        <w:rPr>
          <w:rStyle w:val="reflex3-block"/>
          <w:rFonts w:ascii="Times New Roman" w:hAnsi="Times New Roman" w:cs="Times New Roman"/>
          <w:sz w:val="28"/>
          <w:szCs w:val="28"/>
        </w:rPr>
        <w:t>, at para 11</w:t>
      </w:r>
      <w:r w:rsidR="00C35F4A" w:rsidRPr="00B37C5A">
        <w:rPr>
          <w:rFonts w:ascii="Times New Roman" w:hAnsi="Times New Roman" w:cs="Times New Roman"/>
          <w:sz w:val="28"/>
          <w:szCs w:val="28"/>
        </w:rPr>
        <w:t>; </w:t>
      </w:r>
      <w:r w:rsidR="00C35F4A" w:rsidRPr="00B37C5A">
        <w:rPr>
          <w:rFonts w:ascii="Times New Roman" w:hAnsi="Times New Roman" w:cs="Times New Roman"/>
          <w:i/>
          <w:iCs/>
          <w:sz w:val="28"/>
          <w:szCs w:val="28"/>
        </w:rPr>
        <w:t>5142 NWT LTD et al v Town of Hay River et al, </w:t>
      </w:r>
      <w:hyperlink r:id="rId10" w:history="1">
        <w:r w:rsidR="00C35F4A" w:rsidRPr="00B37C5A">
          <w:rPr>
            <w:rStyle w:val="reflex3-alt"/>
            <w:rFonts w:ascii="Times New Roman" w:hAnsi="Times New Roman" w:cs="Times New Roman"/>
            <w:sz w:val="28"/>
            <w:szCs w:val="28"/>
          </w:rPr>
          <w:t>2008 NWTSC 31</w:t>
        </w:r>
        <w:r w:rsidR="00C35F4A" w:rsidRPr="00B37C5A">
          <w:rPr>
            <w:rStyle w:val="Hyperlink"/>
            <w:rFonts w:ascii="Times New Roman" w:hAnsi="Times New Roman" w:cs="Times New Roman"/>
            <w:color w:val="auto"/>
            <w:sz w:val="28"/>
            <w:szCs w:val="28"/>
          </w:rPr>
          <w:t> (CanLII)</w:t>
        </w:r>
      </w:hyperlink>
      <w:r w:rsidR="00C35F4A" w:rsidRPr="00B37C5A">
        <w:rPr>
          <w:rStyle w:val="reflex3-block"/>
          <w:rFonts w:ascii="Times New Roman" w:hAnsi="Times New Roman" w:cs="Times New Roman"/>
          <w:sz w:val="28"/>
          <w:szCs w:val="28"/>
        </w:rPr>
        <w:t>, at para 6</w:t>
      </w:r>
      <w:r w:rsidR="00C35F4A" w:rsidRPr="00B37C5A">
        <w:rPr>
          <w:rFonts w:ascii="Times New Roman" w:hAnsi="Times New Roman" w:cs="Times New Roman"/>
          <w:sz w:val="28"/>
          <w:szCs w:val="28"/>
        </w:rPr>
        <w:t>;</w:t>
      </w:r>
      <w:r w:rsidR="00C35F4A" w:rsidRPr="00B37C5A">
        <w:rPr>
          <w:rFonts w:ascii="Times New Roman" w:hAnsi="Times New Roman" w:cs="Times New Roman"/>
          <w:i/>
          <w:iCs/>
          <w:sz w:val="28"/>
          <w:szCs w:val="28"/>
        </w:rPr>
        <w:t>Union of Northern Workers v Carriere (No. 2), </w:t>
      </w:r>
      <w:hyperlink r:id="rId11" w:history="1">
        <w:r w:rsidR="00C35F4A" w:rsidRPr="00B37C5A">
          <w:rPr>
            <w:rStyle w:val="reflex3-alt"/>
            <w:rFonts w:ascii="Times New Roman" w:hAnsi="Times New Roman" w:cs="Times New Roman"/>
            <w:sz w:val="28"/>
            <w:szCs w:val="28"/>
          </w:rPr>
          <w:t>2013 NWTSC 27</w:t>
        </w:r>
        <w:r w:rsidR="00C35F4A" w:rsidRPr="00B37C5A">
          <w:rPr>
            <w:rStyle w:val="Hyperlink"/>
            <w:rFonts w:ascii="Times New Roman" w:hAnsi="Times New Roman" w:cs="Times New Roman"/>
            <w:color w:val="auto"/>
            <w:sz w:val="28"/>
            <w:szCs w:val="28"/>
          </w:rPr>
          <w:t> (CanLII)</w:t>
        </w:r>
      </w:hyperlink>
      <w:r w:rsidR="00C35F4A" w:rsidRPr="00B37C5A">
        <w:rPr>
          <w:rStyle w:val="reflex3-block"/>
          <w:rFonts w:ascii="Times New Roman" w:hAnsi="Times New Roman" w:cs="Times New Roman"/>
          <w:sz w:val="28"/>
          <w:szCs w:val="28"/>
        </w:rPr>
        <w:t>, at para 17</w:t>
      </w:r>
      <w:r w:rsidR="00C35F4A" w:rsidRPr="00B37C5A">
        <w:rPr>
          <w:rFonts w:ascii="Times New Roman" w:hAnsi="Times New Roman" w:cs="Times New Roman"/>
          <w:sz w:val="28"/>
          <w:szCs w:val="28"/>
        </w:rPr>
        <w:t>.</w:t>
      </w:r>
    </w:p>
    <w:p w:rsidR="00B37C5A" w:rsidRPr="00B37C5A" w:rsidRDefault="00B37C5A" w:rsidP="00E92A45">
      <w:pPr>
        <w:pStyle w:val="ListParagraph"/>
        <w:shd w:val="clear" w:color="auto" w:fill="FFFFFF"/>
        <w:spacing w:after="0" w:line="240" w:lineRule="auto"/>
        <w:ind w:left="0"/>
        <w:jc w:val="both"/>
        <w:rPr>
          <w:rFonts w:ascii="Times New Roman" w:hAnsi="Times New Roman" w:cs="Times New Roman"/>
          <w:sz w:val="28"/>
          <w:szCs w:val="28"/>
        </w:rPr>
      </w:pPr>
    </w:p>
    <w:p w:rsidR="008C52C7" w:rsidRDefault="00C35F4A" w:rsidP="00E92A45">
      <w:pPr>
        <w:pStyle w:val="ListParagraph"/>
        <w:numPr>
          <w:ilvl w:val="0"/>
          <w:numId w:val="10"/>
        </w:numPr>
        <w:shd w:val="clear" w:color="auto" w:fill="FFFFFF"/>
        <w:spacing w:after="0" w:line="240" w:lineRule="auto"/>
        <w:jc w:val="both"/>
        <w:rPr>
          <w:rFonts w:ascii="Times New Roman" w:hAnsi="Times New Roman" w:cs="Times New Roman"/>
          <w:sz w:val="28"/>
          <w:szCs w:val="28"/>
        </w:rPr>
      </w:pPr>
      <w:r w:rsidRPr="00B37C5A">
        <w:rPr>
          <w:rFonts w:ascii="Times New Roman" w:hAnsi="Times New Roman" w:cs="Times New Roman"/>
          <w:sz w:val="28"/>
          <w:szCs w:val="28"/>
        </w:rPr>
        <w:t xml:space="preserve">Costs </w:t>
      </w:r>
      <w:r w:rsidR="00346DB8" w:rsidRPr="00B37C5A">
        <w:rPr>
          <w:rFonts w:ascii="Times New Roman" w:hAnsi="Times New Roman" w:cs="Times New Roman"/>
          <w:sz w:val="28"/>
          <w:szCs w:val="28"/>
        </w:rPr>
        <w:t xml:space="preserve">may also be awarded on a </w:t>
      </w:r>
      <w:r w:rsidR="00B37C5A">
        <w:rPr>
          <w:rFonts w:ascii="Times New Roman" w:hAnsi="Times New Roman" w:cs="Times New Roman"/>
          <w:sz w:val="28"/>
          <w:szCs w:val="28"/>
        </w:rPr>
        <w:t>“</w:t>
      </w:r>
      <w:r w:rsidR="00346DB8" w:rsidRPr="00B37C5A">
        <w:rPr>
          <w:rFonts w:ascii="Times New Roman" w:hAnsi="Times New Roman" w:cs="Times New Roman"/>
          <w:sz w:val="28"/>
          <w:szCs w:val="28"/>
        </w:rPr>
        <w:t>solicitor-and-client</w:t>
      </w:r>
      <w:r w:rsidR="00B37C5A">
        <w:rPr>
          <w:rFonts w:ascii="Times New Roman" w:hAnsi="Times New Roman" w:cs="Times New Roman"/>
          <w:sz w:val="28"/>
          <w:szCs w:val="28"/>
        </w:rPr>
        <w:t>”</w:t>
      </w:r>
      <w:r w:rsidR="00670EB6">
        <w:rPr>
          <w:rFonts w:ascii="Times New Roman" w:hAnsi="Times New Roman" w:cs="Times New Roman"/>
          <w:sz w:val="28"/>
          <w:szCs w:val="28"/>
        </w:rPr>
        <w:t xml:space="preserve"> basis, which is based largely on what counsel actually charged the client to complete various steps in the litigation.</w:t>
      </w:r>
      <w:r w:rsidR="009A419E">
        <w:rPr>
          <w:rFonts w:ascii="Times New Roman" w:hAnsi="Times New Roman" w:cs="Times New Roman"/>
          <w:sz w:val="28"/>
          <w:szCs w:val="28"/>
        </w:rPr>
        <w:t xml:space="preserve"> </w:t>
      </w:r>
      <w:r w:rsidR="00670EB6">
        <w:rPr>
          <w:rFonts w:ascii="Times New Roman" w:hAnsi="Times New Roman" w:cs="Times New Roman"/>
          <w:sz w:val="28"/>
          <w:szCs w:val="28"/>
        </w:rPr>
        <w:t xml:space="preserve"> Barring contractual or l</w:t>
      </w:r>
      <w:r w:rsidR="008C52C7">
        <w:rPr>
          <w:rFonts w:ascii="Times New Roman" w:hAnsi="Times New Roman" w:cs="Times New Roman"/>
          <w:sz w:val="28"/>
          <w:szCs w:val="28"/>
        </w:rPr>
        <w:t xml:space="preserve">egislative provisions allowing for </w:t>
      </w:r>
      <w:r w:rsidR="00670EB6">
        <w:rPr>
          <w:rFonts w:ascii="Times New Roman" w:hAnsi="Times New Roman" w:cs="Times New Roman"/>
          <w:sz w:val="28"/>
          <w:szCs w:val="28"/>
        </w:rPr>
        <w:t>costs on this scale, they are not awarded unless</w:t>
      </w:r>
      <w:r w:rsidR="00644E0D">
        <w:rPr>
          <w:rFonts w:ascii="Times New Roman" w:hAnsi="Times New Roman" w:cs="Times New Roman"/>
          <w:color w:val="000000"/>
          <w:sz w:val="28"/>
          <w:szCs w:val="28"/>
        </w:rPr>
        <w:t xml:space="preserve"> “</w:t>
      </w:r>
      <w:r w:rsidR="00644E0D" w:rsidRPr="00C35F4A">
        <w:rPr>
          <w:rFonts w:ascii="Times New Roman" w:hAnsi="Times New Roman" w:cs="Times New Roman"/>
          <w:color w:val="000000"/>
          <w:spacing w:val="-3"/>
          <w:sz w:val="28"/>
          <w:szCs w:val="28"/>
        </w:rPr>
        <w:t xml:space="preserve">there has been reprehensible, scandalous or </w:t>
      </w:r>
      <w:r w:rsidR="00644E0D" w:rsidRPr="00C35F4A">
        <w:rPr>
          <w:rFonts w:ascii="Times New Roman" w:hAnsi="Times New Roman" w:cs="Times New Roman"/>
          <w:color w:val="000000"/>
          <w:spacing w:val="-3"/>
          <w:sz w:val="28"/>
          <w:szCs w:val="28"/>
        </w:rPr>
        <w:lastRenderedPageBreak/>
        <w:t>outrageous conduct on the</w:t>
      </w:r>
      <w:r w:rsidR="00644E0D">
        <w:rPr>
          <w:rFonts w:ascii="Times New Roman" w:hAnsi="Times New Roman" w:cs="Times New Roman"/>
          <w:color w:val="000000"/>
          <w:spacing w:val="-3"/>
          <w:sz w:val="28"/>
          <w:szCs w:val="28"/>
        </w:rPr>
        <w:t xml:space="preserve"> part of one of the parties”.  </w:t>
      </w:r>
      <w:r w:rsidR="00644E0D" w:rsidRPr="00B37C5A">
        <w:rPr>
          <w:rFonts w:ascii="Times New Roman" w:hAnsi="Times New Roman" w:cs="Times New Roman"/>
          <w:i/>
          <w:iCs/>
          <w:sz w:val="28"/>
          <w:szCs w:val="28"/>
        </w:rPr>
        <w:t>Young v. Young,</w:t>
      </w:r>
      <w:r w:rsidR="00644E0D" w:rsidRPr="00B37C5A">
        <w:rPr>
          <w:rFonts w:ascii="Times New Roman" w:hAnsi="Times New Roman" w:cs="Times New Roman"/>
          <w:sz w:val="28"/>
          <w:szCs w:val="28"/>
        </w:rPr>
        <w:t> </w:t>
      </w:r>
      <w:hyperlink r:id="rId12" w:history="1">
        <w:r w:rsidR="00644E0D" w:rsidRPr="00B37C5A">
          <w:rPr>
            <w:rStyle w:val="Hyperlink"/>
            <w:rFonts w:ascii="Times New Roman" w:hAnsi="Times New Roman" w:cs="Times New Roman"/>
            <w:color w:val="auto"/>
            <w:sz w:val="28"/>
            <w:szCs w:val="28"/>
            <w:u w:val="none"/>
          </w:rPr>
          <w:t>1993 CanLII 34 (SCC)</w:t>
        </w:r>
      </w:hyperlink>
      <w:r w:rsidR="00644E0D" w:rsidRPr="00B37C5A">
        <w:rPr>
          <w:rStyle w:val="reflex3-block"/>
          <w:rFonts w:ascii="Times New Roman" w:hAnsi="Times New Roman" w:cs="Times New Roman"/>
          <w:sz w:val="28"/>
          <w:szCs w:val="28"/>
        </w:rPr>
        <w:t>, </w:t>
      </w:r>
      <w:r w:rsidR="00644E0D" w:rsidRPr="00B37C5A">
        <w:rPr>
          <w:rStyle w:val="reflex3-alt"/>
          <w:rFonts w:ascii="Times New Roman" w:hAnsi="Times New Roman" w:cs="Times New Roman"/>
          <w:sz w:val="28"/>
          <w:szCs w:val="28"/>
        </w:rPr>
        <w:t>[1993] 4 SCR 3</w:t>
      </w:r>
      <w:r w:rsidR="00644E0D" w:rsidRPr="00B37C5A">
        <w:rPr>
          <w:rFonts w:ascii="Times New Roman" w:hAnsi="Times New Roman" w:cs="Times New Roman"/>
          <w:sz w:val="28"/>
          <w:szCs w:val="28"/>
        </w:rPr>
        <w:t xml:space="preserve"> (at 134). </w:t>
      </w:r>
    </w:p>
    <w:p w:rsidR="008C52C7" w:rsidRPr="008C52C7" w:rsidRDefault="008C52C7" w:rsidP="00E92A45">
      <w:pPr>
        <w:pStyle w:val="ListParagraph"/>
        <w:spacing w:line="240" w:lineRule="auto"/>
        <w:rPr>
          <w:rFonts w:ascii="Times New Roman" w:hAnsi="Times New Roman" w:cs="Times New Roman"/>
          <w:sz w:val="28"/>
          <w:szCs w:val="28"/>
        </w:rPr>
      </w:pPr>
    </w:p>
    <w:p w:rsidR="0002174E" w:rsidRPr="0002174E" w:rsidRDefault="00644E0D" w:rsidP="00E92A45">
      <w:pPr>
        <w:pStyle w:val="ListParagraph"/>
        <w:numPr>
          <w:ilvl w:val="0"/>
          <w:numId w:val="10"/>
        </w:numPr>
        <w:shd w:val="clear" w:color="auto" w:fill="FFFFFF"/>
        <w:spacing w:after="0" w:line="240" w:lineRule="auto"/>
        <w:jc w:val="both"/>
        <w:rPr>
          <w:color w:val="000000"/>
          <w:sz w:val="28"/>
          <w:szCs w:val="28"/>
        </w:rPr>
      </w:pPr>
      <w:r w:rsidRPr="00B37C5A">
        <w:rPr>
          <w:rFonts w:ascii="Times New Roman" w:hAnsi="Times New Roman" w:cs="Times New Roman"/>
          <w:sz w:val="28"/>
          <w:szCs w:val="28"/>
        </w:rPr>
        <w:t xml:space="preserve">An award of </w:t>
      </w:r>
      <w:r w:rsidR="00670EB6">
        <w:rPr>
          <w:rFonts w:ascii="Times New Roman" w:hAnsi="Times New Roman" w:cs="Times New Roman"/>
          <w:sz w:val="28"/>
          <w:szCs w:val="28"/>
        </w:rPr>
        <w:t xml:space="preserve">solicitor-and-client </w:t>
      </w:r>
      <w:r w:rsidRPr="00B37C5A">
        <w:rPr>
          <w:rFonts w:ascii="Times New Roman" w:hAnsi="Times New Roman" w:cs="Times New Roman"/>
          <w:sz w:val="28"/>
          <w:szCs w:val="28"/>
        </w:rPr>
        <w:t xml:space="preserve">costs does not </w:t>
      </w:r>
      <w:r w:rsidR="00B37C5A">
        <w:rPr>
          <w:rFonts w:ascii="Times New Roman" w:hAnsi="Times New Roman" w:cs="Times New Roman"/>
          <w:sz w:val="28"/>
          <w:szCs w:val="28"/>
        </w:rPr>
        <w:t>necessarily provide a full indemnity</w:t>
      </w:r>
      <w:r w:rsidR="007D33B2">
        <w:rPr>
          <w:rFonts w:ascii="Times New Roman" w:hAnsi="Times New Roman" w:cs="Times New Roman"/>
          <w:sz w:val="28"/>
          <w:szCs w:val="28"/>
        </w:rPr>
        <w:t>.  Costs on this scale may be reduced through taxation</w:t>
      </w:r>
      <w:r w:rsidR="0002174E">
        <w:rPr>
          <w:rFonts w:ascii="Times New Roman" w:hAnsi="Times New Roman" w:cs="Times New Roman"/>
          <w:sz w:val="28"/>
          <w:szCs w:val="28"/>
        </w:rPr>
        <w:t xml:space="preserve"> and must be reasonable, having regard to a number of factors, including the nature and urgency of the proceeding, the skill and labour required, the general conduct of the proceedings and other relevant factors:  </w:t>
      </w:r>
      <w:r w:rsidR="0002174E">
        <w:rPr>
          <w:rFonts w:ascii="Times New Roman" w:hAnsi="Times New Roman" w:cs="Times New Roman"/>
          <w:i/>
          <w:sz w:val="28"/>
          <w:szCs w:val="28"/>
        </w:rPr>
        <w:t>Cooper, Peach and Gullberg v England,</w:t>
      </w:r>
      <w:r w:rsidR="0002174E">
        <w:rPr>
          <w:color w:val="000000"/>
          <w:sz w:val="28"/>
          <w:szCs w:val="28"/>
          <w:shd w:val="clear" w:color="auto" w:fill="FFFFFF"/>
        </w:rPr>
        <w:t> </w:t>
      </w:r>
      <w:r w:rsidR="0002174E" w:rsidRPr="0002174E">
        <w:rPr>
          <w:rStyle w:val="reflex3-alt"/>
          <w:rFonts w:ascii="Times New Roman" w:hAnsi="Times New Roman" w:cs="Times New Roman"/>
          <w:color w:val="000000"/>
          <w:sz w:val="28"/>
          <w:szCs w:val="28"/>
          <w:shd w:val="clear" w:color="auto" w:fill="FFFFFF"/>
        </w:rPr>
        <w:t>1994 CarswellNWT 25 (SC)</w:t>
      </w:r>
      <w:r w:rsidR="0002174E" w:rsidRPr="0002174E">
        <w:rPr>
          <w:rStyle w:val="reflex3-block"/>
          <w:rFonts w:ascii="Times New Roman" w:hAnsi="Times New Roman" w:cs="Times New Roman"/>
          <w:color w:val="000000"/>
          <w:sz w:val="28"/>
          <w:szCs w:val="28"/>
          <w:shd w:val="clear" w:color="auto" w:fill="FFFFFF"/>
        </w:rPr>
        <w:t>, </w:t>
      </w:r>
      <w:r w:rsidR="0002174E" w:rsidRPr="0002174E">
        <w:rPr>
          <w:rStyle w:val="reflex3-alt"/>
          <w:rFonts w:ascii="Times New Roman" w:hAnsi="Times New Roman" w:cs="Times New Roman"/>
          <w:color w:val="000000"/>
          <w:sz w:val="28"/>
          <w:szCs w:val="28"/>
          <w:shd w:val="clear" w:color="auto" w:fill="FFFFFF"/>
        </w:rPr>
        <w:t>[1994] NWTR 305</w:t>
      </w:r>
      <w:r w:rsidR="00E62B98" w:rsidRPr="0002174E">
        <w:rPr>
          <w:rFonts w:ascii="Times New Roman" w:hAnsi="Times New Roman" w:cs="Times New Roman"/>
          <w:sz w:val="28"/>
          <w:szCs w:val="28"/>
        </w:rPr>
        <w:t>.</w:t>
      </w:r>
      <w:r w:rsidR="0002174E">
        <w:rPr>
          <w:rFonts w:ascii="Times New Roman" w:hAnsi="Times New Roman" w:cs="Times New Roman"/>
          <w:sz w:val="28"/>
          <w:szCs w:val="28"/>
        </w:rPr>
        <w:t xml:space="preserve"> </w:t>
      </w:r>
      <w:r w:rsidR="009A419E">
        <w:rPr>
          <w:rFonts w:ascii="Times New Roman" w:hAnsi="Times New Roman" w:cs="Times New Roman"/>
          <w:sz w:val="28"/>
          <w:szCs w:val="28"/>
        </w:rPr>
        <w:t xml:space="preserve"> </w:t>
      </w:r>
      <w:r w:rsidR="0002174E">
        <w:rPr>
          <w:rFonts w:ascii="Times New Roman" w:hAnsi="Times New Roman" w:cs="Times New Roman"/>
          <w:sz w:val="28"/>
          <w:szCs w:val="28"/>
        </w:rPr>
        <w:t>T</w:t>
      </w:r>
      <w:r w:rsidR="00B37C5A">
        <w:rPr>
          <w:rFonts w:ascii="Times New Roman" w:hAnsi="Times New Roman" w:cs="Times New Roman"/>
          <w:sz w:val="28"/>
          <w:szCs w:val="28"/>
        </w:rPr>
        <w:t>hey are limited to fees and disbursements for carrying out the litigation steps in Schedule “A”.</w:t>
      </w:r>
      <w:r w:rsidR="008C52C7">
        <w:rPr>
          <w:rFonts w:ascii="Times New Roman" w:hAnsi="Times New Roman" w:cs="Times New Roman"/>
          <w:sz w:val="28"/>
          <w:szCs w:val="28"/>
        </w:rPr>
        <w:t xml:space="preserve"> </w:t>
      </w:r>
      <w:r w:rsidR="00C35F4A" w:rsidRPr="00670EB6">
        <w:rPr>
          <w:rStyle w:val="groupheading6"/>
          <w:rFonts w:ascii="Times New Roman" w:hAnsi="Times New Roman" w:cs="Times New Roman"/>
          <w:i/>
          <w:iCs/>
          <w:color w:val="000000"/>
          <w:sz w:val="28"/>
          <w:szCs w:val="28"/>
        </w:rPr>
        <w:t>A</w:t>
      </w:r>
      <w:r w:rsidR="000865D1">
        <w:rPr>
          <w:rStyle w:val="groupheading6"/>
          <w:rFonts w:ascii="Times New Roman" w:hAnsi="Times New Roman" w:cs="Times New Roman"/>
          <w:i/>
          <w:iCs/>
          <w:color w:val="000000"/>
          <w:sz w:val="28"/>
          <w:szCs w:val="28"/>
        </w:rPr>
        <w:t>potex Inc. v</w:t>
      </w:r>
      <w:r w:rsidR="00C35F4A" w:rsidRPr="00670EB6">
        <w:rPr>
          <w:rStyle w:val="groupheading6"/>
          <w:rFonts w:ascii="Times New Roman" w:hAnsi="Times New Roman" w:cs="Times New Roman"/>
          <w:i/>
          <w:iCs/>
          <w:color w:val="000000"/>
          <w:sz w:val="28"/>
          <w:szCs w:val="28"/>
        </w:rPr>
        <w:t xml:space="preserve"> Egis Pharmaceuticals</w:t>
      </w:r>
      <w:r w:rsidR="00C35F4A" w:rsidRPr="0002174E">
        <w:rPr>
          <w:rStyle w:val="groupheading6"/>
          <w:rFonts w:ascii="Times New Roman" w:hAnsi="Times New Roman" w:cs="Times New Roman"/>
          <w:color w:val="000000" w:themeColor="text1"/>
          <w:sz w:val="28"/>
          <w:szCs w:val="28"/>
        </w:rPr>
        <w:t>,</w:t>
      </w:r>
      <w:r w:rsidR="00C35F4A" w:rsidRPr="0002174E">
        <w:rPr>
          <w:rFonts w:ascii="Times New Roman" w:hAnsi="Times New Roman" w:cs="Times New Roman"/>
          <w:color w:val="000000" w:themeColor="text1"/>
          <w:sz w:val="28"/>
          <w:szCs w:val="28"/>
        </w:rPr>
        <w:t> </w:t>
      </w:r>
      <w:hyperlink r:id="rId13" w:history="1">
        <w:r w:rsidR="00C35F4A" w:rsidRPr="0002174E">
          <w:rPr>
            <w:rStyle w:val="Hyperlink"/>
            <w:rFonts w:ascii="Times New Roman" w:hAnsi="Times New Roman" w:cs="Times New Roman"/>
            <w:color w:val="000000" w:themeColor="text1"/>
            <w:sz w:val="28"/>
            <w:szCs w:val="28"/>
            <w:u w:val="none"/>
          </w:rPr>
          <w:t>1991 CanLII 2729 (ON SC)</w:t>
        </w:r>
      </w:hyperlink>
      <w:r w:rsidR="00C35F4A" w:rsidRPr="00670EB6">
        <w:rPr>
          <w:rStyle w:val="reflex3-block"/>
          <w:rFonts w:ascii="Times New Roman" w:hAnsi="Times New Roman" w:cs="Times New Roman"/>
          <w:color w:val="000000"/>
          <w:sz w:val="28"/>
          <w:szCs w:val="28"/>
        </w:rPr>
        <w:t>, </w:t>
      </w:r>
      <w:r w:rsidR="00C35F4A" w:rsidRPr="00670EB6">
        <w:rPr>
          <w:rStyle w:val="reflex3-alt"/>
          <w:rFonts w:ascii="Times New Roman" w:hAnsi="Times New Roman" w:cs="Times New Roman"/>
          <w:color w:val="000000"/>
          <w:sz w:val="28"/>
          <w:szCs w:val="28"/>
        </w:rPr>
        <w:t xml:space="preserve">1991 </w:t>
      </w:r>
      <w:proofErr w:type="spellStart"/>
      <w:r w:rsidR="00C35F4A" w:rsidRPr="00670EB6">
        <w:rPr>
          <w:rStyle w:val="reflex3-alt"/>
          <w:rFonts w:ascii="Times New Roman" w:hAnsi="Times New Roman" w:cs="Times New Roman"/>
          <w:color w:val="000000"/>
          <w:sz w:val="28"/>
          <w:szCs w:val="28"/>
        </w:rPr>
        <w:t>CarswellOnt</w:t>
      </w:r>
      <w:proofErr w:type="spellEnd"/>
      <w:r w:rsidR="00C35F4A" w:rsidRPr="00670EB6">
        <w:rPr>
          <w:rStyle w:val="reflex3-alt"/>
          <w:rFonts w:ascii="Times New Roman" w:hAnsi="Times New Roman" w:cs="Times New Roman"/>
          <w:color w:val="000000"/>
          <w:sz w:val="28"/>
          <w:szCs w:val="28"/>
        </w:rPr>
        <w:t xml:space="preserve"> 3149</w:t>
      </w:r>
      <w:r w:rsidR="00B67D42">
        <w:rPr>
          <w:rStyle w:val="reflex3-alt"/>
          <w:rFonts w:ascii="Times New Roman" w:hAnsi="Times New Roman" w:cs="Times New Roman"/>
          <w:color w:val="000000"/>
          <w:sz w:val="28"/>
          <w:szCs w:val="28"/>
        </w:rPr>
        <w:t xml:space="preserve"> </w:t>
      </w:r>
      <w:r w:rsidR="00B67D42" w:rsidRPr="00E650B9">
        <w:rPr>
          <w:rStyle w:val="reflex3-alt"/>
          <w:rFonts w:ascii="Times New Roman" w:hAnsi="Times New Roman" w:cs="Times New Roman"/>
          <w:color w:val="000000"/>
          <w:sz w:val="28"/>
          <w:szCs w:val="28"/>
        </w:rPr>
        <w:t>at</w:t>
      </w:r>
      <w:r w:rsidR="00C35F4A" w:rsidRPr="00670EB6">
        <w:rPr>
          <w:rFonts w:ascii="Times New Roman" w:hAnsi="Times New Roman" w:cs="Times New Roman"/>
          <w:color w:val="000000"/>
          <w:sz w:val="28"/>
          <w:szCs w:val="28"/>
        </w:rPr>
        <w:t> para 13; 4 OR (3d) 321.  </w:t>
      </w:r>
      <w:r w:rsidR="008C52C7">
        <w:rPr>
          <w:rFonts w:ascii="Times New Roman" w:hAnsi="Times New Roman" w:cs="Times New Roman"/>
          <w:sz w:val="28"/>
          <w:szCs w:val="28"/>
        </w:rPr>
        <w:t xml:space="preserve"> </w:t>
      </w:r>
    </w:p>
    <w:p w:rsidR="0002174E" w:rsidRPr="0002174E" w:rsidRDefault="0002174E" w:rsidP="00E92A45">
      <w:pPr>
        <w:pStyle w:val="ListParagraph"/>
        <w:spacing w:line="240" w:lineRule="auto"/>
        <w:rPr>
          <w:rFonts w:ascii="Times New Roman" w:hAnsi="Times New Roman" w:cs="Times New Roman"/>
          <w:sz w:val="28"/>
          <w:szCs w:val="28"/>
        </w:rPr>
      </w:pPr>
    </w:p>
    <w:p w:rsidR="00456815" w:rsidRPr="0002174E" w:rsidRDefault="008C52C7" w:rsidP="00E92A45">
      <w:pPr>
        <w:pStyle w:val="ListParagraph"/>
        <w:numPr>
          <w:ilvl w:val="0"/>
          <w:numId w:val="10"/>
        </w:numPr>
        <w:shd w:val="clear" w:color="auto" w:fill="FFFFFF"/>
        <w:spacing w:after="0" w:line="240" w:lineRule="auto"/>
        <w:jc w:val="both"/>
        <w:rPr>
          <w:color w:val="000000"/>
          <w:sz w:val="28"/>
          <w:szCs w:val="28"/>
        </w:rPr>
      </w:pPr>
      <w:r>
        <w:rPr>
          <w:rFonts w:ascii="Times New Roman" w:hAnsi="Times New Roman" w:cs="Times New Roman"/>
          <w:sz w:val="28"/>
          <w:szCs w:val="28"/>
        </w:rPr>
        <w:t xml:space="preserve">In certain circumstances, however, </w:t>
      </w:r>
      <w:r w:rsidR="00670EB6" w:rsidRPr="008C52C7">
        <w:rPr>
          <w:rFonts w:ascii="Times New Roman" w:hAnsi="Times New Roman" w:cs="Times New Roman"/>
          <w:sz w:val="28"/>
          <w:szCs w:val="28"/>
        </w:rPr>
        <w:t>costs may be awarded on a “full indemnity” or “solicitor-and-own-client”</w:t>
      </w:r>
      <w:r>
        <w:rPr>
          <w:rFonts w:ascii="Times New Roman" w:hAnsi="Times New Roman" w:cs="Times New Roman"/>
          <w:sz w:val="28"/>
          <w:szCs w:val="28"/>
        </w:rPr>
        <w:t xml:space="preserve"> basis, which reflect </w:t>
      </w:r>
      <w:r w:rsidR="002C5513" w:rsidRPr="008C52C7">
        <w:rPr>
          <w:rFonts w:ascii="Times New Roman" w:hAnsi="Times New Roman" w:cs="Times New Roman"/>
          <w:sz w:val="28"/>
          <w:szCs w:val="28"/>
        </w:rPr>
        <w:t>the</w:t>
      </w:r>
      <w:r w:rsidR="00C35F4A" w:rsidRPr="008C52C7">
        <w:rPr>
          <w:rFonts w:ascii="Times New Roman" w:hAnsi="Times New Roman" w:cs="Times New Roman"/>
          <w:color w:val="000000"/>
          <w:sz w:val="28"/>
          <w:szCs w:val="28"/>
        </w:rPr>
        <w:t> </w:t>
      </w:r>
      <w:r w:rsidR="0030114F" w:rsidRPr="008C52C7">
        <w:rPr>
          <w:rFonts w:ascii="Times New Roman" w:hAnsi="Times New Roman" w:cs="Times New Roman"/>
          <w:color w:val="000000"/>
          <w:sz w:val="28"/>
          <w:szCs w:val="28"/>
        </w:rPr>
        <w:t>entire</w:t>
      </w:r>
      <w:r>
        <w:rPr>
          <w:rFonts w:ascii="Times New Roman" w:hAnsi="Times New Roman" w:cs="Times New Roman"/>
          <w:color w:val="000000"/>
          <w:sz w:val="28"/>
          <w:szCs w:val="28"/>
        </w:rPr>
        <w:t xml:space="preserve">ty of </w:t>
      </w:r>
      <w:r w:rsidR="00C35F4A" w:rsidRPr="008C52C7">
        <w:rPr>
          <w:rFonts w:ascii="Times New Roman" w:hAnsi="Times New Roman" w:cs="Times New Roman"/>
          <w:color w:val="000000"/>
          <w:sz w:val="28"/>
          <w:szCs w:val="28"/>
        </w:rPr>
        <w:t>fees and disbursements</w:t>
      </w:r>
      <w:r>
        <w:rPr>
          <w:rFonts w:ascii="Times New Roman" w:hAnsi="Times New Roman" w:cs="Times New Roman"/>
          <w:color w:val="000000"/>
          <w:sz w:val="28"/>
          <w:szCs w:val="28"/>
        </w:rPr>
        <w:t xml:space="preserve"> and not just those items</w:t>
      </w:r>
      <w:r w:rsidR="00C35F4A" w:rsidRPr="008C52C7">
        <w:rPr>
          <w:rFonts w:ascii="Times New Roman" w:hAnsi="Times New Roman" w:cs="Times New Roman"/>
          <w:color w:val="000000"/>
          <w:sz w:val="28"/>
          <w:szCs w:val="28"/>
        </w:rPr>
        <w:t xml:space="preserve"> included in Schedule “A”. </w:t>
      </w:r>
      <w:r w:rsidR="00DA13A1" w:rsidRPr="008C52C7">
        <w:rPr>
          <w:rFonts w:ascii="Times New Roman" w:hAnsi="Times New Roman" w:cs="Times New Roman"/>
          <w:color w:val="000000"/>
          <w:sz w:val="28"/>
          <w:szCs w:val="28"/>
        </w:rPr>
        <w:t xml:space="preserve"> </w:t>
      </w:r>
      <w:r w:rsidR="002C5513" w:rsidRPr="008C52C7">
        <w:rPr>
          <w:rFonts w:ascii="Times New Roman" w:hAnsi="Times New Roman" w:cs="Times New Roman"/>
          <w:color w:val="000000"/>
          <w:sz w:val="28"/>
          <w:szCs w:val="28"/>
        </w:rPr>
        <w:t xml:space="preserve">These </w:t>
      </w:r>
      <w:r w:rsidR="00DA13A1" w:rsidRPr="008C52C7">
        <w:rPr>
          <w:rFonts w:ascii="Times New Roman" w:hAnsi="Times New Roman" w:cs="Times New Roman"/>
          <w:color w:val="000000"/>
          <w:sz w:val="28"/>
          <w:szCs w:val="28"/>
        </w:rPr>
        <w:t xml:space="preserve">awards </w:t>
      </w:r>
      <w:r w:rsidR="00456815">
        <w:rPr>
          <w:rFonts w:ascii="Times New Roman" w:hAnsi="Times New Roman" w:cs="Times New Roman"/>
          <w:color w:val="000000"/>
          <w:sz w:val="28"/>
          <w:szCs w:val="28"/>
        </w:rPr>
        <w:t>are rare.</w:t>
      </w:r>
      <w:r w:rsidR="002C5513" w:rsidRPr="008C52C7">
        <w:rPr>
          <w:rFonts w:ascii="Times New Roman" w:hAnsi="Times New Roman" w:cs="Times New Roman"/>
          <w:color w:val="000000"/>
          <w:sz w:val="28"/>
          <w:szCs w:val="28"/>
        </w:rPr>
        <w:t xml:space="preserve">  </w:t>
      </w:r>
      <w:r w:rsidR="00C35F4A" w:rsidRPr="008C52C7">
        <w:rPr>
          <w:rFonts w:ascii="Times New Roman" w:hAnsi="Times New Roman" w:cs="Times New Roman"/>
          <w:color w:val="000000"/>
          <w:sz w:val="28"/>
          <w:szCs w:val="28"/>
        </w:rPr>
        <w:t>Barring contractual, statutory or regulatory provisions, the</w:t>
      </w:r>
      <w:r w:rsidR="002C5513" w:rsidRPr="008C52C7">
        <w:rPr>
          <w:rFonts w:ascii="Times New Roman" w:hAnsi="Times New Roman" w:cs="Times New Roman"/>
          <w:color w:val="000000"/>
          <w:sz w:val="28"/>
          <w:szCs w:val="28"/>
        </w:rPr>
        <w:t>y are limited to cases</w:t>
      </w:r>
      <w:r w:rsidR="00C35F4A" w:rsidRPr="008C52C7">
        <w:rPr>
          <w:rFonts w:ascii="Times New Roman" w:hAnsi="Times New Roman" w:cs="Times New Roman"/>
          <w:color w:val="000000"/>
          <w:sz w:val="28"/>
          <w:szCs w:val="28"/>
        </w:rPr>
        <w:t xml:space="preserve"> where a party’s conduct </w:t>
      </w:r>
      <w:r w:rsidR="00456815">
        <w:rPr>
          <w:rFonts w:ascii="Times New Roman" w:hAnsi="Times New Roman" w:cs="Times New Roman"/>
          <w:color w:val="000000"/>
          <w:sz w:val="28"/>
          <w:szCs w:val="28"/>
        </w:rPr>
        <w:t>h</w:t>
      </w:r>
      <w:r w:rsidR="00A950F1">
        <w:rPr>
          <w:rFonts w:ascii="Times New Roman" w:hAnsi="Times New Roman" w:cs="Times New Roman"/>
          <w:color w:val="000000"/>
          <w:sz w:val="28"/>
          <w:szCs w:val="28"/>
        </w:rPr>
        <w:t>as been particularly reprehensible</w:t>
      </w:r>
      <w:r w:rsidR="00E41241">
        <w:rPr>
          <w:rFonts w:ascii="Times New Roman" w:hAnsi="Times New Roman" w:cs="Times New Roman"/>
          <w:color w:val="000000"/>
          <w:sz w:val="28"/>
          <w:szCs w:val="28"/>
        </w:rPr>
        <w:t>.</w:t>
      </w:r>
      <w:r w:rsidR="009A419E">
        <w:rPr>
          <w:rFonts w:ascii="Times New Roman" w:hAnsi="Times New Roman" w:cs="Times New Roman"/>
          <w:color w:val="000000"/>
          <w:sz w:val="28"/>
          <w:szCs w:val="28"/>
        </w:rPr>
        <w:t xml:space="preserve"> </w:t>
      </w:r>
      <w:r w:rsidR="00E41241">
        <w:rPr>
          <w:rFonts w:ascii="Times New Roman" w:hAnsi="Times New Roman" w:cs="Times New Roman"/>
          <w:color w:val="000000"/>
          <w:sz w:val="28"/>
          <w:szCs w:val="28"/>
        </w:rPr>
        <w:t xml:space="preserve"> </w:t>
      </w:r>
      <w:r w:rsidR="0002174E">
        <w:rPr>
          <w:rFonts w:ascii="Times New Roman" w:hAnsi="Times New Roman" w:cs="Times New Roman"/>
          <w:color w:val="000000"/>
          <w:sz w:val="28"/>
          <w:szCs w:val="28"/>
        </w:rPr>
        <w:t xml:space="preserve">For example, in </w:t>
      </w:r>
      <w:r w:rsidR="00FC12A4">
        <w:rPr>
          <w:rFonts w:ascii="Times New Roman" w:hAnsi="Times New Roman" w:cs="Times New Roman"/>
          <w:i/>
          <w:iCs/>
          <w:color w:val="000000"/>
          <w:sz w:val="28"/>
          <w:szCs w:val="28"/>
        </w:rPr>
        <w:t>Baryluk (c.o.b. Wyrd Sisters) v</w:t>
      </w:r>
      <w:r w:rsidR="0002174E" w:rsidRPr="008C52C7">
        <w:rPr>
          <w:rFonts w:ascii="Times New Roman" w:hAnsi="Times New Roman" w:cs="Times New Roman"/>
          <w:i/>
          <w:iCs/>
          <w:color w:val="000000"/>
          <w:sz w:val="28"/>
          <w:szCs w:val="28"/>
        </w:rPr>
        <w:t xml:space="preserve"> Campbell</w:t>
      </w:r>
      <w:r w:rsidR="0002174E" w:rsidRPr="008C52C7">
        <w:rPr>
          <w:rFonts w:ascii="Times New Roman" w:hAnsi="Times New Roman" w:cs="Times New Roman"/>
          <w:color w:val="000000"/>
          <w:sz w:val="28"/>
          <w:szCs w:val="28"/>
        </w:rPr>
        <w:t> </w:t>
      </w:r>
      <w:r w:rsidR="0002174E" w:rsidRPr="008C52C7">
        <w:rPr>
          <w:rStyle w:val="reflex3-block"/>
          <w:rFonts w:ascii="Times New Roman" w:hAnsi="Times New Roman" w:cs="Times New Roman"/>
          <w:color w:val="000000"/>
          <w:sz w:val="28"/>
          <w:szCs w:val="28"/>
        </w:rPr>
        <w:t>(2009), </w:t>
      </w:r>
      <w:r w:rsidR="0002174E" w:rsidRPr="008C52C7">
        <w:rPr>
          <w:rStyle w:val="reflex3-alt"/>
          <w:rFonts w:ascii="Times New Roman" w:hAnsi="Times New Roman" w:cs="Times New Roman"/>
          <w:color w:val="000000"/>
          <w:sz w:val="28"/>
          <w:szCs w:val="28"/>
        </w:rPr>
        <w:t>66 CCLT (3d) 160</w:t>
      </w:r>
      <w:r w:rsidR="0002174E" w:rsidRPr="008C52C7">
        <w:rPr>
          <w:rStyle w:val="reflex3-block"/>
          <w:rFonts w:ascii="Times New Roman" w:hAnsi="Times New Roman" w:cs="Times New Roman"/>
          <w:color w:val="000000"/>
          <w:sz w:val="28"/>
          <w:szCs w:val="28"/>
        </w:rPr>
        <w:t>, </w:t>
      </w:r>
      <w:r w:rsidR="0002174E" w:rsidRPr="008C52C7">
        <w:rPr>
          <w:rStyle w:val="reflex3-alt"/>
          <w:rFonts w:ascii="Times New Roman" w:hAnsi="Times New Roman" w:cs="Times New Roman"/>
          <w:color w:val="000000"/>
          <w:sz w:val="28"/>
          <w:szCs w:val="28"/>
        </w:rPr>
        <w:t>2009 CarswellOnt 3900 (ONSC)</w:t>
      </w:r>
      <w:r w:rsidR="0002174E">
        <w:rPr>
          <w:rStyle w:val="reflex3-alt"/>
          <w:rFonts w:ascii="Times New Roman" w:hAnsi="Times New Roman" w:cs="Times New Roman"/>
          <w:color w:val="000000"/>
          <w:sz w:val="28"/>
          <w:szCs w:val="28"/>
        </w:rPr>
        <w:t xml:space="preserve">, </w:t>
      </w:r>
      <w:r w:rsidR="00456815">
        <w:rPr>
          <w:rFonts w:ascii="Times New Roman" w:hAnsi="Times New Roman" w:cs="Times New Roman"/>
          <w:color w:val="000000"/>
          <w:sz w:val="28"/>
          <w:szCs w:val="28"/>
        </w:rPr>
        <w:t xml:space="preserve">the plaintiff </w:t>
      </w:r>
      <w:r w:rsidR="00A950F1">
        <w:rPr>
          <w:rFonts w:ascii="Times New Roman" w:hAnsi="Times New Roman" w:cs="Times New Roman"/>
          <w:color w:val="000000"/>
          <w:sz w:val="28"/>
          <w:szCs w:val="28"/>
        </w:rPr>
        <w:t xml:space="preserve">was found to have initiated an action which constituted a “scurrilous attack on the administration of justice” in which it </w:t>
      </w:r>
      <w:r w:rsidR="00456815">
        <w:rPr>
          <w:rFonts w:ascii="Times New Roman" w:hAnsi="Times New Roman" w:cs="Times New Roman"/>
          <w:color w:val="000000"/>
          <w:sz w:val="28"/>
          <w:szCs w:val="28"/>
        </w:rPr>
        <w:t>made baseless allegations that judges abused public office, were</w:t>
      </w:r>
      <w:r w:rsidR="0002174E">
        <w:rPr>
          <w:rFonts w:ascii="Times New Roman" w:hAnsi="Times New Roman" w:cs="Times New Roman"/>
          <w:color w:val="000000"/>
          <w:sz w:val="28"/>
          <w:szCs w:val="28"/>
        </w:rPr>
        <w:t xml:space="preserve"> dishonest and “fixed” cases.  Full indemnity costs were granted to the defendants.</w:t>
      </w:r>
      <w:r w:rsidR="009A419E">
        <w:rPr>
          <w:rFonts w:ascii="Times New Roman" w:hAnsi="Times New Roman" w:cs="Times New Roman"/>
          <w:color w:val="000000"/>
          <w:sz w:val="28"/>
          <w:szCs w:val="28"/>
        </w:rPr>
        <w:t xml:space="preserve"> </w:t>
      </w:r>
      <w:r w:rsidR="00A950F1">
        <w:rPr>
          <w:rFonts w:ascii="Times New Roman" w:hAnsi="Times New Roman" w:cs="Times New Roman"/>
          <w:color w:val="000000"/>
          <w:sz w:val="28"/>
          <w:szCs w:val="28"/>
        </w:rPr>
        <w:t xml:space="preserve"> Another example is found in </w:t>
      </w:r>
      <w:r w:rsidR="00A950F1">
        <w:rPr>
          <w:rFonts w:ascii="Times New Roman" w:hAnsi="Times New Roman" w:cs="Times New Roman"/>
          <w:i/>
          <w:color w:val="000000"/>
          <w:sz w:val="28"/>
          <w:szCs w:val="28"/>
        </w:rPr>
        <w:t xml:space="preserve">Schreiber v Mulroney, </w:t>
      </w:r>
      <w:r w:rsidR="00A950F1">
        <w:rPr>
          <w:rFonts w:ascii="Times New Roman" w:hAnsi="Times New Roman" w:cs="Times New Roman"/>
          <w:color w:val="000000"/>
          <w:sz w:val="28"/>
          <w:szCs w:val="28"/>
        </w:rPr>
        <w:t>2007 CanLII 34441 (ONSC) where full-indemn</w:t>
      </w:r>
      <w:r w:rsidR="007A6D89">
        <w:rPr>
          <w:rFonts w:ascii="Times New Roman" w:hAnsi="Times New Roman" w:cs="Times New Roman"/>
          <w:color w:val="000000"/>
          <w:sz w:val="28"/>
          <w:szCs w:val="28"/>
        </w:rPr>
        <w:t xml:space="preserve">ity costs were awarded because </w:t>
      </w:r>
      <w:r w:rsidR="00A950F1">
        <w:rPr>
          <w:rFonts w:ascii="Times New Roman" w:hAnsi="Times New Roman" w:cs="Times New Roman"/>
          <w:color w:val="000000"/>
          <w:sz w:val="28"/>
          <w:szCs w:val="28"/>
        </w:rPr>
        <w:t>an undertaking to opposing counsel was not honoured and a party was unnecessarily noted in default as a result.</w:t>
      </w:r>
      <w:r w:rsidR="009A419E">
        <w:rPr>
          <w:rFonts w:ascii="Times New Roman" w:hAnsi="Times New Roman" w:cs="Times New Roman"/>
          <w:color w:val="000000"/>
          <w:sz w:val="28"/>
          <w:szCs w:val="28"/>
        </w:rPr>
        <w:t xml:space="preserve"> </w:t>
      </w:r>
      <w:r w:rsidR="00A950F1">
        <w:rPr>
          <w:rFonts w:ascii="Times New Roman" w:hAnsi="Times New Roman" w:cs="Times New Roman"/>
          <w:color w:val="000000"/>
          <w:sz w:val="28"/>
          <w:szCs w:val="28"/>
        </w:rPr>
        <w:t xml:space="preserve"> </w:t>
      </w:r>
      <w:r w:rsidR="00E41241">
        <w:rPr>
          <w:rFonts w:ascii="Times New Roman" w:hAnsi="Times New Roman" w:cs="Times New Roman"/>
          <w:color w:val="000000"/>
          <w:sz w:val="28"/>
          <w:szCs w:val="28"/>
        </w:rPr>
        <w:t xml:space="preserve">What is clear is that particularly egregious, </w:t>
      </w:r>
      <w:r w:rsidR="00CC240B">
        <w:rPr>
          <w:rFonts w:ascii="Times New Roman" w:hAnsi="Times New Roman" w:cs="Times New Roman"/>
          <w:color w:val="000000"/>
          <w:sz w:val="28"/>
          <w:szCs w:val="28"/>
        </w:rPr>
        <w:t>positive misconduct is required to attract this scale of costs.</w:t>
      </w:r>
      <w:r w:rsidR="00A950F1">
        <w:rPr>
          <w:rFonts w:ascii="Times New Roman" w:hAnsi="Times New Roman" w:cs="Times New Roman"/>
          <w:color w:val="000000"/>
          <w:sz w:val="28"/>
          <w:szCs w:val="28"/>
        </w:rPr>
        <w:t xml:space="preserve"> </w:t>
      </w:r>
    </w:p>
    <w:p w:rsidR="00456815" w:rsidRDefault="00456815" w:rsidP="00E92A45">
      <w:pPr>
        <w:pStyle w:val="mainparagraph1"/>
        <w:shd w:val="clear" w:color="auto" w:fill="FFFFFF"/>
        <w:spacing w:before="0" w:beforeAutospacing="0" w:after="0" w:afterAutospacing="0"/>
        <w:ind w:right="573"/>
        <w:jc w:val="both"/>
        <w:rPr>
          <w:b/>
          <w:color w:val="000000"/>
          <w:sz w:val="28"/>
          <w:szCs w:val="28"/>
        </w:rPr>
      </w:pPr>
    </w:p>
    <w:p w:rsidR="00637E13" w:rsidRPr="00637E13" w:rsidRDefault="00637E13" w:rsidP="00E92A45">
      <w:pPr>
        <w:pStyle w:val="mainparagraph1"/>
        <w:shd w:val="clear" w:color="auto" w:fill="FFFFFF"/>
        <w:spacing w:before="0" w:beforeAutospacing="0" w:after="0" w:afterAutospacing="0"/>
        <w:ind w:right="573"/>
        <w:jc w:val="both"/>
        <w:rPr>
          <w:b/>
          <w:color w:val="000000"/>
          <w:sz w:val="28"/>
          <w:szCs w:val="28"/>
        </w:rPr>
      </w:pPr>
      <w:r>
        <w:rPr>
          <w:b/>
          <w:color w:val="000000"/>
          <w:sz w:val="28"/>
          <w:szCs w:val="28"/>
        </w:rPr>
        <w:t>THE PARTIES’ POSITIONS</w:t>
      </w:r>
    </w:p>
    <w:p w:rsidR="009A419E" w:rsidRDefault="009A419E" w:rsidP="00E92A45">
      <w:pPr>
        <w:pStyle w:val="mainparagraph1"/>
        <w:shd w:val="clear" w:color="auto" w:fill="FFFFFF"/>
        <w:spacing w:before="0" w:beforeAutospacing="0" w:after="0" w:afterAutospacing="0"/>
        <w:ind w:right="573"/>
        <w:jc w:val="both"/>
        <w:rPr>
          <w:b/>
          <w:i/>
          <w:color w:val="000000"/>
          <w:sz w:val="28"/>
          <w:szCs w:val="28"/>
        </w:rPr>
      </w:pPr>
    </w:p>
    <w:p w:rsidR="00AB23C8" w:rsidRPr="003173E9" w:rsidRDefault="00AB23C8" w:rsidP="00E92A45">
      <w:pPr>
        <w:pStyle w:val="mainparagraph1"/>
        <w:shd w:val="clear" w:color="auto" w:fill="FFFFFF"/>
        <w:spacing w:before="0" w:beforeAutospacing="0" w:after="0" w:afterAutospacing="0"/>
        <w:ind w:right="573"/>
        <w:jc w:val="both"/>
        <w:rPr>
          <w:b/>
          <w:i/>
          <w:color w:val="000000"/>
          <w:sz w:val="28"/>
          <w:szCs w:val="28"/>
        </w:rPr>
      </w:pPr>
      <w:r w:rsidRPr="003173E9">
        <w:rPr>
          <w:b/>
          <w:i/>
          <w:color w:val="000000"/>
          <w:sz w:val="28"/>
          <w:szCs w:val="28"/>
        </w:rPr>
        <w:t>Holubec</w:t>
      </w:r>
    </w:p>
    <w:p w:rsidR="00AB23C8" w:rsidRPr="00AB23C8" w:rsidRDefault="00AB23C8" w:rsidP="00E92A45">
      <w:pPr>
        <w:pStyle w:val="mainparagraph1"/>
        <w:shd w:val="clear" w:color="auto" w:fill="FFFFFF"/>
        <w:spacing w:before="0" w:beforeAutospacing="0" w:after="0" w:afterAutospacing="0"/>
        <w:ind w:right="573"/>
        <w:jc w:val="both"/>
        <w:rPr>
          <w:i/>
          <w:color w:val="000000"/>
          <w:sz w:val="28"/>
          <w:szCs w:val="28"/>
        </w:rPr>
      </w:pPr>
    </w:p>
    <w:p w:rsidR="00C727D1" w:rsidRDefault="00AB23C8"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Holubec</w:t>
      </w:r>
      <w:r w:rsidR="0002174E">
        <w:rPr>
          <w:rFonts w:ascii="Times New Roman" w:hAnsi="Times New Roman" w:cs="Times New Roman"/>
          <w:sz w:val="28"/>
          <w:szCs w:val="28"/>
        </w:rPr>
        <w:t xml:space="preserve"> is seeking full indemnity costs, although the relief is characterized as a request for solicitor-</w:t>
      </w:r>
      <w:r w:rsidR="00BD568C">
        <w:rPr>
          <w:rFonts w:ascii="Times New Roman" w:hAnsi="Times New Roman" w:cs="Times New Roman"/>
          <w:sz w:val="28"/>
          <w:szCs w:val="28"/>
        </w:rPr>
        <w:t>and</w:t>
      </w:r>
      <w:r w:rsidR="0002174E">
        <w:rPr>
          <w:rFonts w:ascii="Times New Roman" w:hAnsi="Times New Roman" w:cs="Times New Roman"/>
          <w:sz w:val="28"/>
          <w:szCs w:val="28"/>
        </w:rPr>
        <w:t>-</w:t>
      </w:r>
      <w:r w:rsidR="002D5FEF">
        <w:rPr>
          <w:rFonts w:ascii="Times New Roman" w:hAnsi="Times New Roman" w:cs="Times New Roman"/>
          <w:sz w:val="28"/>
          <w:szCs w:val="28"/>
        </w:rPr>
        <w:t>client</w:t>
      </w:r>
      <w:r>
        <w:rPr>
          <w:rFonts w:ascii="Times New Roman" w:hAnsi="Times New Roman" w:cs="Times New Roman"/>
          <w:sz w:val="28"/>
          <w:szCs w:val="28"/>
        </w:rPr>
        <w:t xml:space="preserve"> costs and punitive</w:t>
      </w:r>
      <w:r w:rsidR="002D5FEF">
        <w:rPr>
          <w:rFonts w:ascii="Times New Roman" w:hAnsi="Times New Roman" w:cs="Times New Roman"/>
          <w:sz w:val="28"/>
          <w:szCs w:val="28"/>
        </w:rPr>
        <w:t xml:space="preserve"> costs</w:t>
      </w:r>
      <w:r w:rsidR="009E01F9">
        <w:rPr>
          <w:rFonts w:ascii="Times New Roman" w:hAnsi="Times New Roman" w:cs="Times New Roman"/>
          <w:sz w:val="28"/>
          <w:szCs w:val="28"/>
        </w:rPr>
        <w:t>.</w:t>
      </w:r>
      <w:r w:rsidR="009A419E">
        <w:rPr>
          <w:rFonts w:ascii="Times New Roman" w:hAnsi="Times New Roman" w:cs="Times New Roman"/>
          <w:sz w:val="28"/>
          <w:szCs w:val="28"/>
        </w:rPr>
        <w:t xml:space="preserve"> </w:t>
      </w:r>
      <w:r w:rsidR="009E01F9">
        <w:rPr>
          <w:rFonts w:ascii="Times New Roman" w:hAnsi="Times New Roman" w:cs="Times New Roman"/>
          <w:sz w:val="28"/>
          <w:szCs w:val="28"/>
        </w:rPr>
        <w:t xml:space="preserve"> The </w:t>
      </w:r>
      <w:r w:rsidR="0002174E">
        <w:rPr>
          <w:rFonts w:ascii="Times New Roman" w:hAnsi="Times New Roman" w:cs="Times New Roman"/>
          <w:sz w:val="28"/>
          <w:szCs w:val="28"/>
        </w:rPr>
        <w:t xml:space="preserve">grounds put forth are </w:t>
      </w:r>
      <w:r w:rsidR="009E01F9">
        <w:rPr>
          <w:rFonts w:ascii="Times New Roman" w:hAnsi="Times New Roman" w:cs="Times New Roman"/>
          <w:sz w:val="28"/>
          <w:szCs w:val="28"/>
        </w:rPr>
        <w:t>summarized below.</w:t>
      </w:r>
    </w:p>
    <w:p w:rsidR="00C727D1" w:rsidRDefault="00C727D1" w:rsidP="00E92A45">
      <w:pPr>
        <w:pStyle w:val="ListParagraph"/>
        <w:spacing w:after="0" w:line="240" w:lineRule="auto"/>
        <w:ind w:left="0"/>
        <w:jc w:val="both"/>
        <w:rPr>
          <w:rFonts w:ascii="Times New Roman" w:hAnsi="Times New Roman" w:cs="Times New Roman"/>
          <w:sz w:val="28"/>
          <w:szCs w:val="28"/>
        </w:rPr>
      </w:pPr>
    </w:p>
    <w:p w:rsidR="004A59EC" w:rsidRDefault="00C727D1" w:rsidP="00E92A45">
      <w:pPr>
        <w:pStyle w:val="ListParagraph"/>
        <w:numPr>
          <w:ilvl w:val="0"/>
          <w:numId w:val="10"/>
        </w:numPr>
        <w:spacing w:after="0" w:line="240" w:lineRule="auto"/>
        <w:jc w:val="both"/>
        <w:rPr>
          <w:rFonts w:ascii="Times New Roman" w:hAnsi="Times New Roman" w:cs="Times New Roman"/>
          <w:sz w:val="28"/>
          <w:szCs w:val="28"/>
        </w:rPr>
      </w:pPr>
      <w:r w:rsidRPr="004A59EC">
        <w:rPr>
          <w:rFonts w:ascii="Times New Roman" w:hAnsi="Times New Roman" w:cs="Times New Roman"/>
          <w:sz w:val="28"/>
          <w:szCs w:val="28"/>
        </w:rPr>
        <w:t xml:space="preserve">First, </w:t>
      </w:r>
      <w:r w:rsidR="00AB23C8" w:rsidRPr="004A59EC">
        <w:rPr>
          <w:rFonts w:ascii="Times New Roman" w:hAnsi="Times New Roman" w:cs="Times New Roman"/>
          <w:sz w:val="28"/>
          <w:szCs w:val="28"/>
        </w:rPr>
        <w:t>nam</w:t>
      </w:r>
      <w:r w:rsidR="00CA11CB" w:rsidRPr="004A59EC">
        <w:rPr>
          <w:rFonts w:ascii="Times New Roman" w:hAnsi="Times New Roman" w:cs="Times New Roman"/>
          <w:sz w:val="28"/>
          <w:szCs w:val="28"/>
        </w:rPr>
        <w:t xml:space="preserve">ing Mr. Holubec and his firm </w:t>
      </w:r>
      <w:r w:rsidRPr="004A59EC">
        <w:rPr>
          <w:rFonts w:ascii="Times New Roman" w:hAnsi="Times New Roman" w:cs="Times New Roman"/>
          <w:sz w:val="28"/>
          <w:szCs w:val="28"/>
        </w:rPr>
        <w:t xml:space="preserve">was an abuse of process.  </w:t>
      </w:r>
      <w:r w:rsidR="004A59EC">
        <w:rPr>
          <w:rFonts w:ascii="Times New Roman" w:hAnsi="Times New Roman" w:cs="Times New Roman"/>
          <w:sz w:val="28"/>
          <w:szCs w:val="28"/>
        </w:rPr>
        <w:t xml:space="preserve">It named these defendants in the suit without having a reasonable basis for doing so. </w:t>
      </w:r>
      <w:r w:rsidR="009A419E">
        <w:rPr>
          <w:rFonts w:ascii="Times New Roman" w:hAnsi="Times New Roman" w:cs="Times New Roman"/>
          <w:sz w:val="28"/>
          <w:szCs w:val="28"/>
        </w:rPr>
        <w:t xml:space="preserve"> </w:t>
      </w:r>
      <w:r w:rsidR="004A59EC">
        <w:rPr>
          <w:rFonts w:ascii="Times New Roman" w:hAnsi="Times New Roman" w:cs="Times New Roman"/>
          <w:sz w:val="28"/>
          <w:szCs w:val="28"/>
        </w:rPr>
        <w:t>Further, t</w:t>
      </w:r>
      <w:r w:rsidRPr="004A59EC">
        <w:rPr>
          <w:rFonts w:ascii="Times New Roman" w:hAnsi="Times New Roman" w:cs="Times New Roman"/>
          <w:sz w:val="28"/>
          <w:szCs w:val="28"/>
        </w:rPr>
        <w:t>he Plaintiff sought to use the Court’s process, in</w:t>
      </w:r>
      <w:r w:rsidR="00E41241" w:rsidRPr="004A59EC">
        <w:rPr>
          <w:rFonts w:ascii="Times New Roman" w:hAnsi="Times New Roman" w:cs="Times New Roman"/>
          <w:sz w:val="28"/>
          <w:szCs w:val="28"/>
        </w:rPr>
        <w:t>cluding</w:t>
      </w:r>
      <w:r w:rsidRPr="004A59EC">
        <w:rPr>
          <w:rFonts w:ascii="Times New Roman" w:hAnsi="Times New Roman" w:cs="Times New Roman"/>
          <w:sz w:val="28"/>
          <w:szCs w:val="28"/>
        </w:rPr>
        <w:t xml:space="preserve"> examinations for discover</w:t>
      </w:r>
      <w:r w:rsidR="00D41259" w:rsidRPr="004A59EC">
        <w:rPr>
          <w:rFonts w:ascii="Times New Roman" w:hAnsi="Times New Roman" w:cs="Times New Roman"/>
          <w:sz w:val="28"/>
          <w:szCs w:val="28"/>
        </w:rPr>
        <w:t xml:space="preserve">y, for investigative purposes. </w:t>
      </w:r>
    </w:p>
    <w:p w:rsidR="00C727D1" w:rsidRPr="004A59EC" w:rsidRDefault="00D41259" w:rsidP="00E92A45">
      <w:pPr>
        <w:pStyle w:val="ListParagraph"/>
        <w:spacing w:after="0" w:line="240" w:lineRule="auto"/>
        <w:ind w:left="0"/>
        <w:jc w:val="both"/>
        <w:rPr>
          <w:rFonts w:ascii="Times New Roman" w:hAnsi="Times New Roman" w:cs="Times New Roman"/>
          <w:sz w:val="28"/>
          <w:szCs w:val="28"/>
        </w:rPr>
      </w:pPr>
      <w:r w:rsidRPr="004A59EC">
        <w:rPr>
          <w:rFonts w:ascii="Times New Roman" w:hAnsi="Times New Roman" w:cs="Times New Roman"/>
          <w:sz w:val="28"/>
          <w:szCs w:val="28"/>
        </w:rPr>
        <w:lastRenderedPageBreak/>
        <w:t xml:space="preserve"> </w:t>
      </w:r>
    </w:p>
    <w:p w:rsidR="00940EC7" w:rsidRDefault="00C727D1" w:rsidP="00E92A45">
      <w:pPr>
        <w:pStyle w:val="ListParagraph"/>
        <w:numPr>
          <w:ilvl w:val="0"/>
          <w:numId w:val="10"/>
        </w:numPr>
        <w:spacing w:after="0" w:line="240" w:lineRule="auto"/>
        <w:jc w:val="both"/>
        <w:rPr>
          <w:rFonts w:ascii="Times New Roman" w:hAnsi="Times New Roman" w:cs="Times New Roman"/>
          <w:sz w:val="28"/>
          <w:szCs w:val="28"/>
        </w:rPr>
      </w:pPr>
      <w:r w:rsidRPr="00E3182E">
        <w:rPr>
          <w:rFonts w:ascii="Times New Roman" w:hAnsi="Times New Roman" w:cs="Times New Roman"/>
          <w:sz w:val="28"/>
          <w:szCs w:val="28"/>
        </w:rPr>
        <w:t>Second,</w:t>
      </w:r>
      <w:r w:rsidR="00D41259" w:rsidRPr="00E3182E">
        <w:rPr>
          <w:rFonts w:ascii="Times New Roman" w:hAnsi="Times New Roman" w:cs="Times New Roman"/>
          <w:sz w:val="28"/>
          <w:szCs w:val="28"/>
        </w:rPr>
        <w:t xml:space="preserve"> Holubec </w:t>
      </w:r>
      <w:r w:rsidR="00940EC7">
        <w:rPr>
          <w:rFonts w:ascii="Times New Roman" w:hAnsi="Times New Roman" w:cs="Times New Roman"/>
          <w:sz w:val="28"/>
          <w:szCs w:val="28"/>
        </w:rPr>
        <w:t xml:space="preserve">argues that </w:t>
      </w:r>
      <w:r w:rsidR="00CA11CB">
        <w:rPr>
          <w:rFonts w:ascii="Times New Roman" w:hAnsi="Times New Roman" w:cs="Times New Roman"/>
          <w:sz w:val="28"/>
          <w:szCs w:val="28"/>
        </w:rPr>
        <w:t>solicitor-</w:t>
      </w:r>
      <w:r w:rsidR="00885A61">
        <w:rPr>
          <w:rFonts w:ascii="Times New Roman" w:hAnsi="Times New Roman" w:cs="Times New Roman"/>
          <w:sz w:val="28"/>
          <w:szCs w:val="28"/>
        </w:rPr>
        <w:t>and</w:t>
      </w:r>
      <w:r w:rsidR="00CA11CB">
        <w:rPr>
          <w:rFonts w:ascii="Times New Roman" w:hAnsi="Times New Roman" w:cs="Times New Roman"/>
          <w:sz w:val="28"/>
          <w:szCs w:val="28"/>
        </w:rPr>
        <w:t>-</w:t>
      </w:r>
      <w:r w:rsidR="004A59EC">
        <w:rPr>
          <w:rFonts w:ascii="Times New Roman" w:hAnsi="Times New Roman" w:cs="Times New Roman"/>
          <w:sz w:val="28"/>
          <w:szCs w:val="28"/>
        </w:rPr>
        <w:t xml:space="preserve">client </w:t>
      </w:r>
      <w:r w:rsidR="00885A61">
        <w:rPr>
          <w:rFonts w:ascii="Times New Roman" w:hAnsi="Times New Roman" w:cs="Times New Roman"/>
          <w:sz w:val="28"/>
          <w:szCs w:val="28"/>
        </w:rPr>
        <w:t xml:space="preserve">or else </w:t>
      </w:r>
      <w:r w:rsidR="00940EC7">
        <w:rPr>
          <w:rFonts w:ascii="Times New Roman" w:hAnsi="Times New Roman" w:cs="Times New Roman"/>
          <w:sz w:val="28"/>
          <w:szCs w:val="28"/>
        </w:rPr>
        <w:t xml:space="preserve">full indemnity costs are justified due to the Plaintiff’s </w:t>
      </w:r>
      <w:r w:rsidRPr="00E3182E">
        <w:rPr>
          <w:rFonts w:ascii="Times New Roman" w:hAnsi="Times New Roman" w:cs="Times New Roman"/>
          <w:sz w:val="28"/>
          <w:szCs w:val="28"/>
        </w:rPr>
        <w:t xml:space="preserve">conduct </w:t>
      </w:r>
      <w:r w:rsidR="00E3182E" w:rsidRPr="00E3182E">
        <w:rPr>
          <w:rFonts w:ascii="Times New Roman" w:hAnsi="Times New Roman" w:cs="Times New Roman"/>
          <w:sz w:val="28"/>
          <w:szCs w:val="28"/>
        </w:rPr>
        <w:t>during the litigation</w:t>
      </w:r>
      <w:r w:rsidR="00E03FBB">
        <w:rPr>
          <w:rFonts w:ascii="Times New Roman" w:hAnsi="Times New Roman" w:cs="Times New Roman"/>
          <w:sz w:val="28"/>
          <w:szCs w:val="28"/>
        </w:rPr>
        <w:t>.</w:t>
      </w:r>
      <w:r w:rsidR="009A419E">
        <w:rPr>
          <w:rFonts w:ascii="Times New Roman" w:hAnsi="Times New Roman" w:cs="Times New Roman"/>
          <w:sz w:val="28"/>
          <w:szCs w:val="28"/>
        </w:rPr>
        <w:t xml:space="preserve"> </w:t>
      </w:r>
      <w:r w:rsidR="00E03FBB">
        <w:rPr>
          <w:rFonts w:ascii="Times New Roman" w:hAnsi="Times New Roman" w:cs="Times New Roman"/>
          <w:sz w:val="28"/>
          <w:szCs w:val="28"/>
        </w:rPr>
        <w:t xml:space="preserve"> </w:t>
      </w:r>
      <w:r w:rsidR="00940EC7">
        <w:rPr>
          <w:rFonts w:ascii="Times New Roman" w:hAnsi="Times New Roman" w:cs="Times New Roman"/>
          <w:sz w:val="28"/>
          <w:szCs w:val="28"/>
        </w:rPr>
        <w:t xml:space="preserve">Holubec characterizes it as </w:t>
      </w:r>
      <w:r w:rsidR="003568A5">
        <w:rPr>
          <w:rFonts w:ascii="Times New Roman" w:hAnsi="Times New Roman" w:cs="Times New Roman"/>
          <w:sz w:val="28"/>
          <w:szCs w:val="28"/>
        </w:rPr>
        <w:t>“</w:t>
      </w:r>
      <w:r w:rsidRPr="00E3182E">
        <w:rPr>
          <w:rFonts w:ascii="Times New Roman" w:hAnsi="Times New Roman" w:cs="Times New Roman"/>
          <w:sz w:val="28"/>
          <w:szCs w:val="28"/>
        </w:rPr>
        <w:t>petty and obstruct</w:t>
      </w:r>
      <w:r w:rsidR="00AB23C8" w:rsidRPr="00E3182E">
        <w:rPr>
          <w:rFonts w:ascii="Times New Roman" w:hAnsi="Times New Roman" w:cs="Times New Roman"/>
          <w:sz w:val="28"/>
          <w:szCs w:val="28"/>
        </w:rPr>
        <w:t>ive</w:t>
      </w:r>
      <w:r w:rsidR="003568A5">
        <w:rPr>
          <w:rFonts w:ascii="Times New Roman" w:hAnsi="Times New Roman" w:cs="Times New Roman"/>
          <w:sz w:val="28"/>
          <w:szCs w:val="28"/>
        </w:rPr>
        <w:t>”</w:t>
      </w:r>
      <w:r w:rsidR="0067321B">
        <w:rPr>
          <w:rFonts w:ascii="Times New Roman" w:hAnsi="Times New Roman" w:cs="Times New Roman"/>
          <w:sz w:val="28"/>
          <w:szCs w:val="28"/>
        </w:rPr>
        <w:t>, and provided a number of examples</w:t>
      </w:r>
      <w:r w:rsidR="00AB23C8" w:rsidRPr="00E3182E">
        <w:rPr>
          <w:rFonts w:ascii="Times New Roman" w:hAnsi="Times New Roman" w:cs="Times New Roman"/>
          <w:sz w:val="28"/>
          <w:szCs w:val="28"/>
        </w:rPr>
        <w:t>. Among other things, the Plaintiff refused</w:t>
      </w:r>
      <w:r w:rsidRPr="00E3182E">
        <w:rPr>
          <w:rFonts w:ascii="Times New Roman" w:hAnsi="Times New Roman" w:cs="Times New Roman"/>
          <w:sz w:val="28"/>
          <w:szCs w:val="28"/>
        </w:rPr>
        <w:t xml:space="preserve"> to admit uncontroversial documents</w:t>
      </w:r>
      <w:r w:rsidR="00D41259" w:rsidRPr="00E3182E">
        <w:rPr>
          <w:rFonts w:ascii="Times New Roman" w:hAnsi="Times New Roman" w:cs="Times New Roman"/>
          <w:sz w:val="28"/>
          <w:szCs w:val="28"/>
        </w:rPr>
        <w:t>, failed</w:t>
      </w:r>
      <w:r w:rsidRPr="00E3182E">
        <w:rPr>
          <w:rFonts w:ascii="Times New Roman" w:hAnsi="Times New Roman" w:cs="Times New Roman"/>
          <w:sz w:val="28"/>
          <w:szCs w:val="28"/>
        </w:rPr>
        <w:t xml:space="preserve"> to produce documents in a timely manner </w:t>
      </w:r>
      <w:r w:rsidR="00885A61">
        <w:rPr>
          <w:rFonts w:ascii="Times New Roman" w:hAnsi="Times New Roman" w:cs="Times New Roman"/>
          <w:sz w:val="28"/>
          <w:szCs w:val="28"/>
        </w:rPr>
        <w:t xml:space="preserve">and in some cases, not </w:t>
      </w:r>
      <w:r w:rsidRPr="00E3182E">
        <w:rPr>
          <w:rFonts w:ascii="Times New Roman" w:hAnsi="Times New Roman" w:cs="Times New Roman"/>
          <w:sz w:val="28"/>
          <w:szCs w:val="28"/>
        </w:rPr>
        <w:t>at all</w:t>
      </w:r>
      <w:r w:rsidR="00AB23C8" w:rsidRPr="00E3182E">
        <w:rPr>
          <w:rFonts w:ascii="Times New Roman" w:hAnsi="Times New Roman" w:cs="Times New Roman"/>
          <w:sz w:val="28"/>
          <w:szCs w:val="28"/>
        </w:rPr>
        <w:t>,</w:t>
      </w:r>
      <w:r w:rsidRPr="00E3182E">
        <w:rPr>
          <w:rFonts w:ascii="Times New Roman" w:hAnsi="Times New Roman" w:cs="Times New Roman"/>
          <w:sz w:val="28"/>
          <w:szCs w:val="28"/>
        </w:rPr>
        <w:t xml:space="preserve"> </w:t>
      </w:r>
      <w:r w:rsidR="00D41259" w:rsidRPr="00E3182E">
        <w:rPr>
          <w:rFonts w:ascii="Times New Roman" w:hAnsi="Times New Roman" w:cs="Times New Roman"/>
          <w:sz w:val="28"/>
          <w:szCs w:val="28"/>
        </w:rPr>
        <w:t>and purported</w:t>
      </w:r>
      <w:r w:rsidRPr="00E3182E">
        <w:rPr>
          <w:rFonts w:ascii="Times New Roman" w:hAnsi="Times New Roman" w:cs="Times New Roman"/>
          <w:sz w:val="28"/>
          <w:szCs w:val="28"/>
        </w:rPr>
        <w:t xml:space="preserve"> to tender an expert’s </w:t>
      </w:r>
      <w:r w:rsidR="006358AB">
        <w:rPr>
          <w:rFonts w:ascii="Times New Roman" w:hAnsi="Times New Roman" w:cs="Times New Roman"/>
          <w:sz w:val="28"/>
          <w:szCs w:val="28"/>
        </w:rPr>
        <w:t xml:space="preserve">report into evidence improperly, attaching it to Mr. Burns’ affidavit. </w:t>
      </w:r>
    </w:p>
    <w:p w:rsidR="00940EC7" w:rsidRPr="00940EC7" w:rsidRDefault="00940EC7" w:rsidP="00E92A45">
      <w:pPr>
        <w:pStyle w:val="ListParagraph"/>
        <w:spacing w:line="240" w:lineRule="auto"/>
        <w:rPr>
          <w:rFonts w:ascii="Times New Roman" w:hAnsi="Times New Roman" w:cs="Times New Roman"/>
          <w:sz w:val="28"/>
          <w:szCs w:val="28"/>
        </w:rPr>
      </w:pPr>
    </w:p>
    <w:p w:rsidR="00940EC7" w:rsidRDefault="00F1381B"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Holubec </w:t>
      </w:r>
      <w:r w:rsidR="003568A5">
        <w:rPr>
          <w:rFonts w:ascii="Times New Roman" w:hAnsi="Times New Roman" w:cs="Times New Roman"/>
          <w:sz w:val="28"/>
          <w:szCs w:val="28"/>
        </w:rPr>
        <w:t xml:space="preserve">also </w:t>
      </w:r>
      <w:r w:rsidR="00940EC7">
        <w:rPr>
          <w:rFonts w:ascii="Times New Roman" w:hAnsi="Times New Roman" w:cs="Times New Roman"/>
          <w:sz w:val="28"/>
          <w:szCs w:val="28"/>
        </w:rPr>
        <w:t>suggests</w:t>
      </w:r>
      <w:r>
        <w:rPr>
          <w:rFonts w:ascii="Times New Roman" w:hAnsi="Times New Roman" w:cs="Times New Roman"/>
          <w:sz w:val="28"/>
          <w:szCs w:val="28"/>
        </w:rPr>
        <w:t xml:space="preserve"> the </w:t>
      </w:r>
      <w:r w:rsidR="003568A5">
        <w:rPr>
          <w:rFonts w:ascii="Times New Roman" w:hAnsi="Times New Roman" w:cs="Times New Roman"/>
          <w:sz w:val="28"/>
          <w:szCs w:val="28"/>
        </w:rPr>
        <w:t xml:space="preserve">officer the </w:t>
      </w:r>
      <w:r>
        <w:rPr>
          <w:rFonts w:ascii="Times New Roman" w:hAnsi="Times New Roman" w:cs="Times New Roman"/>
          <w:sz w:val="28"/>
          <w:szCs w:val="28"/>
        </w:rPr>
        <w:t xml:space="preserve">Plaintiff produced for examinations for discovery, Mr. Engram, </w:t>
      </w:r>
      <w:r w:rsidR="003568A5">
        <w:rPr>
          <w:rFonts w:ascii="Times New Roman" w:hAnsi="Times New Roman" w:cs="Times New Roman"/>
          <w:sz w:val="28"/>
          <w:szCs w:val="28"/>
        </w:rPr>
        <w:t xml:space="preserve">was </w:t>
      </w:r>
      <w:r>
        <w:rPr>
          <w:rFonts w:ascii="Times New Roman" w:hAnsi="Times New Roman" w:cs="Times New Roman"/>
          <w:sz w:val="28"/>
          <w:szCs w:val="28"/>
        </w:rPr>
        <w:t xml:space="preserve">evasive </w:t>
      </w:r>
      <w:r w:rsidR="00940EC7">
        <w:rPr>
          <w:rFonts w:ascii="Times New Roman" w:hAnsi="Times New Roman" w:cs="Times New Roman"/>
          <w:sz w:val="28"/>
          <w:szCs w:val="28"/>
        </w:rPr>
        <w:t xml:space="preserve">and unresponsive </w:t>
      </w:r>
      <w:r>
        <w:rPr>
          <w:rFonts w:ascii="Times New Roman" w:hAnsi="Times New Roman" w:cs="Times New Roman"/>
          <w:sz w:val="28"/>
          <w:szCs w:val="28"/>
        </w:rPr>
        <w:t>in his answers.</w:t>
      </w:r>
      <w:r w:rsidR="009A419E">
        <w:rPr>
          <w:rFonts w:ascii="Times New Roman" w:hAnsi="Times New Roman" w:cs="Times New Roman"/>
          <w:sz w:val="28"/>
          <w:szCs w:val="28"/>
        </w:rPr>
        <w:t xml:space="preserve"> </w:t>
      </w:r>
      <w:r>
        <w:rPr>
          <w:rFonts w:ascii="Times New Roman" w:hAnsi="Times New Roman" w:cs="Times New Roman"/>
          <w:sz w:val="28"/>
          <w:szCs w:val="28"/>
        </w:rPr>
        <w:t xml:space="preserve"> </w:t>
      </w:r>
      <w:r w:rsidR="00E3182E" w:rsidRPr="00E3182E">
        <w:rPr>
          <w:rFonts w:ascii="Times New Roman" w:hAnsi="Times New Roman" w:cs="Times New Roman"/>
          <w:sz w:val="28"/>
          <w:szCs w:val="28"/>
        </w:rPr>
        <w:t xml:space="preserve">In support of this argument, Holubec </w:t>
      </w:r>
      <w:r w:rsidR="00940EC7">
        <w:rPr>
          <w:rFonts w:ascii="Times New Roman" w:hAnsi="Times New Roman" w:cs="Times New Roman"/>
          <w:sz w:val="28"/>
          <w:szCs w:val="28"/>
        </w:rPr>
        <w:t xml:space="preserve">produced a list of those undertakings to the Court.  Holubec’s position is that </w:t>
      </w:r>
      <w:r w:rsidR="00E3182E" w:rsidRPr="00E3182E">
        <w:rPr>
          <w:rFonts w:ascii="Times New Roman" w:hAnsi="Times New Roman" w:cs="Times New Roman"/>
          <w:sz w:val="28"/>
          <w:szCs w:val="28"/>
        </w:rPr>
        <w:t>most of the 132 undert</w:t>
      </w:r>
      <w:r w:rsidR="00940EC7">
        <w:rPr>
          <w:rFonts w:ascii="Times New Roman" w:hAnsi="Times New Roman" w:cs="Times New Roman"/>
          <w:sz w:val="28"/>
          <w:szCs w:val="28"/>
        </w:rPr>
        <w:t xml:space="preserve">akings given by Mr. Engram </w:t>
      </w:r>
      <w:r w:rsidR="00E3182E" w:rsidRPr="00E3182E">
        <w:rPr>
          <w:rFonts w:ascii="Times New Roman" w:hAnsi="Times New Roman" w:cs="Times New Roman"/>
          <w:sz w:val="28"/>
          <w:szCs w:val="28"/>
        </w:rPr>
        <w:t xml:space="preserve">related to documents which ought to have been produced in advance of examinations taking place. </w:t>
      </w:r>
    </w:p>
    <w:p w:rsidR="00940EC7" w:rsidRPr="00940EC7" w:rsidRDefault="00940EC7" w:rsidP="00E92A45">
      <w:pPr>
        <w:pStyle w:val="ListParagraph"/>
        <w:spacing w:line="240" w:lineRule="auto"/>
        <w:rPr>
          <w:rFonts w:ascii="Times New Roman" w:hAnsi="Times New Roman" w:cs="Times New Roman"/>
          <w:sz w:val="28"/>
          <w:szCs w:val="28"/>
        </w:rPr>
      </w:pPr>
    </w:p>
    <w:p w:rsidR="00940EC7" w:rsidRDefault="00940EC7"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Similarly, Holubec contends that the responses Mr. Burns provided during cross-examination on the affidavit he swore for this application are, among other things, “self-serving”, “unresponsive” and “evasive”.  He produced a list of these, which was tendered at the hearing, with references to the pages and lines of the transcript.  </w:t>
      </w:r>
    </w:p>
    <w:p w:rsidR="00940EC7" w:rsidRPr="00940EC7" w:rsidRDefault="00940EC7" w:rsidP="00E92A45">
      <w:pPr>
        <w:pStyle w:val="ListParagraph"/>
        <w:spacing w:line="240" w:lineRule="auto"/>
        <w:rPr>
          <w:rFonts w:ascii="Times New Roman" w:hAnsi="Times New Roman" w:cs="Times New Roman"/>
          <w:sz w:val="28"/>
          <w:szCs w:val="28"/>
        </w:rPr>
      </w:pPr>
    </w:p>
    <w:p w:rsidR="00E3182E" w:rsidRDefault="004A59EC"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final point Holubec makes on the Plaintiff’s conduct during the litigation is </w:t>
      </w:r>
      <w:r w:rsidR="00E3182E" w:rsidRPr="00AD21B4">
        <w:rPr>
          <w:rFonts w:ascii="Times New Roman" w:hAnsi="Times New Roman" w:cs="Times New Roman"/>
          <w:sz w:val="28"/>
          <w:szCs w:val="28"/>
        </w:rPr>
        <w:t>that at the time the summary judgment application was heard, the Plaintiff was in possession of an engineering report whic</w:t>
      </w:r>
      <w:r w:rsidR="00940EC7">
        <w:rPr>
          <w:rFonts w:ascii="Times New Roman" w:hAnsi="Times New Roman" w:cs="Times New Roman"/>
          <w:sz w:val="28"/>
          <w:szCs w:val="28"/>
        </w:rPr>
        <w:t xml:space="preserve">h supported Holubec’s position, </w:t>
      </w:r>
      <w:r>
        <w:rPr>
          <w:rFonts w:ascii="Times New Roman" w:hAnsi="Times New Roman" w:cs="Times New Roman"/>
          <w:sz w:val="28"/>
          <w:szCs w:val="28"/>
        </w:rPr>
        <w:t xml:space="preserve">but </w:t>
      </w:r>
      <w:r w:rsidR="00940EC7">
        <w:rPr>
          <w:rFonts w:ascii="Times New Roman" w:hAnsi="Times New Roman" w:cs="Times New Roman"/>
          <w:sz w:val="28"/>
          <w:szCs w:val="28"/>
        </w:rPr>
        <w:t>which</w:t>
      </w:r>
      <w:r>
        <w:rPr>
          <w:rFonts w:ascii="Times New Roman" w:hAnsi="Times New Roman" w:cs="Times New Roman"/>
          <w:sz w:val="28"/>
          <w:szCs w:val="28"/>
        </w:rPr>
        <w:t xml:space="preserve"> it did not disclose.</w:t>
      </w:r>
    </w:p>
    <w:p w:rsidR="00BD568C" w:rsidRPr="00BD568C" w:rsidRDefault="00BD568C" w:rsidP="00E92A45">
      <w:pPr>
        <w:pStyle w:val="ListParagraph"/>
        <w:spacing w:line="240" w:lineRule="auto"/>
        <w:rPr>
          <w:rFonts w:ascii="Times New Roman" w:hAnsi="Times New Roman" w:cs="Times New Roman"/>
          <w:sz w:val="28"/>
          <w:szCs w:val="28"/>
        </w:rPr>
      </w:pPr>
    </w:p>
    <w:p w:rsidR="00BD568C" w:rsidRDefault="005B31F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Holubec’s third ground</w:t>
      </w:r>
      <w:r w:rsidR="0067321B">
        <w:rPr>
          <w:rFonts w:ascii="Times New Roman" w:hAnsi="Times New Roman" w:cs="Times New Roman"/>
          <w:sz w:val="28"/>
          <w:szCs w:val="28"/>
        </w:rPr>
        <w:t xml:space="preserve"> for seeking a higher scale of costs is that </w:t>
      </w:r>
      <w:r w:rsidR="00BD568C">
        <w:rPr>
          <w:rFonts w:ascii="Times New Roman" w:hAnsi="Times New Roman" w:cs="Times New Roman"/>
          <w:sz w:val="28"/>
          <w:szCs w:val="28"/>
        </w:rPr>
        <w:t xml:space="preserve">the Plaintiff took </w:t>
      </w:r>
      <w:r w:rsidR="00F7570C">
        <w:rPr>
          <w:rFonts w:ascii="Times New Roman" w:hAnsi="Times New Roman" w:cs="Times New Roman"/>
          <w:sz w:val="28"/>
          <w:szCs w:val="28"/>
        </w:rPr>
        <w:t>“disingenuous positions”</w:t>
      </w:r>
      <w:r w:rsidR="0027040C">
        <w:rPr>
          <w:rFonts w:ascii="Times New Roman" w:hAnsi="Times New Roman" w:cs="Times New Roman"/>
          <w:sz w:val="28"/>
          <w:szCs w:val="28"/>
        </w:rPr>
        <w:t xml:space="preserve"> at the summary</w:t>
      </w:r>
      <w:r w:rsidR="00D41259">
        <w:rPr>
          <w:rFonts w:ascii="Times New Roman" w:hAnsi="Times New Roman" w:cs="Times New Roman"/>
          <w:sz w:val="28"/>
          <w:szCs w:val="28"/>
        </w:rPr>
        <w:t xml:space="preserve"> judgment application itself.  Among these was the Plaintiff’s argument that </w:t>
      </w:r>
      <w:r w:rsidR="00F7570C">
        <w:rPr>
          <w:rFonts w:ascii="Times New Roman" w:hAnsi="Times New Roman" w:cs="Times New Roman"/>
          <w:sz w:val="28"/>
          <w:szCs w:val="28"/>
        </w:rPr>
        <w:t>it did not have an opportunit</w:t>
      </w:r>
      <w:r w:rsidR="0027040C">
        <w:rPr>
          <w:rFonts w:ascii="Times New Roman" w:hAnsi="Times New Roman" w:cs="Times New Roman"/>
          <w:sz w:val="28"/>
          <w:szCs w:val="28"/>
        </w:rPr>
        <w:t xml:space="preserve">y to conduct examinations for discovery </w:t>
      </w:r>
      <w:r w:rsidR="001F0DCA">
        <w:rPr>
          <w:rFonts w:ascii="Times New Roman" w:hAnsi="Times New Roman" w:cs="Times New Roman"/>
          <w:sz w:val="28"/>
          <w:szCs w:val="28"/>
        </w:rPr>
        <w:t>with many of the</w:t>
      </w:r>
      <w:r w:rsidR="0027040C">
        <w:rPr>
          <w:rFonts w:ascii="Times New Roman" w:hAnsi="Times New Roman" w:cs="Times New Roman"/>
          <w:sz w:val="28"/>
          <w:szCs w:val="28"/>
        </w:rPr>
        <w:t xml:space="preserve"> defendants, including </w:t>
      </w:r>
      <w:r w:rsidR="004A59EC">
        <w:rPr>
          <w:rFonts w:ascii="Times New Roman" w:hAnsi="Times New Roman" w:cs="Times New Roman"/>
          <w:sz w:val="28"/>
          <w:szCs w:val="28"/>
        </w:rPr>
        <w:t xml:space="preserve">Mr. </w:t>
      </w:r>
      <w:r w:rsidR="0027040C">
        <w:rPr>
          <w:rFonts w:ascii="Times New Roman" w:hAnsi="Times New Roman" w:cs="Times New Roman"/>
          <w:sz w:val="28"/>
          <w:szCs w:val="28"/>
        </w:rPr>
        <w:t>Holubec</w:t>
      </w:r>
      <w:r w:rsidR="00D41259">
        <w:rPr>
          <w:rFonts w:ascii="Times New Roman" w:hAnsi="Times New Roman" w:cs="Times New Roman"/>
          <w:sz w:val="28"/>
          <w:szCs w:val="28"/>
        </w:rPr>
        <w:t>, and that it needed an expert opinion on what caused the foundation to fail</w:t>
      </w:r>
      <w:r w:rsidR="0027040C">
        <w:rPr>
          <w:rFonts w:ascii="Times New Roman" w:hAnsi="Times New Roman" w:cs="Times New Roman"/>
          <w:sz w:val="28"/>
          <w:szCs w:val="28"/>
        </w:rPr>
        <w:t xml:space="preserve">.  </w:t>
      </w:r>
      <w:r>
        <w:rPr>
          <w:rFonts w:ascii="Times New Roman" w:hAnsi="Times New Roman" w:cs="Times New Roman"/>
          <w:sz w:val="28"/>
          <w:szCs w:val="28"/>
        </w:rPr>
        <w:t xml:space="preserve">The Holubec defendants </w:t>
      </w:r>
      <w:r w:rsidR="0027040C">
        <w:rPr>
          <w:rFonts w:ascii="Times New Roman" w:hAnsi="Times New Roman" w:cs="Times New Roman"/>
          <w:sz w:val="28"/>
          <w:szCs w:val="28"/>
        </w:rPr>
        <w:t xml:space="preserve">contend </w:t>
      </w:r>
      <w:r w:rsidR="00D41259">
        <w:rPr>
          <w:rFonts w:ascii="Times New Roman" w:hAnsi="Times New Roman" w:cs="Times New Roman"/>
          <w:sz w:val="28"/>
          <w:szCs w:val="28"/>
        </w:rPr>
        <w:t xml:space="preserve">these are disingenuous because </w:t>
      </w:r>
      <w:r w:rsidR="0027040C">
        <w:rPr>
          <w:rFonts w:ascii="Times New Roman" w:hAnsi="Times New Roman" w:cs="Times New Roman"/>
          <w:sz w:val="28"/>
          <w:szCs w:val="28"/>
        </w:rPr>
        <w:t xml:space="preserve">the Plaintiff </w:t>
      </w:r>
      <w:r w:rsidR="00D41259" w:rsidRPr="005B31FD">
        <w:rPr>
          <w:rFonts w:ascii="Times New Roman" w:hAnsi="Times New Roman" w:cs="Times New Roman"/>
          <w:i/>
          <w:sz w:val="28"/>
          <w:szCs w:val="28"/>
        </w:rPr>
        <w:t>did</w:t>
      </w:r>
      <w:r w:rsidR="00D41259">
        <w:rPr>
          <w:rFonts w:ascii="Times New Roman" w:hAnsi="Times New Roman" w:cs="Times New Roman"/>
          <w:sz w:val="28"/>
          <w:szCs w:val="28"/>
        </w:rPr>
        <w:t xml:space="preserve"> have</w:t>
      </w:r>
      <w:r w:rsidR="0027040C">
        <w:rPr>
          <w:rFonts w:ascii="Times New Roman" w:hAnsi="Times New Roman" w:cs="Times New Roman"/>
          <w:sz w:val="28"/>
          <w:szCs w:val="28"/>
        </w:rPr>
        <w:t xml:space="preserve"> an opportunity to conduct examinations for discovery on Mr.</w:t>
      </w:r>
      <w:r>
        <w:rPr>
          <w:rFonts w:ascii="Times New Roman" w:hAnsi="Times New Roman" w:cs="Times New Roman"/>
          <w:sz w:val="28"/>
          <w:szCs w:val="28"/>
        </w:rPr>
        <w:t xml:space="preserve"> Holubec and other defendants, </w:t>
      </w:r>
      <w:r w:rsidR="0027040C">
        <w:rPr>
          <w:rFonts w:ascii="Times New Roman" w:hAnsi="Times New Roman" w:cs="Times New Roman"/>
          <w:sz w:val="28"/>
          <w:szCs w:val="28"/>
        </w:rPr>
        <w:t>but did not do so</w:t>
      </w:r>
      <w:r>
        <w:rPr>
          <w:rFonts w:ascii="Times New Roman" w:hAnsi="Times New Roman" w:cs="Times New Roman"/>
          <w:sz w:val="28"/>
          <w:szCs w:val="28"/>
        </w:rPr>
        <w:t xml:space="preserve">.  Further, </w:t>
      </w:r>
      <w:r w:rsidR="00142B7A">
        <w:rPr>
          <w:rFonts w:ascii="Times New Roman" w:hAnsi="Times New Roman" w:cs="Times New Roman"/>
          <w:sz w:val="28"/>
          <w:szCs w:val="28"/>
        </w:rPr>
        <w:t>Holubec’s counsel</w:t>
      </w:r>
      <w:r>
        <w:rPr>
          <w:rFonts w:ascii="Times New Roman" w:hAnsi="Times New Roman" w:cs="Times New Roman"/>
          <w:sz w:val="28"/>
          <w:szCs w:val="28"/>
        </w:rPr>
        <w:t xml:space="preserve"> </w:t>
      </w:r>
      <w:r w:rsidR="0027040C">
        <w:rPr>
          <w:rFonts w:ascii="Times New Roman" w:hAnsi="Times New Roman" w:cs="Times New Roman"/>
          <w:sz w:val="28"/>
          <w:szCs w:val="28"/>
        </w:rPr>
        <w:t xml:space="preserve">offered the Plaintiff an opportunity to </w:t>
      </w:r>
      <w:r w:rsidR="0067321B">
        <w:rPr>
          <w:rFonts w:ascii="Times New Roman" w:hAnsi="Times New Roman" w:cs="Times New Roman"/>
          <w:sz w:val="28"/>
          <w:szCs w:val="28"/>
        </w:rPr>
        <w:t xml:space="preserve">meet and </w:t>
      </w:r>
      <w:r w:rsidR="0027040C">
        <w:rPr>
          <w:rFonts w:ascii="Times New Roman" w:hAnsi="Times New Roman" w:cs="Times New Roman"/>
          <w:sz w:val="28"/>
          <w:szCs w:val="28"/>
        </w:rPr>
        <w:t>interview Mr. Holubec under oath in an informal setting and to have the interview transcribed for later use.</w:t>
      </w:r>
      <w:r w:rsidR="009A419E">
        <w:rPr>
          <w:rFonts w:ascii="Times New Roman" w:hAnsi="Times New Roman" w:cs="Times New Roman"/>
          <w:sz w:val="28"/>
          <w:szCs w:val="28"/>
        </w:rPr>
        <w:t xml:space="preserve"> </w:t>
      </w:r>
      <w:r w:rsidR="0027040C">
        <w:rPr>
          <w:rFonts w:ascii="Times New Roman" w:hAnsi="Times New Roman" w:cs="Times New Roman"/>
          <w:sz w:val="28"/>
          <w:szCs w:val="28"/>
        </w:rPr>
        <w:t xml:space="preserve"> </w:t>
      </w:r>
      <w:r w:rsidR="0067321B">
        <w:rPr>
          <w:rFonts w:ascii="Times New Roman" w:hAnsi="Times New Roman" w:cs="Times New Roman"/>
          <w:sz w:val="28"/>
          <w:szCs w:val="28"/>
        </w:rPr>
        <w:t xml:space="preserve">The Plaintiff declined to do so. </w:t>
      </w:r>
      <w:r w:rsidR="00D41259">
        <w:rPr>
          <w:rFonts w:ascii="Times New Roman" w:hAnsi="Times New Roman" w:cs="Times New Roman"/>
          <w:sz w:val="28"/>
          <w:szCs w:val="28"/>
        </w:rPr>
        <w:t>Finally, Holubec argues that the Plaintiff could have led expert evidence but chose not to do so.</w:t>
      </w:r>
      <w:r w:rsidR="0027040C">
        <w:rPr>
          <w:rFonts w:ascii="Times New Roman" w:hAnsi="Times New Roman" w:cs="Times New Roman"/>
          <w:sz w:val="28"/>
          <w:szCs w:val="28"/>
        </w:rPr>
        <w:t xml:space="preserve"> </w:t>
      </w:r>
    </w:p>
    <w:p w:rsidR="001B1CCF" w:rsidRPr="001B1CCF" w:rsidRDefault="001B1CCF" w:rsidP="00E92A45">
      <w:pPr>
        <w:pStyle w:val="ListParagraph"/>
        <w:spacing w:line="240" w:lineRule="auto"/>
        <w:rPr>
          <w:rFonts w:ascii="Times New Roman" w:hAnsi="Times New Roman" w:cs="Times New Roman"/>
          <w:sz w:val="28"/>
          <w:szCs w:val="28"/>
        </w:rPr>
      </w:pPr>
    </w:p>
    <w:p w:rsidR="003568A5" w:rsidRPr="003568A5" w:rsidRDefault="00AD21B4"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Fourth</w:t>
      </w:r>
      <w:r w:rsidR="001B1CCF">
        <w:rPr>
          <w:rFonts w:ascii="Times New Roman" w:hAnsi="Times New Roman" w:cs="Times New Roman"/>
          <w:sz w:val="28"/>
          <w:szCs w:val="28"/>
        </w:rPr>
        <w:t xml:space="preserve">, </w:t>
      </w:r>
      <w:r w:rsidR="00EA0CD4">
        <w:rPr>
          <w:rFonts w:ascii="Times New Roman" w:hAnsi="Times New Roman" w:cs="Times New Roman"/>
          <w:sz w:val="28"/>
          <w:szCs w:val="28"/>
        </w:rPr>
        <w:t>Holubec argues that a higher scale of costs is warranted</w:t>
      </w:r>
      <w:r w:rsidR="001F0DCA">
        <w:rPr>
          <w:rFonts w:ascii="Times New Roman" w:hAnsi="Times New Roman" w:cs="Times New Roman"/>
          <w:sz w:val="28"/>
          <w:szCs w:val="28"/>
        </w:rPr>
        <w:t xml:space="preserve"> by operation of Rules 128, Rules 193 to 203 and Rule</w:t>
      </w:r>
      <w:r w:rsidR="00EA0CD4">
        <w:rPr>
          <w:rFonts w:ascii="Times New Roman" w:hAnsi="Times New Roman" w:cs="Times New Roman"/>
          <w:i/>
          <w:sz w:val="28"/>
          <w:szCs w:val="28"/>
        </w:rPr>
        <w:t xml:space="preserve"> </w:t>
      </w:r>
      <w:r w:rsidR="001F0DCA">
        <w:rPr>
          <w:rFonts w:ascii="Times New Roman" w:hAnsi="Times New Roman" w:cs="Times New Roman"/>
          <w:sz w:val="28"/>
          <w:szCs w:val="28"/>
        </w:rPr>
        <w:t>180(3).</w:t>
      </w:r>
    </w:p>
    <w:p w:rsidR="00EA0CD4" w:rsidRPr="00EA0CD4" w:rsidRDefault="00EA0CD4" w:rsidP="00E92A45">
      <w:pPr>
        <w:pStyle w:val="ListParagraph"/>
        <w:spacing w:line="240" w:lineRule="auto"/>
        <w:rPr>
          <w:rFonts w:ascii="Times New Roman" w:hAnsi="Times New Roman" w:cs="Times New Roman"/>
          <w:sz w:val="28"/>
          <w:szCs w:val="28"/>
        </w:rPr>
      </w:pPr>
    </w:p>
    <w:p w:rsidR="00AB23C8" w:rsidRDefault="005B31F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Holubec says </w:t>
      </w:r>
      <w:r w:rsidR="001F0DCA">
        <w:rPr>
          <w:rFonts w:ascii="Times New Roman" w:hAnsi="Times New Roman" w:cs="Times New Roman"/>
          <w:sz w:val="28"/>
          <w:szCs w:val="28"/>
        </w:rPr>
        <w:t xml:space="preserve">the </w:t>
      </w:r>
      <w:r w:rsidR="001B1CCF">
        <w:rPr>
          <w:rFonts w:ascii="Times New Roman" w:hAnsi="Times New Roman" w:cs="Times New Roman"/>
          <w:sz w:val="28"/>
          <w:szCs w:val="28"/>
        </w:rPr>
        <w:t>Plaintiff refused to admit certain facts</w:t>
      </w:r>
      <w:r w:rsidR="00AB23C8">
        <w:rPr>
          <w:rFonts w:ascii="Times New Roman" w:hAnsi="Times New Roman" w:cs="Times New Roman"/>
          <w:sz w:val="28"/>
          <w:szCs w:val="28"/>
        </w:rPr>
        <w:t xml:space="preserve"> and documents</w:t>
      </w:r>
      <w:r w:rsidR="00CA11CB">
        <w:rPr>
          <w:rFonts w:ascii="Times New Roman" w:hAnsi="Times New Roman" w:cs="Times New Roman"/>
          <w:sz w:val="28"/>
          <w:szCs w:val="28"/>
        </w:rPr>
        <w:t xml:space="preserve"> that it ought to have.</w:t>
      </w:r>
      <w:r w:rsidR="009A419E">
        <w:rPr>
          <w:rFonts w:ascii="Times New Roman" w:hAnsi="Times New Roman" w:cs="Times New Roman"/>
          <w:sz w:val="28"/>
          <w:szCs w:val="28"/>
        </w:rPr>
        <w:t xml:space="preserve"> </w:t>
      </w:r>
      <w:r w:rsidR="00CA11CB">
        <w:rPr>
          <w:rFonts w:ascii="Times New Roman" w:hAnsi="Times New Roman" w:cs="Times New Roman"/>
          <w:sz w:val="28"/>
          <w:szCs w:val="28"/>
        </w:rPr>
        <w:t xml:space="preserve"> This, it is argued, </w:t>
      </w:r>
      <w:r w:rsidR="001B1CCF">
        <w:rPr>
          <w:rFonts w:ascii="Times New Roman" w:hAnsi="Times New Roman" w:cs="Times New Roman"/>
          <w:sz w:val="28"/>
          <w:szCs w:val="28"/>
        </w:rPr>
        <w:t>should attract co</w:t>
      </w:r>
      <w:r w:rsidR="00AB23C8">
        <w:rPr>
          <w:rFonts w:ascii="Times New Roman" w:hAnsi="Times New Roman" w:cs="Times New Roman"/>
          <w:sz w:val="28"/>
          <w:szCs w:val="28"/>
        </w:rPr>
        <w:t xml:space="preserve">sts </w:t>
      </w:r>
      <w:r w:rsidR="000F18D3">
        <w:rPr>
          <w:rFonts w:ascii="Times New Roman" w:hAnsi="Times New Roman" w:cs="Times New Roman"/>
          <w:sz w:val="28"/>
          <w:szCs w:val="28"/>
        </w:rPr>
        <w:t>additional cos</w:t>
      </w:r>
      <w:r w:rsidR="00EA0CD4">
        <w:rPr>
          <w:rFonts w:ascii="Times New Roman" w:hAnsi="Times New Roman" w:cs="Times New Roman"/>
          <w:sz w:val="28"/>
          <w:szCs w:val="28"/>
        </w:rPr>
        <w:t>ts (</w:t>
      </w:r>
      <w:r w:rsidR="000F18D3">
        <w:rPr>
          <w:rFonts w:ascii="Times New Roman" w:hAnsi="Times New Roman" w:cs="Times New Roman"/>
          <w:sz w:val="28"/>
          <w:szCs w:val="28"/>
        </w:rPr>
        <w:t>although not necessar</w:t>
      </w:r>
      <w:r w:rsidR="00EA0CD4">
        <w:rPr>
          <w:rFonts w:ascii="Times New Roman" w:hAnsi="Times New Roman" w:cs="Times New Roman"/>
          <w:sz w:val="28"/>
          <w:szCs w:val="28"/>
        </w:rPr>
        <w:t xml:space="preserve">ily solicitor-and-client costs) </w:t>
      </w:r>
      <w:r w:rsidR="00AB23C8">
        <w:rPr>
          <w:rFonts w:ascii="Times New Roman" w:hAnsi="Times New Roman" w:cs="Times New Roman"/>
          <w:sz w:val="28"/>
          <w:szCs w:val="28"/>
        </w:rPr>
        <w:t>under R. 128</w:t>
      </w:r>
      <w:r w:rsidR="000F18D3">
        <w:rPr>
          <w:rFonts w:ascii="Times New Roman" w:hAnsi="Times New Roman" w:cs="Times New Roman"/>
          <w:sz w:val="28"/>
          <w:szCs w:val="28"/>
        </w:rPr>
        <w:t>. It</w:t>
      </w:r>
      <w:r w:rsidR="00AB23C8">
        <w:rPr>
          <w:rFonts w:ascii="Times New Roman" w:hAnsi="Times New Roman" w:cs="Times New Roman"/>
          <w:sz w:val="28"/>
          <w:szCs w:val="28"/>
        </w:rPr>
        <w:t xml:space="preserve"> provides:</w:t>
      </w:r>
    </w:p>
    <w:p w:rsidR="00AB23C8" w:rsidRPr="00AB23C8" w:rsidRDefault="00AB23C8" w:rsidP="007A6D89">
      <w:pPr>
        <w:pStyle w:val="ListParagraph"/>
        <w:spacing w:after="0" w:line="240" w:lineRule="auto"/>
        <w:rPr>
          <w:rFonts w:ascii="Times New Roman" w:hAnsi="Times New Roman" w:cs="Times New Roman"/>
          <w:sz w:val="28"/>
          <w:szCs w:val="28"/>
        </w:rPr>
      </w:pPr>
    </w:p>
    <w:p w:rsidR="00636066" w:rsidRPr="006C442F" w:rsidRDefault="00636066" w:rsidP="007A6D89">
      <w:pPr>
        <w:spacing w:after="0" w:line="240" w:lineRule="auto"/>
        <w:ind w:left="720" w:right="720"/>
        <w:jc w:val="both"/>
        <w:rPr>
          <w:rFonts w:ascii="Times New Roman" w:hAnsi="Times New Roman" w:cs="Times New Roman"/>
          <w:sz w:val="24"/>
          <w:szCs w:val="24"/>
        </w:rPr>
      </w:pPr>
      <w:r w:rsidRPr="006C442F">
        <w:rPr>
          <w:rFonts w:ascii="Times New Roman" w:hAnsi="Times New Roman" w:cs="Times New Roman"/>
          <w:sz w:val="24"/>
          <w:szCs w:val="24"/>
        </w:rPr>
        <w:t>128. Where the Court is of the opinion that any allegation of fact that was denied or not admitted ought to have been admitted, the Court may make an order with respect to any extra costs occasioned because they were denied or not admitted</w:t>
      </w:r>
      <w:r>
        <w:rPr>
          <w:rFonts w:ascii="Times New Roman" w:hAnsi="Times New Roman" w:cs="Times New Roman"/>
          <w:sz w:val="24"/>
          <w:szCs w:val="24"/>
        </w:rPr>
        <w:t>.</w:t>
      </w:r>
    </w:p>
    <w:p w:rsidR="00AB23C8" w:rsidRDefault="00AB23C8" w:rsidP="00E92A45">
      <w:pPr>
        <w:pStyle w:val="ListParagraph"/>
        <w:spacing w:after="0" w:line="240" w:lineRule="auto"/>
        <w:ind w:left="0" w:right="720"/>
        <w:jc w:val="both"/>
        <w:rPr>
          <w:rFonts w:ascii="Times New Roman" w:hAnsi="Times New Roman" w:cs="Times New Roman"/>
          <w:sz w:val="28"/>
          <w:szCs w:val="28"/>
        </w:rPr>
      </w:pPr>
    </w:p>
    <w:p w:rsidR="00CA11CB" w:rsidRPr="003568A5" w:rsidRDefault="00636066" w:rsidP="00E92A45">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Examples of facts that Holubec argues ought to have been admitted were that Holubec did not design the </w:t>
      </w:r>
      <w:r w:rsidR="001B1CCF">
        <w:rPr>
          <w:rFonts w:ascii="Times New Roman" w:hAnsi="Times New Roman" w:cs="Times New Roman"/>
          <w:sz w:val="28"/>
          <w:szCs w:val="28"/>
        </w:rPr>
        <w:t>thermosyphon foundation</w:t>
      </w:r>
      <w:r>
        <w:rPr>
          <w:rFonts w:ascii="Times New Roman" w:hAnsi="Times New Roman" w:cs="Times New Roman"/>
          <w:sz w:val="28"/>
          <w:szCs w:val="28"/>
        </w:rPr>
        <w:t xml:space="preserve">; that his advice was not relied upon for construction; that his advice on drainage was not followed; and that the Plaintiff did not know if the advice Holubec gave was sound or not. </w:t>
      </w:r>
    </w:p>
    <w:p w:rsidR="003568A5" w:rsidRPr="003568A5" w:rsidRDefault="003568A5" w:rsidP="00E92A45">
      <w:pPr>
        <w:pStyle w:val="ListParagraph"/>
        <w:spacing w:after="0" w:line="240" w:lineRule="auto"/>
        <w:jc w:val="both"/>
        <w:rPr>
          <w:rFonts w:ascii="Times New Roman" w:hAnsi="Times New Roman" w:cs="Times New Roman"/>
          <w:b/>
          <w:sz w:val="28"/>
          <w:szCs w:val="28"/>
          <w:u w:val="single"/>
        </w:rPr>
      </w:pPr>
    </w:p>
    <w:p w:rsidR="00CA11CB" w:rsidRDefault="004A59EC"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note that </w:t>
      </w:r>
      <w:r w:rsidR="00CA11CB">
        <w:rPr>
          <w:rFonts w:ascii="Times New Roman" w:hAnsi="Times New Roman" w:cs="Times New Roman"/>
          <w:sz w:val="28"/>
          <w:szCs w:val="28"/>
        </w:rPr>
        <w:t>Holubec did not at any time serve the Plaintiff with a notice to admit facts under Rule 294.</w:t>
      </w:r>
    </w:p>
    <w:p w:rsidR="00CA11CB" w:rsidRDefault="00CA11CB" w:rsidP="00E92A45">
      <w:pPr>
        <w:pStyle w:val="ListParagraph"/>
        <w:spacing w:after="0" w:line="240" w:lineRule="auto"/>
        <w:ind w:left="0"/>
        <w:jc w:val="both"/>
        <w:rPr>
          <w:rFonts w:ascii="Times New Roman" w:hAnsi="Times New Roman" w:cs="Times New Roman"/>
          <w:sz w:val="28"/>
          <w:szCs w:val="28"/>
        </w:rPr>
      </w:pPr>
    </w:p>
    <w:p w:rsidR="00AB23C8" w:rsidRPr="00AD21B4" w:rsidRDefault="004A59EC"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As indicated</w:t>
      </w:r>
      <w:r w:rsidR="003568A5">
        <w:rPr>
          <w:rFonts w:ascii="Times New Roman" w:hAnsi="Times New Roman" w:cs="Times New Roman"/>
          <w:sz w:val="28"/>
          <w:szCs w:val="28"/>
        </w:rPr>
        <w:t xml:space="preserve">, </w:t>
      </w:r>
      <w:r w:rsidR="00712640">
        <w:rPr>
          <w:rFonts w:ascii="Times New Roman" w:hAnsi="Times New Roman" w:cs="Times New Roman"/>
          <w:sz w:val="28"/>
          <w:szCs w:val="28"/>
        </w:rPr>
        <w:t>Holubec made an offer to settle early in the process</w:t>
      </w:r>
      <w:r w:rsidR="003568A5">
        <w:rPr>
          <w:rFonts w:ascii="Times New Roman" w:hAnsi="Times New Roman" w:cs="Times New Roman"/>
          <w:sz w:val="28"/>
          <w:szCs w:val="28"/>
        </w:rPr>
        <w:t xml:space="preserve"> under the regime set out in Rules 193 to 203.</w:t>
      </w:r>
      <w:r w:rsidR="007468DF">
        <w:rPr>
          <w:rFonts w:ascii="Times New Roman" w:hAnsi="Times New Roman" w:cs="Times New Roman"/>
          <w:sz w:val="28"/>
          <w:szCs w:val="28"/>
        </w:rPr>
        <w:t xml:space="preserve"> </w:t>
      </w:r>
      <w:r w:rsidR="00712640">
        <w:rPr>
          <w:rFonts w:ascii="Times New Roman" w:hAnsi="Times New Roman" w:cs="Times New Roman"/>
          <w:sz w:val="28"/>
          <w:szCs w:val="28"/>
        </w:rPr>
        <w:t xml:space="preserve"> It is argued that Holube</w:t>
      </w:r>
      <w:r w:rsidR="003568A5">
        <w:rPr>
          <w:rFonts w:ascii="Times New Roman" w:hAnsi="Times New Roman" w:cs="Times New Roman"/>
          <w:sz w:val="28"/>
          <w:szCs w:val="28"/>
        </w:rPr>
        <w:t>c’s success on the summary judg</w:t>
      </w:r>
      <w:r w:rsidR="00712640">
        <w:rPr>
          <w:rFonts w:ascii="Times New Roman" w:hAnsi="Times New Roman" w:cs="Times New Roman"/>
          <w:sz w:val="28"/>
          <w:szCs w:val="28"/>
        </w:rPr>
        <w:t xml:space="preserve">ment application was better than the offer. </w:t>
      </w:r>
      <w:r w:rsidR="007468DF">
        <w:rPr>
          <w:rFonts w:ascii="Times New Roman" w:hAnsi="Times New Roman" w:cs="Times New Roman"/>
          <w:sz w:val="28"/>
          <w:szCs w:val="28"/>
        </w:rPr>
        <w:t xml:space="preserve"> </w:t>
      </w:r>
      <w:r w:rsidR="003568A5">
        <w:rPr>
          <w:rFonts w:ascii="Times New Roman" w:hAnsi="Times New Roman" w:cs="Times New Roman"/>
          <w:sz w:val="28"/>
          <w:szCs w:val="28"/>
        </w:rPr>
        <w:t xml:space="preserve">Although </w:t>
      </w:r>
      <w:r w:rsidR="00712640">
        <w:rPr>
          <w:rFonts w:ascii="Times New Roman" w:hAnsi="Times New Roman" w:cs="Times New Roman"/>
          <w:sz w:val="28"/>
          <w:szCs w:val="28"/>
        </w:rPr>
        <w:t xml:space="preserve">this offer </w:t>
      </w:r>
      <w:r w:rsidR="003568A5">
        <w:rPr>
          <w:rFonts w:ascii="Times New Roman" w:hAnsi="Times New Roman" w:cs="Times New Roman"/>
          <w:sz w:val="28"/>
          <w:szCs w:val="28"/>
        </w:rPr>
        <w:t xml:space="preserve">did not comply with the </w:t>
      </w:r>
      <w:r w:rsidR="00712640">
        <w:rPr>
          <w:rFonts w:ascii="Times New Roman" w:hAnsi="Times New Roman" w:cs="Times New Roman"/>
          <w:sz w:val="28"/>
          <w:szCs w:val="28"/>
        </w:rPr>
        <w:t>prerequisites under Rule 203</w:t>
      </w:r>
      <w:r w:rsidR="003568A5">
        <w:rPr>
          <w:rFonts w:ascii="Times New Roman" w:hAnsi="Times New Roman" w:cs="Times New Roman"/>
          <w:sz w:val="28"/>
          <w:szCs w:val="28"/>
        </w:rPr>
        <w:t xml:space="preserve">, Holubec argues it </w:t>
      </w:r>
      <w:r>
        <w:rPr>
          <w:rFonts w:ascii="Times New Roman" w:hAnsi="Times New Roman" w:cs="Times New Roman"/>
          <w:sz w:val="28"/>
          <w:szCs w:val="28"/>
        </w:rPr>
        <w:t xml:space="preserve">may </w:t>
      </w:r>
      <w:r w:rsidR="00712640">
        <w:rPr>
          <w:rFonts w:ascii="Times New Roman" w:hAnsi="Times New Roman" w:cs="Times New Roman"/>
          <w:sz w:val="28"/>
          <w:szCs w:val="28"/>
        </w:rPr>
        <w:t xml:space="preserve">be taken into account in determining the appropriate scale of costs.  </w:t>
      </w:r>
      <w:r w:rsidR="00D90C98">
        <w:rPr>
          <w:rFonts w:ascii="Times New Roman" w:hAnsi="Times New Roman" w:cs="Times New Roman"/>
          <w:i/>
          <w:sz w:val="28"/>
          <w:szCs w:val="28"/>
        </w:rPr>
        <w:t>Fullowka v Royal Oak Ventures Inc., supra.</w:t>
      </w:r>
    </w:p>
    <w:p w:rsidR="00AD21B4" w:rsidRDefault="00AD21B4" w:rsidP="00E92A45">
      <w:pPr>
        <w:pStyle w:val="ListParagraph"/>
        <w:spacing w:after="0" w:line="240" w:lineRule="auto"/>
        <w:ind w:left="0"/>
        <w:jc w:val="both"/>
        <w:rPr>
          <w:rFonts w:ascii="Times New Roman" w:hAnsi="Times New Roman" w:cs="Times New Roman"/>
          <w:sz w:val="28"/>
          <w:szCs w:val="28"/>
        </w:rPr>
      </w:pPr>
    </w:p>
    <w:p w:rsidR="00905841" w:rsidRDefault="0090584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Holubec</w:t>
      </w:r>
      <w:r w:rsidR="00362CA5">
        <w:rPr>
          <w:rFonts w:ascii="Times New Roman" w:hAnsi="Times New Roman" w:cs="Times New Roman"/>
          <w:sz w:val="28"/>
          <w:szCs w:val="28"/>
        </w:rPr>
        <w:t xml:space="preserve"> submits that solicitor-</w:t>
      </w:r>
      <w:r>
        <w:rPr>
          <w:rFonts w:ascii="Times New Roman" w:hAnsi="Times New Roman" w:cs="Times New Roman"/>
          <w:sz w:val="28"/>
          <w:szCs w:val="28"/>
        </w:rPr>
        <w:t>and</w:t>
      </w:r>
      <w:r w:rsidR="00362CA5">
        <w:rPr>
          <w:rFonts w:ascii="Times New Roman" w:hAnsi="Times New Roman" w:cs="Times New Roman"/>
          <w:sz w:val="28"/>
          <w:szCs w:val="28"/>
        </w:rPr>
        <w:t>-</w:t>
      </w:r>
      <w:r>
        <w:rPr>
          <w:rFonts w:ascii="Times New Roman" w:hAnsi="Times New Roman" w:cs="Times New Roman"/>
          <w:sz w:val="28"/>
          <w:szCs w:val="28"/>
        </w:rPr>
        <w:t>client costs should be imposed on the Plaintiff under Rule 180(3).  It applies specifically to summary judgment applications and provides:</w:t>
      </w:r>
    </w:p>
    <w:p w:rsidR="00905841" w:rsidRDefault="00905841" w:rsidP="00E92A45">
      <w:pPr>
        <w:pStyle w:val="ListParagraph"/>
        <w:spacing w:after="0" w:line="240" w:lineRule="auto"/>
        <w:ind w:left="0"/>
        <w:jc w:val="both"/>
        <w:rPr>
          <w:rFonts w:ascii="Times New Roman" w:hAnsi="Times New Roman" w:cs="Times New Roman"/>
          <w:sz w:val="28"/>
          <w:szCs w:val="28"/>
        </w:rPr>
      </w:pPr>
    </w:p>
    <w:p w:rsidR="00905841" w:rsidRPr="001B5AFB" w:rsidRDefault="00905841" w:rsidP="0057289E">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180. </w:t>
      </w:r>
      <w:r w:rsidRPr="001B5AFB">
        <w:rPr>
          <w:rFonts w:ascii="Times New Roman" w:hAnsi="Times New Roman" w:cs="Times New Roman"/>
          <w:sz w:val="24"/>
          <w:szCs w:val="24"/>
        </w:rPr>
        <w:t>(3) Where it appears to the Court that a party to an application for summary judgment has acted in bad faith or primarily for the purpose of delay, the Court shall fix the costs of the application on a solicitor and client basis and order the party to pay them without delay.</w:t>
      </w:r>
    </w:p>
    <w:p w:rsidR="00905841" w:rsidRDefault="00905841" w:rsidP="00E92A45">
      <w:pPr>
        <w:pStyle w:val="ListParagraph"/>
        <w:spacing w:after="0" w:line="240" w:lineRule="auto"/>
        <w:ind w:left="0"/>
        <w:jc w:val="both"/>
        <w:rPr>
          <w:rFonts w:ascii="Times New Roman" w:hAnsi="Times New Roman" w:cs="Times New Roman"/>
          <w:sz w:val="28"/>
          <w:szCs w:val="28"/>
        </w:rPr>
      </w:pPr>
    </w:p>
    <w:p w:rsidR="00D90C98" w:rsidRDefault="00905841" w:rsidP="00E92A45">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Holubec does not allege that the Plaintiff acted in bad faith, but argues that </w:t>
      </w:r>
      <w:r w:rsidR="00AA33DD">
        <w:rPr>
          <w:rFonts w:ascii="Times New Roman" w:hAnsi="Times New Roman" w:cs="Times New Roman"/>
          <w:sz w:val="28"/>
          <w:szCs w:val="28"/>
        </w:rPr>
        <w:t xml:space="preserve">the Plaintiff resisted the application on the basis that the summary judgment application was </w:t>
      </w:r>
      <w:r w:rsidR="00AA33DD" w:rsidRPr="00E650B9">
        <w:rPr>
          <w:rFonts w:ascii="Times New Roman" w:hAnsi="Times New Roman" w:cs="Times New Roman"/>
          <w:sz w:val="28"/>
          <w:szCs w:val="28"/>
        </w:rPr>
        <w:t>premature</w:t>
      </w:r>
      <w:r w:rsidR="00AA33DD">
        <w:rPr>
          <w:rFonts w:ascii="Times New Roman" w:hAnsi="Times New Roman" w:cs="Times New Roman"/>
          <w:sz w:val="28"/>
          <w:szCs w:val="28"/>
        </w:rPr>
        <w:t xml:space="preserve"> and that it needed more time.  This, it is submitted, is “delay” within the meaning of Rule 180(3) and accordingly, mandates an award of solicitor and client costs. </w:t>
      </w:r>
    </w:p>
    <w:p w:rsidR="00362CA5" w:rsidRDefault="00362CA5" w:rsidP="00E92A45">
      <w:pPr>
        <w:pStyle w:val="ListParagraph"/>
        <w:spacing w:after="0" w:line="240" w:lineRule="auto"/>
        <w:ind w:left="0"/>
        <w:jc w:val="both"/>
        <w:rPr>
          <w:rFonts w:ascii="Times New Roman" w:hAnsi="Times New Roman" w:cs="Times New Roman"/>
          <w:sz w:val="28"/>
          <w:szCs w:val="28"/>
        </w:rPr>
      </w:pPr>
    </w:p>
    <w:p w:rsidR="00362CA5" w:rsidRDefault="00362CA5"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Before moving</w:t>
      </w:r>
      <w:r w:rsidR="00EA7DC7">
        <w:rPr>
          <w:rFonts w:ascii="Times New Roman" w:hAnsi="Times New Roman" w:cs="Times New Roman"/>
          <w:sz w:val="28"/>
          <w:szCs w:val="28"/>
        </w:rPr>
        <w:t xml:space="preserve"> on to the Plaintiff’s position</w:t>
      </w:r>
      <w:r>
        <w:rPr>
          <w:rFonts w:ascii="Times New Roman" w:hAnsi="Times New Roman" w:cs="Times New Roman"/>
          <w:sz w:val="28"/>
          <w:szCs w:val="28"/>
        </w:rPr>
        <w:t xml:space="preserve">, I will address those </w:t>
      </w:r>
      <w:r w:rsidR="000D2681">
        <w:rPr>
          <w:rFonts w:ascii="Times New Roman" w:hAnsi="Times New Roman" w:cs="Times New Roman"/>
          <w:sz w:val="28"/>
          <w:szCs w:val="28"/>
        </w:rPr>
        <w:t xml:space="preserve">issues raised by Holubec </w:t>
      </w:r>
      <w:r>
        <w:rPr>
          <w:rFonts w:ascii="Times New Roman" w:hAnsi="Times New Roman" w:cs="Times New Roman"/>
          <w:sz w:val="28"/>
          <w:szCs w:val="28"/>
        </w:rPr>
        <w:t xml:space="preserve">which, in my view, do not support an award of </w:t>
      </w:r>
      <w:r w:rsidR="00EA7DC7">
        <w:rPr>
          <w:rFonts w:ascii="Times New Roman" w:hAnsi="Times New Roman" w:cs="Times New Roman"/>
          <w:sz w:val="28"/>
          <w:szCs w:val="28"/>
        </w:rPr>
        <w:t xml:space="preserve">enhanced, solicitor-and-client, or full-indemnity </w:t>
      </w:r>
      <w:r>
        <w:rPr>
          <w:rFonts w:ascii="Times New Roman" w:hAnsi="Times New Roman" w:cs="Times New Roman"/>
          <w:sz w:val="28"/>
          <w:szCs w:val="28"/>
        </w:rPr>
        <w:t xml:space="preserve">costs. </w:t>
      </w:r>
    </w:p>
    <w:p w:rsidR="002713FD" w:rsidRPr="002713FD" w:rsidRDefault="002713FD" w:rsidP="00E92A45">
      <w:pPr>
        <w:pStyle w:val="ListParagraph"/>
        <w:spacing w:line="240" w:lineRule="auto"/>
        <w:rPr>
          <w:rFonts w:ascii="Times New Roman" w:hAnsi="Times New Roman" w:cs="Times New Roman"/>
          <w:sz w:val="28"/>
          <w:szCs w:val="28"/>
        </w:rPr>
      </w:pPr>
    </w:p>
    <w:p w:rsidR="00691046" w:rsidRDefault="00362CA5" w:rsidP="00E92A45">
      <w:pPr>
        <w:pStyle w:val="ListParagraph"/>
        <w:numPr>
          <w:ilvl w:val="0"/>
          <w:numId w:val="10"/>
        </w:numPr>
        <w:spacing w:after="0" w:line="240" w:lineRule="auto"/>
        <w:jc w:val="both"/>
        <w:rPr>
          <w:rFonts w:ascii="Times New Roman" w:hAnsi="Times New Roman" w:cs="Times New Roman"/>
          <w:sz w:val="28"/>
          <w:szCs w:val="28"/>
        </w:rPr>
      </w:pPr>
      <w:r w:rsidRPr="002713FD">
        <w:rPr>
          <w:rFonts w:ascii="Times New Roman" w:hAnsi="Times New Roman" w:cs="Times New Roman"/>
          <w:sz w:val="28"/>
          <w:szCs w:val="28"/>
        </w:rPr>
        <w:t>I turn first to the arguments that solicitor-and-client costs s</w:t>
      </w:r>
      <w:r w:rsidR="000D2681">
        <w:rPr>
          <w:rFonts w:ascii="Times New Roman" w:hAnsi="Times New Roman" w:cs="Times New Roman"/>
          <w:sz w:val="28"/>
          <w:szCs w:val="28"/>
        </w:rPr>
        <w:t xml:space="preserve">hould be awarded under </w:t>
      </w:r>
      <w:r w:rsidRPr="002713FD">
        <w:rPr>
          <w:rFonts w:ascii="Times New Roman" w:hAnsi="Times New Roman" w:cs="Times New Roman"/>
          <w:sz w:val="28"/>
          <w:szCs w:val="28"/>
        </w:rPr>
        <w:t>Rules</w:t>
      </w:r>
      <w:r w:rsidR="000D2681">
        <w:rPr>
          <w:rFonts w:ascii="Times New Roman" w:hAnsi="Times New Roman" w:cs="Times New Roman"/>
          <w:sz w:val="28"/>
          <w:szCs w:val="28"/>
        </w:rPr>
        <w:t xml:space="preserve"> 128 and 180(3)</w:t>
      </w:r>
      <w:r w:rsidR="00B40B81">
        <w:rPr>
          <w:rFonts w:ascii="Times New Roman" w:hAnsi="Times New Roman" w:cs="Times New Roman"/>
          <w:sz w:val="28"/>
          <w:szCs w:val="28"/>
        </w:rPr>
        <w:t>.</w:t>
      </w:r>
    </w:p>
    <w:p w:rsidR="00691046" w:rsidRPr="00691046" w:rsidRDefault="00691046" w:rsidP="00E92A45">
      <w:pPr>
        <w:pStyle w:val="ListParagraph"/>
        <w:spacing w:line="240" w:lineRule="auto"/>
        <w:rPr>
          <w:rFonts w:ascii="Times New Roman" w:hAnsi="Times New Roman" w:cs="Times New Roman"/>
          <w:sz w:val="28"/>
          <w:szCs w:val="28"/>
        </w:rPr>
      </w:pPr>
    </w:p>
    <w:p w:rsidR="002713FD" w:rsidRPr="002713FD" w:rsidRDefault="00362CA5" w:rsidP="00E92A45">
      <w:pPr>
        <w:pStyle w:val="ListParagraph"/>
        <w:numPr>
          <w:ilvl w:val="0"/>
          <w:numId w:val="10"/>
        </w:numPr>
        <w:spacing w:after="0" w:line="240" w:lineRule="auto"/>
        <w:jc w:val="both"/>
        <w:rPr>
          <w:rFonts w:ascii="Times New Roman" w:hAnsi="Times New Roman" w:cs="Times New Roman"/>
          <w:sz w:val="28"/>
          <w:szCs w:val="28"/>
        </w:rPr>
      </w:pPr>
      <w:r w:rsidRPr="002713FD">
        <w:rPr>
          <w:rFonts w:ascii="Times New Roman" w:hAnsi="Times New Roman" w:cs="Times New Roman"/>
          <w:sz w:val="28"/>
          <w:szCs w:val="28"/>
        </w:rPr>
        <w:t xml:space="preserve">Rule 128 </w:t>
      </w:r>
      <w:r w:rsidR="00B40B81">
        <w:rPr>
          <w:rFonts w:ascii="Times New Roman" w:hAnsi="Times New Roman" w:cs="Times New Roman"/>
          <w:sz w:val="28"/>
          <w:szCs w:val="28"/>
        </w:rPr>
        <w:t>is inapplicable</w:t>
      </w:r>
      <w:r w:rsidR="002713FD" w:rsidRPr="002713FD">
        <w:rPr>
          <w:rFonts w:ascii="Times New Roman" w:hAnsi="Times New Roman" w:cs="Times New Roman"/>
          <w:sz w:val="28"/>
          <w:szCs w:val="28"/>
        </w:rPr>
        <w:t xml:space="preserve">.  It </w:t>
      </w:r>
      <w:r w:rsidRPr="002713FD">
        <w:rPr>
          <w:rFonts w:ascii="Times New Roman" w:hAnsi="Times New Roman" w:cs="Times New Roman"/>
          <w:sz w:val="28"/>
          <w:szCs w:val="28"/>
        </w:rPr>
        <w:t xml:space="preserve">pertains to </w:t>
      </w:r>
      <w:r w:rsidR="002713FD" w:rsidRPr="002713FD">
        <w:rPr>
          <w:rFonts w:ascii="Times New Roman" w:hAnsi="Times New Roman" w:cs="Times New Roman"/>
          <w:sz w:val="28"/>
          <w:szCs w:val="28"/>
        </w:rPr>
        <w:t xml:space="preserve">admissions in </w:t>
      </w:r>
      <w:r w:rsidRPr="002713FD">
        <w:rPr>
          <w:rFonts w:ascii="Times New Roman" w:hAnsi="Times New Roman" w:cs="Times New Roman"/>
          <w:sz w:val="28"/>
          <w:szCs w:val="28"/>
        </w:rPr>
        <w:t>pleadings.  Its purpose is</w:t>
      </w:r>
      <w:r w:rsidR="0092295F" w:rsidRPr="002713FD">
        <w:rPr>
          <w:rFonts w:ascii="Times New Roman" w:hAnsi="Times New Roman" w:cs="Times New Roman"/>
          <w:sz w:val="28"/>
          <w:szCs w:val="28"/>
        </w:rPr>
        <w:t xml:space="preserve"> to discourage parties from putting </w:t>
      </w:r>
      <w:r w:rsidR="002713FD" w:rsidRPr="002713FD">
        <w:rPr>
          <w:rFonts w:ascii="Times New Roman" w:hAnsi="Times New Roman" w:cs="Times New Roman"/>
          <w:sz w:val="28"/>
          <w:szCs w:val="28"/>
        </w:rPr>
        <w:t>matters in issue unnecessarily by refusing to admit facts know</w:t>
      </w:r>
      <w:r w:rsidR="002713FD">
        <w:rPr>
          <w:rFonts w:ascii="Times New Roman" w:hAnsi="Times New Roman" w:cs="Times New Roman"/>
          <w:sz w:val="28"/>
          <w:szCs w:val="28"/>
        </w:rPr>
        <w:t xml:space="preserve">n to be true. </w:t>
      </w:r>
      <w:r w:rsidR="002713FD" w:rsidRPr="002713FD">
        <w:rPr>
          <w:rFonts w:ascii="Times New Roman" w:eastAsia="Times New Roman" w:hAnsi="Times New Roman" w:cs="Times New Roman"/>
          <w:bCs/>
          <w:i/>
          <w:color w:val="252525"/>
          <w:sz w:val="28"/>
          <w:szCs w:val="28"/>
        </w:rPr>
        <w:t xml:space="preserve">Twentieth Century-Fox Corp. Ltd. </w:t>
      </w:r>
      <w:r w:rsidR="002713FD">
        <w:rPr>
          <w:rFonts w:ascii="Times New Roman" w:eastAsia="Times New Roman" w:hAnsi="Times New Roman" w:cs="Times New Roman"/>
          <w:bCs/>
          <w:i/>
          <w:color w:val="252525"/>
          <w:sz w:val="28"/>
          <w:szCs w:val="28"/>
        </w:rPr>
        <w:t>v</w:t>
      </w:r>
      <w:r w:rsidR="002713FD" w:rsidRPr="002713FD">
        <w:rPr>
          <w:rFonts w:ascii="Times New Roman" w:eastAsia="Times New Roman" w:hAnsi="Times New Roman" w:cs="Times New Roman"/>
          <w:bCs/>
          <w:i/>
          <w:color w:val="252525"/>
          <w:sz w:val="28"/>
          <w:szCs w:val="28"/>
        </w:rPr>
        <w:t xml:space="preserve"> Broadway Theatres Ltd. (No. 2)</w:t>
      </w:r>
      <w:r w:rsidR="002713FD">
        <w:rPr>
          <w:rFonts w:ascii="Times New Roman" w:eastAsia="Times New Roman" w:hAnsi="Times New Roman" w:cs="Times New Roman"/>
          <w:bCs/>
          <w:i/>
          <w:color w:val="252525"/>
          <w:sz w:val="28"/>
          <w:szCs w:val="28"/>
        </w:rPr>
        <w:t xml:space="preserve">, </w:t>
      </w:r>
      <w:r w:rsidR="002713FD" w:rsidRPr="002713FD">
        <w:rPr>
          <w:rFonts w:ascii="Times New Roman" w:eastAsia="Times New Roman" w:hAnsi="Times New Roman" w:cs="Times New Roman"/>
          <w:color w:val="212121"/>
          <w:sz w:val="28"/>
          <w:szCs w:val="28"/>
        </w:rPr>
        <w:t>1951 CarswellSask 24, [1951] 3 D.L.R.</w:t>
      </w:r>
      <w:r w:rsidR="002713FD">
        <w:rPr>
          <w:rFonts w:ascii="Times New Roman" w:eastAsia="Times New Roman" w:hAnsi="Times New Roman" w:cs="Times New Roman"/>
          <w:color w:val="212121"/>
          <w:sz w:val="28"/>
          <w:szCs w:val="28"/>
        </w:rPr>
        <w:t xml:space="preserve"> 105 at 121.</w:t>
      </w:r>
      <w:r w:rsidR="000D2681">
        <w:rPr>
          <w:rFonts w:ascii="Times New Roman" w:eastAsia="Times New Roman" w:hAnsi="Times New Roman" w:cs="Times New Roman"/>
          <w:color w:val="212121"/>
          <w:sz w:val="28"/>
          <w:szCs w:val="28"/>
        </w:rPr>
        <w:t xml:space="preserve"> </w:t>
      </w:r>
    </w:p>
    <w:p w:rsidR="002713FD" w:rsidRPr="002713FD" w:rsidRDefault="002713FD" w:rsidP="00E92A45">
      <w:pPr>
        <w:pStyle w:val="ListParagraph"/>
        <w:spacing w:line="240" w:lineRule="auto"/>
        <w:rPr>
          <w:rFonts w:ascii="Times New Roman" w:hAnsi="Times New Roman" w:cs="Times New Roman"/>
          <w:sz w:val="28"/>
          <w:szCs w:val="28"/>
        </w:rPr>
      </w:pPr>
    </w:p>
    <w:p w:rsidR="00691046" w:rsidRPr="00B40B81" w:rsidRDefault="002713F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evidence does not support </w:t>
      </w:r>
      <w:r w:rsidR="009D24E8">
        <w:rPr>
          <w:rFonts w:ascii="Times New Roman" w:hAnsi="Times New Roman" w:cs="Times New Roman"/>
          <w:sz w:val="28"/>
          <w:szCs w:val="28"/>
        </w:rPr>
        <w:t>an award of</w:t>
      </w:r>
      <w:r>
        <w:rPr>
          <w:rFonts w:ascii="Times New Roman" w:hAnsi="Times New Roman" w:cs="Times New Roman"/>
          <w:sz w:val="28"/>
          <w:szCs w:val="28"/>
        </w:rPr>
        <w:t xml:space="preserve"> solicitor-and</w:t>
      </w:r>
      <w:r w:rsidR="009D24E8">
        <w:rPr>
          <w:rFonts w:ascii="Times New Roman" w:hAnsi="Times New Roman" w:cs="Times New Roman"/>
          <w:sz w:val="28"/>
          <w:szCs w:val="28"/>
        </w:rPr>
        <w:t xml:space="preserve">-client costs </w:t>
      </w:r>
      <w:r>
        <w:rPr>
          <w:rFonts w:ascii="Times New Roman" w:hAnsi="Times New Roman" w:cs="Times New Roman"/>
          <w:sz w:val="28"/>
          <w:szCs w:val="28"/>
        </w:rPr>
        <w:t xml:space="preserve">under Rule 180(3).  Although the Plaintiff argued that the application for summary judgment was, in its view, premature, there is no evidence that the Plaintiff engaged in conduct designed “primarily for the purpose of delay” in respect to Holubec’s summary judgment application. </w:t>
      </w:r>
    </w:p>
    <w:p w:rsidR="000D2681" w:rsidRPr="000D2681" w:rsidRDefault="000D2681" w:rsidP="00E92A45">
      <w:pPr>
        <w:pStyle w:val="ListParagraph"/>
        <w:spacing w:line="240" w:lineRule="auto"/>
        <w:rPr>
          <w:rFonts w:ascii="Times New Roman" w:hAnsi="Times New Roman" w:cs="Times New Roman"/>
          <w:sz w:val="28"/>
          <w:szCs w:val="28"/>
        </w:rPr>
      </w:pPr>
    </w:p>
    <w:p w:rsidR="004A59EC" w:rsidRDefault="000D268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 the issue of whether the Plaintiff’s conduct during</w:t>
      </w:r>
      <w:r w:rsidR="00E114C9">
        <w:rPr>
          <w:rFonts w:ascii="Times New Roman" w:hAnsi="Times New Roman" w:cs="Times New Roman"/>
          <w:sz w:val="28"/>
          <w:szCs w:val="28"/>
        </w:rPr>
        <w:t xml:space="preserve"> the litigation attracts </w:t>
      </w:r>
      <w:r>
        <w:rPr>
          <w:rFonts w:ascii="Times New Roman" w:hAnsi="Times New Roman" w:cs="Times New Roman"/>
          <w:sz w:val="28"/>
          <w:szCs w:val="28"/>
        </w:rPr>
        <w:t>enhanced</w:t>
      </w:r>
      <w:r w:rsidR="00E114C9">
        <w:rPr>
          <w:rFonts w:ascii="Times New Roman" w:hAnsi="Times New Roman" w:cs="Times New Roman"/>
          <w:sz w:val="28"/>
          <w:szCs w:val="28"/>
        </w:rPr>
        <w:t>,</w:t>
      </w:r>
      <w:r>
        <w:rPr>
          <w:rFonts w:ascii="Times New Roman" w:hAnsi="Times New Roman" w:cs="Times New Roman"/>
          <w:sz w:val="28"/>
          <w:szCs w:val="28"/>
        </w:rPr>
        <w:t xml:space="preserve"> solicitor-and-client</w:t>
      </w:r>
      <w:r w:rsidR="00E114C9">
        <w:rPr>
          <w:rFonts w:ascii="Times New Roman" w:hAnsi="Times New Roman" w:cs="Times New Roman"/>
          <w:sz w:val="28"/>
          <w:szCs w:val="28"/>
        </w:rPr>
        <w:t>, or full-indemnity</w:t>
      </w:r>
      <w:r>
        <w:rPr>
          <w:rFonts w:ascii="Times New Roman" w:hAnsi="Times New Roman" w:cs="Times New Roman"/>
          <w:sz w:val="28"/>
          <w:szCs w:val="28"/>
        </w:rPr>
        <w:t xml:space="preserve"> costs, I </w:t>
      </w:r>
      <w:r w:rsidR="007C269D">
        <w:rPr>
          <w:rFonts w:ascii="Times New Roman" w:hAnsi="Times New Roman" w:cs="Times New Roman"/>
          <w:sz w:val="28"/>
          <w:szCs w:val="28"/>
        </w:rPr>
        <w:t xml:space="preserve">find it does not.  While Holubec may have disagreed with the </w:t>
      </w:r>
      <w:r w:rsidR="00E114C9">
        <w:rPr>
          <w:rFonts w:ascii="Times New Roman" w:hAnsi="Times New Roman" w:cs="Times New Roman"/>
          <w:sz w:val="28"/>
          <w:szCs w:val="28"/>
        </w:rPr>
        <w:t xml:space="preserve">decisions the Plaintiff made on </w:t>
      </w:r>
      <w:r w:rsidR="007C269D">
        <w:rPr>
          <w:rFonts w:ascii="Times New Roman" w:hAnsi="Times New Roman" w:cs="Times New Roman"/>
          <w:sz w:val="28"/>
          <w:szCs w:val="28"/>
        </w:rPr>
        <w:t>how it would condu</w:t>
      </w:r>
      <w:r w:rsidR="004A59EC">
        <w:rPr>
          <w:rFonts w:ascii="Times New Roman" w:hAnsi="Times New Roman" w:cs="Times New Roman"/>
          <w:sz w:val="28"/>
          <w:szCs w:val="28"/>
        </w:rPr>
        <w:t xml:space="preserve">ct the action, there is insufficient </w:t>
      </w:r>
      <w:r w:rsidR="007C269D">
        <w:rPr>
          <w:rFonts w:ascii="Times New Roman" w:hAnsi="Times New Roman" w:cs="Times New Roman"/>
          <w:sz w:val="28"/>
          <w:szCs w:val="28"/>
        </w:rPr>
        <w:t>evidence t</w:t>
      </w:r>
      <w:r w:rsidR="004A59EC">
        <w:rPr>
          <w:rFonts w:ascii="Times New Roman" w:hAnsi="Times New Roman" w:cs="Times New Roman"/>
          <w:sz w:val="28"/>
          <w:szCs w:val="28"/>
        </w:rPr>
        <w:t>o</w:t>
      </w:r>
      <w:r w:rsidR="007C269D">
        <w:rPr>
          <w:rFonts w:ascii="Times New Roman" w:hAnsi="Times New Roman" w:cs="Times New Roman"/>
          <w:sz w:val="28"/>
          <w:szCs w:val="28"/>
        </w:rPr>
        <w:t xml:space="preserve"> support a finding that the Plaintiff’s conduct in the steps it took during the litigation was outrageous, scandalous or reprehensible</w:t>
      </w:r>
      <w:r w:rsidR="006F016E">
        <w:rPr>
          <w:rFonts w:ascii="Times New Roman" w:hAnsi="Times New Roman" w:cs="Times New Roman"/>
          <w:sz w:val="28"/>
          <w:szCs w:val="28"/>
        </w:rPr>
        <w:t xml:space="preserve">. </w:t>
      </w:r>
    </w:p>
    <w:p w:rsidR="004A59EC" w:rsidRPr="004A59EC" w:rsidRDefault="004A59EC" w:rsidP="00E92A45">
      <w:pPr>
        <w:pStyle w:val="ListParagraph"/>
        <w:spacing w:line="240" w:lineRule="auto"/>
        <w:rPr>
          <w:rFonts w:ascii="Times New Roman" w:hAnsi="Times New Roman" w:cs="Times New Roman"/>
          <w:sz w:val="28"/>
          <w:szCs w:val="28"/>
        </w:rPr>
      </w:pPr>
    </w:p>
    <w:p w:rsidR="002713FD" w:rsidRDefault="006F016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Similarly, </w:t>
      </w:r>
      <w:r w:rsidR="007C269D">
        <w:rPr>
          <w:rFonts w:ascii="Times New Roman" w:hAnsi="Times New Roman" w:cs="Times New Roman"/>
          <w:sz w:val="28"/>
          <w:szCs w:val="28"/>
        </w:rPr>
        <w:t>Holubec</w:t>
      </w:r>
      <w:r>
        <w:rPr>
          <w:rFonts w:ascii="Times New Roman" w:hAnsi="Times New Roman" w:cs="Times New Roman"/>
          <w:sz w:val="28"/>
          <w:szCs w:val="28"/>
        </w:rPr>
        <w:t xml:space="preserve">’s opinion that </w:t>
      </w:r>
      <w:r w:rsidR="007C269D">
        <w:rPr>
          <w:rFonts w:ascii="Times New Roman" w:hAnsi="Times New Roman" w:cs="Times New Roman"/>
          <w:sz w:val="28"/>
          <w:szCs w:val="28"/>
        </w:rPr>
        <w:t xml:space="preserve">the answers Mr. Burns and Mr. Engram gave during their respective cross-examinations </w:t>
      </w:r>
      <w:r>
        <w:rPr>
          <w:rFonts w:ascii="Times New Roman" w:hAnsi="Times New Roman" w:cs="Times New Roman"/>
          <w:sz w:val="28"/>
          <w:szCs w:val="28"/>
        </w:rPr>
        <w:t xml:space="preserve">were evasive, self-serving or otherwise </w:t>
      </w:r>
      <w:r w:rsidR="007C269D">
        <w:rPr>
          <w:rFonts w:ascii="Times New Roman" w:hAnsi="Times New Roman" w:cs="Times New Roman"/>
          <w:sz w:val="28"/>
          <w:szCs w:val="28"/>
        </w:rPr>
        <w:t>unsatisfactory is</w:t>
      </w:r>
      <w:r>
        <w:rPr>
          <w:rFonts w:ascii="Times New Roman" w:hAnsi="Times New Roman" w:cs="Times New Roman"/>
          <w:sz w:val="28"/>
          <w:szCs w:val="28"/>
        </w:rPr>
        <w:t xml:space="preserve"> just that – an opinion.  The evidence does not support the </w:t>
      </w:r>
      <w:r w:rsidR="00E114C9">
        <w:rPr>
          <w:rFonts w:ascii="Times New Roman" w:hAnsi="Times New Roman" w:cs="Times New Roman"/>
          <w:sz w:val="28"/>
          <w:szCs w:val="28"/>
        </w:rPr>
        <w:t>conclusion that either witness</w:t>
      </w:r>
      <w:r>
        <w:rPr>
          <w:rFonts w:ascii="Times New Roman" w:hAnsi="Times New Roman" w:cs="Times New Roman"/>
          <w:sz w:val="28"/>
          <w:szCs w:val="28"/>
        </w:rPr>
        <w:t xml:space="preserve"> was deliberately misleading, unprepared or evasive in answering the questions put to them.  It is also not surprising that in a case involving thousands of documents and some twelve individual and corporate parties there would be a significant number of undertakings given during examinations for discovery and that full disclosure of documents would take some time. </w:t>
      </w:r>
    </w:p>
    <w:p w:rsidR="006F016E" w:rsidRPr="006F016E" w:rsidRDefault="006F016E" w:rsidP="00E92A45">
      <w:pPr>
        <w:pStyle w:val="ListParagraph"/>
        <w:spacing w:line="240" w:lineRule="auto"/>
        <w:rPr>
          <w:rFonts w:ascii="Times New Roman" w:hAnsi="Times New Roman" w:cs="Times New Roman"/>
          <w:sz w:val="28"/>
          <w:szCs w:val="28"/>
        </w:rPr>
      </w:pPr>
    </w:p>
    <w:p w:rsidR="00B40B81" w:rsidRDefault="006F016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reject the argument that the Plaintiff took </w:t>
      </w:r>
      <w:r w:rsidRPr="006F016E">
        <w:rPr>
          <w:rFonts w:ascii="Times New Roman" w:hAnsi="Times New Roman" w:cs="Times New Roman"/>
          <w:sz w:val="28"/>
          <w:szCs w:val="28"/>
        </w:rPr>
        <w:t>“disingenuous” positions at the sum</w:t>
      </w:r>
      <w:r w:rsidR="00691046">
        <w:rPr>
          <w:rFonts w:ascii="Times New Roman" w:hAnsi="Times New Roman" w:cs="Times New Roman"/>
          <w:sz w:val="28"/>
          <w:szCs w:val="28"/>
        </w:rPr>
        <w:t>mar</w:t>
      </w:r>
      <w:r w:rsidR="002C4CB6">
        <w:rPr>
          <w:rFonts w:ascii="Times New Roman" w:hAnsi="Times New Roman" w:cs="Times New Roman"/>
          <w:sz w:val="28"/>
          <w:szCs w:val="28"/>
        </w:rPr>
        <w:t>y judgment application, thus attracting some form of enhanced costs.</w:t>
      </w:r>
      <w:r w:rsidR="001350AD">
        <w:rPr>
          <w:rFonts w:ascii="Times New Roman" w:hAnsi="Times New Roman" w:cs="Times New Roman"/>
          <w:sz w:val="28"/>
          <w:szCs w:val="28"/>
        </w:rPr>
        <w:t xml:space="preserve"> </w:t>
      </w:r>
      <w:r w:rsidR="00691046">
        <w:rPr>
          <w:rFonts w:ascii="Times New Roman" w:hAnsi="Times New Roman" w:cs="Times New Roman"/>
          <w:sz w:val="28"/>
          <w:szCs w:val="28"/>
        </w:rPr>
        <w:t xml:space="preserve"> </w:t>
      </w:r>
      <w:r>
        <w:rPr>
          <w:rFonts w:ascii="Times New Roman" w:hAnsi="Times New Roman" w:cs="Times New Roman"/>
          <w:sz w:val="28"/>
          <w:szCs w:val="28"/>
        </w:rPr>
        <w:t xml:space="preserve">The Plaintiff made a number of arguments </w:t>
      </w:r>
      <w:r w:rsidR="00691046">
        <w:rPr>
          <w:rFonts w:ascii="Times New Roman" w:hAnsi="Times New Roman" w:cs="Times New Roman"/>
          <w:sz w:val="28"/>
          <w:szCs w:val="28"/>
        </w:rPr>
        <w:t>in support of i</w:t>
      </w:r>
      <w:r w:rsidR="002C4CB6">
        <w:rPr>
          <w:rFonts w:ascii="Times New Roman" w:hAnsi="Times New Roman" w:cs="Times New Roman"/>
          <w:sz w:val="28"/>
          <w:szCs w:val="28"/>
        </w:rPr>
        <w:t xml:space="preserve">ts position on the application, including an argument that the application was premature. </w:t>
      </w:r>
      <w:r w:rsidR="001350AD">
        <w:rPr>
          <w:rFonts w:ascii="Times New Roman" w:hAnsi="Times New Roman" w:cs="Times New Roman"/>
          <w:sz w:val="28"/>
          <w:szCs w:val="28"/>
        </w:rPr>
        <w:t xml:space="preserve"> </w:t>
      </w:r>
      <w:r w:rsidR="002C4CB6">
        <w:rPr>
          <w:rFonts w:ascii="Times New Roman" w:hAnsi="Times New Roman" w:cs="Times New Roman"/>
          <w:sz w:val="28"/>
          <w:szCs w:val="28"/>
        </w:rPr>
        <w:t>It was entitled to make these arguments and n</w:t>
      </w:r>
      <w:r w:rsidR="00691046">
        <w:rPr>
          <w:rFonts w:ascii="Times New Roman" w:hAnsi="Times New Roman" w:cs="Times New Roman"/>
          <w:sz w:val="28"/>
          <w:szCs w:val="28"/>
        </w:rPr>
        <w:t>eithe</w:t>
      </w:r>
      <w:r w:rsidR="002C4CB6">
        <w:rPr>
          <w:rFonts w:ascii="Times New Roman" w:hAnsi="Times New Roman" w:cs="Times New Roman"/>
          <w:sz w:val="28"/>
          <w:szCs w:val="28"/>
        </w:rPr>
        <w:t xml:space="preserve">r the fact that they </w:t>
      </w:r>
      <w:r w:rsidR="00691046">
        <w:rPr>
          <w:rFonts w:ascii="Times New Roman" w:hAnsi="Times New Roman" w:cs="Times New Roman"/>
          <w:sz w:val="28"/>
          <w:szCs w:val="28"/>
        </w:rPr>
        <w:t xml:space="preserve">were unsuccessful, nor Holubec’s opinion on their merit or sincerity, </w:t>
      </w:r>
      <w:r w:rsidR="002C4CB6">
        <w:rPr>
          <w:rFonts w:ascii="Times New Roman" w:hAnsi="Times New Roman" w:cs="Times New Roman"/>
          <w:sz w:val="28"/>
          <w:szCs w:val="28"/>
        </w:rPr>
        <w:t>mean that they were “disingenuous”.</w:t>
      </w:r>
    </w:p>
    <w:p w:rsidR="00292879" w:rsidRPr="00292879" w:rsidRDefault="00292879" w:rsidP="00E92A45">
      <w:pPr>
        <w:pStyle w:val="ListParagraph"/>
        <w:spacing w:line="240" w:lineRule="auto"/>
        <w:rPr>
          <w:rFonts w:ascii="Times New Roman" w:hAnsi="Times New Roman" w:cs="Times New Roman"/>
          <w:sz w:val="28"/>
          <w:szCs w:val="28"/>
        </w:rPr>
      </w:pPr>
    </w:p>
    <w:p w:rsidR="00292879" w:rsidRDefault="00292879"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Finally, </w:t>
      </w:r>
      <w:r w:rsidR="00527C30">
        <w:rPr>
          <w:rFonts w:ascii="Times New Roman" w:hAnsi="Times New Roman" w:cs="Times New Roman"/>
          <w:sz w:val="28"/>
          <w:szCs w:val="28"/>
        </w:rPr>
        <w:t xml:space="preserve">the question of </w:t>
      </w:r>
      <w:r>
        <w:rPr>
          <w:rFonts w:ascii="Times New Roman" w:hAnsi="Times New Roman" w:cs="Times New Roman"/>
          <w:sz w:val="28"/>
          <w:szCs w:val="28"/>
        </w:rPr>
        <w:t xml:space="preserve">whether the Plaintiff had in its possession a report exonerating </w:t>
      </w:r>
      <w:r w:rsidR="00527C30">
        <w:rPr>
          <w:rFonts w:ascii="Times New Roman" w:hAnsi="Times New Roman" w:cs="Times New Roman"/>
          <w:sz w:val="28"/>
          <w:szCs w:val="28"/>
        </w:rPr>
        <w:t>Holubec at the time of the summary judgment application and whether that ought to have been produced cannot be determined on the basis of the evidence before me on this application.</w:t>
      </w:r>
      <w:r w:rsidR="001350AD">
        <w:rPr>
          <w:rFonts w:ascii="Times New Roman" w:hAnsi="Times New Roman" w:cs="Times New Roman"/>
          <w:sz w:val="28"/>
          <w:szCs w:val="28"/>
        </w:rPr>
        <w:t xml:space="preserve"> </w:t>
      </w:r>
      <w:r w:rsidR="00527C30">
        <w:rPr>
          <w:rFonts w:ascii="Times New Roman" w:hAnsi="Times New Roman" w:cs="Times New Roman"/>
          <w:sz w:val="28"/>
          <w:szCs w:val="28"/>
        </w:rPr>
        <w:t xml:space="preserve"> </w:t>
      </w:r>
      <w:r w:rsidR="00C24B72">
        <w:rPr>
          <w:rFonts w:ascii="Times New Roman" w:hAnsi="Times New Roman" w:cs="Times New Roman"/>
          <w:sz w:val="28"/>
          <w:szCs w:val="28"/>
        </w:rPr>
        <w:t xml:space="preserve">Making that determination would require the Court to hear extensive evidence from experts for the Plaintiff and the Holubec defendants.  </w:t>
      </w:r>
    </w:p>
    <w:p w:rsidR="00CC593A" w:rsidRDefault="00CC593A" w:rsidP="00E92A45">
      <w:pPr>
        <w:pStyle w:val="ListParagraph"/>
        <w:spacing w:after="0" w:line="240" w:lineRule="auto"/>
        <w:ind w:left="0"/>
        <w:jc w:val="both"/>
        <w:rPr>
          <w:rFonts w:ascii="Times New Roman" w:hAnsi="Times New Roman" w:cs="Times New Roman"/>
          <w:sz w:val="28"/>
          <w:szCs w:val="28"/>
        </w:rPr>
      </w:pPr>
    </w:p>
    <w:p w:rsidR="00CC593A" w:rsidRPr="00EA0CD4" w:rsidRDefault="00CC593A" w:rsidP="00E92A45">
      <w:pPr>
        <w:pStyle w:val="ListParagraph"/>
        <w:spacing w:after="0" w:line="240" w:lineRule="auto"/>
        <w:ind w:left="0"/>
        <w:jc w:val="both"/>
        <w:rPr>
          <w:rFonts w:ascii="Times New Roman" w:hAnsi="Times New Roman" w:cs="Times New Roman"/>
          <w:b/>
          <w:i/>
          <w:sz w:val="28"/>
          <w:szCs w:val="28"/>
        </w:rPr>
      </w:pPr>
      <w:r w:rsidRPr="00EA0CD4">
        <w:rPr>
          <w:rFonts w:ascii="Times New Roman" w:hAnsi="Times New Roman" w:cs="Times New Roman"/>
          <w:b/>
          <w:i/>
          <w:sz w:val="28"/>
          <w:szCs w:val="28"/>
        </w:rPr>
        <w:t>The Plaintiff’s Position</w:t>
      </w:r>
    </w:p>
    <w:p w:rsidR="00CC593A" w:rsidRPr="00CC593A" w:rsidRDefault="00CC593A" w:rsidP="00E92A45">
      <w:pPr>
        <w:pStyle w:val="ListParagraph"/>
        <w:spacing w:after="0" w:line="240" w:lineRule="auto"/>
        <w:ind w:left="0"/>
        <w:jc w:val="both"/>
        <w:rPr>
          <w:rFonts w:ascii="Times New Roman" w:hAnsi="Times New Roman" w:cs="Times New Roman"/>
          <w:i/>
          <w:sz w:val="28"/>
          <w:szCs w:val="28"/>
        </w:rPr>
      </w:pPr>
    </w:p>
    <w:p w:rsidR="00C24B72" w:rsidRDefault="00C24B72"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narrows the discussion on the Plaintiff’s position to three issues, name</w:t>
      </w:r>
      <w:r w:rsidR="005B31FD">
        <w:rPr>
          <w:rFonts w:ascii="Times New Roman" w:hAnsi="Times New Roman" w:cs="Times New Roman"/>
          <w:sz w:val="28"/>
          <w:szCs w:val="28"/>
        </w:rPr>
        <w:t>ly, whether its decision to sue</w:t>
      </w:r>
      <w:r>
        <w:rPr>
          <w:rFonts w:ascii="Times New Roman" w:hAnsi="Times New Roman" w:cs="Times New Roman"/>
          <w:sz w:val="28"/>
          <w:szCs w:val="28"/>
        </w:rPr>
        <w:t xml:space="preserve"> Mr. Holubec and his firm</w:t>
      </w:r>
      <w:r w:rsidR="005B31FD">
        <w:rPr>
          <w:rFonts w:ascii="Times New Roman" w:hAnsi="Times New Roman" w:cs="Times New Roman"/>
          <w:sz w:val="28"/>
          <w:szCs w:val="28"/>
        </w:rPr>
        <w:t xml:space="preserve"> </w:t>
      </w:r>
      <w:r>
        <w:rPr>
          <w:rFonts w:ascii="Times New Roman" w:hAnsi="Times New Roman" w:cs="Times New Roman"/>
          <w:sz w:val="28"/>
          <w:szCs w:val="28"/>
        </w:rPr>
        <w:t>was reasonable; the effect</w:t>
      </w:r>
      <w:r w:rsidR="004A59EC">
        <w:rPr>
          <w:rFonts w:ascii="Times New Roman" w:hAnsi="Times New Roman" w:cs="Times New Roman"/>
          <w:sz w:val="28"/>
          <w:szCs w:val="28"/>
        </w:rPr>
        <w:t>, if any, of the offer to settle</w:t>
      </w:r>
      <w:r>
        <w:rPr>
          <w:rFonts w:ascii="Times New Roman" w:hAnsi="Times New Roman" w:cs="Times New Roman"/>
          <w:sz w:val="28"/>
          <w:szCs w:val="28"/>
        </w:rPr>
        <w:t>; and what is the appropriate scale of costs.</w:t>
      </w:r>
    </w:p>
    <w:p w:rsidR="005C1FEE" w:rsidRDefault="005C1FEE" w:rsidP="00E92A45">
      <w:pPr>
        <w:pStyle w:val="ListParagraph"/>
        <w:spacing w:after="0" w:line="240" w:lineRule="auto"/>
        <w:ind w:left="0"/>
        <w:jc w:val="both"/>
        <w:rPr>
          <w:rFonts w:ascii="Times New Roman" w:hAnsi="Times New Roman" w:cs="Times New Roman"/>
          <w:sz w:val="28"/>
          <w:szCs w:val="28"/>
        </w:rPr>
      </w:pPr>
    </w:p>
    <w:p w:rsidR="006358AB" w:rsidRDefault="005C1FE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With respect to its decision to name Holubec in the suit, </w:t>
      </w:r>
      <w:r w:rsidR="001356C2">
        <w:rPr>
          <w:rFonts w:ascii="Times New Roman" w:hAnsi="Times New Roman" w:cs="Times New Roman"/>
          <w:sz w:val="28"/>
          <w:szCs w:val="28"/>
        </w:rPr>
        <w:t>the Plaintiff says it was not using</w:t>
      </w:r>
      <w:r>
        <w:rPr>
          <w:rFonts w:ascii="Times New Roman" w:hAnsi="Times New Roman" w:cs="Times New Roman"/>
          <w:sz w:val="28"/>
          <w:szCs w:val="28"/>
        </w:rPr>
        <w:t xml:space="preserve"> the Court’s processes in lieu of an investi</w:t>
      </w:r>
      <w:r w:rsidR="001356C2">
        <w:rPr>
          <w:rFonts w:ascii="Times New Roman" w:hAnsi="Times New Roman" w:cs="Times New Roman"/>
          <w:sz w:val="28"/>
          <w:szCs w:val="28"/>
        </w:rPr>
        <w:t xml:space="preserve">gation into why the structural problems had occurred. </w:t>
      </w:r>
      <w:r w:rsidR="001350AD">
        <w:rPr>
          <w:rFonts w:ascii="Times New Roman" w:hAnsi="Times New Roman" w:cs="Times New Roman"/>
          <w:sz w:val="28"/>
          <w:szCs w:val="28"/>
        </w:rPr>
        <w:t xml:space="preserve"> </w:t>
      </w:r>
      <w:r>
        <w:rPr>
          <w:rFonts w:ascii="Times New Roman" w:hAnsi="Times New Roman" w:cs="Times New Roman"/>
          <w:sz w:val="28"/>
          <w:szCs w:val="28"/>
        </w:rPr>
        <w:t xml:space="preserve">It </w:t>
      </w:r>
      <w:r w:rsidR="001356C2">
        <w:rPr>
          <w:rFonts w:ascii="Times New Roman" w:hAnsi="Times New Roman" w:cs="Times New Roman"/>
          <w:sz w:val="28"/>
          <w:szCs w:val="28"/>
        </w:rPr>
        <w:t xml:space="preserve">filed the action when it did to preserve its legal claim(s) against those parties, including Holubec, it reasonably thought were responsible for the problems with the school.  A separate investigation into the technical reasons for the school’s structural problems was being conducted concurrently.   </w:t>
      </w:r>
    </w:p>
    <w:p w:rsidR="006358AB" w:rsidRPr="006358AB" w:rsidRDefault="006358AB" w:rsidP="00E92A45">
      <w:pPr>
        <w:pStyle w:val="ListParagraph"/>
        <w:spacing w:line="240" w:lineRule="auto"/>
        <w:rPr>
          <w:rFonts w:ascii="Times New Roman" w:hAnsi="Times New Roman" w:cs="Times New Roman"/>
          <w:sz w:val="28"/>
          <w:szCs w:val="28"/>
        </w:rPr>
      </w:pPr>
    </w:p>
    <w:p w:rsidR="00AD606D" w:rsidRPr="00AD606D" w:rsidRDefault="004A59EC"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With respect to the offer to settle,</w:t>
      </w:r>
      <w:r w:rsidR="00B40B81">
        <w:rPr>
          <w:rFonts w:ascii="Times New Roman" w:hAnsi="Times New Roman" w:cs="Times New Roman"/>
          <w:sz w:val="28"/>
          <w:szCs w:val="28"/>
        </w:rPr>
        <w:t xml:space="preserve"> the Plaintiff argues that </w:t>
      </w:r>
      <w:r w:rsidR="00AD606D">
        <w:rPr>
          <w:rFonts w:ascii="Times New Roman" w:hAnsi="Times New Roman" w:cs="Times New Roman"/>
          <w:sz w:val="28"/>
          <w:szCs w:val="28"/>
        </w:rPr>
        <w:t>it</w:t>
      </w:r>
      <w:r w:rsidR="00B40B81">
        <w:rPr>
          <w:rFonts w:ascii="Times New Roman" w:hAnsi="Times New Roman" w:cs="Times New Roman"/>
          <w:sz w:val="28"/>
          <w:szCs w:val="28"/>
        </w:rPr>
        <w:t xml:space="preserve"> was inadequate, given the potential costs of repairing the school and the fact that the offer did not include costs. </w:t>
      </w:r>
      <w:r w:rsidR="00864A16">
        <w:rPr>
          <w:rFonts w:ascii="Times New Roman" w:hAnsi="Times New Roman" w:cs="Times New Roman"/>
          <w:sz w:val="28"/>
          <w:szCs w:val="28"/>
        </w:rPr>
        <w:t xml:space="preserve"> </w:t>
      </w:r>
      <w:r w:rsidR="00B40B81">
        <w:rPr>
          <w:rFonts w:ascii="Times New Roman" w:hAnsi="Times New Roman" w:cs="Times New Roman"/>
          <w:sz w:val="28"/>
          <w:szCs w:val="28"/>
        </w:rPr>
        <w:t>The Plaintiff also says the offer was not genuine as it lacked any element of compromise.</w:t>
      </w:r>
    </w:p>
    <w:p w:rsidR="00AD606D" w:rsidRDefault="00AD606D" w:rsidP="00E92A45">
      <w:pPr>
        <w:pStyle w:val="ListParagraph"/>
        <w:spacing w:after="0" w:line="240" w:lineRule="auto"/>
        <w:ind w:left="0"/>
        <w:jc w:val="both"/>
        <w:rPr>
          <w:rFonts w:ascii="Times New Roman" w:hAnsi="Times New Roman" w:cs="Times New Roman"/>
          <w:sz w:val="28"/>
          <w:szCs w:val="28"/>
        </w:rPr>
      </w:pPr>
    </w:p>
    <w:p w:rsidR="00AD606D" w:rsidRDefault="00AD606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Accordingly, the Plaintiff argues that Holubec is entitled to party-and-party costs only. </w:t>
      </w:r>
    </w:p>
    <w:p w:rsidR="009E01F9" w:rsidRPr="008C69CA" w:rsidRDefault="009E01F9" w:rsidP="00A64D28">
      <w:pPr>
        <w:spacing w:after="0" w:line="240" w:lineRule="auto"/>
        <w:rPr>
          <w:rFonts w:ascii="Times New Roman" w:hAnsi="Times New Roman" w:cs="Times New Roman"/>
          <w:sz w:val="28"/>
          <w:szCs w:val="28"/>
        </w:rPr>
      </w:pPr>
    </w:p>
    <w:p w:rsidR="00172DE7" w:rsidRDefault="009E01F9" w:rsidP="00E92A45">
      <w:pPr>
        <w:pStyle w:val="ListParagraph"/>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ANALYSIS</w:t>
      </w:r>
    </w:p>
    <w:p w:rsidR="00A719F2" w:rsidRPr="00A719F2" w:rsidRDefault="00A719F2" w:rsidP="00E92A45">
      <w:pPr>
        <w:pStyle w:val="ListParagraph"/>
        <w:spacing w:after="0" w:line="240" w:lineRule="auto"/>
        <w:ind w:left="0"/>
        <w:jc w:val="both"/>
        <w:rPr>
          <w:rFonts w:ascii="Times New Roman" w:hAnsi="Times New Roman" w:cs="Times New Roman"/>
          <w:b/>
          <w:sz w:val="28"/>
          <w:szCs w:val="28"/>
        </w:rPr>
      </w:pPr>
    </w:p>
    <w:p w:rsidR="00AC1DD1" w:rsidRPr="00AC1DD1" w:rsidRDefault="00AC1DD1" w:rsidP="00E92A45">
      <w:pPr>
        <w:spacing w:line="240" w:lineRule="auto"/>
        <w:rPr>
          <w:rFonts w:ascii="Times New Roman" w:hAnsi="Times New Roman" w:cs="Times New Roman"/>
          <w:b/>
          <w:i/>
          <w:sz w:val="28"/>
          <w:szCs w:val="28"/>
        </w:rPr>
      </w:pPr>
      <w:r>
        <w:rPr>
          <w:rFonts w:ascii="Times New Roman" w:hAnsi="Times New Roman" w:cs="Times New Roman"/>
          <w:b/>
          <w:i/>
          <w:sz w:val="28"/>
          <w:szCs w:val="28"/>
        </w:rPr>
        <w:t>Did the Plaintiff have a reasonab</w:t>
      </w:r>
      <w:r w:rsidR="00B62962">
        <w:rPr>
          <w:rFonts w:ascii="Times New Roman" w:hAnsi="Times New Roman" w:cs="Times New Roman"/>
          <w:b/>
          <w:i/>
          <w:sz w:val="28"/>
          <w:szCs w:val="28"/>
        </w:rPr>
        <w:t>le basis for suing Mr. Holubec and his firm?</w:t>
      </w:r>
    </w:p>
    <w:p w:rsidR="007E5265" w:rsidRDefault="000F3FA5" w:rsidP="002A14A9">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answer to this is </w:t>
      </w:r>
      <w:r w:rsidR="00AC1DD1">
        <w:rPr>
          <w:rFonts w:ascii="Times New Roman" w:hAnsi="Times New Roman" w:cs="Times New Roman"/>
          <w:sz w:val="28"/>
          <w:szCs w:val="28"/>
        </w:rPr>
        <w:t xml:space="preserve">“no”. </w:t>
      </w:r>
    </w:p>
    <w:p w:rsidR="002A14A9" w:rsidRPr="002A14A9" w:rsidRDefault="002A14A9" w:rsidP="002A14A9">
      <w:pPr>
        <w:pStyle w:val="ListParagraph"/>
        <w:spacing w:after="0" w:line="240" w:lineRule="auto"/>
        <w:ind w:left="0"/>
        <w:jc w:val="both"/>
        <w:rPr>
          <w:rFonts w:ascii="Times New Roman" w:hAnsi="Times New Roman" w:cs="Times New Roman"/>
          <w:sz w:val="28"/>
          <w:szCs w:val="28"/>
        </w:rPr>
      </w:pPr>
    </w:p>
    <w:p w:rsidR="0015063E" w:rsidRDefault="0015063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Litigation is serious business.</w:t>
      </w:r>
      <w:r w:rsidR="001350AD">
        <w:rPr>
          <w:rFonts w:ascii="Times New Roman" w:hAnsi="Times New Roman" w:cs="Times New Roman"/>
          <w:sz w:val="28"/>
          <w:szCs w:val="28"/>
        </w:rPr>
        <w:t xml:space="preserve"> </w:t>
      </w:r>
      <w:r>
        <w:rPr>
          <w:rFonts w:ascii="Times New Roman" w:hAnsi="Times New Roman" w:cs="Times New Roman"/>
          <w:sz w:val="28"/>
          <w:szCs w:val="28"/>
        </w:rPr>
        <w:t xml:space="preserve"> It is a daunting process which can, and often does, have significant personal and financial consequences for all of the parties involved.  It ties up both public and private resources. </w:t>
      </w:r>
      <w:r w:rsidR="001350AD">
        <w:rPr>
          <w:rFonts w:ascii="Times New Roman" w:hAnsi="Times New Roman" w:cs="Times New Roman"/>
          <w:sz w:val="28"/>
          <w:szCs w:val="28"/>
        </w:rPr>
        <w:t xml:space="preserve"> </w:t>
      </w:r>
      <w:r>
        <w:rPr>
          <w:rFonts w:ascii="Times New Roman" w:hAnsi="Times New Roman" w:cs="Times New Roman"/>
          <w:sz w:val="28"/>
          <w:szCs w:val="28"/>
        </w:rPr>
        <w:t xml:space="preserve">In a suit like this, worth millions of dollars, with complex legal issues and multiple parties, it is completely foreseeable that someone in Mr. Holubec’s position would feel compelled to hire a lawyer to defend the action. </w:t>
      </w:r>
      <w:r w:rsidR="001350AD">
        <w:rPr>
          <w:rFonts w:ascii="Times New Roman" w:hAnsi="Times New Roman" w:cs="Times New Roman"/>
          <w:sz w:val="28"/>
          <w:szCs w:val="28"/>
        </w:rPr>
        <w:t xml:space="preserve"> </w:t>
      </w:r>
      <w:r w:rsidR="009D24E8">
        <w:rPr>
          <w:rFonts w:ascii="Times New Roman" w:hAnsi="Times New Roman" w:cs="Times New Roman"/>
          <w:sz w:val="28"/>
          <w:szCs w:val="28"/>
        </w:rPr>
        <w:t xml:space="preserve">It is also foreseeable that </w:t>
      </w:r>
      <w:r w:rsidR="00C24B72">
        <w:rPr>
          <w:rFonts w:ascii="Times New Roman" w:hAnsi="Times New Roman" w:cs="Times New Roman"/>
          <w:sz w:val="28"/>
          <w:szCs w:val="28"/>
        </w:rPr>
        <w:t xml:space="preserve">in such a complex lawsuit, </w:t>
      </w:r>
      <w:r w:rsidR="00C24B72">
        <w:rPr>
          <w:rFonts w:ascii="Times New Roman" w:hAnsi="Times New Roman" w:cs="Times New Roman"/>
          <w:sz w:val="28"/>
          <w:szCs w:val="28"/>
        </w:rPr>
        <w:lastRenderedPageBreak/>
        <w:t xml:space="preserve">that </w:t>
      </w:r>
      <w:r>
        <w:rPr>
          <w:rFonts w:ascii="Times New Roman" w:hAnsi="Times New Roman" w:cs="Times New Roman"/>
          <w:sz w:val="28"/>
          <w:szCs w:val="28"/>
        </w:rPr>
        <w:t>person w</w:t>
      </w:r>
      <w:r w:rsidR="009D24E8">
        <w:rPr>
          <w:rFonts w:ascii="Times New Roman" w:hAnsi="Times New Roman" w:cs="Times New Roman"/>
          <w:sz w:val="28"/>
          <w:szCs w:val="28"/>
        </w:rPr>
        <w:t>ould</w:t>
      </w:r>
      <w:r>
        <w:rPr>
          <w:rFonts w:ascii="Times New Roman" w:hAnsi="Times New Roman" w:cs="Times New Roman"/>
          <w:sz w:val="28"/>
          <w:szCs w:val="28"/>
        </w:rPr>
        <w:t xml:space="preserve"> necessarily incur </w:t>
      </w:r>
      <w:r w:rsidR="009D24E8">
        <w:rPr>
          <w:rFonts w:ascii="Times New Roman" w:hAnsi="Times New Roman" w:cs="Times New Roman"/>
          <w:sz w:val="28"/>
          <w:szCs w:val="28"/>
        </w:rPr>
        <w:t xml:space="preserve">substantial </w:t>
      </w:r>
      <w:r>
        <w:rPr>
          <w:rFonts w:ascii="Times New Roman" w:hAnsi="Times New Roman" w:cs="Times New Roman"/>
          <w:sz w:val="28"/>
          <w:szCs w:val="28"/>
        </w:rPr>
        <w:t xml:space="preserve">costs for legal advice, preparing and serving documents, responding to motions and participating in the discovery process, among other things. </w:t>
      </w:r>
    </w:p>
    <w:p w:rsidR="0015063E" w:rsidRPr="00C32CD4" w:rsidRDefault="0015063E" w:rsidP="00E92A45">
      <w:pPr>
        <w:pStyle w:val="ListParagraph"/>
        <w:spacing w:line="240" w:lineRule="auto"/>
        <w:rPr>
          <w:rFonts w:ascii="Times New Roman" w:hAnsi="Times New Roman" w:cs="Times New Roman"/>
          <w:sz w:val="28"/>
          <w:szCs w:val="28"/>
        </w:rPr>
      </w:pPr>
    </w:p>
    <w:p w:rsidR="0015063E" w:rsidRDefault="0015063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Given the consequences, it follows that a plaintiff must conside</w:t>
      </w:r>
      <w:r w:rsidR="00C24B72">
        <w:rPr>
          <w:rFonts w:ascii="Times New Roman" w:hAnsi="Times New Roman" w:cs="Times New Roman"/>
          <w:sz w:val="28"/>
          <w:szCs w:val="28"/>
        </w:rPr>
        <w:t xml:space="preserve">r carefully </w:t>
      </w:r>
      <w:r>
        <w:rPr>
          <w:rFonts w:ascii="Times New Roman" w:hAnsi="Times New Roman" w:cs="Times New Roman"/>
          <w:sz w:val="28"/>
          <w:szCs w:val="28"/>
        </w:rPr>
        <w:t>why it is suing a particular defendant.</w:t>
      </w:r>
      <w:r w:rsidR="001350AD">
        <w:rPr>
          <w:rFonts w:ascii="Times New Roman" w:hAnsi="Times New Roman" w:cs="Times New Roman"/>
          <w:sz w:val="28"/>
          <w:szCs w:val="28"/>
        </w:rPr>
        <w:t xml:space="preserve"> </w:t>
      </w:r>
      <w:r>
        <w:rPr>
          <w:rFonts w:ascii="Times New Roman" w:hAnsi="Times New Roman" w:cs="Times New Roman"/>
          <w:sz w:val="28"/>
          <w:szCs w:val="28"/>
        </w:rPr>
        <w:t xml:space="preserve"> This does not mean a plaintiff is required to know with 100% certainty that is claim will succeed; however, it must take care to ensure there is a </w:t>
      </w:r>
      <w:r w:rsidRPr="00C24B72">
        <w:rPr>
          <w:rFonts w:ascii="Times New Roman" w:hAnsi="Times New Roman" w:cs="Times New Roman"/>
          <w:i/>
          <w:sz w:val="28"/>
          <w:szCs w:val="28"/>
        </w:rPr>
        <w:t>reasonable basis</w:t>
      </w:r>
      <w:r>
        <w:rPr>
          <w:rFonts w:ascii="Times New Roman" w:hAnsi="Times New Roman" w:cs="Times New Roman"/>
          <w:sz w:val="28"/>
          <w:szCs w:val="28"/>
        </w:rPr>
        <w:t xml:space="preserve"> for naming that defendant. </w:t>
      </w:r>
      <w:r w:rsidR="001350AD">
        <w:rPr>
          <w:rFonts w:ascii="Times New Roman" w:hAnsi="Times New Roman" w:cs="Times New Roman"/>
          <w:sz w:val="28"/>
          <w:szCs w:val="28"/>
        </w:rPr>
        <w:t xml:space="preserve"> </w:t>
      </w:r>
      <w:r>
        <w:rPr>
          <w:rFonts w:ascii="Times New Roman" w:hAnsi="Times New Roman" w:cs="Times New Roman"/>
          <w:sz w:val="28"/>
          <w:szCs w:val="28"/>
        </w:rPr>
        <w:t>Anything short of that is an abuse of process.</w:t>
      </w:r>
    </w:p>
    <w:p w:rsidR="0015063E" w:rsidRDefault="0015063E" w:rsidP="00E92A45">
      <w:pPr>
        <w:pStyle w:val="ListParagraph"/>
        <w:spacing w:after="0" w:line="240" w:lineRule="auto"/>
        <w:ind w:left="0"/>
        <w:jc w:val="both"/>
        <w:rPr>
          <w:rFonts w:ascii="Times New Roman" w:hAnsi="Times New Roman" w:cs="Times New Roman"/>
          <w:sz w:val="28"/>
          <w:szCs w:val="28"/>
        </w:rPr>
      </w:pPr>
    </w:p>
    <w:p w:rsidR="00D6795F" w:rsidRDefault="0015063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Unfortunatel</w:t>
      </w:r>
      <w:r w:rsidR="00E77E79">
        <w:rPr>
          <w:rFonts w:ascii="Times New Roman" w:hAnsi="Times New Roman" w:cs="Times New Roman"/>
          <w:sz w:val="28"/>
          <w:szCs w:val="28"/>
        </w:rPr>
        <w:t xml:space="preserve">y, the evidence shows </w:t>
      </w:r>
      <w:r>
        <w:rPr>
          <w:rFonts w:ascii="Times New Roman" w:hAnsi="Times New Roman" w:cs="Times New Roman"/>
          <w:sz w:val="28"/>
          <w:szCs w:val="28"/>
        </w:rPr>
        <w:t xml:space="preserve">that </w:t>
      </w:r>
      <w:r w:rsidR="000F3FA5">
        <w:rPr>
          <w:rFonts w:ascii="Times New Roman" w:hAnsi="Times New Roman" w:cs="Times New Roman"/>
          <w:sz w:val="28"/>
          <w:szCs w:val="28"/>
        </w:rPr>
        <w:t>the Plaintiff</w:t>
      </w:r>
      <w:r>
        <w:rPr>
          <w:rFonts w:ascii="Times New Roman" w:hAnsi="Times New Roman" w:cs="Times New Roman"/>
          <w:sz w:val="28"/>
          <w:szCs w:val="28"/>
        </w:rPr>
        <w:t xml:space="preserve"> did </w:t>
      </w:r>
      <w:r w:rsidR="00E77E79">
        <w:rPr>
          <w:rFonts w:ascii="Times New Roman" w:hAnsi="Times New Roman" w:cs="Times New Roman"/>
          <w:sz w:val="28"/>
          <w:szCs w:val="28"/>
        </w:rPr>
        <w:t xml:space="preserve">little to determine </w:t>
      </w:r>
      <w:r>
        <w:rPr>
          <w:rFonts w:ascii="Times New Roman" w:hAnsi="Times New Roman" w:cs="Times New Roman"/>
          <w:sz w:val="28"/>
          <w:szCs w:val="28"/>
        </w:rPr>
        <w:t xml:space="preserve">the nature and extent of Holubec’s involvement in the project before it made the allegations in the Statement of Claim. </w:t>
      </w:r>
      <w:r w:rsidR="001350AD">
        <w:rPr>
          <w:rFonts w:ascii="Times New Roman" w:hAnsi="Times New Roman" w:cs="Times New Roman"/>
          <w:sz w:val="28"/>
          <w:szCs w:val="28"/>
        </w:rPr>
        <w:t xml:space="preserve"> </w:t>
      </w:r>
      <w:r w:rsidR="00E77E79">
        <w:rPr>
          <w:rFonts w:ascii="Times New Roman" w:hAnsi="Times New Roman" w:cs="Times New Roman"/>
          <w:sz w:val="28"/>
          <w:szCs w:val="28"/>
        </w:rPr>
        <w:t xml:space="preserve">It did not verify </w:t>
      </w:r>
      <w:r w:rsidR="000F3FA5">
        <w:rPr>
          <w:rFonts w:ascii="Times New Roman" w:hAnsi="Times New Roman" w:cs="Times New Roman"/>
          <w:sz w:val="28"/>
          <w:szCs w:val="28"/>
        </w:rPr>
        <w:t>PTA’s representa</w:t>
      </w:r>
      <w:r w:rsidR="007E5265">
        <w:rPr>
          <w:rFonts w:ascii="Times New Roman" w:hAnsi="Times New Roman" w:cs="Times New Roman"/>
          <w:sz w:val="28"/>
          <w:szCs w:val="28"/>
        </w:rPr>
        <w:t xml:space="preserve">tion that </w:t>
      </w:r>
      <w:r w:rsidR="003A72B6">
        <w:rPr>
          <w:rFonts w:ascii="Times New Roman" w:hAnsi="Times New Roman" w:cs="Times New Roman"/>
          <w:sz w:val="28"/>
          <w:szCs w:val="28"/>
        </w:rPr>
        <w:t xml:space="preserve">Mr. </w:t>
      </w:r>
      <w:r w:rsidR="007E5265">
        <w:rPr>
          <w:rFonts w:ascii="Times New Roman" w:hAnsi="Times New Roman" w:cs="Times New Roman"/>
          <w:sz w:val="28"/>
          <w:szCs w:val="28"/>
        </w:rPr>
        <w:t xml:space="preserve">Holubec </w:t>
      </w:r>
      <w:r w:rsidR="00E77E79">
        <w:rPr>
          <w:rFonts w:ascii="Times New Roman" w:hAnsi="Times New Roman" w:cs="Times New Roman"/>
          <w:sz w:val="28"/>
          <w:szCs w:val="28"/>
        </w:rPr>
        <w:t>had</w:t>
      </w:r>
      <w:r w:rsidR="00C24B72">
        <w:rPr>
          <w:rFonts w:ascii="Times New Roman" w:hAnsi="Times New Roman" w:cs="Times New Roman"/>
          <w:sz w:val="28"/>
          <w:szCs w:val="28"/>
        </w:rPr>
        <w:t xml:space="preserve"> </w:t>
      </w:r>
      <w:r w:rsidR="007E5265">
        <w:rPr>
          <w:rFonts w:ascii="Times New Roman" w:hAnsi="Times New Roman" w:cs="Times New Roman"/>
          <w:sz w:val="28"/>
          <w:szCs w:val="28"/>
        </w:rPr>
        <w:t>certified the foundation’</w:t>
      </w:r>
      <w:r w:rsidR="00F769C9">
        <w:rPr>
          <w:rFonts w:ascii="Times New Roman" w:hAnsi="Times New Roman" w:cs="Times New Roman"/>
          <w:sz w:val="28"/>
          <w:szCs w:val="28"/>
        </w:rPr>
        <w:t>s design.</w:t>
      </w:r>
      <w:r w:rsidR="001350AD">
        <w:rPr>
          <w:rFonts w:ascii="Times New Roman" w:hAnsi="Times New Roman" w:cs="Times New Roman"/>
          <w:sz w:val="28"/>
          <w:szCs w:val="28"/>
        </w:rPr>
        <w:t xml:space="preserve"> </w:t>
      </w:r>
      <w:r w:rsidR="00F769C9">
        <w:rPr>
          <w:rFonts w:ascii="Times New Roman" w:hAnsi="Times New Roman" w:cs="Times New Roman"/>
          <w:sz w:val="28"/>
          <w:szCs w:val="28"/>
        </w:rPr>
        <w:t xml:space="preserve"> </w:t>
      </w:r>
      <w:r w:rsidR="00E77E79">
        <w:rPr>
          <w:rFonts w:ascii="Times New Roman" w:hAnsi="Times New Roman" w:cs="Times New Roman"/>
          <w:sz w:val="28"/>
          <w:szCs w:val="28"/>
        </w:rPr>
        <w:t xml:space="preserve">It had </w:t>
      </w:r>
      <w:r w:rsidR="005B31FD">
        <w:rPr>
          <w:rFonts w:ascii="Times New Roman" w:hAnsi="Times New Roman" w:cs="Times New Roman"/>
          <w:sz w:val="28"/>
          <w:szCs w:val="28"/>
        </w:rPr>
        <w:t xml:space="preserve">Mr. </w:t>
      </w:r>
      <w:r w:rsidR="000F3FA5">
        <w:rPr>
          <w:rFonts w:ascii="Times New Roman" w:hAnsi="Times New Roman" w:cs="Times New Roman"/>
          <w:sz w:val="28"/>
          <w:szCs w:val="28"/>
        </w:rPr>
        <w:t xml:space="preserve">Holubec’s report in </w:t>
      </w:r>
      <w:r w:rsidR="00E77E79">
        <w:rPr>
          <w:rFonts w:ascii="Times New Roman" w:hAnsi="Times New Roman" w:cs="Times New Roman"/>
          <w:sz w:val="28"/>
          <w:szCs w:val="28"/>
        </w:rPr>
        <w:t>its possession for some nine years before it filed the suit, and when the structural problems first surfaced.  Y</w:t>
      </w:r>
      <w:r w:rsidR="00D01C79">
        <w:rPr>
          <w:rFonts w:ascii="Times New Roman" w:hAnsi="Times New Roman" w:cs="Times New Roman"/>
          <w:sz w:val="28"/>
          <w:szCs w:val="28"/>
        </w:rPr>
        <w:t>et, the</w:t>
      </w:r>
      <w:r w:rsidR="002A14A9">
        <w:rPr>
          <w:rFonts w:ascii="Times New Roman" w:hAnsi="Times New Roman" w:cs="Times New Roman"/>
          <w:sz w:val="28"/>
          <w:szCs w:val="28"/>
        </w:rPr>
        <w:t>re is no evidence the</w:t>
      </w:r>
      <w:r w:rsidR="00D01C79">
        <w:rPr>
          <w:rFonts w:ascii="Times New Roman" w:hAnsi="Times New Roman" w:cs="Times New Roman"/>
          <w:sz w:val="28"/>
          <w:szCs w:val="28"/>
        </w:rPr>
        <w:t xml:space="preserve"> Plaintiff</w:t>
      </w:r>
      <w:r w:rsidR="000F3FA5">
        <w:rPr>
          <w:rFonts w:ascii="Times New Roman" w:hAnsi="Times New Roman" w:cs="Times New Roman"/>
          <w:sz w:val="28"/>
          <w:szCs w:val="28"/>
        </w:rPr>
        <w:t xml:space="preserve"> review</w:t>
      </w:r>
      <w:r w:rsidR="002A14A9">
        <w:rPr>
          <w:rFonts w:ascii="Times New Roman" w:hAnsi="Times New Roman" w:cs="Times New Roman"/>
          <w:sz w:val="28"/>
          <w:szCs w:val="28"/>
        </w:rPr>
        <w:t>ed</w:t>
      </w:r>
      <w:r w:rsidR="000F3FA5">
        <w:rPr>
          <w:rFonts w:ascii="Times New Roman" w:hAnsi="Times New Roman" w:cs="Times New Roman"/>
          <w:sz w:val="28"/>
          <w:szCs w:val="28"/>
        </w:rPr>
        <w:t xml:space="preserve"> </w:t>
      </w:r>
      <w:r w:rsidR="00E77E79">
        <w:rPr>
          <w:rFonts w:ascii="Times New Roman" w:hAnsi="Times New Roman" w:cs="Times New Roman"/>
          <w:sz w:val="28"/>
          <w:szCs w:val="28"/>
        </w:rPr>
        <w:t>the report</w:t>
      </w:r>
      <w:r w:rsidR="002A14A9">
        <w:rPr>
          <w:rFonts w:ascii="Times New Roman" w:hAnsi="Times New Roman" w:cs="Times New Roman"/>
          <w:sz w:val="28"/>
          <w:szCs w:val="28"/>
        </w:rPr>
        <w:t xml:space="preserve"> and </w:t>
      </w:r>
      <w:r w:rsidR="000F3FA5">
        <w:rPr>
          <w:rFonts w:ascii="Times New Roman" w:hAnsi="Times New Roman" w:cs="Times New Roman"/>
          <w:sz w:val="28"/>
          <w:szCs w:val="28"/>
        </w:rPr>
        <w:t>consider</w:t>
      </w:r>
      <w:r w:rsidR="002A14A9">
        <w:rPr>
          <w:rFonts w:ascii="Times New Roman" w:hAnsi="Times New Roman" w:cs="Times New Roman"/>
          <w:sz w:val="28"/>
          <w:szCs w:val="28"/>
        </w:rPr>
        <w:t>ed</w:t>
      </w:r>
      <w:r w:rsidR="000F3FA5">
        <w:rPr>
          <w:rFonts w:ascii="Times New Roman" w:hAnsi="Times New Roman" w:cs="Times New Roman"/>
          <w:sz w:val="28"/>
          <w:szCs w:val="28"/>
        </w:rPr>
        <w:t xml:space="preserve"> </w:t>
      </w:r>
      <w:r w:rsidR="003A72B6">
        <w:rPr>
          <w:rFonts w:ascii="Times New Roman" w:hAnsi="Times New Roman" w:cs="Times New Roman"/>
          <w:sz w:val="28"/>
          <w:szCs w:val="28"/>
        </w:rPr>
        <w:t>the nature and</w:t>
      </w:r>
      <w:r w:rsidR="000F3FA5">
        <w:rPr>
          <w:rFonts w:ascii="Times New Roman" w:hAnsi="Times New Roman" w:cs="Times New Roman"/>
          <w:sz w:val="28"/>
          <w:szCs w:val="28"/>
        </w:rPr>
        <w:t xml:space="preserve"> scope of </w:t>
      </w:r>
      <w:r w:rsidR="00AD606D">
        <w:rPr>
          <w:rFonts w:ascii="Times New Roman" w:hAnsi="Times New Roman" w:cs="Times New Roman"/>
          <w:sz w:val="28"/>
          <w:szCs w:val="28"/>
        </w:rPr>
        <w:t xml:space="preserve">the advice it contained, nor </w:t>
      </w:r>
      <w:r w:rsidR="00D01C79">
        <w:rPr>
          <w:rFonts w:ascii="Times New Roman" w:hAnsi="Times New Roman" w:cs="Times New Roman"/>
          <w:sz w:val="28"/>
          <w:szCs w:val="28"/>
        </w:rPr>
        <w:t xml:space="preserve">whether </w:t>
      </w:r>
      <w:r w:rsidR="003A72B6">
        <w:rPr>
          <w:rFonts w:ascii="Times New Roman" w:hAnsi="Times New Roman" w:cs="Times New Roman"/>
          <w:sz w:val="28"/>
          <w:szCs w:val="28"/>
        </w:rPr>
        <w:t>it reasonably supported the allegations</w:t>
      </w:r>
      <w:r w:rsidR="000F3FA5">
        <w:rPr>
          <w:rFonts w:ascii="Times New Roman" w:hAnsi="Times New Roman" w:cs="Times New Roman"/>
          <w:sz w:val="28"/>
          <w:szCs w:val="28"/>
        </w:rPr>
        <w:t>.</w:t>
      </w:r>
      <w:r w:rsidR="005026DB">
        <w:rPr>
          <w:rFonts w:ascii="Times New Roman" w:hAnsi="Times New Roman" w:cs="Times New Roman"/>
          <w:sz w:val="28"/>
          <w:szCs w:val="28"/>
        </w:rPr>
        <w:t xml:space="preserve"> </w:t>
      </w:r>
      <w:r w:rsidR="001350AD">
        <w:rPr>
          <w:rFonts w:ascii="Times New Roman" w:hAnsi="Times New Roman" w:cs="Times New Roman"/>
          <w:sz w:val="28"/>
          <w:szCs w:val="28"/>
        </w:rPr>
        <w:t xml:space="preserve"> </w:t>
      </w:r>
      <w:r w:rsidR="00C24B72">
        <w:rPr>
          <w:rFonts w:ascii="Times New Roman" w:hAnsi="Times New Roman" w:cs="Times New Roman"/>
          <w:sz w:val="28"/>
          <w:szCs w:val="28"/>
        </w:rPr>
        <w:t>It took no step</w:t>
      </w:r>
      <w:r w:rsidR="00966DEE">
        <w:rPr>
          <w:rFonts w:ascii="Times New Roman" w:hAnsi="Times New Roman" w:cs="Times New Roman"/>
          <w:sz w:val="28"/>
          <w:szCs w:val="28"/>
        </w:rPr>
        <w:t>s to ascertain what instructions AFC gave to Mr. Holubec.</w:t>
      </w:r>
      <w:r w:rsidR="00340AAC">
        <w:rPr>
          <w:rFonts w:ascii="Times New Roman" w:hAnsi="Times New Roman" w:cs="Times New Roman"/>
          <w:sz w:val="28"/>
          <w:szCs w:val="28"/>
        </w:rPr>
        <w:t xml:space="preserve">  </w:t>
      </w:r>
      <w:r w:rsidR="002916A3">
        <w:rPr>
          <w:rFonts w:ascii="Times New Roman" w:hAnsi="Times New Roman" w:cs="Times New Roman"/>
          <w:sz w:val="28"/>
          <w:szCs w:val="28"/>
        </w:rPr>
        <w:t xml:space="preserve">Then, as a limitation period was winding to an end, it filed </w:t>
      </w:r>
      <w:r w:rsidR="00D01C79">
        <w:rPr>
          <w:rFonts w:ascii="Times New Roman" w:hAnsi="Times New Roman" w:cs="Times New Roman"/>
          <w:sz w:val="28"/>
          <w:szCs w:val="28"/>
        </w:rPr>
        <w:t xml:space="preserve">the </w:t>
      </w:r>
      <w:r w:rsidR="002916A3">
        <w:rPr>
          <w:rFonts w:ascii="Times New Roman" w:hAnsi="Times New Roman" w:cs="Times New Roman"/>
          <w:sz w:val="28"/>
          <w:szCs w:val="28"/>
        </w:rPr>
        <w:t xml:space="preserve">suit and </w:t>
      </w:r>
      <w:r w:rsidR="00D01C79">
        <w:rPr>
          <w:rFonts w:ascii="Times New Roman" w:hAnsi="Times New Roman" w:cs="Times New Roman"/>
          <w:sz w:val="28"/>
          <w:szCs w:val="28"/>
        </w:rPr>
        <w:t xml:space="preserve">alleged negligence against </w:t>
      </w:r>
      <w:r w:rsidR="002916A3">
        <w:rPr>
          <w:rFonts w:ascii="Times New Roman" w:hAnsi="Times New Roman" w:cs="Times New Roman"/>
          <w:sz w:val="28"/>
          <w:szCs w:val="28"/>
        </w:rPr>
        <w:t>Mr. Holubec and his firm, just in case Mr. Holubec bore some responsibility.</w:t>
      </w:r>
      <w:r w:rsidR="001350AD">
        <w:rPr>
          <w:rFonts w:ascii="Times New Roman" w:hAnsi="Times New Roman" w:cs="Times New Roman"/>
          <w:sz w:val="28"/>
          <w:szCs w:val="28"/>
        </w:rPr>
        <w:t xml:space="preserve"> </w:t>
      </w:r>
      <w:r w:rsidR="002916A3">
        <w:rPr>
          <w:rFonts w:ascii="Times New Roman" w:hAnsi="Times New Roman" w:cs="Times New Roman"/>
          <w:sz w:val="28"/>
          <w:szCs w:val="28"/>
        </w:rPr>
        <w:t xml:space="preserve"> </w:t>
      </w:r>
      <w:r w:rsidR="00D01C79">
        <w:rPr>
          <w:rFonts w:ascii="Times New Roman" w:hAnsi="Times New Roman" w:cs="Times New Roman"/>
          <w:sz w:val="28"/>
          <w:szCs w:val="28"/>
        </w:rPr>
        <w:t>In short, the Plaintiff acted in haste</w:t>
      </w:r>
      <w:r w:rsidR="002A14A9">
        <w:rPr>
          <w:rFonts w:ascii="Times New Roman" w:hAnsi="Times New Roman" w:cs="Times New Roman"/>
          <w:sz w:val="28"/>
          <w:szCs w:val="28"/>
        </w:rPr>
        <w:t>, without exercising due diligence</w:t>
      </w:r>
      <w:r w:rsidR="00D01C79">
        <w:rPr>
          <w:rFonts w:ascii="Times New Roman" w:hAnsi="Times New Roman" w:cs="Times New Roman"/>
          <w:sz w:val="28"/>
          <w:szCs w:val="28"/>
        </w:rPr>
        <w:t xml:space="preserve"> and, in doing so, </w:t>
      </w:r>
      <w:r w:rsidR="00A11825">
        <w:rPr>
          <w:rFonts w:ascii="Times New Roman" w:hAnsi="Times New Roman" w:cs="Times New Roman"/>
          <w:sz w:val="28"/>
          <w:szCs w:val="28"/>
        </w:rPr>
        <w:t xml:space="preserve">fell </w:t>
      </w:r>
      <w:r w:rsidR="005B31FD">
        <w:rPr>
          <w:rFonts w:ascii="Times New Roman" w:hAnsi="Times New Roman" w:cs="Times New Roman"/>
          <w:sz w:val="28"/>
          <w:szCs w:val="28"/>
        </w:rPr>
        <w:t>far</w:t>
      </w:r>
      <w:r w:rsidR="00AD606D">
        <w:rPr>
          <w:rFonts w:ascii="Times New Roman" w:hAnsi="Times New Roman" w:cs="Times New Roman"/>
          <w:sz w:val="28"/>
          <w:szCs w:val="28"/>
        </w:rPr>
        <w:t xml:space="preserve"> </w:t>
      </w:r>
      <w:r w:rsidR="00A11825">
        <w:rPr>
          <w:rFonts w:ascii="Times New Roman" w:hAnsi="Times New Roman" w:cs="Times New Roman"/>
          <w:sz w:val="28"/>
          <w:szCs w:val="28"/>
        </w:rPr>
        <w:t>short of its obligation to ensure there w</w:t>
      </w:r>
      <w:r w:rsidR="00D01C79">
        <w:rPr>
          <w:rFonts w:ascii="Times New Roman" w:hAnsi="Times New Roman" w:cs="Times New Roman"/>
          <w:sz w:val="28"/>
          <w:szCs w:val="28"/>
        </w:rPr>
        <w:t>as a reasonable basis for suing Mr. Holubec and his firm.</w:t>
      </w:r>
    </w:p>
    <w:p w:rsidR="00D6795F" w:rsidRPr="00D6795F" w:rsidRDefault="00D6795F" w:rsidP="00E92A45">
      <w:pPr>
        <w:pStyle w:val="ListParagraph"/>
        <w:spacing w:line="240" w:lineRule="auto"/>
        <w:rPr>
          <w:rFonts w:ascii="Times New Roman" w:hAnsi="Times New Roman" w:cs="Times New Roman"/>
          <w:sz w:val="28"/>
          <w:szCs w:val="28"/>
        </w:rPr>
      </w:pPr>
    </w:p>
    <w:p w:rsidR="00383781" w:rsidRDefault="00AD606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Exacerbating the situation is that t</w:t>
      </w:r>
      <w:r w:rsidR="00D6795F">
        <w:rPr>
          <w:rFonts w:ascii="Times New Roman" w:hAnsi="Times New Roman" w:cs="Times New Roman"/>
          <w:sz w:val="28"/>
          <w:szCs w:val="28"/>
        </w:rPr>
        <w:t>he Plaintiff had a number of opport</w:t>
      </w:r>
      <w:r w:rsidR="003A72B6">
        <w:rPr>
          <w:rFonts w:ascii="Times New Roman" w:hAnsi="Times New Roman" w:cs="Times New Roman"/>
          <w:sz w:val="28"/>
          <w:szCs w:val="28"/>
        </w:rPr>
        <w:t>unities to rec</w:t>
      </w:r>
      <w:r w:rsidR="005B31FD">
        <w:rPr>
          <w:rFonts w:ascii="Times New Roman" w:hAnsi="Times New Roman" w:cs="Times New Roman"/>
          <w:sz w:val="28"/>
          <w:szCs w:val="28"/>
        </w:rPr>
        <w:t xml:space="preserve">onsider its decision to sue Mr. </w:t>
      </w:r>
      <w:r w:rsidR="003A72B6">
        <w:rPr>
          <w:rFonts w:ascii="Times New Roman" w:hAnsi="Times New Roman" w:cs="Times New Roman"/>
          <w:sz w:val="28"/>
          <w:szCs w:val="28"/>
        </w:rPr>
        <w:t>Holubec</w:t>
      </w:r>
      <w:r w:rsidR="005B31FD">
        <w:rPr>
          <w:rFonts w:ascii="Times New Roman" w:hAnsi="Times New Roman" w:cs="Times New Roman"/>
          <w:sz w:val="28"/>
          <w:szCs w:val="28"/>
        </w:rPr>
        <w:t xml:space="preserve"> and his firm </w:t>
      </w:r>
      <w:r w:rsidR="00C434BA">
        <w:rPr>
          <w:rFonts w:ascii="Times New Roman" w:hAnsi="Times New Roman" w:cs="Times New Roman"/>
          <w:sz w:val="28"/>
          <w:szCs w:val="28"/>
        </w:rPr>
        <w:t xml:space="preserve">after the Statement of Claim was served and before </w:t>
      </w:r>
      <w:r w:rsidR="00383781">
        <w:rPr>
          <w:rFonts w:ascii="Times New Roman" w:hAnsi="Times New Roman" w:cs="Times New Roman"/>
          <w:sz w:val="28"/>
          <w:szCs w:val="28"/>
        </w:rPr>
        <w:t xml:space="preserve">putting him to the time and expense of filing a Statement of Defence and participating in </w:t>
      </w:r>
      <w:r w:rsidR="00C434BA">
        <w:rPr>
          <w:rFonts w:ascii="Times New Roman" w:hAnsi="Times New Roman" w:cs="Times New Roman"/>
          <w:sz w:val="28"/>
          <w:szCs w:val="28"/>
        </w:rPr>
        <w:t>the</w:t>
      </w:r>
      <w:r w:rsidR="00383781">
        <w:rPr>
          <w:rFonts w:ascii="Times New Roman" w:hAnsi="Times New Roman" w:cs="Times New Roman"/>
          <w:sz w:val="28"/>
          <w:szCs w:val="28"/>
        </w:rPr>
        <w:t xml:space="preserve"> discovery process</w:t>
      </w:r>
      <w:r w:rsidR="00C434BA">
        <w:rPr>
          <w:rFonts w:ascii="Times New Roman" w:hAnsi="Times New Roman" w:cs="Times New Roman"/>
          <w:sz w:val="28"/>
          <w:szCs w:val="28"/>
        </w:rPr>
        <w:t>.</w:t>
      </w:r>
      <w:r w:rsidR="001350AD">
        <w:rPr>
          <w:rFonts w:ascii="Times New Roman" w:hAnsi="Times New Roman" w:cs="Times New Roman"/>
          <w:sz w:val="28"/>
          <w:szCs w:val="28"/>
        </w:rPr>
        <w:t xml:space="preserve"> </w:t>
      </w:r>
      <w:r w:rsidR="00C434BA">
        <w:rPr>
          <w:rFonts w:ascii="Times New Roman" w:hAnsi="Times New Roman" w:cs="Times New Roman"/>
          <w:sz w:val="28"/>
          <w:szCs w:val="28"/>
        </w:rPr>
        <w:t xml:space="preserve"> </w:t>
      </w:r>
    </w:p>
    <w:p w:rsidR="00383781" w:rsidRPr="00383781" w:rsidRDefault="00383781" w:rsidP="00383781">
      <w:pPr>
        <w:pStyle w:val="ListParagraph"/>
        <w:rPr>
          <w:rFonts w:ascii="Times New Roman" w:hAnsi="Times New Roman" w:cs="Times New Roman"/>
          <w:sz w:val="28"/>
          <w:szCs w:val="28"/>
        </w:rPr>
      </w:pPr>
    </w:p>
    <w:p w:rsidR="005026DB" w:rsidRDefault="00AD606D"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Mr. </w:t>
      </w:r>
      <w:r w:rsidR="00C434BA">
        <w:rPr>
          <w:rFonts w:ascii="Times New Roman" w:hAnsi="Times New Roman" w:cs="Times New Roman"/>
          <w:sz w:val="28"/>
          <w:szCs w:val="28"/>
        </w:rPr>
        <w:t>H</w:t>
      </w:r>
      <w:r w:rsidR="00D6795F">
        <w:rPr>
          <w:rFonts w:ascii="Times New Roman" w:hAnsi="Times New Roman" w:cs="Times New Roman"/>
          <w:sz w:val="28"/>
          <w:szCs w:val="28"/>
        </w:rPr>
        <w:t xml:space="preserve">olubec, </w:t>
      </w:r>
      <w:r w:rsidR="005026DB" w:rsidRPr="00F769C9">
        <w:rPr>
          <w:rFonts w:ascii="Times New Roman" w:hAnsi="Times New Roman" w:cs="Times New Roman"/>
          <w:sz w:val="28"/>
          <w:szCs w:val="28"/>
        </w:rPr>
        <w:t xml:space="preserve">through counsel, </w:t>
      </w:r>
      <w:r>
        <w:rPr>
          <w:rFonts w:ascii="Times New Roman" w:hAnsi="Times New Roman" w:cs="Times New Roman"/>
          <w:sz w:val="28"/>
          <w:szCs w:val="28"/>
        </w:rPr>
        <w:t xml:space="preserve">asked to </w:t>
      </w:r>
      <w:r w:rsidR="00340AAC">
        <w:rPr>
          <w:rFonts w:ascii="Times New Roman" w:hAnsi="Times New Roman" w:cs="Times New Roman"/>
          <w:sz w:val="28"/>
          <w:szCs w:val="28"/>
        </w:rPr>
        <w:t xml:space="preserve">be </w:t>
      </w:r>
      <w:r w:rsidR="00C434BA">
        <w:rPr>
          <w:rFonts w:ascii="Times New Roman" w:hAnsi="Times New Roman" w:cs="Times New Roman"/>
          <w:sz w:val="28"/>
          <w:szCs w:val="28"/>
        </w:rPr>
        <w:t>released</w:t>
      </w:r>
      <w:r w:rsidR="00340AAC">
        <w:rPr>
          <w:rFonts w:ascii="Times New Roman" w:hAnsi="Times New Roman" w:cs="Times New Roman"/>
          <w:sz w:val="28"/>
          <w:szCs w:val="28"/>
        </w:rPr>
        <w:t xml:space="preserve"> from the suit</w:t>
      </w:r>
      <w:r w:rsidR="005026DB" w:rsidRPr="00F769C9">
        <w:rPr>
          <w:rFonts w:ascii="Times New Roman" w:hAnsi="Times New Roman" w:cs="Times New Roman"/>
          <w:sz w:val="28"/>
          <w:szCs w:val="28"/>
        </w:rPr>
        <w:t xml:space="preserve">. </w:t>
      </w:r>
      <w:r w:rsidR="001350AD">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5026DB" w:rsidRPr="00F769C9">
        <w:rPr>
          <w:rFonts w:ascii="Times New Roman" w:hAnsi="Times New Roman" w:cs="Times New Roman"/>
          <w:sz w:val="28"/>
          <w:szCs w:val="28"/>
        </w:rPr>
        <w:t>Plaintiff’</w:t>
      </w:r>
      <w:r w:rsidR="00F769C9">
        <w:rPr>
          <w:rFonts w:ascii="Times New Roman" w:hAnsi="Times New Roman" w:cs="Times New Roman"/>
          <w:sz w:val="28"/>
          <w:szCs w:val="28"/>
        </w:rPr>
        <w:t xml:space="preserve">s counsel </w:t>
      </w:r>
      <w:r>
        <w:rPr>
          <w:rFonts w:ascii="Times New Roman" w:hAnsi="Times New Roman" w:cs="Times New Roman"/>
          <w:sz w:val="28"/>
          <w:szCs w:val="28"/>
        </w:rPr>
        <w:t xml:space="preserve">was asked what she </w:t>
      </w:r>
      <w:r w:rsidR="00F769C9">
        <w:rPr>
          <w:rFonts w:ascii="Times New Roman" w:hAnsi="Times New Roman" w:cs="Times New Roman"/>
          <w:sz w:val="28"/>
          <w:szCs w:val="28"/>
        </w:rPr>
        <w:t xml:space="preserve">anticipated </w:t>
      </w:r>
      <w:r>
        <w:rPr>
          <w:rFonts w:ascii="Times New Roman" w:hAnsi="Times New Roman" w:cs="Times New Roman"/>
          <w:sz w:val="28"/>
          <w:szCs w:val="28"/>
        </w:rPr>
        <w:t xml:space="preserve">the </w:t>
      </w:r>
      <w:r w:rsidR="005026DB" w:rsidRPr="00F769C9">
        <w:rPr>
          <w:rFonts w:ascii="Times New Roman" w:hAnsi="Times New Roman" w:cs="Times New Roman"/>
          <w:sz w:val="28"/>
          <w:szCs w:val="28"/>
        </w:rPr>
        <w:t>evidence against Holubec</w:t>
      </w:r>
      <w:r>
        <w:rPr>
          <w:rFonts w:ascii="Times New Roman" w:hAnsi="Times New Roman" w:cs="Times New Roman"/>
          <w:sz w:val="28"/>
          <w:szCs w:val="28"/>
        </w:rPr>
        <w:t xml:space="preserve"> would be</w:t>
      </w:r>
      <w:r w:rsidR="005026DB" w:rsidRPr="00F769C9">
        <w:rPr>
          <w:rFonts w:ascii="Times New Roman" w:hAnsi="Times New Roman" w:cs="Times New Roman"/>
          <w:sz w:val="28"/>
          <w:szCs w:val="28"/>
        </w:rPr>
        <w:t>.</w:t>
      </w:r>
      <w:r w:rsidR="001350AD">
        <w:rPr>
          <w:rFonts w:ascii="Times New Roman" w:hAnsi="Times New Roman" w:cs="Times New Roman"/>
          <w:sz w:val="28"/>
          <w:szCs w:val="28"/>
        </w:rPr>
        <w:t xml:space="preserve"> </w:t>
      </w:r>
      <w:r w:rsidR="005026DB" w:rsidRPr="00F769C9">
        <w:rPr>
          <w:rFonts w:ascii="Times New Roman" w:hAnsi="Times New Roman" w:cs="Times New Roman"/>
          <w:sz w:val="28"/>
          <w:szCs w:val="28"/>
        </w:rPr>
        <w:t xml:space="preserve"> </w:t>
      </w:r>
      <w:r w:rsidR="00F769C9">
        <w:rPr>
          <w:rFonts w:ascii="Times New Roman" w:hAnsi="Times New Roman" w:cs="Times New Roman"/>
          <w:sz w:val="28"/>
          <w:szCs w:val="28"/>
        </w:rPr>
        <w:t>The Plaintiff declined to provide this.</w:t>
      </w:r>
      <w:r w:rsidR="001350AD">
        <w:rPr>
          <w:rFonts w:ascii="Times New Roman" w:hAnsi="Times New Roman" w:cs="Times New Roman"/>
          <w:sz w:val="28"/>
          <w:szCs w:val="28"/>
        </w:rPr>
        <w:t xml:space="preserve"> </w:t>
      </w:r>
      <w:r w:rsidR="00F769C9">
        <w:rPr>
          <w:rFonts w:ascii="Times New Roman" w:hAnsi="Times New Roman" w:cs="Times New Roman"/>
          <w:sz w:val="28"/>
          <w:szCs w:val="28"/>
        </w:rPr>
        <w:t xml:space="preserve"> Holubec’s counsel </w:t>
      </w:r>
      <w:r w:rsidR="005026DB" w:rsidRPr="00F769C9">
        <w:rPr>
          <w:rFonts w:ascii="Times New Roman" w:hAnsi="Times New Roman" w:cs="Times New Roman"/>
          <w:sz w:val="28"/>
          <w:szCs w:val="28"/>
        </w:rPr>
        <w:t>offered to make Mr. Holubec available to meet with the Plaintiff’</w:t>
      </w:r>
      <w:r w:rsidR="00D6795F">
        <w:rPr>
          <w:rFonts w:ascii="Times New Roman" w:hAnsi="Times New Roman" w:cs="Times New Roman"/>
          <w:sz w:val="28"/>
          <w:szCs w:val="28"/>
        </w:rPr>
        <w:t>s engineers</w:t>
      </w:r>
      <w:r w:rsidR="00C434BA">
        <w:rPr>
          <w:rFonts w:ascii="Times New Roman" w:hAnsi="Times New Roman" w:cs="Times New Roman"/>
          <w:sz w:val="28"/>
          <w:szCs w:val="28"/>
        </w:rPr>
        <w:t xml:space="preserve">, presumably, to explain his advice and </w:t>
      </w:r>
      <w:r w:rsidR="00D01C79">
        <w:rPr>
          <w:rFonts w:ascii="Times New Roman" w:hAnsi="Times New Roman" w:cs="Times New Roman"/>
          <w:sz w:val="28"/>
          <w:szCs w:val="28"/>
        </w:rPr>
        <w:t xml:space="preserve">the scope of his </w:t>
      </w:r>
      <w:r w:rsidR="00C434BA">
        <w:rPr>
          <w:rFonts w:ascii="Times New Roman" w:hAnsi="Times New Roman" w:cs="Times New Roman"/>
          <w:sz w:val="28"/>
          <w:szCs w:val="28"/>
        </w:rPr>
        <w:t>retainer</w:t>
      </w:r>
      <w:r w:rsidR="00D6795F">
        <w:rPr>
          <w:rFonts w:ascii="Times New Roman" w:hAnsi="Times New Roman" w:cs="Times New Roman"/>
          <w:sz w:val="28"/>
          <w:szCs w:val="28"/>
        </w:rPr>
        <w:t>.</w:t>
      </w:r>
      <w:r w:rsidR="001350AD">
        <w:rPr>
          <w:rFonts w:ascii="Times New Roman" w:hAnsi="Times New Roman" w:cs="Times New Roman"/>
          <w:sz w:val="28"/>
          <w:szCs w:val="28"/>
        </w:rPr>
        <w:t xml:space="preserve"> </w:t>
      </w:r>
      <w:r w:rsidR="00D6795F">
        <w:rPr>
          <w:rFonts w:ascii="Times New Roman" w:hAnsi="Times New Roman" w:cs="Times New Roman"/>
          <w:sz w:val="28"/>
          <w:szCs w:val="28"/>
        </w:rPr>
        <w:t xml:space="preserve"> </w:t>
      </w:r>
      <w:r w:rsidR="005026DB" w:rsidRPr="00F769C9">
        <w:rPr>
          <w:rFonts w:ascii="Times New Roman" w:hAnsi="Times New Roman" w:cs="Times New Roman"/>
          <w:sz w:val="28"/>
          <w:szCs w:val="28"/>
        </w:rPr>
        <w:t xml:space="preserve">He pointed out the minimal nature of the written advice </w:t>
      </w:r>
      <w:r>
        <w:rPr>
          <w:rFonts w:ascii="Times New Roman" w:hAnsi="Times New Roman" w:cs="Times New Roman"/>
          <w:sz w:val="28"/>
          <w:szCs w:val="28"/>
        </w:rPr>
        <w:t xml:space="preserve">Mr. </w:t>
      </w:r>
      <w:r w:rsidR="005026DB" w:rsidRPr="00F769C9">
        <w:rPr>
          <w:rFonts w:ascii="Times New Roman" w:hAnsi="Times New Roman" w:cs="Times New Roman"/>
          <w:sz w:val="28"/>
          <w:szCs w:val="28"/>
        </w:rPr>
        <w:t>Holubec provided</w:t>
      </w:r>
      <w:r w:rsidR="00D01C79">
        <w:rPr>
          <w:rFonts w:ascii="Times New Roman" w:hAnsi="Times New Roman" w:cs="Times New Roman"/>
          <w:sz w:val="28"/>
          <w:szCs w:val="28"/>
        </w:rPr>
        <w:t xml:space="preserve">, </w:t>
      </w:r>
      <w:r w:rsidR="005026DB" w:rsidRPr="00F769C9">
        <w:rPr>
          <w:rFonts w:ascii="Times New Roman" w:hAnsi="Times New Roman" w:cs="Times New Roman"/>
          <w:sz w:val="28"/>
          <w:szCs w:val="28"/>
        </w:rPr>
        <w:t>the fact that the drawings appended to it were marked “draft”</w:t>
      </w:r>
      <w:r w:rsidR="00D01C79">
        <w:rPr>
          <w:rFonts w:ascii="Times New Roman" w:hAnsi="Times New Roman" w:cs="Times New Roman"/>
          <w:sz w:val="28"/>
          <w:szCs w:val="28"/>
        </w:rPr>
        <w:t xml:space="preserve"> and that they</w:t>
      </w:r>
      <w:r w:rsidR="00C434BA">
        <w:rPr>
          <w:rFonts w:ascii="Times New Roman" w:hAnsi="Times New Roman" w:cs="Times New Roman"/>
          <w:sz w:val="28"/>
          <w:szCs w:val="28"/>
        </w:rPr>
        <w:t xml:space="preserve"> </w:t>
      </w:r>
      <w:r w:rsidR="005026DB" w:rsidRPr="00F769C9">
        <w:rPr>
          <w:rFonts w:ascii="Times New Roman" w:hAnsi="Times New Roman" w:cs="Times New Roman"/>
          <w:sz w:val="28"/>
          <w:szCs w:val="28"/>
        </w:rPr>
        <w:t xml:space="preserve">were not prepared by </w:t>
      </w:r>
      <w:r>
        <w:rPr>
          <w:rFonts w:ascii="Times New Roman" w:hAnsi="Times New Roman" w:cs="Times New Roman"/>
          <w:sz w:val="28"/>
          <w:szCs w:val="28"/>
        </w:rPr>
        <w:t xml:space="preserve">Mr. </w:t>
      </w:r>
      <w:r w:rsidR="005026DB" w:rsidRPr="00F769C9">
        <w:rPr>
          <w:rFonts w:ascii="Times New Roman" w:hAnsi="Times New Roman" w:cs="Times New Roman"/>
          <w:sz w:val="28"/>
          <w:szCs w:val="28"/>
        </w:rPr>
        <w:t xml:space="preserve">Holubec.  Still, the </w:t>
      </w:r>
      <w:r w:rsidR="00F0129F" w:rsidRPr="00F769C9">
        <w:rPr>
          <w:rFonts w:ascii="Times New Roman" w:hAnsi="Times New Roman" w:cs="Times New Roman"/>
          <w:sz w:val="28"/>
          <w:szCs w:val="28"/>
        </w:rPr>
        <w:t xml:space="preserve">Plaintiff insisted on maintaining </w:t>
      </w:r>
      <w:r w:rsidR="00D6795F">
        <w:rPr>
          <w:rFonts w:ascii="Times New Roman" w:hAnsi="Times New Roman" w:cs="Times New Roman"/>
          <w:sz w:val="28"/>
          <w:szCs w:val="28"/>
        </w:rPr>
        <w:t xml:space="preserve">its position, keeping </w:t>
      </w:r>
      <w:r>
        <w:rPr>
          <w:rFonts w:ascii="Times New Roman" w:hAnsi="Times New Roman" w:cs="Times New Roman"/>
          <w:sz w:val="28"/>
          <w:szCs w:val="28"/>
        </w:rPr>
        <w:t xml:space="preserve">Mr. </w:t>
      </w:r>
      <w:r w:rsidR="00F0129F" w:rsidRPr="00F769C9">
        <w:rPr>
          <w:rFonts w:ascii="Times New Roman" w:hAnsi="Times New Roman" w:cs="Times New Roman"/>
          <w:sz w:val="28"/>
          <w:szCs w:val="28"/>
        </w:rPr>
        <w:t>Holubec</w:t>
      </w:r>
      <w:r>
        <w:rPr>
          <w:rFonts w:ascii="Times New Roman" w:hAnsi="Times New Roman" w:cs="Times New Roman"/>
          <w:sz w:val="28"/>
          <w:szCs w:val="28"/>
        </w:rPr>
        <w:t xml:space="preserve"> and his firm as</w:t>
      </w:r>
      <w:r w:rsidR="00F0129F" w:rsidRPr="00F769C9">
        <w:rPr>
          <w:rFonts w:ascii="Times New Roman" w:hAnsi="Times New Roman" w:cs="Times New Roman"/>
          <w:sz w:val="28"/>
          <w:szCs w:val="28"/>
        </w:rPr>
        <w:t xml:space="preserve"> defendants</w:t>
      </w:r>
      <w:r>
        <w:rPr>
          <w:rFonts w:ascii="Times New Roman" w:hAnsi="Times New Roman" w:cs="Times New Roman"/>
          <w:sz w:val="28"/>
          <w:szCs w:val="28"/>
        </w:rPr>
        <w:t xml:space="preserve"> </w:t>
      </w:r>
      <w:r w:rsidR="00F0129F" w:rsidRPr="00F769C9">
        <w:rPr>
          <w:rFonts w:ascii="Times New Roman" w:hAnsi="Times New Roman" w:cs="Times New Roman"/>
          <w:sz w:val="28"/>
          <w:szCs w:val="28"/>
        </w:rPr>
        <w:t>i</w:t>
      </w:r>
      <w:r w:rsidR="005026DB" w:rsidRPr="00F769C9">
        <w:rPr>
          <w:rFonts w:ascii="Times New Roman" w:hAnsi="Times New Roman" w:cs="Times New Roman"/>
          <w:sz w:val="28"/>
          <w:szCs w:val="28"/>
        </w:rPr>
        <w:t>n the suit</w:t>
      </w:r>
      <w:r>
        <w:rPr>
          <w:rFonts w:ascii="Times New Roman" w:hAnsi="Times New Roman" w:cs="Times New Roman"/>
          <w:sz w:val="28"/>
          <w:szCs w:val="28"/>
        </w:rPr>
        <w:t>.</w:t>
      </w:r>
    </w:p>
    <w:p w:rsidR="00C434BA" w:rsidRDefault="00C434BA" w:rsidP="00E92A45">
      <w:pPr>
        <w:pStyle w:val="ListParagraph"/>
        <w:spacing w:line="240" w:lineRule="auto"/>
        <w:rPr>
          <w:rFonts w:ascii="Times New Roman" w:hAnsi="Times New Roman" w:cs="Times New Roman"/>
          <w:sz w:val="28"/>
          <w:szCs w:val="28"/>
        </w:rPr>
      </w:pPr>
    </w:p>
    <w:p w:rsidR="0057289E" w:rsidRDefault="0057289E" w:rsidP="00E92A45">
      <w:pPr>
        <w:pStyle w:val="ListParagraph"/>
        <w:spacing w:line="240" w:lineRule="auto"/>
        <w:rPr>
          <w:rFonts w:ascii="Times New Roman" w:hAnsi="Times New Roman" w:cs="Times New Roman"/>
          <w:sz w:val="28"/>
          <w:szCs w:val="28"/>
        </w:rPr>
      </w:pPr>
    </w:p>
    <w:p w:rsidR="0057289E" w:rsidRPr="00C434BA" w:rsidRDefault="0057289E" w:rsidP="00E92A45">
      <w:pPr>
        <w:pStyle w:val="ListParagraph"/>
        <w:spacing w:line="240" w:lineRule="auto"/>
        <w:rPr>
          <w:rFonts w:ascii="Times New Roman" w:hAnsi="Times New Roman" w:cs="Times New Roman"/>
          <w:sz w:val="28"/>
          <w:szCs w:val="28"/>
        </w:rPr>
      </w:pPr>
    </w:p>
    <w:p w:rsidR="000131BC" w:rsidRPr="000131BC" w:rsidRDefault="00C434BA" w:rsidP="000131BC">
      <w:pPr>
        <w:pStyle w:val="ListParagraph"/>
        <w:numPr>
          <w:ilvl w:val="0"/>
          <w:numId w:val="10"/>
        </w:numPr>
        <w:spacing w:after="0" w:line="240" w:lineRule="auto"/>
        <w:jc w:val="both"/>
        <w:rPr>
          <w:rFonts w:ascii="Times New Roman" w:hAnsi="Times New Roman" w:cs="Times New Roman"/>
          <w:sz w:val="28"/>
          <w:szCs w:val="28"/>
        </w:rPr>
      </w:pPr>
      <w:r w:rsidRPr="00383781">
        <w:rPr>
          <w:rFonts w:ascii="Times New Roman" w:hAnsi="Times New Roman" w:cs="Times New Roman"/>
          <w:sz w:val="28"/>
          <w:szCs w:val="28"/>
        </w:rPr>
        <w:t>This is not to say that in every case where a defendant disputes a claim the pla</w:t>
      </w:r>
      <w:r w:rsidR="00292879" w:rsidRPr="00383781">
        <w:rPr>
          <w:rFonts w:ascii="Times New Roman" w:hAnsi="Times New Roman" w:cs="Times New Roman"/>
          <w:sz w:val="28"/>
          <w:szCs w:val="28"/>
        </w:rPr>
        <w:t xml:space="preserve">intiff is required to re-assess the allegations it has made </w:t>
      </w:r>
      <w:r w:rsidR="00A11825" w:rsidRPr="00383781">
        <w:rPr>
          <w:rFonts w:ascii="Times New Roman" w:hAnsi="Times New Roman" w:cs="Times New Roman"/>
          <w:sz w:val="28"/>
          <w:szCs w:val="28"/>
        </w:rPr>
        <w:t>against that</w:t>
      </w:r>
      <w:r w:rsidR="000C0F7B" w:rsidRPr="00383781">
        <w:rPr>
          <w:rFonts w:ascii="Times New Roman" w:hAnsi="Times New Roman" w:cs="Times New Roman"/>
          <w:sz w:val="28"/>
          <w:szCs w:val="28"/>
        </w:rPr>
        <w:t xml:space="preserve"> defendant or, as in this case, to meet with a defendant for an informal form of discovery.</w:t>
      </w:r>
      <w:r w:rsidR="00146070" w:rsidRPr="00383781">
        <w:rPr>
          <w:rFonts w:ascii="Times New Roman" w:hAnsi="Times New Roman" w:cs="Times New Roman"/>
          <w:sz w:val="28"/>
          <w:szCs w:val="28"/>
        </w:rPr>
        <w:t xml:space="preserve"> </w:t>
      </w:r>
      <w:r w:rsidR="000C0F7B" w:rsidRPr="00383781">
        <w:rPr>
          <w:rFonts w:ascii="Times New Roman" w:hAnsi="Times New Roman" w:cs="Times New Roman"/>
          <w:sz w:val="28"/>
          <w:szCs w:val="28"/>
        </w:rPr>
        <w:t xml:space="preserve"> </w:t>
      </w:r>
      <w:r w:rsidR="00383781" w:rsidRPr="00383781">
        <w:rPr>
          <w:rFonts w:ascii="Times New Roman" w:hAnsi="Times New Roman" w:cs="Times New Roman"/>
          <w:sz w:val="28"/>
          <w:szCs w:val="28"/>
        </w:rPr>
        <w:t>Context is very important.</w:t>
      </w:r>
      <w:r w:rsidR="00507A54">
        <w:rPr>
          <w:rFonts w:ascii="Times New Roman" w:hAnsi="Times New Roman" w:cs="Times New Roman"/>
          <w:sz w:val="28"/>
          <w:szCs w:val="28"/>
        </w:rPr>
        <w:t xml:space="preserve"> </w:t>
      </w:r>
      <w:r w:rsidR="00383781" w:rsidRPr="00383781">
        <w:rPr>
          <w:rFonts w:ascii="Times New Roman" w:hAnsi="Times New Roman" w:cs="Times New Roman"/>
          <w:sz w:val="28"/>
          <w:szCs w:val="28"/>
        </w:rPr>
        <w:t xml:space="preserve"> </w:t>
      </w:r>
      <w:r w:rsidR="00A11825" w:rsidRPr="00383781">
        <w:rPr>
          <w:rFonts w:ascii="Times New Roman" w:hAnsi="Times New Roman" w:cs="Times New Roman"/>
          <w:sz w:val="28"/>
          <w:szCs w:val="28"/>
        </w:rPr>
        <w:t>In this c</w:t>
      </w:r>
      <w:r w:rsidR="00D01C79">
        <w:rPr>
          <w:rFonts w:ascii="Times New Roman" w:hAnsi="Times New Roman" w:cs="Times New Roman"/>
          <w:sz w:val="28"/>
          <w:szCs w:val="28"/>
        </w:rPr>
        <w:t xml:space="preserve">ase, </w:t>
      </w:r>
      <w:r w:rsidR="00340AAC" w:rsidRPr="00383781">
        <w:rPr>
          <w:rFonts w:ascii="Times New Roman" w:hAnsi="Times New Roman" w:cs="Times New Roman"/>
          <w:sz w:val="28"/>
          <w:szCs w:val="28"/>
        </w:rPr>
        <w:t xml:space="preserve">the Plaintiff did </w:t>
      </w:r>
      <w:r w:rsidR="00A11825" w:rsidRPr="00383781">
        <w:rPr>
          <w:rFonts w:ascii="Times New Roman" w:hAnsi="Times New Roman" w:cs="Times New Roman"/>
          <w:sz w:val="28"/>
          <w:szCs w:val="28"/>
        </w:rPr>
        <w:t>not take sufficient steps at the outset to determine if it had a reasonable basis for making the allegations</w:t>
      </w:r>
      <w:r w:rsidR="004C5709" w:rsidRPr="00383781">
        <w:rPr>
          <w:rFonts w:ascii="Times New Roman" w:hAnsi="Times New Roman" w:cs="Times New Roman"/>
          <w:sz w:val="28"/>
          <w:szCs w:val="28"/>
        </w:rPr>
        <w:t>.</w:t>
      </w:r>
      <w:r w:rsidR="00146070" w:rsidRPr="00383781">
        <w:rPr>
          <w:rFonts w:ascii="Times New Roman" w:hAnsi="Times New Roman" w:cs="Times New Roman"/>
          <w:sz w:val="28"/>
          <w:szCs w:val="28"/>
        </w:rPr>
        <w:t xml:space="preserve"> </w:t>
      </w:r>
      <w:r w:rsidR="004C5709" w:rsidRPr="00383781">
        <w:rPr>
          <w:rFonts w:ascii="Times New Roman" w:hAnsi="Times New Roman" w:cs="Times New Roman"/>
          <w:sz w:val="28"/>
          <w:szCs w:val="28"/>
        </w:rPr>
        <w:t xml:space="preserve"> Mr. Holubec’s counsel raised a number of reasonable issues</w:t>
      </w:r>
      <w:r w:rsidR="00383781" w:rsidRPr="00383781">
        <w:rPr>
          <w:rFonts w:ascii="Times New Roman" w:hAnsi="Times New Roman" w:cs="Times New Roman"/>
          <w:sz w:val="28"/>
          <w:szCs w:val="28"/>
        </w:rPr>
        <w:t>, such as the limited sc</w:t>
      </w:r>
      <w:r w:rsidR="00D01C79">
        <w:rPr>
          <w:rFonts w:ascii="Times New Roman" w:hAnsi="Times New Roman" w:cs="Times New Roman"/>
          <w:sz w:val="28"/>
          <w:szCs w:val="28"/>
        </w:rPr>
        <w:t xml:space="preserve">ope of the work Mr. Holubec did and the fact that he did not create the design, </w:t>
      </w:r>
      <w:r w:rsidR="004C5709" w:rsidRPr="00383781">
        <w:rPr>
          <w:rFonts w:ascii="Times New Roman" w:hAnsi="Times New Roman" w:cs="Times New Roman"/>
          <w:sz w:val="28"/>
          <w:szCs w:val="28"/>
        </w:rPr>
        <w:t xml:space="preserve">which ought to have led the Plaintiff </w:t>
      </w:r>
      <w:r w:rsidR="00383781" w:rsidRPr="00383781">
        <w:rPr>
          <w:rFonts w:ascii="Times New Roman" w:hAnsi="Times New Roman" w:cs="Times New Roman"/>
          <w:sz w:val="28"/>
          <w:szCs w:val="28"/>
        </w:rPr>
        <w:t>to at least look at what evidence it had to support the allegations against these defendants.</w:t>
      </w:r>
      <w:r w:rsidR="00507A54">
        <w:rPr>
          <w:rFonts w:ascii="Times New Roman" w:hAnsi="Times New Roman" w:cs="Times New Roman"/>
          <w:sz w:val="28"/>
          <w:szCs w:val="28"/>
        </w:rPr>
        <w:t xml:space="preserve"> </w:t>
      </w:r>
      <w:r w:rsidR="00383781" w:rsidRPr="00383781">
        <w:rPr>
          <w:rFonts w:ascii="Times New Roman" w:hAnsi="Times New Roman" w:cs="Times New Roman"/>
          <w:sz w:val="28"/>
          <w:szCs w:val="28"/>
        </w:rPr>
        <w:t xml:space="preserve"> </w:t>
      </w:r>
      <w:r w:rsidR="00383781">
        <w:rPr>
          <w:rFonts w:ascii="Times New Roman" w:hAnsi="Times New Roman" w:cs="Times New Roman"/>
          <w:sz w:val="28"/>
          <w:szCs w:val="28"/>
        </w:rPr>
        <w:t>As it turned out, it had virtually none.</w:t>
      </w:r>
    </w:p>
    <w:p w:rsidR="000131BC" w:rsidRPr="009536B2" w:rsidRDefault="000131BC" w:rsidP="000131BC">
      <w:pPr>
        <w:pStyle w:val="ListParagraph"/>
        <w:spacing w:line="240" w:lineRule="auto"/>
        <w:rPr>
          <w:rFonts w:ascii="Times New Roman" w:hAnsi="Times New Roman" w:cs="Times New Roman"/>
          <w:sz w:val="28"/>
          <w:szCs w:val="28"/>
        </w:rPr>
      </w:pPr>
    </w:p>
    <w:p w:rsidR="000131BC" w:rsidRDefault="000131BC" w:rsidP="000131BC">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fact that the Plaintiff is a government, with a large public service, cannot be ignored.  According to its 2012 </w:t>
      </w:r>
      <w:r>
        <w:rPr>
          <w:rFonts w:ascii="Times New Roman" w:hAnsi="Times New Roman" w:cs="Times New Roman"/>
          <w:i/>
          <w:sz w:val="28"/>
          <w:szCs w:val="28"/>
        </w:rPr>
        <w:t xml:space="preserve">Public Service Annual Report, </w:t>
      </w:r>
      <w:r>
        <w:rPr>
          <w:rFonts w:ascii="Times New Roman" w:hAnsi="Times New Roman" w:cs="Times New Roman"/>
          <w:sz w:val="28"/>
          <w:szCs w:val="28"/>
        </w:rPr>
        <w:t>it had just over 4700 employees in 2012, when structural problems were reported by staff, with 255 employees in the Department of Public Works.</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r w:rsidR="0057289E">
        <w:rPr>
          <w:rFonts w:ascii="Times New Roman" w:hAnsi="Times New Roman" w:cs="Times New Roman"/>
          <w:sz w:val="28"/>
          <w:szCs w:val="28"/>
        </w:rPr>
        <w:t xml:space="preserve"> </w:t>
      </w:r>
      <w:r>
        <w:rPr>
          <w:rFonts w:ascii="Times New Roman" w:hAnsi="Times New Roman" w:cs="Times New Roman"/>
          <w:sz w:val="28"/>
          <w:szCs w:val="28"/>
        </w:rPr>
        <w:t xml:space="preserve">I do not suggest that the Plaintiff should be subject to a markedly higher standard than any other party to an action by this reason alone.  It is, however, reasonable to assume that the Plaintiff had resources at its disposal which it could have used to inquire into the nature and extent of Mr. Holubec’s involvement and thus make a properly informed decision about suing him and his firm. </w:t>
      </w:r>
      <w:r w:rsidR="0057289E">
        <w:rPr>
          <w:rFonts w:ascii="Times New Roman" w:hAnsi="Times New Roman" w:cs="Times New Roman"/>
          <w:sz w:val="28"/>
          <w:szCs w:val="28"/>
        </w:rPr>
        <w:t xml:space="preserve"> </w:t>
      </w:r>
      <w:r>
        <w:rPr>
          <w:rFonts w:ascii="Times New Roman" w:hAnsi="Times New Roman" w:cs="Times New Roman"/>
          <w:sz w:val="28"/>
          <w:szCs w:val="28"/>
        </w:rPr>
        <w:t>There is no reason advanced for why it did not do so.</w:t>
      </w:r>
    </w:p>
    <w:p w:rsidR="00383781" w:rsidRPr="00383781" w:rsidRDefault="00383781" w:rsidP="00383781">
      <w:pPr>
        <w:pStyle w:val="ListParagraph"/>
        <w:spacing w:after="0" w:line="240" w:lineRule="auto"/>
        <w:ind w:left="0"/>
        <w:jc w:val="both"/>
        <w:rPr>
          <w:rFonts w:ascii="Times New Roman" w:hAnsi="Times New Roman" w:cs="Times New Roman"/>
          <w:sz w:val="28"/>
          <w:szCs w:val="28"/>
        </w:rPr>
      </w:pPr>
    </w:p>
    <w:p w:rsidR="006E05F6" w:rsidRDefault="00D4528C"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6DEE">
        <w:rPr>
          <w:rFonts w:ascii="Times New Roman" w:hAnsi="Times New Roman" w:cs="Times New Roman"/>
          <w:sz w:val="28"/>
          <w:szCs w:val="28"/>
        </w:rPr>
        <w:t>Mr.</w:t>
      </w:r>
      <w:r w:rsidR="00D01C79">
        <w:rPr>
          <w:rFonts w:ascii="Times New Roman" w:hAnsi="Times New Roman" w:cs="Times New Roman"/>
          <w:sz w:val="28"/>
          <w:szCs w:val="28"/>
        </w:rPr>
        <w:t xml:space="preserve"> Burns deposed that the </w:t>
      </w:r>
      <w:r w:rsidR="00966DEE">
        <w:rPr>
          <w:rFonts w:ascii="Times New Roman" w:hAnsi="Times New Roman" w:cs="Times New Roman"/>
          <w:sz w:val="28"/>
          <w:szCs w:val="28"/>
        </w:rPr>
        <w:t>Plaintiff</w:t>
      </w:r>
      <w:r w:rsidR="00D01C79">
        <w:rPr>
          <w:rFonts w:ascii="Times New Roman" w:hAnsi="Times New Roman" w:cs="Times New Roman"/>
          <w:sz w:val="28"/>
          <w:szCs w:val="28"/>
        </w:rPr>
        <w:t>’s</w:t>
      </w:r>
      <w:r w:rsidR="00966DEE">
        <w:rPr>
          <w:rFonts w:ascii="Times New Roman" w:hAnsi="Times New Roman" w:cs="Times New Roman"/>
          <w:sz w:val="28"/>
          <w:szCs w:val="28"/>
        </w:rPr>
        <w:t xml:space="preserve"> </w:t>
      </w:r>
      <w:r w:rsidR="0076080A">
        <w:rPr>
          <w:rFonts w:ascii="Times New Roman" w:hAnsi="Times New Roman" w:cs="Times New Roman"/>
          <w:sz w:val="28"/>
          <w:szCs w:val="28"/>
        </w:rPr>
        <w:t xml:space="preserve">intention from the outset </w:t>
      </w:r>
      <w:r w:rsidR="00966DEE">
        <w:rPr>
          <w:rFonts w:ascii="Times New Roman" w:hAnsi="Times New Roman" w:cs="Times New Roman"/>
          <w:sz w:val="28"/>
          <w:szCs w:val="28"/>
        </w:rPr>
        <w:t xml:space="preserve">was </w:t>
      </w:r>
      <w:r w:rsidR="0076080A">
        <w:rPr>
          <w:rFonts w:ascii="Times New Roman" w:hAnsi="Times New Roman" w:cs="Times New Roman"/>
          <w:sz w:val="28"/>
          <w:szCs w:val="28"/>
        </w:rPr>
        <w:t xml:space="preserve">to gather information from the defendants, including </w:t>
      </w:r>
      <w:r w:rsidR="004C5709">
        <w:rPr>
          <w:rFonts w:ascii="Times New Roman" w:hAnsi="Times New Roman" w:cs="Times New Roman"/>
          <w:sz w:val="28"/>
          <w:szCs w:val="28"/>
        </w:rPr>
        <w:t xml:space="preserve">Mr. </w:t>
      </w:r>
      <w:r w:rsidR="0076080A">
        <w:rPr>
          <w:rFonts w:ascii="Times New Roman" w:hAnsi="Times New Roman" w:cs="Times New Roman"/>
          <w:sz w:val="28"/>
          <w:szCs w:val="28"/>
        </w:rPr>
        <w:t xml:space="preserve">Holubec, through the discovery process, while at the same time engaging </w:t>
      </w:r>
      <w:r w:rsidR="0076080A" w:rsidRPr="00E650B9">
        <w:rPr>
          <w:rFonts w:ascii="Times New Roman" w:hAnsi="Times New Roman" w:cs="Times New Roman"/>
          <w:sz w:val="28"/>
          <w:szCs w:val="28"/>
        </w:rPr>
        <w:t>it</w:t>
      </w:r>
      <w:bookmarkStart w:id="3" w:name="_GoBack"/>
      <w:bookmarkEnd w:id="3"/>
      <w:r w:rsidR="0076080A" w:rsidRPr="00E650B9">
        <w:rPr>
          <w:rFonts w:ascii="Times New Roman" w:hAnsi="Times New Roman" w:cs="Times New Roman"/>
          <w:sz w:val="28"/>
          <w:szCs w:val="28"/>
        </w:rPr>
        <w:t>s</w:t>
      </w:r>
      <w:r w:rsidR="0076080A">
        <w:rPr>
          <w:rFonts w:ascii="Times New Roman" w:hAnsi="Times New Roman" w:cs="Times New Roman"/>
          <w:sz w:val="28"/>
          <w:szCs w:val="28"/>
        </w:rPr>
        <w:t xml:space="preserve"> own testing processes, prior to assessing each defendants’ liability. </w:t>
      </w:r>
      <w:r w:rsidR="006E05F6">
        <w:rPr>
          <w:rFonts w:ascii="Times New Roman" w:hAnsi="Times New Roman" w:cs="Times New Roman"/>
          <w:sz w:val="28"/>
          <w:szCs w:val="28"/>
        </w:rPr>
        <w:t xml:space="preserve"> </w:t>
      </w:r>
      <w:r w:rsidR="00966DEE">
        <w:rPr>
          <w:rFonts w:ascii="Times New Roman" w:hAnsi="Times New Roman" w:cs="Times New Roman"/>
          <w:sz w:val="28"/>
          <w:szCs w:val="28"/>
        </w:rPr>
        <w:t xml:space="preserve">The Plaintiff intended to discontinue against any defendant not liable for the damage to the school. </w:t>
      </w:r>
      <w:r w:rsidR="00146070">
        <w:rPr>
          <w:rFonts w:ascii="Times New Roman" w:hAnsi="Times New Roman" w:cs="Times New Roman"/>
          <w:sz w:val="28"/>
          <w:szCs w:val="28"/>
        </w:rPr>
        <w:t xml:space="preserve"> </w:t>
      </w:r>
      <w:r w:rsidRPr="006E05F6">
        <w:rPr>
          <w:rFonts w:ascii="Times New Roman" w:hAnsi="Times New Roman" w:cs="Times New Roman"/>
          <w:sz w:val="28"/>
          <w:szCs w:val="28"/>
        </w:rPr>
        <w:t xml:space="preserve">Respectfully, what the Plaintiff proposed is an abuse of the Court’s process. </w:t>
      </w:r>
    </w:p>
    <w:p w:rsidR="006E05F6" w:rsidRPr="006E05F6" w:rsidRDefault="006E05F6" w:rsidP="00E92A45">
      <w:pPr>
        <w:pStyle w:val="ListParagraph"/>
        <w:spacing w:line="240" w:lineRule="auto"/>
        <w:rPr>
          <w:rFonts w:ascii="Times New Roman" w:hAnsi="Times New Roman" w:cs="Times New Roman"/>
          <w:sz w:val="28"/>
          <w:szCs w:val="28"/>
        </w:rPr>
      </w:pPr>
    </w:p>
    <w:p w:rsidR="003A3B7E" w:rsidRPr="003A3B7E" w:rsidRDefault="003A3B7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001F3655" w:rsidRPr="006E05F6">
        <w:rPr>
          <w:rFonts w:ascii="Times New Roman" w:hAnsi="Times New Roman" w:cs="Times New Roman"/>
          <w:sz w:val="28"/>
          <w:szCs w:val="28"/>
        </w:rPr>
        <w:t>iscovery serve</w:t>
      </w:r>
      <w:r>
        <w:rPr>
          <w:rFonts w:ascii="Times New Roman" w:hAnsi="Times New Roman" w:cs="Times New Roman"/>
          <w:sz w:val="28"/>
          <w:szCs w:val="28"/>
        </w:rPr>
        <w:t>s a number of purposes in civil litigation.  It</w:t>
      </w:r>
      <w:r w:rsidR="001F3655" w:rsidRPr="006E05F6">
        <w:rPr>
          <w:rFonts w:ascii="Times New Roman" w:hAnsi="Times New Roman" w:cs="Times New Roman"/>
          <w:sz w:val="28"/>
          <w:szCs w:val="28"/>
        </w:rPr>
        <w:t xml:space="preserve"> may be used to better define and narrow issues, augment disclosure of documents and facts, obtain admissions and assist the parties in assessing the strengths and weaknesses of their own and other parties’ cases.</w:t>
      </w:r>
      <w:r w:rsidR="00146070">
        <w:rPr>
          <w:rFonts w:ascii="Times New Roman" w:hAnsi="Times New Roman" w:cs="Times New Roman"/>
          <w:sz w:val="28"/>
          <w:szCs w:val="28"/>
        </w:rPr>
        <w:t xml:space="preserve"> </w:t>
      </w:r>
      <w:r w:rsidR="001F3655" w:rsidRPr="006E05F6">
        <w:rPr>
          <w:rFonts w:ascii="Times New Roman" w:hAnsi="Times New Roman" w:cs="Times New Roman"/>
          <w:sz w:val="28"/>
          <w:szCs w:val="28"/>
        </w:rPr>
        <w:t xml:space="preserve"> </w:t>
      </w:r>
      <w:r w:rsidR="001F3655" w:rsidRPr="006E05F6">
        <w:rPr>
          <w:rFonts w:ascii="Times New Roman" w:eastAsia="Times New Roman" w:hAnsi="Times New Roman" w:cs="Times New Roman"/>
          <w:bCs/>
          <w:i/>
          <w:color w:val="252525"/>
          <w:sz w:val="28"/>
          <w:szCs w:val="28"/>
        </w:rPr>
        <w:t>Laybourne Enterprises Ltd. v Laybourne,</w:t>
      </w:r>
      <w:r w:rsidR="001F3655" w:rsidRPr="006E05F6">
        <w:rPr>
          <w:rFonts w:ascii="Times New Roman" w:eastAsia="Times New Roman" w:hAnsi="Times New Roman" w:cs="Times New Roman"/>
          <w:bCs/>
          <w:color w:val="252525"/>
          <w:sz w:val="28"/>
          <w:szCs w:val="28"/>
        </w:rPr>
        <w:t xml:space="preserve"> </w:t>
      </w:r>
      <w:r w:rsidR="001F3655" w:rsidRPr="006E05F6">
        <w:rPr>
          <w:rFonts w:ascii="Times New Roman" w:eastAsia="Times New Roman" w:hAnsi="Times New Roman" w:cs="Times New Roman"/>
          <w:color w:val="212121"/>
          <w:sz w:val="28"/>
          <w:szCs w:val="28"/>
        </w:rPr>
        <w:t>2005 SKQB 128</w:t>
      </w:r>
      <w:r w:rsidR="00E03FBB" w:rsidRPr="006E05F6">
        <w:rPr>
          <w:rFonts w:ascii="Times New Roman" w:eastAsia="Times New Roman" w:hAnsi="Times New Roman" w:cs="Times New Roman"/>
          <w:color w:val="212121"/>
          <w:sz w:val="28"/>
          <w:szCs w:val="28"/>
        </w:rPr>
        <w:t xml:space="preserve"> at para 5,</w:t>
      </w:r>
      <w:r w:rsidR="001F3655" w:rsidRPr="006E05F6">
        <w:rPr>
          <w:rFonts w:ascii="Times New Roman" w:eastAsia="Times New Roman" w:hAnsi="Times New Roman" w:cs="Times New Roman"/>
          <w:color w:val="212121"/>
          <w:sz w:val="28"/>
          <w:szCs w:val="28"/>
        </w:rPr>
        <w:t xml:space="preserve"> 2005 CarswellSask 170, 264 Sask. R. 128.  They are not,</w:t>
      </w:r>
      <w:r w:rsidR="00D4528C" w:rsidRPr="006E05F6">
        <w:rPr>
          <w:rFonts w:ascii="Times New Roman" w:eastAsia="Times New Roman" w:hAnsi="Times New Roman" w:cs="Times New Roman"/>
          <w:color w:val="212121"/>
          <w:sz w:val="28"/>
          <w:szCs w:val="28"/>
        </w:rPr>
        <w:t xml:space="preserve"> however, a replacement f</w:t>
      </w:r>
      <w:r w:rsidR="00E03FBB" w:rsidRPr="006E05F6">
        <w:rPr>
          <w:rFonts w:ascii="Times New Roman" w:eastAsia="Times New Roman" w:hAnsi="Times New Roman" w:cs="Times New Roman"/>
          <w:color w:val="212121"/>
          <w:sz w:val="28"/>
          <w:szCs w:val="28"/>
        </w:rPr>
        <w:t>o</w:t>
      </w:r>
      <w:r w:rsidR="00D4528C" w:rsidRPr="006E05F6">
        <w:rPr>
          <w:rFonts w:ascii="Times New Roman" w:eastAsia="Times New Roman" w:hAnsi="Times New Roman" w:cs="Times New Roman"/>
          <w:color w:val="212121"/>
          <w:sz w:val="28"/>
          <w:szCs w:val="28"/>
        </w:rPr>
        <w:t>r exercising</w:t>
      </w:r>
      <w:r w:rsidR="00383781">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 xml:space="preserve">diligence </w:t>
      </w:r>
      <w:r w:rsidR="00E03FBB" w:rsidRPr="006E05F6">
        <w:rPr>
          <w:rFonts w:ascii="Times New Roman" w:eastAsia="Times New Roman" w:hAnsi="Times New Roman" w:cs="Times New Roman"/>
          <w:color w:val="212121"/>
          <w:sz w:val="28"/>
          <w:szCs w:val="28"/>
        </w:rPr>
        <w:t>in ensuring there is a reasonable basis for naming a party</w:t>
      </w:r>
      <w:r w:rsidR="006E05F6">
        <w:rPr>
          <w:rFonts w:ascii="Times New Roman" w:eastAsia="Times New Roman" w:hAnsi="Times New Roman" w:cs="Times New Roman"/>
          <w:color w:val="212121"/>
          <w:sz w:val="28"/>
          <w:szCs w:val="28"/>
        </w:rPr>
        <w:t xml:space="preserve"> in the first place. </w:t>
      </w:r>
      <w:r w:rsidR="00146070">
        <w:rPr>
          <w:rFonts w:ascii="Times New Roman" w:eastAsia="Times New Roman" w:hAnsi="Times New Roman" w:cs="Times New Roman"/>
          <w:color w:val="212121"/>
          <w:sz w:val="28"/>
          <w:szCs w:val="28"/>
        </w:rPr>
        <w:t xml:space="preserve"> </w:t>
      </w:r>
      <w:r w:rsidR="006E05F6">
        <w:rPr>
          <w:rFonts w:ascii="Times New Roman" w:eastAsia="Times New Roman" w:hAnsi="Times New Roman" w:cs="Times New Roman"/>
          <w:color w:val="212121"/>
          <w:sz w:val="28"/>
          <w:szCs w:val="28"/>
        </w:rPr>
        <w:t>There is a great difference between using the discovery process to gauge the strengths and weakne</w:t>
      </w:r>
      <w:r w:rsidR="004C5709">
        <w:rPr>
          <w:rFonts w:ascii="Times New Roman" w:eastAsia="Times New Roman" w:hAnsi="Times New Roman" w:cs="Times New Roman"/>
          <w:color w:val="212121"/>
          <w:sz w:val="28"/>
          <w:szCs w:val="28"/>
        </w:rPr>
        <w:t>ss</w:t>
      </w:r>
      <w:r w:rsidR="00D01C79">
        <w:rPr>
          <w:rFonts w:ascii="Times New Roman" w:eastAsia="Times New Roman" w:hAnsi="Times New Roman" w:cs="Times New Roman"/>
          <w:color w:val="212121"/>
          <w:sz w:val="28"/>
          <w:szCs w:val="28"/>
        </w:rPr>
        <w:t>es of a case and using it to perform a preliminary investigation</w:t>
      </w:r>
      <w:r w:rsidR="004C5709">
        <w:rPr>
          <w:rFonts w:ascii="Times New Roman" w:eastAsia="Times New Roman" w:hAnsi="Times New Roman" w:cs="Times New Roman"/>
          <w:color w:val="212121"/>
          <w:sz w:val="28"/>
          <w:szCs w:val="28"/>
        </w:rPr>
        <w:t>.</w:t>
      </w:r>
      <w:r w:rsidR="00507A54">
        <w:rPr>
          <w:rFonts w:ascii="Times New Roman" w:eastAsia="Times New Roman" w:hAnsi="Times New Roman" w:cs="Times New Roman"/>
          <w:color w:val="212121"/>
          <w:sz w:val="28"/>
          <w:szCs w:val="28"/>
        </w:rPr>
        <w:t xml:space="preserve"> </w:t>
      </w:r>
      <w:r w:rsidR="004C5709">
        <w:rPr>
          <w:rFonts w:ascii="Times New Roman" w:eastAsia="Times New Roman" w:hAnsi="Times New Roman" w:cs="Times New Roman"/>
          <w:color w:val="212121"/>
          <w:sz w:val="28"/>
          <w:szCs w:val="28"/>
        </w:rPr>
        <w:t xml:space="preserve"> </w:t>
      </w:r>
      <w:r w:rsidR="00383781">
        <w:rPr>
          <w:rFonts w:ascii="Times New Roman" w:eastAsia="Times New Roman" w:hAnsi="Times New Roman" w:cs="Times New Roman"/>
          <w:color w:val="212121"/>
          <w:sz w:val="28"/>
          <w:szCs w:val="28"/>
        </w:rPr>
        <w:t>The forme</w:t>
      </w:r>
      <w:r w:rsidR="0067070E">
        <w:rPr>
          <w:rFonts w:ascii="Times New Roman" w:eastAsia="Times New Roman" w:hAnsi="Times New Roman" w:cs="Times New Roman"/>
          <w:color w:val="212121"/>
          <w:sz w:val="28"/>
          <w:szCs w:val="28"/>
        </w:rPr>
        <w:t xml:space="preserve">r is appropriate.  The latter is </w:t>
      </w:r>
      <w:r w:rsidR="00383781">
        <w:rPr>
          <w:rFonts w:ascii="Times New Roman" w:eastAsia="Times New Roman" w:hAnsi="Times New Roman" w:cs="Times New Roman"/>
          <w:color w:val="212121"/>
          <w:sz w:val="28"/>
          <w:szCs w:val="28"/>
        </w:rPr>
        <w:t xml:space="preserve">not. </w:t>
      </w:r>
    </w:p>
    <w:p w:rsidR="003A3B7E" w:rsidRPr="003A3B7E" w:rsidRDefault="003A3B7E" w:rsidP="00E92A45">
      <w:pPr>
        <w:pStyle w:val="ListParagraph"/>
        <w:spacing w:line="240" w:lineRule="auto"/>
        <w:rPr>
          <w:rFonts w:ascii="Times New Roman" w:hAnsi="Times New Roman" w:cs="Times New Roman"/>
          <w:sz w:val="28"/>
          <w:szCs w:val="28"/>
        </w:rPr>
      </w:pPr>
    </w:p>
    <w:p w:rsidR="003A3B7E" w:rsidRPr="003A3B7E" w:rsidRDefault="003A3B7E" w:rsidP="00E92A45">
      <w:pPr>
        <w:pStyle w:val="ListParagraph"/>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lastRenderedPageBreak/>
        <w:t>What is the effect of the Offer to Settle?</w:t>
      </w:r>
    </w:p>
    <w:p w:rsidR="001F3655" w:rsidRPr="001F3655" w:rsidRDefault="001F3655" w:rsidP="00E92A45">
      <w:pPr>
        <w:pStyle w:val="ListParagraph"/>
        <w:spacing w:after="0" w:line="240" w:lineRule="auto"/>
        <w:ind w:left="0"/>
        <w:jc w:val="both"/>
        <w:rPr>
          <w:rFonts w:ascii="Times New Roman" w:hAnsi="Times New Roman" w:cs="Times New Roman"/>
          <w:sz w:val="28"/>
          <w:szCs w:val="28"/>
        </w:rPr>
      </w:pPr>
    </w:p>
    <w:p w:rsidR="00F52371" w:rsidRDefault="0067070E"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As noted, t</w:t>
      </w:r>
      <w:r w:rsidR="00F52371">
        <w:rPr>
          <w:rFonts w:ascii="Times New Roman" w:hAnsi="Times New Roman" w:cs="Times New Roman"/>
          <w:color w:val="000000"/>
          <w:sz w:val="28"/>
          <w:szCs w:val="28"/>
          <w:shd w:val="clear" w:color="auto" w:fill="FFFFFF"/>
        </w:rPr>
        <w:t xml:space="preserve">he Plaintiff </w:t>
      </w:r>
      <w:r>
        <w:rPr>
          <w:rFonts w:ascii="Times New Roman" w:hAnsi="Times New Roman" w:cs="Times New Roman"/>
          <w:color w:val="000000"/>
          <w:sz w:val="28"/>
          <w:szCs w:val="28"/>
          <w:shd w:val="clear" w:color="auto" w:fill="FFFFFF"/>
        </w:rPr>
        <w:t xml:space="preserve">argues the offer </w:t>
      </w:r>
      <w:r w:rsidR="00F52371">
        <w:rPr>
          <w:rFonts w:ascii="Times New Roman" w:hAnsi="Times New Roman" w:cs="Times New Roman"/>
          <w:color w:val="000000"/>
          <w:sz w:val="28"/>
          <w:szCs w:val="28"/>
          <w:shd w:val="clear" w:color="auto" w:fill="FFFFFF"/>
        </w:rPr>
        <w:t xml:space="preserve">was not reasonable, given </w:t>
      </w:r>
      <w:r w:rsidR="00F52371" w:rsidRPr="00D6795F">
        <w:rPr>
          <w:rFonts w:ascii="Times New Roman" w:hAnsi="Times New Roman" w:cs="Times New Roman"/>
          <w:sz w:val="28"/>
          <w:szCs w:val="28"/>
        </w:rPr>
        <w:t>the potential</w:t>
      </w:r>
      <w:r w:rsidR="00F52371">
        <w:rPr>
          <w:rFonts w:ascii="Times New Roman" w:hAnsi="Times New Roman" w:cs="Times New Roman"/>
          <w:sz w:val="28"/>
          <w:szCs w:val="28"/>
        </w:rPr>
        <w:t xml:space="preserve"> costs of repairing the school a</w:t>
      </w:r>
      <w:r w:rsidR="004C5709">
        <w:rPr>
          <w:rFonts w:ascii="Times New Roman" w:hAnsi="Times New Roman" w:cs="Times New Roman"/>
          <w:sz w:val="28"/>
          <w:szCs w:val="28"/>
        </w:rPr>
        <w:t xml:space="preserve">nd given that it </w:t>
      </w:r>
      <w:r w:rsidR="00F52371" w:rsidRPr="00D6795F">
        <w:rPr>
          <w:rFonts w:ascii="Times New Roman" w:hAnsi="Times New Roman" w:cs="Times New Roman"/>
          <w:sz w:val="28"/>
          <w:szCs w:val="28"/>
        </w:rPr>
        <w:t>d</w:t>
      </w:r>
      <w:r w:rsidR="00F52371">
        <w:rPr>
          <w:rFonts w:ascii="Times New Roman" w:hAnsi="Times New Roman" w:cs="Times New Roman"/>
          <w:sz w:val="28"/>
          <w:szCs w:val="28"/>
        </w:rPr>
        <w:t xml:space="preserve">id not include costs. </w:t>
      </w:r>
      <w:r w:rsidR="00146070">
        <w:rPr>
          <w:rFonts w:ascii="Times New Roman" w:hAnsi="Times New Roman" w:cs="Times New Roman"/>
          <w:sz w:val="28"/>
          <w:szCs w:val="28"/>
        </w:rPr>
        <w:t xml:space="preserve"> </w:t>
      </w:r>
      <w:r w:rsidR="00F52371">
        <w:rPr>
          <w:rFonts w:ascii="Times New Roman" w:hAnsi="Times New Roman" w:cs="Times New Roman"/>
          <w:sz w:val="28"/>
          <w:szCs w:val="28"/>
        </w:rPr>
        <w:t xml:space="preserve">It also submits </w:t>
      </w:r>
      <w:r w:rsidR="004C5709">
        <w:rPr>
          <w:rFonts w:ascii="Times New Roman" w:hAnsi="Times New Roman" w:cs="Times New Roman"/>
          <w:sz w:val="28"/>
          <w:szCs w:val="28"/>
        </w:rPr>
        <w:t>the o</w:t>
      </w:r>
      <w:r w:rsidR="00F52371" w:rsidRPr="00D6795F">
        <w:rPr>
          <w:rFonts w:ascii="Times New Roman" w:hAnsi="Times New Roman" w:cs="Times New Roman"/>
          <w:sz w:val="28"/>
          <w:szCs w:val="28"/>
        </w:rPr>
        <w:t xml:space="preserve">ffer was not </w:t>
      </w:r>
      <w:r w:rsidR="00F52371">
        <w:rPr>
          <w:rFonts w:ascii="Times New Roman" w:hAnsi="Times New Roman" w:cs="Times New Roman"/>
          <w:sz w:val="28"/>
          <w:szCs w:val="28"/>
        </w:rPr>
        <w:t xml:space="preserve">a </w:t>
      </w:r>
      <w:r w:rsidR="00F52371" w:rsidRPr="00D6795F">
        <w:rPr>
          <w:rFonts w:ascii="Times New Roman" w:hAnsi="Times New Roman" w:cs="Times New Roman"/>
          <w:sz w:val="28"/>
          <w:szCs w:val="28"/>
        </w:rPr>
        <w:t>genuine</w:t>
      </w:r>
      <w:r w:rsidR="00F52371">
        <w:rPr>
          <w:rFonts w:ascii="Times New Roman" w:hAnsi="Times New Roman" w:cs="Times New Roman"/>
          <w:sz w:val="28"/>
          <w:szCs w:val="28"/>
        </w:rPr>
        <w:t xml:space="preserve"> one because </w:t>
      </w:r>
      <w:r w:rsidR="00F52371" w:rsidRPr="00D6795F">
        <w:rPr>
          <w:rFonts w:ascii="Times New Roman" w:hAnsi="Times New Roman" w:cs="Times New Roman"/>
          <w:sz w:val="28"/>
          <w:szCs w:val="28"/>
        </w:rPr>
        <w:t>it lacked any element of compromise.</w:t>
      </w:r>
    </w:p>
    <w:p w:rsidR="00F52371" w:rsidRPr="00D6795F" w:rsidRDefault="00F52371" w:rsidP="00E92A45">
      <w:pPr>
        <w:pStyle w:val="ListParagraph"/>
        <w:spacing w:after="0" w:line="240" w:lineRule="auto"/>
        <w:ind w:left="0"/>
        <w:jc w:val="both"/>
        <w:rPr>
          <w:rFonts w:ascii="Times New Roman" w:hAnsi="Times New Roman" w:cs="Times New Roman"/>
          <w:sz w:val="28"/>
          <w:szCs w:val="28"/>
        </w:rPr>
      </w:pPr>
    </w:p>
    <w:p w:rsidR="003B4038" w:rsidRDefault="00F5237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disagree.</w:t>
      </w:r>
      <w:r w:rsidR="00146070">
        <w:rPr>
          <w:rFonts w:ascii="Times New Roman" w:hAnsi="Times New Roman" w:cs="Times New Roman"/>
          <w:sz w:val="28"/>
          <w:szCs w:val="28"/>
        </w:rPr>
        <w:t xml:space="preserve"> </w:t>
      </w:r>
      <w:r>
        <w:rPr>
          <w:rFonts w:ascii="Times New Roman" w:hAnsi="Times New Roman" w:cs="Times New Roman"/>
          <w:sz w:val="28"/>
          <w:szCs w:val="28"/>
        </w:rPr>
        <w:t xml:space="preserve"> </w:t>
      </w:r>
      <w:r w:rsidR="003B4038">
        <w:rPr>
          <w:rFonts w:ascii="Times New Roman" w:hAnsi="Times New Roman" w:cs="Times New Roman"/>
          <w:sz w:val="28"/>
          <w:szCs w:val="28"/>
        </w:rPr>
        <w:t xml:space="preserve">Given the limited nature of </w:t>
      </w:r>
      <w:r w:rsidR="004C5709">
        <w:rPr>
          <w:rFonts w:ascii="Times New Roman" w:hAnsi="Times New Roman" w:cs="Times New Roman"/>
          <w:sz w:val="28"/>
          <w:szCs w:val="28"/>
        </w:rPr>
        <w:t xml:space="preserve">Mr. </w:t>
      </w:r>
      <w:r w:rsidR="003B4038">
        <w:rPr>
          <w:rFonts w:ascii="Times New Roman" w:hAnsi="Times New Roman" w:cs="Times New Roman"/>
          <w:sz w:val="28"/>
          <w:szCs w:val="28"/>
        </w:rPr>
        <w:t>Holubec’s involvement with the project, it would not be reasonable to expect him to make an offer which reflected, to any extent, the costs of repairing the school.  Further, not including the scale and</w:t>
      </w:r>
      <w:r w:rsidR="004C5709">
        <w:rPr>
          <w:rFonts w:ascii="Times New Roman" w:hAnsi="Times New Roman" w:cs="Times New Roman"/>
          <w:sz w:val="28"/>
          <w:szCs w:val="28"/>
        </w:rPr>
        <w:t xml:space="preserve"> disposition of costs with the offer does not make it unreasonable.</w:t>
      </w:r>
      <w:r w:rsidR="003B4038">
        <w:rPr>
          <w:rFonts w:ascii="Times New Roman" w:hAnsi="Times New Roman" w:cs="Times New Roman"/>
          <w:sz w:val="28"/>
          <w:szCs w:val="28"/>
        </w:rPr>
        <w:t xml:space="preserve">  If the Plaintiff had concerns about this, it could have asked for clarification.</w:t>
      </w:r>
      <w:r w:rsidR="00146070">
        <w:rPr>
          <w:rFonts w:ascii="Times New Roman" w:hAnsi="Times New Roman" w:cs="Times New Roman"/>
          <w:sz w:val="28"/>
          <w:szCs w:val="28"/>
        </w:rPr>
        <w:t xml:space="preserve"> </w:t>
      </w:r>
      <w:r w:rsidR="003B4038">
        <w:rPr>
          <w:rFonts w:ascii="Times New Roman" w:hAnsi="Times New Roman" w:cs="Times New Roman"/>
          <w:sz w:val="28"/>
          <w:szCs w:val="28"/>
        </w:rPr>
        <w:t xml:space="preserve"> </w:t>
      </w:r>
      <w:r w:rsidR="004C5709">
        <w:rPr>
          <w:rFonts w:ascii="Times New Roman" w:hAnsi="Times New Roman" w:cs="Times New Roman"/>
          <w:sz w:val="28"/>
          <w:szCs w:val="28"/>
        </w:rPr>
        <w:t xml:space="preserve">It declined to do so. Finally, the </w:t>
      </w:r>
      <w:r w:rsidR="00934F71">
        <w:rPr>
          <w:rFonts w:ascii="Times New Roman" w:hAnsi="Times New Roman" w:cs="Times New Roman"/>
          <w:sz w:val="28"/>
          <w:szCs w:val="28"/>
        </w:rPr>
        <w:t>offer did</w:t>
      </w:r>
      <w:r w:rsidR="003B4038">
        <w:rPr>
          <w:rFonts w:ascii="Times New Roman" w:hAnsi="Times New Roman" w:cs="Times New Roman"/>
          <w:sz w:val="28"/>
          <w:szCs w:val="28"/>
        </w:rPr>
        <w:t xml:space="preserve"> not lack compromise.  It was premised on Mr. Holubec’s understanding about what he was retained to do, in particular, the limited scope of his work.  To a certain extent it was also based on his belief that the advice he gave was not followed.  Given this, it was a compromise.  He was offering to wa</w:t>
      </w:r>
      <w:r w:rsidR="0067070E">
        <w:rPr>
          <w:rFonts w:ascii="Times New Roman" w:hAnsi="Times New Roman" w:cs="Times New Roman"/>
          <w:sz w:val="28"/>
          <w:szCs w:val="28"/>
        </w:rPr>
        <w:t>lk away from a</w:t>
      </w:r>
      <w:r w:rsidR="003B4038">
        <w:rPr>
          <w:rFonts w:ascii="Times New Roman" w:hAnsi="Times New Roman" w:cs="Times New Roman"/>
          <w:sz w:val="28"/>
          <w:szCs w:val="28"/>
        </w:rPr>
        <w:t xml:space="preserve"> suit </w:t>
      </w:r>
      <w:r w:rsidR="004C5709">
        <w:rPr>
          <w:rFonts w:ascii="Times New Roman" w:hAnsi="Times New Roman" w:cs="Times New Roman"/>
          <w:sz w:val="28"/>
          <w:szCs w:val="28"/>
        </w:rPr>
        <w:t xml:space="preserve">in which he </w:t>
      </w:r>
      <w:r w:rsidR="0067070E">
        <w:rPr>
          <w:rFonts w:ascii="Times New Roman" w:hAnsi="Times New Roman" w:cs="Times New Roman"/>
          <w:sz w:val="28"/>
          <w:szCs w:val="28"/>
        </w:rPr>
        <w:t xml:space="preserve">and his firm </w:t>
      </w:r>
      <w:r w:rsidR="004C5709">
        <w:rPr>
          <w:rFonts w:ascii="Times New Roman" w:hAnsi="Times New Roman" w:cs="Times New Roman"/>
          <w:sz w:val="28"/>
          <w:szCs w:val="28"/>
        </w:rPr>
        <w:t>had been improperly included, for minimal consideration.</w:t>
      </w:r>
      <w:r w:rsidR="003B403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B4038" w:rsidRPr="003B4038" w:rsidRDefault="003B4038" w:rsidP="00E92A45">
      <w:pPr>
        <w:pStyle w:val="ListParagraph"/>
        <w:spacing w:line="240" w:lineRule="auto"/>
        <w:rPr>
          <w:rFonts w:ascii="Times New Roman" w:hAnsi="Times New Roman" w:cs="Times New Roman"/>
          <w:sz w:val="28"/>
          <w:szCs w:val="28"/>
        </w:rPr>
      </w:pPr>
    </w:p>
    <w:p w:rsidR="00A351AB" w:rsidRPr="00DB3C41" w:rsidRDefault="00F5237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003A3B7E" w:rsidRPr="00F52371">
        <w:rPr>
          <w:rFonts w:ascii="Times New Roman" w:hAnsi="Times New Roman" w:cs="Times New Roman"/>
          <w:sz w:val="28"/>
          <w:szCs w:val="28"/>
        </w:rPr>
        <w:t xml:space="preserve">hen </w:t>
      </w:r>
      <w:r w:rsidR="00B40B81" w:rsidRPr="00F52371">
        <w:rPr>
          <w:rFonts w:ascii="Times New Roman" w:hAnsi="Times New Roman" w:cs="Times New Roman"/>
          <w:sz w:val="28"/>
          <w:szCs w:val="28"/>
        </w:rPr>
        <w:t xml:space="preserve">combined with </w:t>
      </w:r>
      <w:r w:rsidR="003A3B7E" w:rsidRPr="00F52371">
        <w:rPr>
          <w:rFonts w:ascii="Times New Roman" w:hAnsi="Times New Roman" w:cs="Times New Roman"/>
          <w:sz w:val="28"/>
          <w:szCs w:val="28"/>
        </w:rPr>
        <w:t>the</w:t>
      </w:r>
      <w:r w:rsidR="00B40B81" w:rsidRPr="00F52371">
        <w:rPr>
          <w:rFonts w:ascii="Times New Roman" w:hAnsi="Times New Roman" w:cs="Times New Roman"/>
          <w:sz w:val="28"/>
          <w:szCs w:val="28"/>
        </w:rPr>
        <w:t xml:space="preserve"> success on th</w:t>
      </w:r>
      <w:r w:rsidR="003A3B7E" w:rsidRPr="00F52371">
        <w:rPr>
          <w:rFonts w:ascii="Times New Roman" w:hAnsi="Times New Roman" w:cs="Times New Roman"/>
          <w:sz w:val="28"/>
          <w:szCs w:val="28"/>
        </w:rPr>
        <w:t>e summary judgment application and my findings</w:t>
      </w:r>
      <w:r w:rsidRPr="00F52371">
        <w:rPr>
          <w:rFonts w:ascii="Times New Roman" w:hAnsi="Times New Roman" w:cs="Times New Roman"/>
          <w:sz w:val="28"/>
          <w:szCs w:val="28"/>
        </w:rPr>
        <w:t xml:space="preserve"> respecting the Plaintiff’s decision to name and maintain Mr. Holubec and his firm as parties in this action,</w:t>
      </w:r>
      <w:r w:rsidR="003A3B7E" w:rsidRPr="00F52371">
        <w:rPr>
          <w:rFonts w:ascii="Times New Roman" w:hAnsi="Times New Roman" w:cs="Times New Roman"/>
          <w:sz w:val="28"/>
          <w:szCs w:val="28"/>
        </w:rPr>
        <w:t xml:space="preserve"> </w:t>
      </w:r>
      <w:r w:rsidR="004C5709">
        <w:rPr>
          <w:rFonts w:ascii="Times New Roman" w:hAnsi="Times New Roman" w:cs="Times New Roman"/>
          <w:sz w:val="28"/>
          <w:szCs w:val="28"/>
        </w:rPr>
        <w:t>I find the offer to s</w:t>
      </w:r>
      <w:r>
        <w:rPr>
          <w:rFonts w:ascii="Times New Roman" w:hAnsi="Times New Roman" w:cs="Times New Roman"/>
          <w:sz w:val="28"/>
          <w:szCs w:val="28"/>
        </w:rPr>
        <w:t>ettle is</w:t>
      </w:r>
      <w:r w:rsidRPr="00F52371">
        <w:rPr>
          <w:rFonts w:ascii="Times New Roman" w:hAnsi="Times New Roman" w:cs="Times New Roman"/>
          <w:sz w:val="28"/>
          <w:szCs w:val="28"/>
        </w:rPr>
        <w:t xml:space="preserve"> a factor that supports</w:t>
      </w:r>
      <w:r w:rsidR="00B40B81" w:rsidRPr="00F52371">
        <w:rPr>
          <w:rFonts w:ascii="Times New Roman" w:hAnsi="Times New Roman" w:cs="Times New Roman"/>
          <w:sz w:val="28"/>
          <w:szCs w:val="28"/>
        </w:rPr>
        <w:t xml:space="preserve"> </w:t>
      </w:r>
      <w:r>
        <w:rPr>
          <w:rFonts w:ascii="Times New Roman" w:hAnsi="Times New Roman" w:cs="Times New Roman"/>
          <w:sz w:val="28"/>
          <w:szCs w:val="28"/>
        </w:rPr>
        <w:t xml:space="preserve">an </w:t>
      </w:r>
      <w:r w:rsidR="00B40B81" w:rsidRPr="00F52371">
        <w:rPr>
          <w:rFonts w:ascii="Times New Roman" w:hAnsi="Times New Roman" w:cs="Times New Roman"/>
          <w:sz w:val="28"/>
          <w:szCs w:val="28"/>
        </w:rPr>
        <w:t xml:space="preserve">award of </w:t>
      </w:r>
      <w:r w:rsidR="0067070E">
        <w:rPr>
          <w:rFonts w:ascii="Times New Roman" w:hAnsi="Times New Roman" w:cs="Times New Roman"/>
          <w:sz w:val="28"/>
          <w:szCs w:val="28"/>
        </w:rPr>
        <w:t xml:space="preserve">something more than party-and-party </w:t>
      </w:r>
      <w:r w:rsidR="00B40B81" w:rsidRPr="00F52371">
        <w:rPr>
          <w:rFonts w:ascii="Times New Roman" w:hAnsi="Times New Roman" w:cs="Times New Roman"/>
          <w:sz w:val="28"/>
          <w:szCs w:val="28"/>
        </w:rPr>
        <w:t xml:space="preserve">costs.  As stated in </w:t>
      </w:r>
      <w:r w:rsidR="00B40B81" w:rsidRPr="00F52371">
        <w:rPr>
          <w:rFonts w:ascii="Times New Roman" w:hAnsi="Times New Roman" w:cs="Times New Roman"/>
          <w:i/>
          <w:sz w:val="28"/>
          <w:szCs w:val="28"/>
        </w:rPr>
        <w:t xml:space="preserve">Fullowka, supra, </w:t>
      </w:r>
      <w:r w:rsidR="00B40B81" w:rsidRPr="00F52371">
        <w:rPr>
          <w:rFonts w:ascii="Times New Roman" w:hAnsi="Times New Roman" w:cs="Times New Roman"/>
          <w:color w:val="000000"/>
          <w:sz w:val="28"/>
          <w:szCs w:val="28"/>
          <w:shd w:val="clear" w:color="auto" w:fill="FFFFFF"/>
        </w:rPr>
        <w:t xml:space="preserve">“Even informal offers are, however, relevant to costs. </w:t>
      </w:r>
      <w:r w:rsidR="00146070">
        <w:rPr>
          <w:rFonts w:ascii="Times New Roman" w:hAnsi="Times New Roman" w:cs="Times New Roman"/>
          <w:color w:val="000000"/>
          <w:sz w:val="28"/>
          <w:szCs w:val="28"/>
          <w:shd w:val="clear" w:color="auto" w:fill="FFFFFF"/>
        </w:rPr>
        <w:t xml:space="preserve"> </w:t>
      </w:r>
      <w:r w:rsidR="00B40B81" w:rsidRPr="00F52371">
        <w:rPr>
          <w:rFonts w:ascii="Times New Roman" w:hAnsi="Times New Roman" w:cs="Times New Roman"/>
          <w:color w:val="000000"/>
          <w:sz w:val="28"/>
          <w:szCs w:val="28"/>
          <w:shd w:val="clear" w:color="auto" w:fill="FFFFFF"/>
        </w:rPr>
        <w:t xml:space="preserve">Modern litigation is focused on dispute resolution, </w:t>
      </w:r>
      <w:r w:rsidR="00B40B81" w:rsidRPr="00F52371">
        <w:rPr>
          <w:rFonts w:ascii="Times New Roman" w:hAnsi="Times New Roman" w:cs="Times New Roman"/>
          <w:i/>
          <w:color w:val="000000"/>
          <w:sz w:val="28"/>
          <w:szCs w:val="28"/>
          <w:shd w:val="clear" w:color="auto" w:fill="FFFFFF"/>
        </w:rPr>
        <w:t>and all parties are encouraged to act reasonably and settle actions where possible.” </w:t>
      </w:r>
      <w:r w:rsidR="00B40B81" w:rsidRPr="00F52371">
        <w:rPr>
          <w:rFonts w:ascii="Times New Roman" w:hAnsi="Times New Roman" w:cs="Times New Roman"/>
          <w:color w:val="000000"/>
          <w:sz w:val="28"/>
          <w:szCs w:val="28"/>
          <w:shd w:val="clear" w:color="auto" w:fill="FFFFFF"/>
        </w:rPr>
        <w:t xml:space="preserve"> </w:t>
      </w:r>
      <w:r w:rsidRPr="00F52371">
        <w:rPr>
          <w:rFonts w:ascii="Times New Roman" w:hAnsi="Times New Roman" w:cs="Times New Roman"/>
          <w:color w:val="000000"/>
          <w:sz w:val="28"/>
          <w:szCs w:val="28"/>
          <w:shd w:val="clear" w:color="auto" w:fill="FFFFFF"/>
        </w:rPr>
        <w:t>(emphasis added).</w:t>
      </w:r>
      <w:r w:rsidR="00146070">
        <w:rPr>
          <w:rFonts w:ascii="Times New Roman" w:hAnsi="Times New Roman" w:cs="Times New Roman"/>
          <w:color w:val="000000"/>
          <w:sz w:val="28"/>
          <w:szCs w:val="28"/>
          <w:shd w:val="clear" w:color="auto" w:fill="FFFFFF"/>
        </w:rPr>
        <w:t xml:space="preserve"> </w:t>
      </w:r>
      <w:r w:rsidRPr="00F52371">
        <w:rPr>
          <w:rFonts w:ascii="Times New Roman" w:hAnsi="Times New Roman" w:cs="Times New Roman"/>
          <w:color w:val="000000"/>
          <w:sz w:val="28"/>
          <w:szCs w:val="28"/>
          <w:shd w:val="clear" w:color="auto" w:fill="FFFFFF"/>
        </w:rPr>
        <w:t xml:space="preserve"> </w:t>
      </w:r>
      <w:r w:rsidR="00DB3C41">
        <w:rPr>
          <w:rFonts w:ascii="Times New Roman" w:hAnsi="Times New Roman" w:cs="Times New Roman"/>
          <w:color w:val="000000"/>
          <w:sz w:val="28"/>
          <w:szCs w:val="28"/>
          <w:shd w:val="clear" w:color="auto" w:fill="FFFFFF"/>
        </w:rPr>
        <w:t>In all of the circumstances, the Plaintiff ought to have given</w:t>
      </w:r>
      <w:r w:rsidR="004C5709">
        <w:rPr>
          <w:rFonts w:ascii="Times New Roman" w:hAnsi="Times New Roman" w:cs="Times New Roman"/>
          <w:color w:val="000000"/>
          <w:sz w:val="28"/>
          <w:szCs w:val="28"/>
          <w:shd w:val="clear" w:color="auto" w:fill="FFFFFF"/>
        </w:rPr>
        <w:t xml:space="preserve"> serious consideration to the of</w:t>
      </w:r>
      <w:r w:rsidR="00DB3C41">
        <w:rPr>
          <w:rFonts w:ascii="Times New Roman" w:hAnsi="Times New Roman" w:cs="Times New Roman"/>
          <w:color w:val="000000"/>
          <w:sz w:val="28"/>
          <w:szCs w:val="28"/>
          <w:shd w:val="clear" w:color="auto" w:fill="FFFFFF"/>
        </w:rPr>
        <w:t>fer</w:t>
      </w:r>
      <w:r w:rsidR="009B1012">
        <w:rPr>
          <w:rFonts w:ascii="Times New Roman" w:hAnsi="Times New Roman" w:cs="Times New Roman"/>
          <w:color w:val="000000"/>
          <w:sz w:val="28"/>
          <w:szCs w:val="28"/>
          <w:shd w:val="clear" w:color="auto" w:fill="FFFFFF"/>
        </w:rPr>
        <w:t xml:space="preserve"> and the context in which it was put forth.</w:t>
      </w:r>
    </w:p>
    <w:p w:rsidR="00DB3C41" w:rsidRDefault="00DB3C41" w:rsidP="00E92A45">
      <w:pPr>
        <w:pStyle w:val="ListParagraph"/>
        <w:spacing w:after="0" w:line="240" w:lineRule="auto"/>
        <w:ind w:left="0"/>
        <w:jc w:val="both"/>
        <w:rPr>
          <w:rFonts w:ascii="Times New Roman" w:hAnsi="Times New Roman" w:cs="Times New Roman"/>
          <w:color w:val="000000"/>
          <w:sz w:val="28"/>
          <w:szCs w:val="28"/>
          <w:shd w:val="clear" w:color="auto" w:fill="FFFFFF"/>
        </w:rPr>
      </w:pPr>
    </w:p>
    <w:p w:rsidR="00B40B81" w:rsidRDefault="00DB3C41" w:rsidP="00E92A45">
      <w:pPr>
        <w:pStyle w:val="ListParagraph"/>
        <w:spacing w:after="0" w:line="240" w:lineRule="auto"/>
        <w:ind w:left="0"/>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What is the Appropriate Scale of Costs?</w:t>
      </w:r>
    </w:p>
    <w:p w:rsidR="00DB3C41" w:rsidRPr="00DB3C41" w:rsidRDefault="00DB3C41" w:rsidP="00E92A45">
      <w:pPr>
        <w:pStyle w:val="ListParagraph"/>
        <w:spacing w:after="0" w:line="240" w:lineRule="auto"/>
        <w:ind w:left="0"/>
        <w:jc w:val="both"/>
        <w:rPr>
          <w:rFonts w:ascii="Times New Roman" w:hAnsi="Times New Roman" w:cs="Times New Roman"/>
          <w:b/>
          <w:i/>
          <w:sz w:val="28"/>
          <w:szCs w:val="28"/>
        </w:rPr>
      </w:pPr>
    </w:p>
    <w:p w:rsidR="00B40B81" w:rsidRDefault="008A687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As noted, Holubec seeks full-indemnity costs.  These are not warranted.</w:t>
      </w:r>
      <w:r w:rsidR="00146070">
        <w:rPr>
          <w:rFonts w:ascii="Times New Roman" w:hAnsi="Times New Roman" w:cs="Times New Roman"/>
          <w:sz w:val="28"/>
          <w:szCs w:val="28"/>
        </w:rPr>
        <w:t xml:space="preserve"> </w:t>
      </w:r>
      <w:r>
        <w:rPr>
          <w:rFonts w:ascii="Times New Roman" w:hAnsi="Times New Roman" w:cs="Times New Roman"/>
          <w:sz w:val="28"/>
          <w:szCs w:val="28"/>
        </w:rPr>
        <w:t xml:space="preserve"> The Plaintiff’s conduct does not amount to the type of </w:t>
      </w:r>
      <w:r w:rsidR="00340AAC">
        <w:rPr>
          <w:rFonts w:ascii="Times New Roman" w:hAnsi="Times New Roman" w:cs="Times New Roman"/>
          <w:sz w:val="28"/>
          <w:szCs w:val="28"/>
        </w:rPr>
        <w:t>deliberate mis</w:t>
      </w:r>
      <w:r>
        <w:rPr>
          <w:rFonts w:ascii="Times New Roman" w:hAnsi="Times New Roman" w:cs="Times New Roman"/>
          <w:sz w:val="28"/>
          <w:szCs w:val="28"/>
        </w:rPr>
        <w:t>conduct that</w:t>
      </w:r>
      <w:r w:rsidR="00C019F8">
        <w:rPr>
          <w:rFonts w:ascii="Times New Roman" w:hAnsi="Times New Roman" w:cs="Times New Roman"/>
          <w:sz w:val="28"/>
          <w:szCs w:val="28"/>
        </w:rPr>
        <w:t xml:space="preserve"> requires this highly </w:t>
      </w:r>
      <w:r>
        <w:rPr>
          <w:rFonts w:ascii="Times New Roman" w:hAnsi="Times New Roman" w:cs="Times New Roman"/>
          <w:sz w:val="28"/>
          <w:szCs w:val="28"/>
        </w:rPr>
        <w:t xml:space="preserve">punitive response from the Court.  There was no </w:t>
      </w:r>
      <w:r w:rsidR="009B1012">
        <w:rPr>
          <w:rFonts w:ascii="Times New Roman" w:hAnsi="Times New Roman" w:cs="Times New Roman"/>
          <w:sz w:val="28"/>
          <w:szCs w:val="28"/>
        </w:rPr>
        <w:t xml:space="preserve">deliberate </w:t>
      </w:r>
      <w:r>
        <w:rPr>
          <w:rFonts w:ascii="Times New Roman" w:hAnsi="Times New Roman" w:cs="Times New Roman"/>
          <w:sz w:val="28"/>
          <w:szCs w:val="28"/>
        </w:rPr>
        <w:t xml:space="preserve">attempt to mislead the Court, Mr. Holubec or his counsel. </w:t>
      </w:r>
      <w:r w:rsidR="00146070">
        <w:rPr>
          <w:rFonts w:ascii="Times New Roman" w:hAnsi="Times New Roman" w:cs="Times New Roman"/>
          <w:sz w:val="28"/>
          <w:szCs w:val="28"/>
        </w:rPr>
        <w:t xml:space="preserve"> </w:t>
      </w:r>
      <w:r>
        <w:rPr>
          <w:rFonts w:ascii="Times New Roman" w:hAnsi="Times New Roman" w:cs="Times New Roman"/>
          <w:sz w:val="28"/>
          <w:szCs w:val="28"/>
        </w:rPr>
        <w:t xml:space="preserve">The allegations the Plaintiff made against </w:t>
      </w:r>
      <w:r w:rsidR="009B1012" w:rsidRPr="0056497A">
        <w:rPr>
          <w:rFonts w:ascii="Times New Roman" w:hAnsi="Times New Roman" w:cs="Times New Roman"/>
          <w:sz w:val="28"/>
          <w:szCs w:val="28"/>
        </w:rPr>
        <w:t xml:space="preserve">Mr. </w:t>
      </w:r>
      <w:r w:rsidRPr="0056497A">
        <w:rPr>
          <w:rFonts w:ascii="Times New Roman" w:hAnsi="Times New Roman" w:cs="Times New Roman"/>
          <w:sz w:val="28"/>
          <w:szCs w:val="28"/>
        </w:rPr>
        <w:t>Holubec</w:t>
      </w:r>
      <w:r w:rsidR="009B1012">
        <w:rPr>
          <w:rFonts w:ascii="Times New Roman" w:hAnsi="Times New Roman" w:cs="Times New Roman"/>
          <w:sz w:val="28"/>
          <w:szCs w:val="28"/>
        </w:rPr>
        <w:t xml:space="preserve"> and his firm, </w:t>
      </w:r>
      <w:r>
        <w:rPr>
          <w:rFonts w:ascii="Times New Roman" w:hAnsi="Times New Roman" w:cs="Times New Roman"/>
          <w:sz w:val="28"/>
          <w:szCs w:val="28"/>
        </w:rPr>
        <w:t>while ultimately without merit, wer</w:t>
      </w:r>
      <w:r w:rsidR="003E5A3C">
        <w:rPr>
          <w:rFonts w:ascii="Times New Roman" w:hAnsi="Times New Roman" w:cs="Times New Roman"/>
          <w:sz w:val="28"/>
          <w:szCs w:val="28"/>
        </w:rPr>
        <w:t xml:space="preserve">e not outrageous, </w:t>
      </w:r>
      <w:r>
        <w:rPr>
          <w:rFonts w:ascii="Times New Roman" w:hAnsi="Times New Roman" w:cs="Times New Roman"/>
          <w:sz w:val="28"/>
          <w:szCs w:val="28"/>
        </w:rPr>
        <w:t>made in bad faith</w:t>
      </w:r>
      <w:r w:rsidR="003E5A3C">
        <w:rPr>
          <w:rFonts w:ascii="Times New Roman" w:hAnsi="Times New Roman" w:cs="Times New Roman"/>
          <w:sz w:val="28"/>
          <w:szCs w:val="28"/>
        </w:rPr>
        <w:t xml:space="preserve"> or designed to cause harm to these defendants</w:t>
      </w:r>
      <w:r>
        <w:rPr>
          <w:rFonts w:ascii="Times New Roman" w:hAnsi="Times New Roman" w:cs="Times New Roman"/>
          <w:sz w:val="28"/>
          <w:szCs w:val="28"/>
        </w:rPr>
        <w:t>.</w:t>
      </w:r>
    </w:p>
    <w:p w:rsidR="008A6871" w:rsidRDefault="008A6871" w:rsidP="00E92A45">
      <w:pPr>
        <w:pStyle w:val="ListParagraph"/>
        <w:spacing w:after="0" w:line="240" w:lineRule="auto"/>
        <w:ind w:left="0"/>
        <w:jc w:val="both"/>
        <w:rPr>
          <w:rFonts w:ascii="Times New Roman" w:hAnsi="Times New Roman" w:cs="Times New Roman"/>
          <w:sz w:val="28"/>
          <w:szCs w:val="28"/>
        </w:rPr>
      </w:pPr>
    </w:p>
    <w:p w:rsidR="008851EE" w:rsidRPr="000131BC" w:rsidRDefault="003E5A3C" w:rsidP="00100EFF">
      <w:pPr>
        <w:pStyle w:val="ListParagraph"/>
        <w:numPr>
          <w:ilvl w:val="0"/>
          <w:numId w:val="10"/>
        </w:numPr>
        <w:spacing w:after="0" w:line="240" w:lineRule="auto"/>
        <w:jc w:val="both"/>
        <w:rPr>
          <w:rFonts w:ascii="Times New Roman" w:hAnsi="Times New Roman" w:cs="Times New Roman"/>
          <w:sz w:val="28"/>
          <w:szCs w:val="28"/>
        </w:rPr>
      </w:pPr>
      <w:r w:rsidRPr="000131BC">
        <w:rPr>
          <w:rFonts w:ascii="Times New Roman" w:hAnsi="Times New Roman" w:cs="Times New Roman"/>
          <w:sz w:val="28"/>
          <w:szCs w:val="28"/>
        </w:rPr>
        <w:t xml:space="preserve">I </w:t>
      </w:r>
      <w:r w:rsidR="0067070E" w:rsidRPr="000131BC">
        <w:rPr>
          <w:rFonts w:ascii="Times New Roman" w:hAnsi="Times New Roman" w:cs="Times New Roman"/>
          <w:sz w:val="28"/>
          <w:szCs w:val="28"/>
        </w:rPr>
        <w:t xml:space="preserve">do, however, </w:t>
      </w:r>
      <w:r w:rsidRPr="000131BC">
        <w:rPr>
          <w:rFonts w:ascii="Times New Roman" w:hAnsi="Times New Roman" w:cs="Times New Roman"/>
          <w:sz w:val="28"/>
          <w:szCs w:val="28"/>
        </w:rPr>
        <w:t>find that s</w:t>
      </w:r>
      <w:r w:rsidR="00C019F8" w:rsidRPr="000131BC">
        <w:rPr>
          <w:rFonts w:ascii="Times New Roman" w:hAnsi="Times New Roman" w:cs="Times New Roman"/>
          <w:sz w:val="28"/>
          <w:szCs w:val="28"/>
        </w:rPr>
        <w:t xml:space="preserve">olicitor-and-client </w:t>
      </w:r>
      <w:r w:rsidR="0056497A" w:rsidRPr="000131BC">
        <w:rPr>
          <w:rFonts w:ascii="Times New Roman" w:hAnsi="Times New Roman" w:cs="Times New Roman"/>
          <w:sz w:val="28"/>
          <w:szCs w:val="28"/>
        </w:rPr>
        <w:t>costs are warranted</w:t>
      </w:r>
      <w:r w:rsidR="00C019F8" w:rsidRPr="000131BC">
        <w:rPr>
          <w:rFonts w:ascii="Times New Roman" w:hAnsi="Times New Roman" w:cs="Times New Roman"/>
          <w:sz w:val="28"/>
          <w:szCs w:val="28"/>
        </w:rPr>
        <w:t>.</w:t>
      </w:r>
      <w:r w:rsidR="0056497A" w:rsidRPr="000131BC">
        <w:rPr>
          <w:rFonts w:ascii="Times New Roman" w:hAnsi="Times New Roman" w:cs="Times New Roman"/>
          <w:sz w:val="28"/>
          <w:szCs w:val="28"/>
        </w:rPr>
        <w:t xml:space="preserve"> </w:t>
      </w:r>
      <w:r w:rsidR="000131BC" w:rsidRPr="000131BC">
        <w:rPr>
          <w:rFonts w:ascii="Times New Roman" w:hAnsi="Times New Roman" w:cs="Times New Roman"/>
          <w:sz w:val="28"/>
          <w:szCs w:val="28"/>
        </w:rPr>
        <w:t xml:space="preserve"> </w:t>
      </w:r>
      <w:r w:rsidR="0056497A" w:rsidRPr="000131BC">
        <w:rPr>
          <w:rFonts w:ascii="Times New Roman" w:hAnsi="Times New Roman" w:cs="Times New Roman"/>
          <w:sz w:val="28"/>
          <w:szCs w:val="28"/>
        </w:rPr>
        <w:t xml:space="preserve">Although the Plaintiff did not </w:t>
      </w:r>
      <w:r w:rsidR="008851EE" w:rsidRPr="000131BC">
        <w:rPr>
          <w:rFonts w:ascii="Times New Roman" w:hAnsi="Times New Roman" w:cs="Times New Roman"/>
          <w:sz w:val="28"/>
          <w:szCs w:val="28"/>
        </w:rPr>
        <w:t>engage in deliberate misconduct designed to harm Mr. Holubec, its conduct is</w:t>
      </w:r>
      <w:r w:rsidRPr="000131BC">
        <w:rPr>
          <w:rFonts w:ascii="Times New Roman" w:hAnsi="Times New Roman" w:cs="Times New Roman"/>
          <w:sz w:val="28"/>
          <w:szCs w:val="28"/>
        </w:rPr>
        <w:t xml:space="preserve"> </w:t>
      </w:r>
      <w:r w:rsidR="0056497A" w:rsidRPr="000131BC">
        <w:rPr>
          <w:rFonts w:ascii="Times New Roman" w:hAnsi="Times New Roman" w:cs="Times New Roman"/>
          <w:sz w:val="28"/>
          <w:szCs w:val="28"/>
        </w:rPr>
        <w:t>nevertheless reprehensible</w:t>
      </w:r>
      <w:r w:rsidR="008851EE" w:rsidRPr="000131BC">
        <w:rPr>
          <w:rFonts w:ascii="Times New Roman" w:hAnsi="Times New Roman" w:cs="Times New Roman"/>
          <w:sz w:val="28"/>
          <w:szCs w:val="28"/>
        </w:rPr>
        <w:t xml:space="preserve"> and an abuse of the Court’s process.  </w:t>
      </w:r>
      <w:r w:rsidR="000131BC" w:rsidRPr="000131BC">
        <w:rPr>
          <w:rFonts w:ascii="Times New Roman" w:hAnsi="Times New Roman" w:cs="Times New Roman"/>
          <w:sz w:val="28"/>
          <w:szCs w:val="28"/>
        </w:rPr>
        <w:t xml:space="preserve">It named </w:t>
      </w:r>
      <w:r w:rsidR="000131BC" w:rsidRPr="000131BC">
        <w:rPr>
          <w:rFonts w:ascii="Times New Roman" w:hAnsi="Times New Roman" w:cs="Times New Roman"/>
          <w:sz w:val="28"/>
          <w:szCs w:val="28"/>
        </w:rPr>
        <w:lastRenderedPageBreak/>
        <w:t xml:space="preserve">Mr. Holubec and his firm without knowing if it had a </w:t>
      </w:r>
      <w:r w:rsidR="006540FF">
        <w:rPr>
          <w:rFonts w:ascii="Times New Roman" w:hAnsi="Times New Roman" w:cs="Times New Roman"/>
          <w:sz w:val="28"/>
          <w:szCs w:val="28"/>
        </w:rPr>
        <w:t>reasonable basis for doing so</w:t>
      </w:r>
      <w:r w:rsidR="009917AA">
        <w:rPr>
          <w:rFonts w:ascii="Times New Roman" w:hAnsi="Times New Roman" w:cs="Times New Roman"/>
          <w:sz w:val="28"/>
          <w:szCs w:val="28"/>
        </w:rPr>
        <w:t>.</w:t>
      </w:r>
      <w:r w:rsidR="000131BC" w:rsidRPr="000131BC">
        <w:rPr>
          <w:rFonts w:ascii="Times New Roman" w:hAnsi="Times New Roman" w:cs="Times New Roman"/>
          <w:sz w:val="28"/>
          <w:szCs w:val="28"/>
        </w:rPr>
        <w:t xml:space="preserve"> It planned to use the dis</w:t>
      </w:r>
      <w:r w:rsidR="006540FF">
        <w:rPr>
          <w:rFonts w:ascii="Times New Roman" w:hAnsi="Times New Roman" w:cs="Times New Roman"/>
          <w:sz w:val="28"/>
          <w:szCs w:val="28"/>
        </w:rPr>
        <w:t>covery process to determine this</w:t>
      </w:r>
      <w:r w:rsidR="000131BC" w:rsidRPr="000131BC">
        <w:rPr>
          <w:rFonts w:ascii="Times New Roman" w:hAnsi="Times New Roman" w:cs="Times New Roman"/>
          <w:sz w:val="28"/>
          <w:szCs w:val="28"/>
        </w:rPr>
        <w:t>.</w:t>
      </w:r>
      <w:r w:rsidR="0057289E">
        <w:rPr>
          <w:rFonts w:ascii="Times New Roman" w:hAnsi="Times New Roman" w:cs="Times New Roman"/>
          <w:sz w:val="28"/>
          <w:szCs w:val="28"/>
        </w:rPr>
        <w:t xml:space="preserve"> </w:t>
      </w:r>
      <w:r w:rsidR="000131BC" w:rsidRPr="000131BC">
        <w:rPr>
          <w:rFonts w:ascii="Times New Roman" w:hAnsi="Times New Roman" w:cs="Times New Roman"/>
          <w:sz w:val="28"/>
          <w:szCs w:val="28"/>
        </w:rPr>
        <w:t xml:space="preserve"> It used this strategy without regard to t</w:t>
      </w:r>
      <w:r w:rsidR="000131BC">
        <w:rPr>
          <w:rFonts w:ascii="Times New Roman" w:hAnsi="Times New Roman" w:cs="Times New Roman"/>
          <w:sz w:val="28"/>
          <w:szCs w:val="28"/>
        </w:rPr>
        <w:t xml:space="preserve">he significant personal and financial consequences </w:t>
      </w:r>
      <w:r w:rsidR="000131BC" w:rsidRPr="000131BC">
        <w:rPr>
          <w:rFonts w:ascii="Times New Roman" w:hAnsi="Times New Roman" w:cs="Times New Roman"/>
          <w:sz w:val="28"/>
          <w:szCs w:val="28"/>
        </w:rPr>
        <w:t>which would result for Mr. Holubec</w:t>
      </w:r>
      <w:r w:rsidR="000131BC">
        <w:rPr>
          <w:rFonts w:ascii="Times New Roman" w:hAnsi="Times New Roman" w:cs="Times New Roman"/>
          <w:sz w:val="28"/>
          <w:szCs w:val="28"/>
        </w:rPr>
        <w:t>.</w:t>
      </w:r>
      <w:r w:rsidR="0057289E">
        <w:rPr>
          <w:rFonts w:ascii="Times New Roman" w:hAnsi="Times New Roman" w:cs="Times New Roman"/>
          <w:sz w:val="28"/>
          <w:szCs w:val="28"/>
        </w:rPr>
        <w:t xml:space="preserve"> </w:t>
      </w:r>
      <w:r w:rsidR="000131BC">
        <w:rPr>
          <w:rFonts w:ascii="Times New Roman" w:hAnsi="Times New Roman" w:cs="Times New Roman"/>
          <w:sz w:val="28"/>
          <w:szCs w:val="28"/>
        </w:rPr>
        <w:t xml:space="preserve"> The Court simply cannot sanction this conduct and </w:t>
      </w:r>
      <w:r w:rsidR="006540FF">
        <w:rPr>
          <w:rFonts w:ascii="Times New Roman" w:hAnsi="Times New Roman" w:cs="Times New Roman"/>
          <w:sz w:val="28"/>
          <w:szCs w:val="28"/>
        </w:rPr>
        <w:t xml:space="preserve">justice demands </w:t>
      </w:r>
      <w:r w:rsidR="000131BC">
        <w:rPr>
          <w:rFonts w:ascii="Times New Roman" w:hAnsi="Times New Roman" w:cs="Times New Roman"/>
          <w:sz w:val="28"/>
          <w:szCs w:val="28"/>
        </w:rPr>
        <w:t>Mr. Holube</w:t>
      </w:r>
      <w:r w:rsidR="006540FF">
        <w:rPr>
          <w:rFonts w:ascii="Times New Roman" w:hAnsi="Times New Roman" w:cs="Times New Roman"/>
          <w:sz w:val="28"/>
          <w:szCs w:val="28"/>
        </w:rPr>
        <w:t>c is granted</w:t>
      </w:r>
      <w:r w:rsidR="000131BC">
        <w:rPr>
          <w:rFonts w:ascii="Times New Roman" w:hAnsi="Times New Roman" w:cs="Times New Roman"/>
          <w:sz w:val="28"/>
          <w:szCs w:val="28"/>
        </w:rPr>
        <w:t xml:space="preserve"> some relief </w:t>
      </w:r>
      <w:r w:rsidR="009917AA">
        <w:rPr>
          <w:rFonts w:ascii="Times New Roman" w:hAnsi="Times New Roman" w:cs="Times New Roman"/>
          <w:sz w:val="28"/>
          <w:szCs w:val="28"/>
        </w:rPr>
        <w:t>from the financial burden.</w:t>
      </w:r>
    </w:p>
    <w:p w:rsidR="008851EE" w:rsidRPr="008851EE" w:rsidRDefault="008851EE" w:rsidP="008851EE">
      <w:pPr>
        <w:pStyle w:val="ListParagraph"/>
        <w:spacing w:after="0" w:line="240" w:lineRule="auto"/>
        <w:ind w:left="0"/>
        <w:jc w:val="both"/>
        <w:rPr>
          <w:rFonts w:ascii="Times New Roman" w:hAnsi="Times New Roman" w:cs="Times New Roman"/>
          <w:sz w:val="28"/>
          <w:szCs w:val="28"/>
        </w:rPr>
      </w:pPr>
    </w:p>
    <w:p w:rsidR="009A4421" w:rsidRDefault="009A4421" w:rsidP="00E92A45">
      <w:pPr>
        <w:pStyle w:val="ListParagraph"/>
        <w:spacing w:after="0" w:line="240" w:lineRule="auto"/>
        <w:ind w:left="0"/>
        <w:jc w:val="both"/>
        <w:rPr>
          <w:rFonts w:ascii="Times New Roman" w:hAnsi="Times New Roman" w:cs="Times New Roman"/>
          <w:b/>
          <w:sz w:val="28"/>
          <w:szCs w:val="28"/>
        </w:rPr>
      </w:pPr>
      <w:r w:rsidRPr="009A4421">
        <w:rPr>
          <w:rFonts w:ascii="Times New Roman" w:hAnsi="Times New Roman" w:cs="Times New Roman"/>
          <w:b/>
          <w:sz w:val="28"/>
          <w:szCs w:val="28"/>
        </w:rPr>
        <w:t>ORDER</w:t>
      </w:r>
    </w:p>
    <w:p w:rsidR="009A4421" w:rsidRPr="009A4421" w:rsidRDefault="009A4421" w:rsidP="00E92A45">
      <w:pPr>
        <w:pStyle w:val="ListParagraph"/>
        <w:spacing w:after="0" w:line="240" w:lineRule="auto"/>
        <w:ind w:left="0"/>
        <w:jc w:val="both"/>
        <w:rPr>
          <w:rFonts w:ascii="Times New Roman" w:hAnsi="Times New Roman" w:cs="Times New Roman"/>
          <w:b/>
          <w:sz w:val="28"/>
          <w:szCs w:val="28"/>
        </w:rPr>
      </w:pPr>
    </w:p>
    <w:p w:rsidR="00803D91" w:rsidRDefault="009A4421" w:rsidP="00E92A45">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 order that the Holubec defendants recover reasonable solicitor-and-client costs and disbursements from the Plaintiff for all steps taken</w:t>
      </w:r>
      <w:r w:rsidR="003E3871">
        <w:rPr>
          <w:rFonts w:ascii="Times New Roman" w:hAnsi="Times New Roman" w:cs="Times New Roman"/>
          <w:sz w:val="28"/>
          <w:szCs w:val="28"/>
        </w:rPr>
        <w:t xml:space="preserve"> by them</w:t>
      </w:r>
      <w:r w:rsidR="0040617A">
        <w:rPr>
          <w:rFonts w:ascii="Times New Roman" w:hAnsi="Times New Roman" w:cs="Times New Roman"/>
          <w:sz w:val="28"/>
          <w:szCs w:val="28"/>
        </w:rPr>
        <w:t xml:space="preserve"> in the litigation</w:t>
      </w:r>
      <w:r>
        <w:rPr>
          <w:rFonts w:ascii="Times New Roman" w:hAnsi="Times New Roman" w:cs="Times New Roman"/>
          <w:sz w:val="28"/>
          <w:szCs w:val="28"/>
        </w:rPr>
        <w:t xml:space="preserve">, including this application. </w:t>
      </w:r>
      <w:r w:rsidR="00E92A45">
        <w:rPr>
          <w:rFonts w:ascii="Times New Roman" w:hAnsi="Times New Roman" w:cs="Times New Roman"/>
          <w:sz w:val="28"/>
          <w:szCs w:val="28"/>
        </w:rPr>
        <w:t xml:space="preserve"> </w:t>
      </w:r>
      <w:r>
        <w:rPr>
          <w:rFonts w:ascii="Times New Roman" w:hAnsi="Times New Roman" w:cs="Times New Roman"/>
          <w:sz w:val="28"/>
          <w:szCs w:val="28"/>
        </w:rPr>
        <w:t>If the parties are unable to agree on what is reasonable in the circumstances, either may apply to the Clerk of the Court for taxation.</w:t>
      </w:r>
    </w:p>
    <w:p w:rsidR="00CC593A" w:rsidRPr="00CC593A" w:rsidRDefault="00CC593A" w:rsidP="00E92A45">
      <w:pPr>
        <w:spacing w:after="0" w:line="240" w:lineRule="auto"/>
        <w:jc w:val="both"/>
        <w:rPr>
          <w:rFonts w:ascii="Times New Roman" w:hAnsi="Times New Roman" w:cs="Times New Roman"/>
          <w:sz w:val="28"/>
          <w:szCs w:val="28"/>
        </w:rPr>
      </w:pPr>
    </w:p>
    <w:p w:rsidR="00C746F4" w:rsidRDefault="00C746F4" w:rsidP="00E92A45">
      <w:pPr>
        <w:pStyle w:val="ListParagraph"/>
        <w:spacing w:after="0" w:line="240" w:lineRule="auto"/>
        <w:ind w:left="0"/>
        <w:jc w:val="both"/>
        <w:rPr>
          <w:rFonts w:ascii="Times New Roman" w:hAnsi="Times New Roman" w:cs="Times New Roman"/>
          <w:sz w:val="28"/>
          <w:szCs w:val="28"/>
        </w:rPr>
      </w:pPr>
    </w:p>
    <w:p w:rsidR="00A84262" w:rsidRDefault="00A84262" w:rsidP="00E92A45">
      <w:pPr>
        <w:pStyle w:val="ListParagraph"/>
        <w:spacing w:after="0" w:line="240" w:lineRule="auto"/>
        <w:ind w:left="0"/>
        <w:jc w:val="both"/>
        <w:rPr>
          <w:rFonts w:ascii="Times New Roman" w:hAnsi="Times New Roman" w:cs="Times New Roman"/>
          <w:b/>
          <w:sz w:val="28"/>
          <w:szCs w:val="28"/>
        </w:rPr>
      </w:pPr>
    </w:p>
    <w:p w:rsidR="00707EAE" w:rsidRPr="005C69C1" w:rsidRDefault="00987D86" w:rsidP="005C69C1">
      <w:pPr>
        <w:spacing w:after="0" w:line="240" w:lineRule="auto"/>
        <w:ind w:left="6480"/>
        <w:jc w:val="both"/>
        <w:rPr>
          <w:rFonts w:ascii="Times New Roman" w:hAnsi="Times New Roman" w:cs="Times New Roman"/>
          <w:i/>
        </w:rPr>
      </w:pPr>
      <w:r>
        <w:rPr>
          <w:rFonts w:ascii="Times New Roman" w:hAnsi="Times New Roman" w:cs="Times New Roman"/>
          <w:sz w:val="28"/>
          <w:szCs w:val="28"/>
        </w:rPr>
        <w:br/>
      </w:r>
      <w:r w:rsidR="005C69C1" w:rsidRPr="005C69C1">
        <w:rPr>
          <w:rFonts w:ascii="Times New Roman" w:hAnsi="Times New Roman" w:cs="Times New Roman"/>
          <w:i/>
        </w:rPr>
        <w:t>(authorized to sign for)</w:t>
      </w:r>
    </w:p>
    <w:p w:rsidR="00455003" w:rsidRPr="00455003" w:rsidRDefault="00455003" w:rsidP="00E92A45">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FD0FFD">
        <w:rPr>
          <w:rFonts w:ascii="Times New Roman" w:hAnsi="Times New Roman" w:cs="Times New Roman"/>
          <w:sz w:val="28"/>
          <w:szCs w:val="28"/>
        </w:rPr>
        <w:t xml:space="preserve">M. </w:t>
      </w:r>
      <w:r w:rsidR="008F71FF">
        <w:rPr>
          <w:rFonts w:ascii="Times New Roman" w:hAnsi="Times New Roman" w:cs="Times New Roman"/>
          <w:sz w:val="28"/>
          <w:szCs w:val="28"/>
        </w:rPr>
        <w:t>Shaner</w:t>
      </w:r>
    </w:p>
    <w:p w:rsidR="00455003" w:rsidRPr="00455003" w:rsidRDefault="00455003" w:rsidP="00E92A45">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E92A45">
      <w:pPr>
        <w:spacing w:after="0" w:line="240" w:lineRule="auto"/>
        <w:rPr>
          <w:rFonts w:ascii="Times New Roman" w:hAnsi="Times New Roman" w:cs="Times New Roman"/>
          <w:sz w:val="28"/>
          <w:szCs w:val="28"/>
        </w:rPr>
      </w:pPr>
    </w:p>
    <w:p w:rsidR="00455003" w:rsidRPr="00455003" w:rsidRDefault="00455003" w:rsidP="00E92A45">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E71309" w:rsidP="00E92A45">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E71309">
        <w:rPr>
          <w:rFonts w:ascii="Times New Roman" w:hAnsi="Times New Roman" w:cs="Times New Roman"/>
          <w:sz w:val="28"/>
          <w:szCs w:val="28"/>
          <w:vertAlign w:val="superscript"/>
        </w:rPr>
        <w:t>th</w:t>
      </w:r>
      <w:r w:rsidR="00F7359F">
        <w:rPr>
          <w:rFonts w:ascii="Times New Roman" w:hAnsi="Times New Roman" w:cs="Times New Roman"/>
          <w:sz w:val="28"/>
          <w:szCs w:val="28"/>
        </w:rPr>
        <w:t xml:space="preserve"> </w:t>
      </w:r>
      <w:r w:rsidR="00455003" w:rsidRPr="00455003">
        <w:rPr>
          <w:rFonts w:ascii="Times New Roman" w:hAnsi="Times New Roman" w:cs="Times New Roman"/>
          <w:sz w:val="28"/>
          <w:szCs w:val="28"/>
        </w:rPr>
        <w:t>day of</w:t>
      </w:r>
      <w:r w:rsidR="00CF5359">
        <w:rPr>
          <w:rFonts w:ascii="Times New Roman" w:hAnsi="Times New Roman" w:cs="Times New Roman"/>
          <w:sz w:val="28"/>
          <w:szCs w:val="28"/>
        </w:rPr>
        <w:t xml:space="preserve"> </w:t>
      </w:r>
      <w:r w:rsidR="009B4078">
        <w:rPr>
          <w:rFonts w:ascii="Times New Roman" w:hAnsi="Times New Roman" w:cs="Times New Roman"/>
          <w:sz w:val="28"/>
          <w:szCs w:val="28"/>
        </w:rPr>
        <w:t>April 2019</w:t>
      </w:r>
    </w:p>
    <w:p w:rsidR="00455003" w:rsidRPr="00455003" w:rsidRDefault="00455003" w:rsidP="00E92A45">
      <w:pPr>
        <w:spacing w:after="0" w:line="240" w:lineRule="auto"/>
        <w:rPr>
          <w:rFonts w:ascii="Times New Roman" w:hAnsi="Times New Roman" w:cs="Times New Roman"/>
          <w:sz w:val="28"/>
          <w:szCs w:val="28"/>
        </w:rPr>
      </w:pPr>
    </w:p>
    <w:p w:rsidR="00455003" w:rsidRDefault="008F71FF" w:rsidP="00E92A45">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w:t>
      </w:r>
      <w:r w:rsidR="00346DB8">
        <w:rPr>
          <w:rFonts w:ascii="Times New Roman" w:hAnsi="Times New Roman" w:cs="Times New Roman"/>
          <w:sz w:val="28"/>
          <w:szCs w:val="28"/>
        </w:rPr>
        <w:t>Applicant:</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CF5359">
        <w:rPr>
          <w:rFonts w:ascii="Times New Roman" w:hAnsi="Times New Roman" w:cs="Times New Roman"/>
          <w:sz w:val="28"/>
          <w:szCs w:val="28"/>
        </w:rPr>
        <w:tab/>
      </w:r>
      <w:r w:rsidR="00CF5359">
        <w:rPr>
          <w:rFonts w:ascii="Times New Roman" w:hAnsi="Times New Roman" w:cs="Times New Roman"/>
          <w:sz w:val="28"/>
          <w:szCs w:val="28"/>
        </w:rPr>
        <w:tab/>
      </w:r>
      <w:r w:rsidR="00346DB8">
        <w:rPr>
          <w:rFonts w:ascii="Times New Roman" w:hAnsi="Times New Roman" w:cs="Times New Roman"/>
          <w:sz w:val="28"/>
          <w:szCs w:val="28"/>
        </w:rPr>
        <w:tab/>
        <w:t>Alan R. Reg</w:t>
      </w:r>
      <w:r w:rsidR="005368D2">
        <w:rPr>
          <w:rFonts w:ascii="Times New Roman" w:hAnsi="Times New Roman" w:cs="Times New Roman"/>
          <w:sz w:val="28"/>
          <w:szCs w:val="28"/>
        </w:rPr>
        <w:t>e</w:t>
      </w:r>
      <w:r w:rsidR="00346DB8">
        <w:rPr>
          <w:rFonts w:ascii="Times New Roman" w:hAnsi="Times New Roman" w:cs="Times New Roman"/>
          <w:sz w:val="28"/>
          <w:szCs w:val="28"/>
        </w:rPr>
        <w:t>l</w:t>
      </w:r>
    </w:p>
    <w:p w:rsidR="00CF5359" w:rsidRPr="00455003" w:rsidRDefault="00CF5359" w:rsidP="00E92A45">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346DB8" w:rsidRDefault="008F71FF" w:rsidP="00E92A45">
      <w:pPr>
        <w:spacing w:after="0" w:line="240" w:lineRule="auto"/>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Respondent</w:t>
      </w:r>
      <w:r w:rsidR="00346DB8">
        <w:rPr>
          <w:rFonts w:ascii="Times New Roman" w:hAnsi="Times New Roman" w:cs="Times New Roman"/>
          <w:sz w:val="28"/>
          <w:szCs w:val="28"/>
        </w:rPr>
        <w:t xml:space="preserve">, the </w:t>
      </w:r>
    </w:p>
    <w:p w:rsidR="00707EAE" w:rsidRDefault="00346DB8" w:rsidP="00E92A45">
      <w:pPr>
        <w:spacing w:after="0" w:line="240" w:lineRule="auto"/>
        <w:ind w:left="5760" w:hanging="5760"/>
        <w:rPr>
          <w:rFonts w:ascii="Times New Roman" w:hAnsi="Times New Roman" w:cs="Times New Roman"/>
          <w:sz w:val="28"/>
          <w:szCs w:val="28"/>
        </w:rPr>
      </w:pPr>
      <w:r>
        <w:rPr>
          <w:rFonts w:ascii="Times New Roman" w:hAnsi="Times New Roman" w:cs="Times New Roman"/>
          <w:sz w:val="28"/>
          <w:szCs w:val="28"/>
        </w:rPr>
        <w:t>Commissioner of the Northwest Territories</w:t>
      </w:r>
      <w:r w:rsidR="00987D86">
        <w:rPr>
          <w:rFonts w:ascii="Times New Roman" w:hAnsi="Times New Roman" w:cs="Times New Roman"/>
          <w:sz w:val="28"/>
          <w:szCs w:val="28"/>
        </w:rPr>
        <w:tab/>
      </w:r>
      <w:r w:rsidR="00B52EE1">
        <w:rPr>
          <w:rFonts w:ascii="Times New Roman" w:hAnsi="Times New Roman" w:cs="Times New Roman"/>
          <w:sz w:val="28"/>
          <w:szCs w:val="28"/>
        </w:rPr>
        <w:t>Christopher Buchanan and Karin Taylor</w:t>
      </w:r>
    </w:p>
    <w:p w:rsidR="00987D86" w:rsidRPr="00455003" w:rsidRDefault="00987D86" w:rsidP="00E92A45">
      <w:pPr>
        <w:spacing w:after="0" w:line="240" w:lineRule="auto"/>
        <w:rPr>
          <w:rFonts w:ascii="Times New Roman" w:hAnsi="Times New Roman" w:cs="Times New Roman"/>
          <w:sz w:val="28"/>
          <w:szCs w:val="28"/>
        </w:rPr>
      </w:pPr>
    </w:p>
    <w:p w:rsidR="00707EAE" w:rsidRPr="0032647A" w:rsidRDefault="00707EAE" w:rsidP="00E92A45">
      <w:pPr>
        <w:spacing w:line="240" w:lineRule="auto"/>
        <w:rPr>
          <w:rFonts w:ascii="Times New Roman" w:hAnsi="Times New Roman" w:cs="Times New Roman"/>
          <w:sz w:val="28"/>
          <w:szCs w:val="28"/>
        </w:rPr>
        <w:sectPr w:rsidR="00707EAE" w:rsidRPr="0032647A" w:rsidSect="00671113">
          <w:headerReference w:type="default" r:id="rId14"/>
          <w:headerReference w:type="first" r:id="rId15"/>
          <w:type w:val="continuous"/>
          <w:pgSz w:w="12240" w:h="15840"/>
          <w:pgMar w:top="1440" w:right="1440" w:bottom="1350" w:left="1440" w:header="720" w:footer="720" w:gutter="0"/>
          <w:cols w:space="720"/>
          <w:titlePg/>
          <w:docGrid w:linePitch="360"/>
        </w:sectPr>
      </w:pPr>
      <w:r w:rsidRPr="0032647A">
        <w:rPr>
          <w:rFonts w:ascii="Times New Roman" w:hAnsi="Times New Roman" w:cs="Times New Roman"/>
          <w:sz w:val="28"/>
          <w:szCs w:val="28"/>
        </w:rPr>
        <w:br w:type="page"/>
      </w:r>
    </w:p>
    <w:p w:rsidR="00707EAE" w:rsidRPr="0032647A" w:rsidRDefault="00707EAE" w:rsidP="00E92A45">
      <w:pPr>
        <w:spacing w:line="240" w:lineRule="auto"/>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E63400" w:rsidP="00E92A45">
            <w:pPr>
              <w:jc w:val="right"/>
              <w:rPr>
                <w:rFonts w:ascii="Times New Roman" w:hAnsi="Times New Roman" w:cs="Times New Roman"/>
                <w:sz w:val="28"/>
                <w:szCs w:val="28"/>
              </w:rPr>
            </w:pPr>
            <w:r w:rsidRPr="0032647A">
              <w:rPr>
                <w:rFonts w:ascii="Times New Roman" w:hAnsi="Times New Roman" w:cs="Times New Roman"/>
                <w:sz w:val="28"/>
                <w:szCs w:val="28"/>
              </w:rPr>
              <w:t>S-1-</w:t>
            </w:r>
            <w:r>
              <w:rPr>
                <w:rFonts w:ascii="Times New Roman" w:hAnsi="Times New Roman" w:cs="Times New Roman"/>
                <w:sz w:val="28"/>
                <w:szCs w:val="28"/>
              </w:rPr>
              <w:t>CV 2014-000-056</w:t>
            </w:r>
          </w:p>
        </w:tc>
      </w:tr>
      <w:tr w:rsidR="00707EAE" w:rsidRPr="0032647A" w:rsidTr="00707EAE">
        <w:tc>
          <w:tcPr>
            <w:tcW w:w="6408" w:type="dxa"/>
          </w:tcPr>
          <w:p w:rsidR="00707EAE" w:rsidRPr="0032647A" w:rsidRDefault="00707EAE" w:rsidP="00E92A45">
            <w:pPr>
              <w:tabs>
                <w:tab w:val="center" w:pos="2784"/>
              </w:tabs>
              <w:jc w:val="center"/>
              <w:rPr>
                <w:rFonts w:ascii="Times New Roman" w:hAnsi="Times New Roman" w:cs="Times New Roman"/>
                <w:b/>
                <w:bCs/>
                <w:sz w:val="28"/>
                <w:szCs w:val="28"/>
                <w:lang w:val="en-GB"/>
              </w:rPr>
            </w:pPr>
          </w:p>
          <w:p w:rsidR="00707EAE" w:rsidRPr="0032647A" w:rsidRDefault="00707EAE" w:rsidP="00E92A45">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E92A45">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E92A45">
            <w:pPr>
              <w:pStyle w:val="NoSpacing"/>
              <w:rPr>
                <w:rFonts w:ascii="Times New Roman" w:hAnsi="Times New Roman" w:cs="Times New Roman"/>
                <w:sz w:val="28"/>
                <w:szCs w:val="28"/>
                <w:lang w:val="en-GB"/>
              </w:rPr>
            </w:pPr>
          </w:p>
        </w:tc>
      </w:tr>
      <w:tr w:rsidR="00707EAE" w:rsidRPr="0032647A" w:rsidTr="00707EAE">
        <w:tc>
          <w:tcPr>
            <w:tcW w:w="6408" w:type="dxa"/>
          </w:tcPr>
          <w:p w:rsidR="00E63400" w:rsidRDefault="00E63400" w:rsidP="00E92A45">
            <w:pPr>
              <w:rPr>
                <w:rFonts w:ascii="Times New Roman" w:hAnsi="Times New Roman" w:cs="Times New Roman"/>
                <w:sz w:val="24"/>
                <w:szCs w:val="24"/>
              </w:rPr>
            </w:pPr>
          </w:p>
          <w:p w:rsidR="00707EAE" w:rsidRPr="00E63400" w:rsidRDefault="00707EAE" w:rsidP="00E92A45">
            <w:pPr>
              <w:rPr>
                <w:rFonts w:ascii="Times New Roman" w:hAnsi="Times New Roman" w:cs="Times New Roman"/>
                <w:sz w:val="24"/>
                <w:szCs w:val="24"/>
              </w:rPr>
            </w:pPr>
            <w:r w:rsidRPr="00E63400">
              <w:rPr>
                <w:rFonts w:ascii="Times New Roman" w:hAnsi="Times New Roman" w:cs="Times New Roman"/>
                <w:sz w:val="24"/>
                <w:szCs w:val="24"/>
              </w:rPr>
              <w:t>BETWEEN</w:t>
            </w:r>
          </w:p>
          <w:p w:rsidR="00707EAE" w:rsidRPr="0032647A" w:rsidRDefault="00707EAE" w:rsidP="00E92A45">
            <w:pPr>
              <w:rPr>
                <w:rFonts w:ascii="Times New Roman" w:hAnsi="Times New Roman" w:cs="Times New Roman"/>
                <w:sz w:val="28"/>
                <w:szCs w:val="28"/>
              </w:rPr>
            </w:pPr>
          </w:p>
          <w:p w:rsidR="00E63400" w:rsidRPr="003320CF" w:rsidRDefault="00E63400" w:rsidP="00E92A45">
            <w:pPr>
              <w:shd w:val="clear" w:color="auto" w:fill="FFFFFF"/>
              <w:jc w:val="center"/>
              <w:rPr>
                <w:rFonts w:ascii="Calibri" w:eastAsia="Times New Roman" w:hAnsi="Calibri" w:cs="Times New Roman"/>
                <w:color w:val="000000"/>
                <w:sz w:val="24"/>
                <w:szCs w:val="24"/>
              </w:rPr>
            </w:pPr>
            <w:r w:rsidRPr="003320CF">
              <w:rPr>
                <w:rFonts w:ascii="Times New Roman" w:eastAsia="Times New Roman" w:hAnsi="Times New Roman" w:cs="Times New Roman"/>
                <w:color w:val="000000"/>
                <w:sz w:val="24"/>
                <w:szCs w:val="24"/>
              </w:rPr>
              <w:t>THE COMMISSIONER OF THE NORTHWEST TERRITORIES</w:t>
            </w:r>
          </w:p>
          <w:p w:rsidR="00E63400" w:rsidRPr="003320CF" w:rsidRDefault="00E63400" w:rsidP="00E92A45">
            <w:pPr>
              <w:shd w:val="clear" w:color="auto" w:fill="FFFFFF"/>
              <w:jc w:val="both"/>
              <w:rPr>
                <w:rFonts w:ascii="Calibri" w:eastAsia="Times New Roman" w:hAnsi="Calibri" w:cs="Times New Roman"/>
                <w:color w:val="000000"/>
                <w:sz w:val="24"/>
                <w:szCs w:val="24"/>
              </w:rPr>
            </w:pPr>
            <w:r w:rsidRPr="003320CF">
              <w:rPr>
                <w:rFonts w:ascii="Times New Roman" w:eastAsia="Times New Roman" w:hAnsi="Times New Roman" w:cs="Times New Roman"/>
                <w:color w:val="000000"/>
                <w:sz w:val="24"/>
                <w:szCs w:val="24"/>
              </w:rPr>
              <w:t> </w:t>
            </w:r>
          </w:p>
          <w:p w:rsidR="00E63400" w:rsidRPr="003320CF" w:rsidRDefault="00E63400" w:rsidP="00E92A45">
            <w:pPr>
              <w:shd w:val="clear" w:color="auto" w:fill="FFFFFF"/>
              <w:jc w:val="right"/>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P</w:t>
            </w:r>
            <w:r w:rsidRPr="003320CF">
              <w:rPr>
                <w:rFonts w:ascii="Times New Roman" w:eastAsia="Times New Roman" w:hAnsi="Times New Roman" w:cs="Times New Roman"/>
                <w:color w:val="000000"/>
                <w:sz w:val="24"/>
                <w:szCs w:val="24"/>
              </w:rPr>
              <w:t>laintiff</w:t>
            </w:r>
          </w:p>
          <w:p w:rsidR="00E63400" w:rsidRPr="00E63400" w:rsidRDefault="00E63400" w:rsidP="00E92A45">
            <w:pPr>
              <w:shd w:val="clear" w:color="auto" w:fill="FFFFFF"/>
              <w:jc w:val="center"/>
              <w:rPr>
                <w:rFonts w:ascii="Times New Roman" w:eastAsia="Times New Roman" w:hAnsi="Times New Roman" w:cs="Times New Roman"/>
                <w:color w:val="000000"/>
                <w:sz w:val="24"/>
                <w:szCs w:val="24"/>
              </w:rPr>
            </w:pPr>
            <w:r w:rsidRPr="003320CF">
              <w:rPr>
                <w:rFonts w:ascii="Times New Roman" w:eastAsia="Times New Roman" w:hAnsi="Times New Roman" w:cs="Times New Roman"/>
                <w:color w:val="000000"/>
                <w:sz w:val="24"/>
                <w:szCs w:val="24"/>
              </w:rPr>
              <w:t>-and-</w:t>
            </w:r>
          </w:p>
          <w:p w:rsidR="00E63400" w:rsidRPr="003320CF" w:rsidRDefault="00E63400" w:rsidP="00E92A45">
            <w:pPr>
              <w:shd w:val="clear" w:color="auto" w:fill="FFFFFF"/>
              <w:jc w:val="center"/>
              <w:rPr>
                <w:rFonts w:ascii="Calibri" w:eastAsia="Times New Roman" w:hAnsi="Calibri" w:cs="Times New Roman"/>
                <w:color w:val="000000"/>
                <w:sz w:val="24"/>
                <w:szCs w:val="24"/>
              </w:rPr>
            </w:pPr>
          </w:p>
          <w:p w:rsidR="00E63400" w:rsidRPr="003320CF" w:rsidRDefault="00E63400" w:rsidP="00E92A45">
            <w:pPr>
              <w:shd w:val="clear" w:color="auto" w:fill="FFFFFF"/>
              <w:jc w:val="both"/>
              <w:rPr>
                <w:rFonts w:ascii="Calibri" w:eastAsia="Times New Roman" w:hAnsi="Calibri" w:cs="Times New Roman"/>
                <w:color w:val="000000"/>
                <w:sz w:val="24"/>
                <w:szCs w:val="24"/>
              </w:rPr>
            </w:pPr>
            <w:r w:rsidRPr="003320CF">
              <w:rPr>
                <w:rFonts w:ascii="Times New Roman" w:eastAsia="Times New Roman" w:hAnsi="Times New Roman" w:cs="Times New Roman"/>
                <w:color w:val="000000"/>
                <w:sz w:val="24"/>
                <w:szCs w:val="24"/>
              </w:rPr>
              <w:t> 923115 N.W.T. LIMITED o/a PIN/TAYLOR ARCHITECTS, AMEC AMERICAS LIMITED o/a AMEC EARTH AND ENVIRONMENTAL, AMEC EARTH AND ENVIRONMENTAL, a division of AMEC AMERICAS LIMITED, ENCOMPASS INC. o/a ARCTIC FOUNDATIONS OF CANADA, ARCTIC FOUNDATIONS OF CANADA INC., IGOR HOLUBEC, IGOR HOLUBEC CONSULTING INC., EBA ENGINEERING CONSULTANTS LTD., JOHN ARMSTRONG, BRAD R. NELSON, JOHN ARMSTRONG and BRAD R. NELSON, carrying on business as a partnership under the firm name of ARMSTRONG AND NELSON ENGINEERS AND LAND SURVEYORS, 851791 N.W.T. LTD. o/a ROWE’S CONSTRUCTION and DOWLAND CONTRACTING LTD.</w:t>
            </w:r>
          </w:p>
          <w:p w:rsidR="00E63400" w:rsidRPr="003320CF" w:rsidRDefault="00E63400" w:rsidP="00E92A45">
            <w:pPr>
              <w:shd w:val="clear" w:color="auto" w:fill="FFFFFF"/>
              <w:jc w:val="both"/>
              <w:rPr>
                <w:rFonts w:ascii="Calibri" w:eastAsia="Times New Roman" w:hAnsi="Calibri" w:cs="Times New Roman"/>
                <w:color w:val="000000"/>
                <w:sz w:val="24"/>
                <w:szCs w:val="24"/>
              </w:rPr>
            </w:pPr>
            <w:r w:rsidRPr="003320CF">
              <w:rPr>
                <w:rFonts w:ascii="Times New Roman" w:eastAsia="Times New Roman" w:hAnsi="Times New Roman" w:cs="Times New Roman"/>
                <w:color w:val="000000"/>
                <w:sz w:val="24"/>
                <w:szCs w:val="24"/>
              </w:rPr>
              <w:t> </w:t>
            </w:r>
          </w:p>
          <w:p w:rsidR="00E63400" w:rsidRPr="003320CF" w:rsidRDefault="00E63400" w:rsidP="00E92A45">
            <w:pPr>
              <w:shd w:val="clear" w:color="auto" w:fill="FFFFFF"/>
              <w:jc w:val="right"/>
              <w:rPr>
                <w:rFonts w:ascii="Calibri" w:eastAsia="Times New Roman" w:hAnsi="Calibri" w:cs="Times New Roman"/>
                <w:color w:val="000000"/>
                <w:sz w:val="24"/>
                <w:szCs w:val="24"/>
              </w:rPr>
            </w:pPr>
            <w:r w:rsidRPr="003320CF">
              <w:rPr>
                <w:rFonts w:ascii="Times New Roman" w:eastAsia="Times New Roman" w:hAnsi="Times New Roman" w:cs="Times New Roman"/>
                <w:color w:val="000000"/>
                <w:sz w:val="24"/>
                <w:szCs w:val="24"/>
              </w:rPr>
              <w:t>Defendants</w:t>
            </w:r>
          </w:p>
          <w:p w:rsidR="00707EAE" w:rsidRPr="0032647A" w:rsidRDefault="00707EAE" w:rsidP="00E92A45">
            <w:pPr>
              <w:tabs>
                <w:tab w:val="left" w:pos="720"/>
                <w:tab w:val="left" w:pos="1452"/>
                <w:tab w:val="left" w:pos="2392"/>
              </w:tabs>
              <w:rPr>
                <w:rFonts w:ascii="Times New Roman" w:hAnsi="Times New Roman" w:cs="Times New Roman"/>
                <w:sz w:val="28"/>
                <w:szCs w:val="28"/>
                <w:lang w:val="en-GB"/>
              </w:rPr>
            </w:pPr>
          </w:p>
          <w:p w:rsidR="00707EAE" w:rsidRPr="0032647A" w:rsidRDefault="00707EAE" w:rsidP="00E92A45">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E92A45">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E92A45">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MEMORANDUM OF JUDGMENT OF</w:t>
            </w:r>
          </w:p>
          <w:p w:rsidR="00707EAE" w:rsidRPr="0032647A" w:rsidRDefault="00707EAE" w:rsidP="00E92A45">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FD0FFD">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E92A45">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E92A45">
      <w:pPr>
        <w:spacing w:after="0" w:line="24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E92A45">
      <w:pPr>
        <w:tabs>
          <w:tab w:val="right" w:pos="4230"/>
        </w:tabs>
        <w:spacing w:after="0" w:line="240" w:lineRule="auto"/>
        <w:ind w:right="-432"/>
        <w:jc w:val="both"/>
        <w:rPr>
          <w:rFonts w:ascii="Times New Roman" w:hAnsi="Times New Roman" w:cs="Times New Roman"/>
          <w:sz w:val="28"/>
          <w:szCs w:val="28"/>
          <w:u w:val="single"/>
        </w:rPr>
      </w:pPr>
    </w:p>
    <w:sectPr w:rsidR="000812FA" w:rsidRPr="0032647A" w:rsidSect="000812FA">
      <w:headerReference w:type="default" r:id="rId16"/>
      <w:headerReference w:type="first" r:id="rId17"/>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66" w:rsidRDefault="00A56E66" w:rsidP="005B5B19">
      <w:pPr>
        <w:spacing w:after="0" w:line="240" w:lineRule="auto"/>
      </w:pPr>
      <w:r>
        <w:separator/>
      </w:r>
    </w:p>
  </w:endnote>
  <w:endnote w:type="continuationSeparator" w:id="0">
    <w:p w:rsidR="00A56E66" w:rsidRDefault="00A56E66"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66" w:rsidRDefault="00A56E66" w:rsidP="005B5B19">
      <w:pPr>
        <w:spacing w:after="0" w:line="240" w:lineRule="auto"/>
      </w:pPr>
      <w:r>
        <w:separator/>
      </w:r>
    </w:p>
  </w:footnote>
  <w:footnote w:type="continuationSeparator" w:id="0">
    <w:p w:rsidR="00A56E66" w:rsidRDefault="00A56E66" w:rsidP="005B5B19">
      <w:pPr>
        <w:spacing w:after="0" w:line="240" w:lineRule="auto"/>
      </w:pPr>
      <w:r>
        <w:continuationSeparator/>
      </w:r>
    </w:p>
  </w:footnote>
  <w:footnote w:id="1">
    <w:p w:rsidR="000131BC" w:rsidRPr="003A5FB3" w:rsidRDefault="000131BC" w:rsidP="000131BC">
      <w:pPr>
        <w:pStyle w:val="FootnoteText"/>
        <w:rPr>
          <w:rFonts w:ascii="Times New Roman" w:hAnsi="Times New Roman" w:cs="Times New Roman"/>
        </w:rPr>
      </w:pPr>
      <w:r w:rsidRPr="003A5FB3">
        <w:rPr>
          <w:rStyle w:val="FootnoteReference"/>
          <w:rFonts w:ascii="Times New Roman" w:hAnsi="Times New Roman" w:cs="Times New Roman"/>
        </w:rPr>
        <w:footnoteRef/>
      </w:r>
      <w:r w:rsidRPr="003A5FB3">
        <w:rPr>
          <w:rFonts w:ascii="Times New Roman" w:hAnsi="Times New Roman" w:cs="Times New Roman"/>
        </w:rPr>
        <w:t xml:space="preserve"> </w:t>
      </w:r>
      <w:hyperlink r:id="rId1" w:history="1">
        <w:r w:rsidRPr="003A5FB3">
          <w:rPr>
            <w:rStyle w:val="Hyperlink"/>
            <w:rFonts w:ascii="Times New Roman" w:hAnsi="Times New Roman" w:cs="Times New Roman"/>
          </w:rPr>
          <w:t>https://www.assembly.gov.nt.ca/sites/default/files/13-11-07td_14-175.pdf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0" w:rsidRPr="0032647A" w:rsidRDefault="00BD7170">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E650B9">
          <w:rPr>
            <w:rFonts w:ascii="Times New Roman" w:hAnsi="Times New Roman" w:cs="Times New Roman"/>
            <w:noProof/>
            <w:sz w:val="24"/>
            <w:szCs w:val="24"/>
          </w:rPr>
          <w:t>17</w:t>
        </w:r>
        <w:r w:rsidRPr="0032647A">
          <w:rPr>
            <w:rFonts w:ascii="Times New Roman" w:hAnsi="Times New Roman" w:cs="Times New Roman"/>
            <w:noProof/>
            <w:sz w:val="24"/>
            <w:szCs w:val="24"/>
          </w:rPr>
          <w:fldChar w:fldCharType="end"/>
        </w:r>
      </w:sdtContent>
    </w:sdt>
  </w:p>
  <w:p w:rsidR="00BD7170" w:rsidRDefault="00BD7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0" w:rsidRDefault="00BD7170">
    <w:pPr>
      <w:pStyle w:val="Header"/>
      <w:jc w:val="right"/>
    </w:pPr>
  </w:p>
  <w:p w:rsidR="00BD7170" w:rsidRDefault="00BD7170"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0" w:rsidRDefault="00BD7170">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BD7170" w:rsidRDefault="00BD71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0" w:rsidRDefault="00BD7170">
    <w:pPr>
      <w:pStyle w:val="Header"/>
      <w:jc w:val="right"/>
    </w:pPr>
  </w:p>
  <w:p w:rsidR="00BD7170" w:rsidRDefault="00BD7170"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12"/>
  </w:num>
  <w:num w:numId="6">
    <w:abstractNumId w:val="2"/>
  </w:num>
  <w:num w:numId="7">
    <w:abstractNumId w:val="3"/>
  </w:num>
  <w:num w:numId="8">
    <w:abstractNumId w:val="1"/>
  </w:num>
  <w:num w:numId="9">
    <w:abstractNumId w:val="8"/>
  </w:num>
  <w:num w:numId="10">
    <w:abstractNumId w:val="6"/>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131BC"/>
    <w:rsid w:val="0001699C"/>
    <w:rsid w:val="0002174E"/>
    <w:rsid w:val="00040B4D"/>
    <w:rsid w:val="0005687C"/>
    <w:rsid w:val="0006659D"/>
    <w:rsid w:val="00070234"/>
    <w:rsid w:val="000772EA"/>
    <w:rsid w:val="000812FA"/>
    <w:rsid w:val="00081824"/>
    <w:rsid w:val="000865D1"/>
    <w:rsid w:val="00086E43"/>
    <w:rsid w:val="000926CE"/>
    <w:rsid w:val="000A02B6"/>
    <w:rsid w:val="000A35CC"/>
    <w:rsid w:val="000C0F7B"/>
    <w:rsid w:val="000C293D"/>
    <w:rsid w:val="000C5A6A"/>
    <w:rsid w:val="000C62BB"/>
    <w:rsid w:val="000D2681"/>
    <w:rsid w:val="000E5036"/>
    <w:rsid w:val="000E6A31"/>
    <w:rsid w:val="000F02DC"/>
    <w:rsid w:val="000F18D3"/>
    <w:rsid w:val="000F3FA5"/>
    <w:rsid w:val="000F53DB"/>
    <w:rsid w:val="00102340"/>
    <w:rsid w:val="001032D3"/>
    <w:rsid w:val="00115512"/>
    <w:rsid w:val="001158E3"/>
    <w:rsid w:val="00115E43"/>
    <w:rsid w:val="00115F85"/>
    <w:rsid w:val="00115FB8"/>
    <w:rsid w:val="00117532"/>
    <w:rsid w:val="00123B79"/>
    <w:rsid w:val="00124D86"/>
    <w:rsid w:val="001350AD"/>
    <w:rsid w:val="001356C2"/>
    <w:rsid w:val="00136FED"/>
    <w:rsid w:val="00142877"/>
    <w:rsid w:val="00142B7A"/>
    <w:rsid w:val="00146070"/>
    <w:rsid w:val="001503BC"/>
    <w:rsid w:val="0015063E"/>
    <w:rsid w:val="001507FC"/>
    <w:rsid w:val="00154197"/>
    <w:rsid w:val="0016194C"/>
    <w:rsid w:val="00163503"/>
    <w:rsid w:val="001637C9"/>
    <w:rsid w:val="00172DE7"/>
    <w:rsid w:val="00182532"/>
    <w:rsid w:val="00183ACB"/>
    <w:rsid w:val="001922F6"/>
    <w:rsid w:val="00193231"/>
    <w:rsid w:val="001957F2"/>
    <w:rsid w:val="001A21D9"/>
    <w:rsid w:val="001A3CE0"/>
    <w:rsid w:val="001B1CCF"/>
    <w:rsid w:val="001B341D"/>
    <w:rsid w:val="001B5613"/>
    <w:rsid w:val="001B7074"/>
    <w:rsid w:val="001C1DCF"/>
    <w:rsid w:val="001E08F8"/>
    <w:rsid w:val="001E0F8F"/>
    <w:rsid w:val="001E4E19"/>
    <w:rsid w:val="001F0DCA"/>
    <w:rsid w:val="001F3655"/>
    <w:rsid w:val="001F5970"/>
    <w:rsid w:val="0020463F"/>
    <w:rsid w:val="00206627"/>
    <w:rsid w:val="00231B65"/>
    <w:rsid w:val="0023366A"/>
    <w:rsid w:val="00242BE8"/>
    <w:rsid w:val="00246245"/>
    <w:rsid w:val="002513D1"/>
    <w:rsid w:val="002659B9"/>
    <w:rsid w:val="00266394"/>
    <w:rsid w:val="00266742"/>
    <w:rsid w:val="0027040C"/>
    <w:rsid w:val="002713FD"/>
    <w:rsid w:val="00281021"/>
    <w:rsid w:val="002826C1"/>
    <w:rsid w:val="00283913"/>
    <w:rsid w:val="002872C8"/>
    <w:rsid w:val="002916A3"/>
    <w:rsid w:val="00292879"/>
    <w:rsid w:val="002A14A9"/>
    <w:rsid w:val="002A3E01"/>
    <w:rsid w:val="002A52A5"/>
    <w:rsid w:val="002A5F39"/>
    <w:rsid w:val="002B0C73"/>
    <w:rsid w:val="002B5C72"/>
    <w:rsid w:val="002C4CB6"/>
    <w:rsid w:val="002C5513"/>
    <w:rsid w:val="002D59FA"/>
    <w:rsid w:val="002D5FEF"/>
    <w:rsid w:val="002E229E"/>
    <w:rsid w:val="002F21F4"/>
    <w:rsid w:val="0030114F"/>
    <w:rsid w:val="00301B62"/>
    <w:rsid w:val="00302104"/>
    <w:rsid w:val="00302CB7"/>
    <w:rsid w:val="00303329"/>
    <w:rsid w:val="0030334C"/>
    <w:rsid w:val="003079CA"/>
    <w:rsid w:val="003106E3"/>
    <w:rsid w:val="00313626"/>
    <w:rsid w:val="003138DE"/>
    <w:rsid w:val="003173E9"/>
    <w:rsid w:val="00321645"/>
    <w:rsid w:val="00322117"/>
    <w:rsid w:val="00323CD1"/>
    <w:rsid w:val="0032647A"/>
    <w:rsid w:val="003365BE"/>
    <w:rsid w:val="00340AAC"/>
    <w:rsid w:val="003444B3"/>
    <w:rsid w:val="00346DB8"/>
    <w:rsid w:val="0035646E"/>
    <w:rsid w:val="003568A5"/>
    <w:rsid w:val="00362CA5"/>
    <w:rsid w:val="00364F1F"/>
    <w:rsid w:val="00365554"/>
    <w:rsid w:val="00383781"/>
    <w:rsid w:val="003923F0"/>
    <w:rsid w:val="003935E1"/>
    <w:rsid w:val="003A3B7E"/>
    <w:rsid w:val="003A5FB3"/>
    <w:rsid w:val="003A72B6"/>
    <w:rsid w:val="003A76BD"/>
    <w:rsid w:val="003B0325"/>
    <w:rsid w:val="003B045A"/>
    <w:rsid w:val="003B4038"/>
    <w:rsid w:val="003B5E64"/>
    <w:rsid w:val="003B5FA8"/>
    <w:rsid w:val="003C2C86"/>
    <w:rsid w:val="003C334D"/>
    <w:rsid w:val="003C67F9"/>
    <w:rsid w:val="003D3E8C"/>
    <w:rsid w:val="003E3871"/>
    <w:rsid w:val="003E5A3C"/>
    <w:rsid w:val="003F2753"/>
    <w:rsid w:val="003F2B8B"/>
    <w:rsid w:val="004054F5"/>
    <w:rsid w:val="0040617A"/>
    <w:rsid w:val="00417CD8"/>
    <w:rsid w:val="00423626"/>
    <w:rsid w:val="00427EEA"/>
    <w:rsid w:val="00442955"/>
    <w:rsid w:val="00442E65"/>
    <w:rsid w:val="00452C78"/>
    <w:rsid w:val="00455003"/>
    <w:rsid w:val="00456815"/>
    <w:rsid w:val="0046366D"/>
    <w:rsid w:val="00466B42"/>
    <w:rsid w:val="00470085"/>
    <w:rsid w:val="004731CC"/>
    <w:rsid w:val="0047681E"/>
    <w:rsid w:val="004803E9"/>
    <w:rsid w:val="00481216"/>
    <w:rsid w:val="00492588"/>
    <w:rsid w:val="004A59EC"/>
    <w:rsid w:val="004B1722"/>
    <w:rsid w:val="004B1ED2"/>
    <w:rsid w:val="004B5E1C"/>
    <w:rsid w:val="004C1942"/>
    <w:rsid w:val="004C313D"/>
    <w:rsid w:val="004C3E7C"/>
    <w:rsid w:val="004C5709"/>
    <w:rsid w:val="004D67C4"/>
    <w:rsid w:val="004E1B40"/>
    <w:rsid w:val="004E3513"/>
    <w:rsid w:val="004E77F8"/>
    <w:rsid w:val="004F0138"/>
    <w:rsid w:val="004F225C"/>
    <w:rsid w:val="00501407"/>
    <w:rsid w:val="005026DB"/>
    <w:rsid w:val="005040FF"/>
    <w:rsid w:val="00507A54"/>
    <w:rsid w:val="00512C5E"/>
    <w:rsid w:val="00527003"/>
    <w:rsid w:val="00527C30"/>
    <w:rsid w:val="00530B61"/>
    <w:rsid w:val="00533F06"/>
    <w:rsid w:val="00534A9F"/>
    <w:rsid w:val="005368D2"/>
    <w:rsid w:val="005425F8"/>
    <w:rsid w:val="0056497A"/>
    <w:rsid w:val="00565E44"/>
    <w:rsid w:val="0057289E"/>
    <w:rsid w:val="0058365B"/>
    <w:rsid w:val="005846D0"/>
    <w:rsid w:val="00585638"/>
    <w:rsid w:val="0058795A"/>
    <w:rsid w:val="005960CE"/>
    <w:rsid w:val="005B31FD"/>
    <w:rsid w:val="005B3BAA"/>
    <w:rsid w:val="005B5B19"/>
    <w:rsid w:val="005C1FEE"/>
    <w:rsid w:val="005C56F2"/>
    <w:rsid w:val="005C69C1"/>
    <w:rsid w:val="005D6060"/>
    <w:rsid w:val="005E1A54"/>
    <w:rsid w:val="005F2E69"/>
    <w:rsid w:val="00601BAB"/>
    <w:rsid w:val="00615394"/>
    <w:rsid w:val="006153F5"/>
    <w:rsid w:val="00615F63"/>
    <w:rsid w:val="00620930"/>
    <w:rsid w:val="0062312B"/>
    <w:rsid w:val="00631C79"/>
    <w:rsid w:val="006358AB"/>
    <w:rsid w:val="00636066"/>
    <w:rsid w:val="0063651C"/>
    <w:rsid w:val="00637E13"/>
    <w:rsid w:val="00640447"/>
    <w:rsid w:val="00644E0D"/>
    <w:rsid w:val="0065255F"/>
    <w:rsid w:val="006540FF"/>
    <w:rsid w:val="0066108F"/>
    <w:rsid w:val="00662F1E"/>
    <w:rsid w:val="006641F4"/>
    <w:rsid w:val="0067070E"/>
    <w:rsid w:val="00670EB6"/>
    <w:rsid w:val="00671113"/>
    <w:rsid w:val="0067321B"/>
    <w:rsid w:val="00674A0E"/>
    <w:rsid w:val="0068193C"/>
    <w:rsid w:val="00681EFE"/>
    <w:rsid w:val="00691046"/>
    <w:rsid w:val="00695F9D"/>
    <w:rsid w:val="006A186A"/>
    <w:rsid w:val="006A5315"/>
    <w:rsid w:val="006B0E57"/>
    <w:rsid w:val="006B2656"/>
    <w:rsid w:val="006C1576"/>
    <w:rsid w:val="006C4F77"/>
    <w:rsid w:val="006D28E5"/>
    <w:rsid w:val="006D5E51"/>
    <w:rsid w:val="006E05F6"/>
    <w:rsid w:val="006E0998"/>
    <w:rsid w:val="006E5312"/>
    <w:rsid w:val="006F016E"/>
    <w:rsid w:val="006F22C4"/>
    <w:rsid w:val="006F5D30"/>
    <w:rsid w:val="006F6FC0"/>
    <w:rsid w:val="00705DF1"/>
    <w:rsid w:val="00705F68"/>
    <w:rsid w:val="00707EAE"/>
    <w:rsid w:val="00712640"/>
    <w:rsid w:val="007172DF"/>
    <w:rsid w:val="00726916"/>
    <w:rsid w:val="00731924"/>
    <w:rsid w:val="007404D1"/>
    <w:rsid w:val="00740811"/>
    <w:rsid w:val="00745A79"/>
    <w:rsid w:val="007468DF"/>
    <w:rsid w:val="00751E92"/>
    <w:rsid w:val="00752AC7"/>
    <w:rsid w:val="00754CC1"/>
    <w:rsid w:val="0076058B"/>
    <w:rsid w:val="0076080A"/>
    <w:rsid w:val="00767DED"/>
    <w:rsid w:val="00777B6B"/>
    <w:rsid w:val="007802D1"/>
    <w:rsid w:val="0078050E"/>
    <w:rsid w:val="007936B5"/>
    <w:rsid w:val="007A6539"/>
    <w:rsid w:val="007A6D89"/>
    <w:rsid w:val="007B1B0E"/>
    <w:rsid w:val="007B5A95"/>
    <w:rsid w:val="007B6556"/>
    <w:rsid w:val="007B7092"/>
    <w:rsid w:val="007C269D"/>
    <w:rsid w:val="007C2FA2"/>
    <w:rsid w:val="007C6C35"/>
    <w:rsid w:val="007D09B2"/>
    <w:rsid w:val="007D33B2"/>
    <w:rsid w:val="007D3E2A"/>
    <w:rsid w:val="007E09EE"/>
    <w:rsid w:val="007E4421"/>
    <w:rsid w:val="007E5265"/>
    <w:rsid w:val="007E6647"/>
    <w:rsid w:val="007F289B"/>
    <w:rsid w:val="007F4223"/>
    <w:rsid w:val="0080009A"/>
    <w:rsid w:val="0080023D"/>
    <w:rsid w:val="00802862"/>
    <w:rsid w:val="00803D91"/>
    <w:rsid w:val="00811AF5"/>
    <w:rsid w:val="008123B6"/>
    <w:rsid w:val="0081355D"/>
    <w:rsid w:val="008262A5"/>
    <w:rsid w:val="008325EF"/>
    <w:rsid w:val="008402AF"/>
    <w:rsid w:val="00845368"/>
    <w:rsid w:val="008513BE"/>
    <w:rsid w:val="0085198B"/>
    <w:rsid w:val="00852397"/>
    <w:rsid w:val="00855EC9"/>
    <w:rsid w:val="00861D49"/>
    <w:rsid w:val="00864A16"/>
    <w:rsid w:val="00866B24"/>
    <w:rsid w:val="00866E9A"/>
    <w:rsid w:val="00872416"/>
    <w:rsid w:val="00873754"/>
    <w:rsid w:val="008813B5"/>
    <w:rsid w:val="00881A06"/>
    <w:rsid w:val="008851EE"/>
    <w:rsid w:val="00885A61"/>
    <w:rsid w:val="008864F5"/>
    <w:rsid w:val="00896674"/>
    <w:rsid w:val="008A1A71"/>
    <w:rsid w:val="008A1FDA"/>
    <w:rsid w:val="008A373B"/>
    <w:rsid w:val="008A6871"/>
    <w:rsid w:val="008C09DB"/>
    <w:rsid w:val="008C140F"/>
    <w:rsid w:val="008C4E6D"/>
    <w:rsid w:val="008C52C7"/>
    <w:rsid w:val="008C69CA"/>
    <w:rsid w:val="008D10C7"/>
    <w:rsid w:val="008D4293"/>
    <w:rsid w:val="008E2140"/>
    <w:rsid w:val="008E3DBD"/>
    <w:rsid w:val="008E57C1"/>
    <w:rsid w:val="008E7740"/>
    <w:rsid w:val="008F71FF"/>
    <w:rsid w:val="009050BC"/>
    <w:rsid w:val="00905841"/>
    <w:rsid w:val="0091100E"/>
    <w:rsid w:val="00911A99"/>
    <w:rsid w:val="00911C04"/>
    <w:rsid w:val="00915447"/>
    <w:rsid w:val="0092295F"/>
    <w:rsid w:val="00925814"/>
    <w:rsid w:val="00934591"/>
    <w:rsid w:val="00934F71"/>
    <w:rsid w:val="00940EC7"/>
    <w:rsid w:val="009425E7"/>
    <w:rsid w:val="009438FF"/>
    <w:rsid w:val="009536B2"/>
    <w:rsid w:val="00955E67"/>
    <w:rsid w:val="00960847"/>
    <w:rsid w:val="00962DC3"/>
    <w:rsid w:val="00966B99"/>
    <w:rsid w:val="00966D78"/>
    <w:rsid w:val="00966DEE"/>
    <w:rsid w:val="00967D4E"/>
    <w:rsid w:val="00974606"/>
    <w:rsid w:val="0098567C"/>
    <w:rsid w:val="00987D86"/>
    <w:rsid w:val="009917AA"/>
    <w:rsid w:val="009A12DC"/>
    <w:rsid w:val="009A419E"/>
    <w:rsid w:val="009A4421"/>
    <w:rsid w:val="009B1012"/>
    <w:rsid w:val="009B4078"/>
    <w:rsid w:val="009C2CC4"/>
    <w:rsid w:val="009C474B"/>
    <w:rsid w:val="009C5F7F"/>
    <w:rsid w:val="009D24E8"/>
    <w:rsid w:val="009D4C53"/>
    <w:rsid w:val="009D6F65"/>
    <w:rsid w:val="009E01F9"/>
    <w:rsid w:val="009E024A"/>
    <w:rsid w:val="009E14FA"/>
    <w:rsid w:val="009E4809"/>
    <w:rsid w:val="009E4842"/>
    <w:rsid w:val="009E58C1"/>
    <w:rsid w:val="009E5D14"/>
    <w:rsid w:val="009F0E0D"/>
    <w:rsid w:val="009F18D2"/>
    <w:rsid w:val="00A010A0"/>
    <w:rsid w:val="00A04D11"/>
    <w:rsid w:val="00A06F57"/>
    <w:rsid w:val="00A07C8C"/>
    <w:rsid w:val="00A11825"/>
    <w:rsid w:val="00A1344A"/>
    <w:rsid w:val="00A14119"/>
    <w:rsid w:val="00A14279"/>
    <w:rsid w:val="00A16D2D"/>
    <w:rsid w:val="00A3156D"/>
    <w:rsid w:val="00A3395A"/>
    <w:rsid w:val="00A351AB"/>
    <w:rsid w:val="00A376DE"/>
    <w:rsid w:val="00A40B5A"/>
    <w:rsid w:val="00A46835"/>
    <w:rsid w:val="00A46DED"/>
    <w:rsid w:val="00A550A5"/>
    <w:rsid w:val="00A55495"/>
    <w:rsid w:val="00A56E66"/>
    <w:rsid w:val="00A574D2"/>
    <w:rsid w:val="00A64D28"/>
    <w:rsid w:val="00A719F2"/>
    <w:rsid w:val="00A72D7E"/>
    <w:rsid w:val="00A765AC"/>
    <w:rsid w:val="00A80370"/>
    <w:rsid w:val="00A82C88"/>
    <w:rsid w:val="00A82DC7"/>
    <w:rsid w:val="00A84262"/>
    <w:rsid w:val="00A845AA"/>
    <w:rsid w:val="00A84D6A"/>
    <w:rsid w:val="00A8545B"/>
    <w:rsid w:val="00A91150"/>
    <w:rsid w:val="00A950F1"/>
    <w:rsid w:val="00AA234A"/>
    <w:rsid w:val="00AA33DD"/>
    <w:rsid w:val="00AB1856"/>
    <w:rsid w:val="00AB23C8"/>
    <w:rsid w:val="00AB3AEC"/>
    <w:rsid w:val="00AB564C"/>
    <w:rsid w:val="00AB6655"/>
    <w:rsid w:val="00AB6D9E"/>
    <w:rsid w:val="00AC1002"/>
    <w:rsid w:val="00AC1DD1"/>
    <w:rsid w:val="00AD21B4"/>
    <w:rsid w:val="00AD4CFF"/>
    <w:rsid w:val="00AD606D"/>
    <w:rsid w:val="00AD762D"/>
    <w:rsid w:val="00AE6F1E"/>
    <w:rsid w:val="00AE709E"/>
    <w:rsid w:val="00AF1E9D"/>
    <w:rsid w:val="00AF25E1"/>
    <w:rsid w:val="00AF30CF"/>
    <w:rsid w:val="00B02019"/>
    <w:rsid w:val="00B026D0"/>
    <w:rsid w:val="00B04B60"/>
    <w:rsid w:val="00B1144E"/>
    <w:rsid w:val="00B12C2C"/>
    <w:rsid w:val="00B14859"/>
    <w:rsid w:val="00B179E4"/>
    <w:rsid w:val="00B31EAC"/>
    <w:rsid w:val="00B37C5A"/>
    <w:rsid w:val="00B40B81"/>
    <w:rsid w:val="00B44547"/>
    <w:rsid w:val="00B474B5"/>
    <w:rsid w:val="00B512D6"/>
    <w:rsid w:val="00B5240C"/>
    <w:rsid w:val="00B52EE1"/>
    <w:rsid w:val="00B62962"/>
    <w:rsid w:val="00B6763B"/>
    <w:rsid w:val="00B67D42"/>
    <w:rsid w:val="00B71CF7"/>
    <w:rsid w:val="00B755B3"/>
    <w:rsid w:val="00B76670"/>
    <w:rsid w:val="00B84CCB"/>
    <w:rsid w:val="00B94F8E"/>
    <w:rsid w:val="00BA03A5"/>
    <w:rsid w:val="00BA0F82"/>
    <w:rsid w:val="00BA1922"/>
    <w:rsid w:val="00BA1BB1"/>
    <w:rsid w:val="00BB23B1"/>
    <w:rsid w:val="00BB3B24"/>
    <w:rsid w:val="00BC697B"/>
    <w:rsid w:val="00BD08D2"/>
    <w:rsid w:val="00BD4DEC"/>
    <w:rsid w:val="00BD568C"/>
    <w:rsid w:val="00BD7170"/>
    <w:rsid w:val="00BE57EA"/>
    <w:rsid w:val="00BE7C91"/>
    <w:rsid w:val="00BF779D"/>
    <w:rsid w:val="00BF7D52"/>
    <w:rsid w:val="00C019F8"/>
    <w:rsid w:val="00C01A2C"/>
    <w:rsid w:val="00C24B72"/>
    <w:rsid w:val="00C308AC"/>
    <w:rsid w:val="00C31281"/>
    <w:rsid w:val="00C32CD4"/>
    <w:rsid w:val="00C35F4A"/>
    <w:rsid w:val="00C36D70"/>
    <w:rsid w:val="00C415F7"/>
    <w:rsid w:val="00C41BCF"/>
    <w:rsid w:val="00C42CC2"/>
    <w:rsid w:val="00C434BA"/>
    <w:rsid w:val="00C457DE"/>
    <w:rsid w:val="00C52F4C"/>
    <w:rsid w:val="00C572E4"/>
    <w:rsid w:val="00C63413"/>
    <w:rsid w:val="00C727D1"/>
    <w:rsid w:val="00C72AB7"/>
    <w:rsid w:val="00C746F4"/>
    <w:rsid w:val="00C76C7B"/>
    <w:rsid w:val="00C821C9"/>
    <w:rsid w:val="00C965B0"/>
    <w:rsid w:val="00CA05D7"/>
    <w:rsid w:val="00CA073D"/>
    <w:rsid w:val="00CA11CB"/>
    <w:rsid w:val="00CA135F"/>
    <w:rsid w:val="00CA2D09"/>
    <w:rsid w:val="00CB5A2C"/>
    <w:rsid w:val="00CB5B58"/>
    <w:rsid w:val="00CB5C02"/>
    <w:rsid w:val="00CC240B"/>
    <w:rsid w:val="00CC593A"/>
    <w:rsid w:val="00CD5892"/>
    <w:rsid w:val="00CE051B"/>
    <w:rsid w:val="00CF02B2"/>
    <w:rsid w:val="00CF1DFF"/>
    <w:rsid w:val="00CF4587"/>
    <w:rsid w:val="00CF5359"/>
    <w:rsid w:val="00D0058E"/>
    <w:rsid w:val="00D011DA"/>
    <w:rsid w:val="00D01C79"/>
    <w:rsid w:val="00D01CCE"/>
    <w:rsid w:val="00D1083B"/>
    <w:rsid w:val="00D1137A"/>
    <w:rsid w:val="00D140D6"/>
    <w:rsid w:val="00D162A0"/>
    <w:rsid w:val="00D252EE"/>
    <w:rsid w:val="00D355A5"/>
    <w:rsid w:val="00D40055"/>
    <w:rsid w:val="00D4091E"/>
    <w:rsid w:val="00D41259"/>
    <w:rsid w:val="00D41F44"/>
    <w:rsid w:val="00D4528C"/>
    <w:rsid w:val="00D525CF"/>
    <w:rsid w:val="00D62FF9"/>
    <w:rsid w:val="00D63794"/>
    <w:rsid w:val="00D6795F"/>
    <w:rsid w:val="00D7735A"/>
    <w:rsid w:val="00D87BCB"/>
    <w:rsid w:val="00D9055B"/>
    <w:rsid w:val="00D90C98"/>
    <w:rsid w:val="00D9677F"/>
    <w:rsid w:val="00DA117D"/>
    <w:rsid w:val="00DA13A1"/>
    <w:rsid w:val="00DA1AC5"/>
    <w:rsid w:val="00DA2923"/>
    <w:rsid w:val="00DA710C"/>
    <w:rsid w:val="00DB3C41"/>
    <w:rsid w:val="00DC179B"/>
    <w:rsid w:val="00DD54BA"/>
    <w:rsid w:val="00DD6973"/>
    <w:rsid w:val="00DF22B3"/>
    <w:rsid w:val="00DF3589"/>
    <w:rsid w:val="00DF5931"/>
    <w:rsid w:val="00DF78A7"/>
    <w:rsid w:val="00E0101A"/>
    <w:rsid w:val="00E019F8"/>
    <w:rsid w:val="00E03FBB"/>
    <w:rsid w:val="00E069D3"/>
    <w:rsid w:val="00E114C9"/>
    <w:rsid w:val="00E20149"/>
    <w:rsid w:val="00E20CAD"/>
    <w:rsid w:val="00E21A98"/>
    <w:rsid w:val="00E22112"/>
    <w:rsid w:val="00E23354"/>
    <w:rsid w:val="00E25D51"/>
    <w:rsid w:val="00E3182E"/>
    <w:rsid w:val="00E400BC"/>
    <w:rsid w:val="00E41241"/>
    <w:rsid w:val="00E528A5"/>
    <w:rsid w:val="00E53595"/>
    <w:rsid w:val="00E60478"/>
    <w:rsid w:val="00E607E5"/>
    <w:rsid w:val="00E628BE"/>
    <w:rsid w:val="00E62B98"/>
    <w:rsid w:val="00E63400"/>
    <w:rsid w:val="00E650B9"/>
    <w:rsid w:val="00E71309"/>
    <w:rsid w:val="00E76819"/>
    <w:rsid w:val="00E77E79"/>
    <w:rsid w:val="00E92A45"/>
    <w:rsid w:val="00EA0CD4"/>
    <w:rsid w:val="00EA15D9"/>
    <w:rsid w:val="00EA5400"/>
    <w:rsid w:val="00EA5FBC"/>
    <w:rsid w:val="00EA7DC7"/>
    <w:rsid w:val="00EC19C3"/>
    <w:rsid w:val="00EC296B"/>
    <w:rsid w:val="00EC40D6"/>
    <w:rsid w:val="00EC66BD"/>
    <w:rsid w:val="00ED094F"/>
    <w:rsid w:val="00ED6BFF"/>
    <w:rsid w:val="00EE5FFE"/>
    <w:rsid w:val="00EF1617"/>
    <w:rsid w:val="00EF21D2"/>
    <w:rsid w:val="00EF2778"/>
    <w:rsid w:val="00F00013"/>
    <w:rsid w:val="00F0129F"/>
    <w:rsid w:val="00F1381B"/>
    <w:rsid w:val="00F16EDE"/>
    <w:rsid w:val="00F26C90"/>
    <w:rsid w:val="00F35F90"/>
    <w:rsid w:val="00F40A44"/>
    <w:rsid w:val="00F43AFB"/>
    <w:rsid w:val="00F45E3D"/>
    <w:rsid w:val="00F47D90"/>
    <w:rsid w:val="00F52371"/>
    <w:rsid w:val="00F571CD"/>
    <w:rsid w:val="00F61849"/>
    <w:rsid w:val="00F67509"/>
    <w:rsid w:val="00F70898"/>
    <w:rsid w:val="00F73216"/>
    <w:rsid w:val="00F7359F"/>
    <w:rsid w:val="00F7570C"/>
    <w:rsid w:val="00F769C9"/>
    <w:rsid w:val="00F80CAC"/>
    <w:rsid w:val="00F85334"/>
    <w:rsid w:val="00F85B81"/>
    <w:rsid w:val="00F87489"/>
    <w:rsid w:val="00F92ADE"/>
    <w:rsid w:val="00F92D4A"/>
    <w:rsid w:val="00FA24FD"/>
    <w:rsid w:val="00FA57F8"/>
    <w:rsid w:val="00FC02D4"/>
    <w:rsid w:val="00FC12A4"/>
    <w:rsid w:val="00FC3DA0"/>
    <w:rsid w:val="00FC5EC9"/>
    <w:rsid w:val="00FC6B66"/>
    <w:rsid w:val="00FC7D31"/>
    <w:rsid w:val="00FD0FFD"/>
    <w:rsid w:val="00FD18F6"/>
    <w:rsid w:val="00FD5F42"/>
    <w:rsid w:val="00FD6751"/>
    <w:rsid w:val="00FE282E"/>
    <w:rsid w:val="00FF0B95"/>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E3009B5-B769-4785-8274-CBCD825E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reflex3-block">
    <w:name w:val="reflex3-block"/>
    <w:basedOn w:val="DefaultParagraphFont"/>
    <w:rsid w:val="00C35F4A"/>
  </w:style>
  <w:style w:type="character" w:customStyle="1" w:styleId="reflex3-alt">
    <w:name w:val="reflex3-alt"/>
    <w:basedOn w:val="DefaultParagraphFont"/>
    <w:rsid w:val="00C35F4A"/>
  </w:style>
  <w:style w:type="character" w:customStyle="1" w:styleId="groupheading6">
    <w:name w:val="groupheading6"/>
    <w:basedOn w:val="DefaultParagraphFont"/>
    <w:rsid w:val="00C35F4A"/>
  </w:style>
  <w:style w:type="character" w:customStyle="1" w:styleId="nowrap">
    <w:name w:val="nowrap"/>
    <w:basedOn w:val="DefaultParagraphFont"/>
    <w:rsid w:val="00C35F4A"/>
  </w:style>
  <w:style w:type="paragraph" w:customStyle="1" w:styleId="mainparagraph1">
    <w:name w:val="mainparagraph1"/>
    <w:basedOn w:val="Normal"/>
    <w:rsid w:val="00C35F4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6209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930"/>
    <w:rPr>
      <w:sz w:val="20"/>
      <w:szCs w:val="20"/>
    </w:rPr>
  </w:style>
  <w:style w:type="character" w:styleId="FootnoteReference">
    <w:name w:val="footnote reference"/>
    <w:basedOn w:val="DefaultParagraphFont"/>
    <w:uiPriority w:val="99"/>
    <w:semiHidden/>
    <w:unhideWhenUsed/>
    <w:rsid w:val="00620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50849486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nt/laws/regu/nwt-reg-010-96/latest/nwt-reg-010-96.html" TargetMode="External"/><Relationship Id="rId13" Type="http://schemas.openxmlformats.org/officeDocument/2006/relationships/hyperlink" Target="https://www.canlii.org/en/on/onsc/doc/1991/1991canlii2729/1991canlii272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lii.org/en/ca/scc/doc/1993/1993canlii34/1993canlii34.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nt/ntsc/doc/2013/2013nwtsc27/2013nwtsc27.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lii.org/en/nt/ntsc/doc/2008/2008nwtsc31/2008nwtsc3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lii.org/en/nt/ntsc/doc/2012/2012nwtsc78/2012nwtsc78.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ssembly.gov.nt.ca/sites/default/files/13-11-07td_14-1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7F7958D-7BB9-443C-9DCC-221807B4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6157</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Shirley Mair</cp:lastModifiedBy>
  <cp:revision>6</cp:revision>
  <cp:lastPrinted>2019-04-10T18:36:00Z</cp:lastPrinted>
  <dcterms:created xsi:type="dcterms:W3CDTF">2019-04-10T19:34:00Z</dcterms:created>
  <dcterms:modified xsi:type="dcterms:W3CDTF">2019-04-10T20:46:00Z</dcterms:modified>
</cp:coreProperties>
</file>