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3346" w:rsidRDefault="00511B62" w:rsidP="00E524A2">
      <w:pPr>
        <w:pStyle w:val="Body"/>
        <w:spacing w:after="0" w:line="240" w:lineRule="auto"/>
        <w:rPr>
          <w:rFonts w:ascii="Times New Roman" w:eastAsia="Times New Roman" w:hAnsi="Times New Roman" w:cs="Times New Roman"/>
          <w:sz w:val="24"/>
          <w:szCs w:val="24"/>
        </w:rPr>
      </w:pPr>
      <w:r>
        <w:rPr>
          <w:rFonts w:ascii="Times New Roman" w:hAnsi="Times New Roman"/>
          <w:i/>
          <w:iCs/>
          <w:sz w:val="24"/>
          <w:szCs w:val="24"/>
        </w:rPr>
        <w:t xml:space="preserve">Cementation Canada Inc. v Lavallee, </w:t>
      </w:r>
      <w:r>
        <w:rPr>
          <w:rFonts w:ascii="Times New Roman" w:hAnsi="Times New Roman"/>
          <w:sz w:val="24"/>
          <w:szCs w:val="24"/>
          <w:lang w:val="de-DE"/>
        </w:rPr>
        <w:t>2018 NWTSC 37</w:t>
      </w:r>
    </w:p>
    <w:p w:rsidR="00DA3346" w:rsidRDefault="00AD694F" w:rsidP="00E524A2">
      <w:pPr>
        <w:pStyle w:val="Body"/>
        <w:spacing w:after="0" w:line="240" w:lineRule="auto"/>
        <w:jc w:val="right"/>
        <w:rPr>
          <w:rFonts w:ascii="Times New Roman" w:eastAsia="Times New Roman" w:hAnsi="Times New Roman" w:cs="Times New Roman"/>
          <w:sz w:val="28"/>
          <w:szCs w:val="28"/>
        </w:rPr>
      </w:pPr>
      <w:r>
        <w:rPr>
          <w:rFonts w:ascii="Times New Roman" w:hAnsi="Times New Roman"/>
          <w:sz w:val="28"/>
          <w:szCs w:val="28"/>
          <w:lang w:val="de-DE"/>
        </w:rPr>
        <w:t>Date:  2018 07 27</w:t>
      </w:r>
    </w:p>
    <w:p w:rsidR="00DA3346" w:rsidRDefault="00511B62" w:rsidP="00E524A2">
      <w:pPr>
        <w:pStyle w:val="Body"/>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Docket:  S-1-CV-2017 000 313</w:t>
      </w:r>
    </w:p>
    <w:p w:rsidR="00DA3346" w:rsidRDefault="00DA3346" w:rsidP="00E524A2">
      <w:pPr>
        <w:pStyle w:val="Body"/>
        <w:spacing w:after="0" w:line="240" w:lineRule="auto"/>
        <w:rPr>
          <w:rFonts w:ascii="Times New Roman" w:eastAsia="Times New Roman" w:hAnsi="Times New Roman" w:cs="Times New Roman"/>
          <w:sz w:val="28"/>
          <w:szCs w:val="28"/>
          <w:lang w:val="en-US"/>
        </w:rPr>
      </w:pP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Pr>
          <w:rFonts w:ascii="Times New Roman" w:hAnsi="Times New Roman"/>
          <w:sz w:val="28"/>
          <w:szCs w:val="28"/>
          <w:lang w:val="en-US"/>
        </w:rPr>
        <w:t>IN THE SUPREME COURT OF THE NORTHWEST TERRITORIES</w:t>
      </w:r>
    </w:p>
    <w:p w:rsidR="00DA3346" w:rsidRDefault="00511B62" w:rsidP="00E524A2">
      <w:pPr>
        <w:pStyle w:val="Body"/>
        <w:spacing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In the matter of the </w:t>
      </w:r>
      <w:r>
        <w:rPr>
          <w:rFonts w:ascii="Times New Roman" w:hAnsi="Times New Roman"/>
          <w:i/>
          <w:iCs/>
          <w:sz w:val="24"/>
          <w:szCs w:val="24"/>
          <w:lang w:val="en-US"/>
        </w:rPr>
        <w:t>Employment Standards Act</w:t>
      </w:r>
      <w:r>
        <w:rPr>
          <w:rFonts w:ascii="Times New Roman" w:hAnsi="Times New Roman"/>
          <w:sz w:val="24"/>
          <w:szCs w:val="24"/>
        </w:rPr>
        <w:t>, 2007</w:t>
      </w:r>
    </w:p>
    <w:p w:rsidR="00DA3346" w:rsidRDefault="00511B62" w:rsidP="00E524A2">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And in the matter of the Decision of </w:t>
      </w:r>
    </w:p>
    <w:p w:rsidR="00DA3346" w:rsidRDefault="00511B62" w:rsidP="00E524A2">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The Employment Standards</w:t>
      </w:r>
      <w:r w:rsidR="00AD694F">
        <w:rPr>
          <w:rFonts w:ascii="Times New Roman" w:hAnsi="Times New Roman"/>
          <w:sz w:val="24"/>
          <w:szCs w:val="24"/>
          <w:lang w:val="en-US"/>
        </w:rPr>
        <w:t xml:space="preserve"> Appeal Office File No. 20-3148</w:t>
      </w:r>
      <w:r>
        <w:rPr>
          <w:rFonts w:ascii="Times New Roman" w:hAnsi="Times New Roman"/>
          <w:sz w:val="24"/>
          <w:szCs w:val="24"/>
          <w:lang w:val="en-US"/>
        </w:rPr>
        <w:t>/16, Order 2478</w:t>
      </w:r>
    </w:p>
    <w:p w:rsidR="00DA3346" w:rsidRDefault="00DA3346" w:rsidP="00E524A2">
      <w:pPr>
        <w:pStyle w:val="Body"/>
        <w:spacing w:after="0" w:line="240" w:lineRule="auto"/>
        <w:jc w:val="center"/>
        <w:rPr>
          <w:rFonts w:ascii="Times New Roman" w:eastAsia="Times New Roman" w:hAnsi="Times New Roman" w:cs="Times New Roman"/>
          <w:sz w:val="24"/>
          <w:szCs w:val="24"/>
        </w:rPr>
      </w:pPr>
    </w:p>
    <w:p w:rsidR="00DA3346" w:rsidRDefault="00511B62" w:rsidP="00E524A2">
      <w:pPr>
        <w:pStyle w:val="Body"/>
        <w:spacing w:line="240" w:lineRule="auto"/>
        <w:rPr>
          <w:rFonts w:ascii="Times New Roman" w:eastAsia="Times New Roman" w:hAnsi="Times New Roman" w:cs="Times New Roman"/>
          <w:sz w:val="28"/>
          <w:szCs w:val="28"/>
        </w:rPr>
      </w:pPr>
      <w:r>
        <w:rPr>
          <w:rFonts w:ascii="Times New Roman" w:hAnsi="Times New Roman"/>
          <w:sz w:val="28"/>
          <w:szCs w:val="28"/>
          <w:lang w:val="de-DE"/>
        </w:rPr>
        <w:t>BETWEEN:</w:t>
      </w: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lang w:val="pt-PT"/>
        </w:rPr>
        <w:t>Cementation Canada Inc.</w:t>
      </w:r>
    </w:p>
    <w:p w:rsidR="00DA3346" w:rsidRDefault="00511B62" w:rsidP="00E524A2">
      <w:pPr>
        <w:pStyle w:val="Body"/>
        <w:spacing w:line="240" w:lineRule="auto"/>
        <w:jc w:val="right"/>
        <w:rPr>
          <w:rFonts w:ascii="Times New Roman" w:eastAsia="Times New Roman" w:hAnsi="Times New Roman" w:cs="Times New Roman"/>
          <w:sz w:val="28"/>
          <w:szCs w:val="28"/>
        </w:rPr>
      </w:pPr>
      <w:r>
        <w:rPr>
          <w:rFonts w:ascii="Times New Roman" w:hAnsi="Times New Roman"/>
          <w:sz w:val="28"/>
          <w:szCs w:val="28"/>
        </w:rPr>
        <w:t>Appellant</w:t>
      </w: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rPr>
        <w:t>-and-</w:t>
      </w:r>
    </w:p>
    <w:p w:rsidR="00DA3346" w:rsidRDefault="00DA3346" w:rsidP="00E524A2">
      <w:pPr>
        <w:pStyle w:val="Body"/>
        <w:spacing w:line="240" w:lineRule="auto"/>
        <w:jc w:val="center"/>
        <w:rPr>
          <w:rFonts w:ascii="Times New Roman" w:eastAsia="Times New Roman" w:hAnsi="Times New Roman" w:cs="Times New Roman"/>
          <w:sz w:val="28"/>
          <w:szCs w:val="28"/>
        </w:rPr>
      </w:pP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rPr>
        <w:t>Bryan Lavallee</w:t>
      </w:r>
    </w:p>
    <w:p w:rsidR="00DA3346" w:rsidRDefault="00511B62" w:rsidP="00E524A2">
      <w:pPr>
        <w:pStyle w:val="Body"/>
        <w:tabs>
          <w:tab w:val="center" w:pos="4680"/>
        </w:tabs>
        <w:spacing w:after="0" w:line="240" w:lineRule="auto"/>
        <w:jc w:val="right"/>
        <w:rPr>
          <w:rFonts w:ascii="Times New Roman" w:eastAsia="Times New Roman" w:hAnsi="Times New Roman" w:cs="Times New Roman"/>
          <w:sz w:val="28"/>
          <w:szCs w:val="28"/>
        </w:rPr>
      </w:pPr>
      <w:r>
        <w:rPr>
          <w:rFonts w:ascii="Times New Roman" w:hAnsi="Times New Roman"/>
          <w:sz w:val="28"/>
          <w:szCs w:val="28"/>
          <w:lang w:val="en-US"/>
        </w:rPr>
        <w:t>Respondent</w:t>
      </w:r>
    </w:p>
    <w:p w:rsidR="00DA3346" w:rsidRDefault="00511B62" w:rsidP="00E524A2">
      <w:pPr>
        <w:pStyle w:val="Body"/>
        <w:tabs>
          <w:tab w:val="right" w:pos="93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DA3346">
        <w:trPr>
          <w:trHeight w:val="2558"/>
        </w:trPr>
        <w:tc>
          <w:tcPr>
            <w:tcW w:w="9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3346" w:rsidRDefault="00DA3346" w:rsidP="00E524A2">
            <w:pPr>
              <w:pStyle w:val="Body"/>
              <w:spacing w:after="0" w:line="240" w:lineRule="auto"/>
              <w:jc w:val="both"/>
              <w:rPr>
                <w:rFonts w:ascii="Times New Roman" w:eastAsia="Times New Roman" w:hAnsi="Times New Roman" w:cs="Times New Roman"/>
                <w:sz w:val="28"/>
                <w:szCs w:val="28"/>
                <w:lang w:val="en-US"/>
              </w:rPr>
            </w:pPr>
          </w:p>
          <w:p w:rsidR="00DA3346" w:rsidRDefault="00511B62" w:rsidP="00E524A2">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Appeal from a decision of an Adjudicator under the </w:t>
            </w:r>
            <w:r>
              <w:rPr>
                <w:rFonts w:ascii="Times New Roman" w:hAnsi="Times New Roman"/>
                <w:i/>
                <w:iCs/>
                <w:sz w:val="28"/>
                <w:szCs w:val="28"/>
                <w:lang w:val="en-US"/>
              </w:rPr>
              <w:t>Employment Standards Act</w:t>
            </w:r>
            <w:r>
              <w:rPr>
                <w:rFonts w:ascii="Times New Roman" w:hAnsi="Times New Roman"/>
                <w:sz w:val="28"/>
                <w:szCs w:val="28"/>
                <w:lang w:val="en-US"/>
              </w:rPr>
              <w:t>, S.N.W.T. 2007, c. 13.</w:t>
            </w:r>
          </w:p>
          <w:p w:rsidR="00DA3346" w:rsidRDefault="00DA3346" w:rsidP="00E524A2">
            <w:pPr>
              <w:pStyle w:val="Body"/>
              <w:spacing w:after="0" w:line="240" w:lineRule="auto"/>
              <w:ind w:firstLine="2880"/>
              <w:jc w:val="both"/>
              <w:rPr>
                <w:rFonts w:ascii="Times New Roman" w:eastAsia="Times New Roman" w:hAnsi="Times New Roman" w:cs="Times New Roman"/>
                <w:sz w:val="28"/>
                <w:szCs w:val="28"/>
                <w:lang w:val="en-US"/>
              </w:rPr>
            </w:pPr>
          </w:p>
          <w:p w:rsidR="00DA3346" w:rsidRDefault="00511B62" w:rsidP="00E524A2">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Heard at Yellowknife, NT, on </w:t>
            </w:r>
            <w:bookmarkStart w:id="0" w:name="_GoBack"/>
            <w:bookmarkEnd w:id="0"/>
            <w:r>
              <w:rPr>
                <w:rFonts w:ascii="Times New Roman" w:hAnsi="Times New Roman"/>
                <w:sz w:val="28"/>
                <w:szCs w:val="28"/>
                <w:lang w:val="en-US"/>
              </w:rPr>
              <w:t>April 10, 2018.</w:t>
            </w:r>
          </w:p>
          <w:p w:rsidR="00DA3346" w:rsidRDefault="00DA3346" w:rsidP="00E524A2">
            <w:pPr>
              <w:pStyle w:val="Body"/>
              <w:spacing w:after="0" w:line="240" w:lineRule="auto"/>
              <w:jc w:val="both"/>
              <w:rPr>
                <w:rFonts w:ascii="Times New Roman" w:eastAsia="Times New Roman" w:hAnsi="Times New Roman" w:cs="Times New Roman"/>
                <w:sz w:val="28"/>
                <w:szCs w:val="28"/>
                <w:lang w:val="en-US"/>
              </w:rPr>
            </w:pPr>
          </w:p>
          <w:p w:rsidR="00DA3346" w:rsidRDefault="00511B62" w:rsidP="00E524A2">
            <w:pPr>
              <w:pStyle w:val="Body"/>
              <w:spacing w:after="0" w:line="240" w:lineRule="auto"/>
            </w:pPr>
            <w:r>
              <w:rPr>
                <w:rFonts w:ascii="Times New Roman" w:hAnsi="Times New Roman"/>
                <w:sz w:val="28"/>
                <w:szCs w:val="28"/>
                <w:lang w:val="en-US"/>
              </w:rPr>
              <w:t xml:space="preserve">Reasons filed:   July </w:t>
            </w:r>
            <w:r w:rsidR="00AD694F">
              <w:rPr>
                <w:rFonts w:ascii="Times New Roman" w:hAnsi="Times New Roman"/>
                <w:sz w:val="28"/>
                <w:szCs w:val="28"/>
                <w:lang w:val="en-US"/>
              </w:rPr>
              <w:t>27</w:t>
            </w:r>
            <w:r w:rsidR="00AD694F" w:rsidRPr="00AD694F">
              <w:rPr>
                <w:rFonts w:ascii="Times New Roman" w:hAnsi="Times New Roman"/>
                <w:sz w:val="28"/>
                <w:szCs w:val="28"/>
                <w:vertAlign w:val="superscript"/>
                <w:lang w:val="en-US"/>
              </w:rPr>
              <w:t>th</w:t>
            </w:r>
            <w:r w:rsidR="00AD694F">
              <w:rPr>
                <w:rFonts w:ascii="Times New Roman" w:hAnsi="Times New Roman"/>
                <w:sz w:val="28"/>
                <w:szCs w:val="28"/>
                <w:lang w:val="en-US"/>
              </w:rPr>
              <w:t xml:space="preserve">, </w:t>
            </w:r>
            <w:r>
              <w:rPr>
                <w:rFonts w:ascii="Times New Roman" w:hAnsi="Times New Roman"/>
                <w:sz w:val="28"/>
                <w:szCs w:val="28"/>
                <w:lang w:val="en-US"/>
              </w:rPr>
              <w:t>2018</w:t>
            </w:r>
          </w:p>
        </w:tc>
      </w:tr>
    </w:tbl>
    <w:p w:rsidR="00DA3346" w:rsidRDefault="00DA3346" w:rsidP="00E524A2">
      <w:pPr>
        <w:pStyle w:val="Body"/>
        <w:widowControl w:val="0"/>
        <w:tabs>
          <w:tab w:val="right" w:pos="9340"/>
        </w:tabs>
        <w:spacing w:after="0" w:line="240" w:lineRule="auto"/>
        <w:rPr>
          <w:rFonts w:ascii="Times New Roman" w:eastAsia="Times New Roman" w:hAnsi="Times New Roman" w:cs="Times New Roman"/>
          <w:sz w:val="28"/>
          <w:szCs w:val="28"/>
        </w:rPr>
      </w:pPr>
    </w:p>
    <w:p w:rsidR="00DA3346" w:rsidRDefault="00DA3346" w:rsidP="00E524A2">
      <w:pPr>
        <w:pStyle w:val="Body"/>
        <w:spacing w:after="0" w:line="240" w:lineRule="auto"/>
        <w:jc w:val="center"/>
        <w:rPr>
          <w:rFonts w:ascii="Times New Roman" w:eastAsia="Times New Roman" w:hAnsi="Times New Roman" w:cs="Times New Roman"/>
          <w:sz w:val="28"/>
          <w:szCs w:val="28"/>
          <w:lang w:val="en-US"/>
        </w:rPr>
      </w:pPr>
    </w:p>
    <w:p w:rsidR="00DA3346" w:rsidRDefault="00511B62" w:rsidP="00E524A2">
      <w:pPr>
        <w:pStyle w:val="Body"/>
        <w:spacing w:after="0"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 xml:space="preserve">REASONS FOR JUDGMENT OF THE </w:t>
      </w:r>
    </w:p>
    <w:p w:rsidR="00DA3346" w:rsidRDefault="00511B62" w:rsidP="00E524A2">
      <w:pPr>
        <w:pStyle w:val="Body"/>
        <w:spacing w:after="0"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HONOURABLE JUSTICE V.A. SCHULER</w:t>
      </w:r>
    </w:p>
    <w:p w:rsidR="00DA3346" w:rsidRDefault="00DA3346" w:rsidP="00E524A2">
      <w:pPr>
        <w:pStyle w:val="Body"/>
        <w:spacing w:after="0" w:line="240" w:lineRule="auto"/>
        <w:jc w:val="center"/>
        <w:rPr>
          <w:rFonts w:ascii="Times New Roman" w:eastAsia="Times New Roman" w:hAnsi="Times New Roman" w:cs="Times New Roman"/>
          <w:sz w:val="28"/>
          <w:szCs w:val="28"/>
          <w:lang w:val="en-US"/>
        </w:rPr>
      </w:pPr>
    </w:p>
    <w:p w:rsidR="00DA3346" w:rsidRDefault="00511B62" w:rsidP="00E524A2">
      <w:pPr>
        <w:pStyle w:val="Body"/>
        <w:spacing w:after="0" w:line="240" w:lineRule="auto"/>
        <w:ind w:left="2880" w:hanging="2880"/>
        <w:jc w:val="both"/>
        <w:rPr>
          <w:rFonts w:ascii="Times New Roman" w:eastAsia="Times New Roman" w:hAnsi="Times New Roman" w:cs="Times New Roman"/>
          <w:sz w:val="28"/>
          <w:szCs w:val="28"/>
          <w:lang w:val="en-US"/>
        </w:rPr>
      </w:pPr>
      <w:r>
        <w:rPr>
          <w:rFonts w:ascii="Times New Roman" w:hAnsi="Times New Roman"/>
          <w:sz w:val="28"/>
          <w:szCs w:val="28"/>
          <w:lang w:val="en-US"/>
        </w:rPr>
        <w:t>Counsel for the Appellant:</w:t>
      </w:r>
      <w:r>
        <w:rPr>
          <w:rFonts w:ascii="Times New Roman" w:hAnsi="Times New Roman"/>
          <w:sz w:val="28"/>
          <w:szCs w:val="28"/>
          <w:lang w:val="en-US"/>
        </w:rPr>
        <w:tab/>
        <w:t>Glen Rutland</w:t>
      </w:r>
    </w:p>
    <w:p w:rsidR="00DA3346" w:rsidRDefault="00DA3346" w:rsidP="00E524A2">
      <w:pPr>
        <w:pStyle w:val="Body"/>
        <w:spacing w:after="0" w:line="240" w:lineRule="auto"/>
        <w:ind w:left="2880" w:hanging="2880"/>
        <w:jc w:val="both"/>
        <w:rPr>
          <w:rFonts w:ascii="Times New Roman" w:eastAsia="Times New Roman" w:hAnsi="Times New Roman" w:cs="Times New Roman"/>
          <w:sz w:val="28"/>
          <w:szCs w:val="28"/>
          <w:lang w:val="en-US"/>
        </w:rPr>
      </w:pPr>
    </w:p>
    <w:p w:rsidR="00DA3346" w:rsidRDefault="00511B62" w:rsidP="00E524A2">
      <w:pPr>
        <w:pStyle w:val="Body"/>
        <w:spacing w:after="0" w:line="240" w:lineRule="auto"/>
        <w:ind w:left="2880" w:hanging="2880"/>
        <w:jc w:val="both"/>
        <w:rPr>
          <w:rFonts w:ascii="Times New Roman" w:eastAsia="Times New Roman" w:hAnsi="Times New Roman" w:cs="Times New Roman"/>
          <w:sz w:val="28"/>
          <w:szCs w:val="28"/>
        </w:rPr>
      </w:pPr>
      <w:r>
        <w:rPr>
          <w:rFonts w:ascii="Times New Roman" w:hAnsi="Times New Roman"/>
          <w:sz w:val="28"/>
          <w:szCs w:val="28"/>
          <w:lang w:val="en-US"/>
        </w:rPr>
        <w:t>Counsel for the Employment Standards Appeal Office: Trisha Paradis</w:t>
      </w:r>
    </w:p>
    <w:p w:rsidR="00DA3346" w:rsidRDefault="00DA3346" w:rsidP="00E524A2">
      <w:pPr>
        <w:pStyle w:val="Body"/>
        <w:spacing w:after="0" w:line="240" w:lineRule="auto"/>
        <w:jc w:val="both"/>
        <w:rPr>
          <w:rFonts w:ascii="Times New Roman" w:eastAsia="Times New Roman" w:hAnsi="Times New Roman" w:cs="Times New Roman"/>
          <w:sz w:val="28"/>
          <w:szCs w:val="28"/>
          <w:lang w:val="en-US"/>
        </w:rPr>
      </w:pPr>
    </w:p>
    <w:p w:rsidR="00FB7763" w:rsidRDefault="00511B62" w:rsidP="00E524A2">
      <w:pPr>
        <w:pStyle w:val="Body"/>
        <w:spacing w:after="0" w:line="240" w:lineRule="auto"/>
        <w:jc w:val="both"/>
        <w:rPr>
          <w:rFonts w:ascii="Arial Unicode MS" w:eastAsia="Arial Unicode MS" w:hAnsi="Arial Unicode MS" w:cs="Arial Unicode MS"/>
          <w:sz w:val="24"/>
          <w:szCs w:val="24"/>
        </w:rPr>
        <w:sectPr w:rsidR="00FB7763">
          <w:headerReference w:type="default" r:id="rId7"/>
          <w:pgSz w:w="12240" w:h="15840"/>
          <w:pgMar w:top="1350" w:right="1440" w:bottom="1260" w:left="1440" w:header="720" w:footer="720" w:gutter="0"/>
          <w:cols w:space="720"/>
          <w:titlePg/>
        </w:sectPr>
      </w:pPr>
      <w:r>
        <w:rPr>
          <w:rFonts w:ascii="Times New Roman" w:hAnsi="Times New Roman"/>
          <w:sz w:val="28"/>
          <w:szCs w:val="28"/>
          <w:lang w:val="en-US"/>
        </w:rPr>
        <w:t>No one appearing for the Respondent</w:t>
      </w:r>
      <w:r>
        <w:rPr>
          <w:rFonts w:ascii="Arial Unicode MS" w:eastAsia="Arial Unicode MS" w:hAnsi="Arial Unicode MS" w:cs="Arial Unicode MS"/>
          <w:sz w:val="24"/>
          <w:szCs w:val="24"/>
        </w:rPr>
        <w:br w:type="page"/>
      </w:r>
    </w:p>
    <w:p w:rsidR="00DA3346" w:rsidRDefault="00DA3346" w:rsidP="00E524A2">
      <w:pPr>
        <w:pStyle w:val="Body"/>
        <w:spacing w:after="0" w:line="240" w:lineRule="auto"/>
        <w:jc w:val="both"/>
      </w:pPr>
    </w:p>
    <w:p w:rsidR="00032723" w:rsidRDefault="00032723" w:rsidP="00E524A2">
      <w:pPr>
        <w:pStyle w:val="Body"/>
        <w:spacing w:after="0" w:line="240" w:lineRule="auto"/>
        <w:rPr>
          <w:rFonts w:ascii="Times New Roman" w:hAnsi="Times New Roman"/>
          <w:i/>
          <w:iCs/>
          <w:sz w:val="24"/>
          <w:szCs w:val="24"/>
        </w:rPr>
      </w:pPr>
    </w:p>
    <w:p w:rsidR="00032723" w:rsidRDefault="00032723" w:rsidP="00E524A2">
      <w:pPr>
        <w:pStyle w:val="Body"/>
        <w:spacing w:after="0" w:line="240" w:lineRule="auto"/>
        <w:rPr>
          <w:rFonts w:ascii="Times New Roman" w:hAnsi="Times New Roman"/>
          <w:i/>
          <w:iCs/>
          <w:sz w:val="24"/>
          <w:szCs w:val="24"/>
        </w:rPr>
      </w:pPr>
    </w:p>
    <w:p w:rsidR="00DA3346" w:rsidRDefault="00511B62" w:rsidP="00E524A2">
      <w:pPr>
        <w:pStyle w:val="Body"/>
        <w:spacing w:after="0" w:line="240" w:lineRule="auto"/>
        <w:rPr>
          <w:rFonts w:ascii="Times New Roman" w:eastAsia="Times New Roman" w:hAnsi="Times New Roman" w:cs="Times New Roman"/>
          <w:sz w:val="24"/>
          <w:szCs w:val="24"/>
        </w:rPr>
      </w:pPr>
      <w:r>
        <w:rPr>
          <w:rFonts w:ascii="Times New Roman" w:hAnsi="Times New Roman"/>
          <w:i/>
          <w:iCs/>
          <w:sz w:val="24"/>
          <w:szCs w:val="24"/>
        </w:rPr>
        <w:t xml:space="preserve">Cementation Canada Inc. v Lavallee, </w:t>
      </w:r>
      <w:r>
        <w:rPr>
          <w:rFonts w:ascii="Times New Roman" w:hAnsi="Times New Roman"/>
          <w:sz w:val="24"/>
          <w:szCs w:val="24"/>
          <w:lang w:val="de-DE"/>
        </w:rPr>
        <w:t>2018 NWTSC 37</w:t>
      </w:r>
    </w:p>
    <w:p w:rsidR="00DA3346" w:rsidRDefault="00511B62" w:rsidP="00E524A2">
      <w:pPr>
        <w:pStyle w:val="Body"/>
        <w:spacing w:after="0" w:line="240" w:lineRule="auto"/>
        <w:jc w:val="right"/>
        <w:rPr>
          <w:rFonts w:ascii="Times New Roman" w:eastAsia="Times New Roman" w:hAnsi="Times New Roman" w:cs="Times New Roman"/>
          <w:sz w:val="28"/>
          <w:szCs w:val="28"/>
        </w:rPr>
      </w:pPr>
      <w:r>
        <w:rPr>
          <w:rFonts w:ascii="Times New Roman" w:hAnsi="Times New Roman"/>
          <w:sz w:val="28"/>
          <w:szCs w:val="28"/>
          <w:lang w:val="de-DE"/>
        </w:rPr>
        <w:t xml:space="preserve">Date:  2018 07 </w:t>
      </w:r>
      <w:r w:rsidR="00AD694F">
        <w:rPr>
          <w:rFonts w:ascii="Times New Roman" w:hAnsi="Times New Roman"/>
          <w:sz w:val="28"/>
          <w:szCs w:val="28"/>
          <w:lang w:val="de-DE"/>
        </w:rPr>
        <w:t>27</w:t>
      </w:r>
    </w:p>
    <w:p w:rsidR="00DA3346" w:rsidRDefault="00511B62" w:rsidP="00E524A2">
      <w:pPr>
        <w:pStyle w:val="Body"/>
        <w:spacing w:after="0" w:line="240" w:lineRule="auto"/>
        <w:jc w:val="right"/>
        <w:rPr>
          <w:rFonts w:ascii="Times New Roman" w:eastAsia="Times New Roman" w:hAnsi="Times New Roman" w:cs="Times New Roman"/>
          <w:sz w:val="28"/>
          <w:szCs w:val="28"/>
        </w:rPr>
      </w:pPr>
      <w:r>
        <w:rPr>
          <w:rFonts w:ascii="Times New Roman" w:hAnsi="Times New Roman"/>
          <w:sz w:val="28"/>
          <w:szCs w:val="28"/>
        </w:rPr>
        <w:t>Docket:  S-1-CV-2017 000 313</w:t>
      </w:r>
    </w:p>
    <w:p w:rsidR="00DA3346" w:rsidRDefault="00DA3346" w:rsidP="00E524A2">
      <w:pPr>
        <w:pStyle w:val="Body"/>
        <w:spacing w:after="0" w:line="240" w:lineRule="auto"/>
        <w:rPr>
          <w:rFonts w:ascii="Times New Roman" w:eastAsia="Times New Roman" w:hAnsi="Times New Roman" w:cs="Times New Roman"/>
          <w:sz w:val="28"/>
          <w:szCs w:val="28"/>
          <w:lang w:val="en-US"/>
        </w:rPr>
      </w:pP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Pr>
          <w:rFonts w:ascii="Times New Roman" w:hAnsi="Times New Roman"/>
          <w:sz w:val="28"/>
          <w:szCs w:val="28"/>
          <w:lang w:val="en-US"/>
        </w:rPr>
        <w:t>IN THE SUPREME COURT OF THE NORTHWEST TERRITORIES</w:t>
      </w:r>
    </w:p>
    <w:p w:rsidR="00DA3346" w:rsidRDefault="00511B62" w:rsidP="00E524A2">
      <w:pPr>
        <w:pStyle w:val="Body"/>
        <w:spacing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In the matter of the </w:t>
      </w:r>
      <w:r>
        <w:rPr>
          <w:rFonts w:ascii="Times New Roman" w:hAnsi="Times New Roman"/>
          <w:i/>
          <w:iCs/>
          <w:sz w:val="24"/>
          <w:szCs w:val="24"/>
          <w:lang w:val="en-US"/>
        </w:rPr>
        <w:t>Employment Standards Act</w:t>
      </w:r>
      <w:r>
        <w:rPr>
          <w:rFonts w:ascii="Times New Roman" w:hAnsi="Times New Roman"/>
          <w:sz w:val="24"/>
          <w:szCs w:val="24"/>
        </w:rPr>
        <w:t>, 2007</w:t>
      </w:r>
    </w:p>
    <w:p w:rsidR="00DA3346" w:rsidRDefault="00511B62" w:rsidP="00E524A2">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And in the matter of the Decision of </w:t>
      </w:r>
    </w:p>
    <w:p w:rsidR="00DA3346" w:rsidRDefault="00511B62" w:rsidP="00E524A2">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The Employment Standards</w:t>
      </w:r>
      <w:r w:rsidR="00AD694F">
        <w:rPr>
          <w:rFonts w:ascii="Times New Roman" w:hAnsi="Times New Roman"/>
          <w:sz w:val="24"/>
          <w:szCs w:val="24"/>
          <w:lang w:val="en-US"/>
        </w:rPr>
        <w:t xml:space="preserve"> Appeal Office File No. 20-3148</w:t>
      </w:r>
      <w:r>
        <w:rPr>
          <w:rFonts w:ascii="Times New Roman" w:hAnsi="Times New Roman"/>
          <w:sz w:val="24"/>
          <w:szCs w:val="24"/>
          <w:lang w:val="en-US"/>
        </w:rPr>
        <w:t>/16, Order 2478</w:t>
      </w:r>
    </w:p>
    <w:p w:rsidR="00DA3346" w:rsidRDefault="00DA3346" w:rsidP="00E524A2">
      <w:pPr>
        <w:pStyle w:val="Body"/>
        <w:spacing w:after="0" w:line="240" w:lineRule="auto"/>
        <w:jc w:val="center"/>
        <w:rPr>
          <w:rFonts w:ascii="Times New Roman" w:eastAsia="Times New Roman" w:hAnsi="Times New Roman" w:cs="Times New Roman"/>
          <w:sz w:val="24"/>
          <w:szCs w:val="24"/>
        </w:rPr>
      </w:pPr>
    </w:p>
    <w:p w:rsidR="00DA3346" w:rsidRDefault="00511B62" w:rsidP="00E524A2">
      <w:pPr>
        <w:pStyle w:val="Body"/>
        <w:spacing w:line="240" w:lineRule="auto"/>
        <w:rPr>
          <w:rFonts w:ascii="Times New Roman" w:hAnsi="Times New Roman"/>
          <w:sz w:val="28"/>
          <w:szCs w:val="28"/>
          <w:lang w:val="de-DE"/>
        </w:rPr>
      </w:pPr>
      <w:r>
        <w:rPr>
          <w:rFonts w:ascii="Times New Roman" w:hAnsi="Times New Roman"/>
          <w:sz w:val="28"/>
          <w:szCs w:val="28"/>
          <w:lang w:val="de-DE"/>
        </w:rPr>
        <w:t>BETWEEN:</w:t>
      </w: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lang w:val="pt-PT"/>
        </w:rPr>
        <w:t>Cementation Canada Inc.</w:t>
      </w:r>
    </w:p>
    <w:p w:rsidR="00DA3346" w:rsidRDefault="00511B62" w:rsidP="00E524A2">
      <w:pPr>
        <w:pStyle w:val="Body"/>
        <w:spacing w:line="240" w:lineRule="auto"/>
        <w:jc w:val="right"/>
        <w:rPr>
          <w:rFonts w:ascii="Times New Roman" w:eastAsia="Times New Roman" w:hAnsi="Times New Roman" w:cs="Times New Roman"/>
          <w:sz w:val="28"/>
          <w:szCs w:val="28"/>
        </w:rPr>
      </w:pPr>
      <w:r>
        <w:rPr>
          <w:rFonts w:ascii="Times New Roman" w:hAnsi="Times New Roman"/>
          <w:sz w:val="28"/>
          <w:szCs w:val="28"/>
        </w:rPr>
        <w:t>Appellant</w:t>
      </w: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rPr>
        <w:t>-and-</w:t>
      </w:r>
    </w:p>
    <w:p w:rsidR="00DA3346" w:rsidRDefault="00DA3346" w:rsidP="00E524A2">
      <w:pPr>
        <w:pStyle w:val="Body"/>
        <w:spacing w:line="240" w:lineRule="auto"/>
        <w:jc w:val="center"/>
        <w:rPr>
          <w:rFonts w:ascii="Times New Roman" w:eastAsia="Times New Roman" w:hAnsi="Times New Roman" w:cs="Times New Roman"/>
          <w:sz w:val="28"/>
          <w:szCs w:val="28"/>
        </w:rPr>
      </w:pP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rPr>
        <w:t>Bryan Lavallee</w:t>
      </w:r>
    </w:p>
    <w:p w:rsidR="00DA3346" w:rsidRDefault="00511B62" w:rsidP="00E524A2">
      <w:pPr>
        <w:pStyle w:val="Body"/>
        <w:spacing w:line="240" w:lineRule="auto"/>
        <w:jc w:val="right"/>
        <w:rPr>
          <w:rFonts w:ascii="Times New Roman" w:eastAsia="Times New Roman" w:hAnsi="Times New Roman" w:cs="Times New Roman"/>
          <w:sz w:val="28"/>
          <w:szCs w:val="28"/>
        </w:rPr>
      </w:pPr>
      <w:r>
        <w:rPr>
          <w:rFonts w:ascii="Times New Roman" w:hAnsi="Times New Roman"/>
          <w:sz w:val="28"/>
          <w:szCs w:val="28"/>
          <w:lang w:val="pt-PT"/>
        </w:rPr>
        <w:t>Respondent</w:t>
      </w:r>
    </w:p>
    <w:p w:rsidR="00E524A2" w:rsidRDefault="00E524A2" w:rsidP="00E524A2">
      <w:pPr>
        <w:pStyle w:val="Body"/>
        <w:spacing w:line="240" w:lineRule="auto"/>
        <w:jc w:val="center"/>
        <w:rPr>
          <w:rFonts w:ascii="Times New Roman" w:hAnsi="Times New Roman"/>
          <w:sz w:val="28"/>
          <w:szCs w:val="28"/>
          <w:lang w:val="de-DE"/>
        </w:rPr>
      </w:pP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lang w:val="de-DE"/>
        </w:rPr>
        <w:t>REASONS FOR JUDGMENT</w:t>
      </w:r>
    </w:p>
    <w:p w:rsidR="00DA3346" w:rsidRDefault="00DA3346" w:rsidP="00E524A2">
      <w:pPr>
        <w:pStyle w:val="ListParagraph"/>
        <w:spacing w:after="0" w:line="240" w:lineRule="auto"/>
        <w:ind w:left="0"/>
        <w:jc w:val="center"/>
        <w:rPr>
          <w:rFonts w:ascii="Times New Roman" w:eastAsia="Times New Roman" w:hAnsi="Times New Roman" w:cs="Times New Roman"/>
          <w:sz w:val="28"/>
          <w:szCs w:val="28"/>
        </w:rPr>
      </w:pPr>
    </w:p>
    <w:p w:rsidR="00DA3346" w:rsidRDefault="00DA3346" w:rsidP="00E524A2">
      <w:pPr>
        <w:pStyle w:val="ListParagraph"/>
        <w:spacing w:after="0" w:line="240" w:lineRule="auto"/>
        <w:ind w:left="0"/>
        <w:jc w:val="center"/>
        <w:rPr>
          <w:rFonts w:ascii="Times New Roman" w:eastAsia="Times New Roman" w:hAnsi="Times New Roman" w:cs="Times New Roman"/>
          <w:sz w:val="28"/>
          <w:szCs w:val="28"/>
        </w:rPr>
      </w:pPr>
    </w:p>
    <w:p w:rsidR="00DA3346" w:rsidRDefault="00511B62" w:rsidP="00E524A2">
      <w:pPr>
        <w:pStyle w:val="ListParagraph"/>
        <w:spacing w:after="0" w:line="240" w:lineRule="auto"/>
        <w:ind w:left="0"/>
        <w:rPr>
          <w:rFonts w:ascii="Times New Roman" w:eastAsia="Times New Roman" w:hAnsi="Times New Roman" w:cs="Times New Roman"/>
          <w:sz w:val="28"/>
          <w:szCs w:val="28"/>
          <w:u w:val="single"/>
        </w:rPr>
      </w:pPr>
      <w:r>
        <w:rPr>
          <w:rFonts w:ascii="Times New Roman" w:hAnsi="Times New Roman"/>
          <w:sz w:val="28"/>
          <w:szCs w:val="28"/>
          <w:u w:val="single"/>
        </w:rPr>
        <w:t>1. Introduction and Background</w:t>
      </w:r>
    </w:p>
    <w:p w:rsidR="00DA3346" w:rsidRDefault="00DA3346" w:rsidP="00E524A2">
      <w:pPr>
        <w:pStyle w:val="Body"/>
        <w:spacing w:after="0" w:line="240" w:lineRule="auto"/>
        <w:jc w:val="both"/>
        <w:rPr>
          <w:rFonts w:ascii="Times New Roman" w:eastAsia="Times New Roman" w:hAnsi="Times New Roman" w:cs="Times New Roman"/>
          <w:sz w:val="28"/>
          <w:szCs w:val="28"/>
          <w:lang w:val="en-US"/>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This is an appeal by the Appellant employer from the decision of an Adjudicator under the </w:t>
      </w:r>
      <w:r>
        <w:rPr>
          <w:rFonts w:ascii="Times New Roman" w:hAnsi="Times New Roman"/>
          <w:i/>
          <w:iCs/>
          <w:sz w:val="28"/>
          <w:szCs w:val="28"/>
        </w:rPr>
        <w:t>Employment Standards Act</w:t>
      </w:r>
      <w:r>
        <w:rPr>
          <w:rFonts w:ascii="Times New Roman" w:hAnsi="Times New Roman"/>
          <w:sz w:val="28"/>
          <w:szCs w:val="28"/>
        </w:rPr>
        <w:t xml:space="preserve">, S.N.W.T. 2007, c. 13 (the “Act”).  It was heard together with another appeal in which the issues are the same.  The citation for my decision in that appeal is </w:t>
      </w:r>
      <w:r>
        <w:rPr>
          <w:rFonts w:ascii="Times New Roman" w:hAnsi="Times New Roman"/>
          <w:i/>
          <w:iCs/>
          <w:sz w:val="28"/>
          <w:szCs w:val="28"/>
        </w:rPr>
        <w:t>Cementation Canada Inc. v. Bonnell</w:t>
      </w:r>
      <w:r>
        <w:rPr>
          <w:rFonts w:ascii="Times New Roman" w:hAnsi="Times New Roman"/>
          <w:sz w:val="28"/>
          <w:szCs w:val="28"/>
        </w:rPr>
        <w:t>, 2018 NWTSC 38.</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Respondent Mr. Lavallee did not appear on this appeal or file any materials in response to it.</w:t>
      </w:r>
    </w:p>
    <w:p w:rsidR="009904D9" w:rsidRDefault="009904D9" w:rsidP="009904D9">
      <w:pPr>
        <w:pStyle w:val="ListParagraph"/>
        <w:spacing w:after="0" w:line="240" w:lineRule="auto"/>
        <w:ind w:left="0"/>
        <w:jc w:val="both"/>
        <w:rPr>
          <w:rFonts w:ascii="Times New Roman" w:hAnsi="Times New Roman"/>
          <w:sz w:val="28"/>
          <w:szCs w:val="28"/>
        </w:rPr>
      </w:pPr>
    </w:p>
    <w:p w:rsidR="00FB7763" w:rsidRDefault="00FB7763" w:rsidP="009904D9">
      <w:pPr>
        <w:pStyle w:val="ListParagraph"/>
        <w:spacing w:after="0" w:line="240" w:lineRule="auto"/>
        <w:ind w:left="0"/>
        <w:jc w:val="both"/>
        <w:rPr>
          <w:rFonts w:ascii="Times New Roman" w:hAnsi="Times New Roman"/>
          <w:sz w:val="28"/>
          <w:szCs w:val="28"/>
        </w:rPr>
      </w:pPr>
    </w:p>
    <w:p w:rsidR="00FB7763" w:rsidRDefault="00FB7763"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Mr. Lavallee was an employee of the Appellant, working at the Diavik Diamond Mine (“Diavik”).  The Appellant was contracted by the owner of the mine to construct the underground part of the mine.  Mr. Lavallee was employed by the Appellant for almost 4 years.  He was laid off without notice and filed a complaint with the Employment Standards Officer (“ESO”) pursuant to s. 61 of the Act, claiming termination pay.  The Appellant argued that Mr. Lavallee was not entitled to termination pay because of a regulation under the Act which exempts employees in the “construction industry”.  The ESO determined that Mr. Lavallee was not employed in the construction industry and made an order in his favour for payment by the Appellant of $4,477.59 in termination pay.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Appellant appealed the decision of the ESO to an Adjudicator under s. 71 of the Act.  The Adjudicator dismissed the appeal and confirmed the order for payment of termination pay.  The Appellant then appealed the Adjudicator’s decision to this Court pursuant to s. 81.1 of the Act.</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The grounds of appeal relied on by the Appellant are as follows:</w:t>
      </w:r>
    </w:p>
    <w:p w:rsidR="00DA3346" w:rsidRDefault="00511B62" w:rsidP="00E524A2">
      <w:pPr>
        <w:pStyle w:val="ListParagraph"/>
        <w:numPr>
          <w:ilvl w:val="0"/>
          <w:numId w:val="7"/>
        </w:numPr>
        <w:spacing w:after="240" w:line="240" w:lineRule="auto"/>
        <w:jc w:val="both"/>
        <w:rPr>
          <w:rFonts w:ascii="Times New Roman" w:hAnsi="Times New Roman"/>
          <w:sz w:val="28"/>
          <w:szCs w:val="28"/>
        </w:rPr>
      </w:pPr>
      <w:r>
        <w:rPr>
          <w:rFonts w:ascii="Times New Roman" w:hAnsi="Times New Roman"/>
          <w:sz w:val="28"/>
          <w:szCs w:val="28"/>
        </w:rPr>
        <w:t xml:space="preserve">That the Adjudicator erred in failing to decide whether the Employment Standards Officer had breached her duty of procedural fairness; </w:t>
      </w:r>
    </w:p>
    <w:p w:rsidR="00DA3346" w:rsidRDefault="00511B62" w:rsidP="009904D9">
      <w:pPr>
        <w:pStyle w:val="ListParagraph"/>
        <w:numPr>
          <w:ilvl w:val="0"/>
          <w:numId w:val="7"/>
        </w:numPr>
        <w:spacing w:after="0" w:line="240" w:lineRule="auto"/>
        <w:jc w:val="both"/>
        <w:rPr>
          <w:rFonts w:ascii="Times New Roman" w:hAnsi="Times New Roman"/>
          <w:sz w:val="28"/>
          <w:szCs w:val="28"/>
        </w:rPr>
      </w:pPr>
      <w:r>
        <w:rPr>
          <w:rFonts w:ascii="Times New Roman" w:hAnsi="Times New Roman"/>
          <w:sz w:val="28"/>
          <w:szCs w:val="28"/>
        </w:rPr>
        <w:t>That the Adjudicator’s interpretation and application of the statutory provision exempting employees in the construction industry from termination pay was unreasonable.</w:t>
      </w:r>
    </w:p>
    <w:p w:rsidR="009904D9" w:rsidRDefault="009904D9" w:rsidP="009904D9">
      <w:pPr>
        <w:pStyle w:val="ListParagraph"/>
        <w:spacing w:after="0" w:line="240" w:lineRule="auto"/>
        <w:ind w:left="108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This appeal is brought pursuant to s. 81.1 of the Act, which provides for an appeal on any point of law raised before the Adjudicator.</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 am satisfied that each of the grounds relied on by the Appellant engages a point of law.  Procedural fairness is a question of law: </w:t>
      </w:r>
      <w:r>
        <w:rPr>
          <w:rFonts w:ascii="Times New Roman" w:hAnsi="Times New Roman"/>
          <w:i/>
          <w:iCs/>
          <w:sz w:val="28"/>
          <w:szCs w:val="28"/>
        </w:rPr>
        <w:t>Carter v. Northwest Territories Power Corp.</w:t>
      </w:r>
      <w:r>
        <w:rPr>
          <w:rFonts w:ascii="Times New Roman" w:hAnsi="Times New Roman"/>
          <w:sz w:val="28"/>
          <w:szCs w:val="28"/>
        </w:rPr>
        <w:t>, 2014 NWTSC 19.  The interpretation of legislation, although it may be informed by the factual context, also engages a point of law.</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On a statutory appeal to this Court from the decision of an administrative decision maker, the standard of review must be determined.  I will refer to this in relation to each of the grounds of appeal.</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7"/>
        </w:numPr>
        <w:spacing w:after="0" w:line="240" w:lineRule="auto"/>
        <w:ind w:left="0" w:firstLine="0"/>
        <w:jc w:val="both"/>
        <w:rPr>
          <w:rFonts w:ascii="Times New Roman" w:hAnsi="Times New Roman"/>
          <w:sz w:val="28"/>
          <w:szCs w:val="28"/>
          <w:u w:val="single"/>
        </w:rPr>
      </w:pPr>
      <w:r>
        <w:rPr>
          <w:rFonts w:ascii="Times New Roman" w:hAnsi="Times New Roman"/>
          <w:sz w:val="28"/>
          <w:szCs w:val="28"/>
          <w:u w:val="single"/>
        </w:rPr>
        <w:t>Did the Adjudicator err in failing to decide whether the Employment Standards Officer had breached her duty of procedural fairness?</w:t>
      </w:r>
    </w:p>
    <w:p w:rsidR="00FB7763" w:rsidRDefault="00FB7763" w:rsidP="00FB7763">
      <w:pPr>
        <w:pStyle w:val="ListParagraph"/>
        <w:spacing w:after="0" w:line="240" w:lineRule="auto"/>
        <w:ind w:left="0"/>
        <w:jc w:val="both"/>
        <w:rPr>
          <w:rFonts w:ascii="Times New Roman" w:hAnsi="Times New Roman"/>
          <w:sz w:val="28"/>
          <w:szCs w:val="28"/>
          <w:u w:val="single"/>
        </w:rPr>
      </w:pPr>
    </w:p>
    <w:p w:rsidR="009904D9" w:rsidRDefault="009904D9" w:rsidP="009904D9">
      <w:pPr>
        <w:pStyle w:val="ListParagraph"/>
        <w:spacing w:after="0" w:line="240" w:lineRule="auto"/>
        <w:ind w:left="-90"/>
        <w:jc w:val="both"/>
        <w:rPr>
          <w:rFonts w:ascii="Times New Roman" w:eastAsia="Times New Roman" w:hAnsi="Times New Roman" w:cs="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The issue before the ESO was whether Mr. Lavallee was employed in the construction industry.  If he was, he would not be entitled to termination pay, pursuant to s. 4.1 of the </w:t>
      </w:r>
      <w:r>
        <w:rPr>
          <w:rFonts w:ascii="Times New Roman" w:hAnsi="Times New Roman"/>
          <w:i/>
          <w:iCs/>
          <w:sz w:val="28"/>
          <w:szCs w:val="28"/>
        </w:rPr>
        <w:t>Employment Standards Regulations</w:t>
      </w:r>
      <w:r>
        <w:rPr>
          <w:rFonts w:ascii="Times New Roman" w:hAnsi="Times New Roman"/>
          <w:sz w:val="28"/>
          <w:szCs w:val="28"/>
        </w:rPr>
        <w:t>, NWT Reg 020-2008.</w:t>
      </w: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Appellant and Mr. Lavallee submitted written material to the ESO.  In her written decision finding that Mr. Lavallee was not employed in the construction industry, the ESO stated that she had spoken to an unnamed source within the Workers’ Safety and Compensation Commission (“WSCC”).  That source provided information to her that Diavik was, at the time Mr. Lavallee was employed there, an operating mine and that there was no construction project that he would be working on.  That source also advised her that the Appellant’s employees at Diavik worked as miners and not as part of a construction crew.</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ESO also stated in her decision that she had spoken to representatives from the Northwest Territories and Nunavut Chambers of Mines and the Mine Training Society.  Based on the information provided, she found that Diavik was an operating mine, actively engaged in mining kimberlite, from which diamonds are extracted.  She concluded that the Appellant’s employees were miners.  Therefore, the statutory exemption from termination pay for employees in the construction industry did not apply.</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information obtained by the ESO from the sources referred to above (which I will refer to as the “outside sources”) was not disclosed to the parties before the ESO released her decision on Mr. Lavallee’s claim.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On appealing the ESO’s decision to the Adjudicator, the Appellant raised the fact that the Employment Standards Officer had consulted the outside sources.  The Appellant also placed before the Adjudicator material that contradicted the information from those sources.  In her decision, the Adjudicator acknowledged that the Appellant had raised this issue, however she did not consider the merits of it or rule on it.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This is an appeal from the Adjudicator’s decision and so the standard of review for her failure to address the actions of the ESO in consulting the outside sources must be considered.  </w:t>
      </w:r>
    </w:p>
    <w:p w:rsidR="009904D9" w:rsidRDefault="009904D9" w:rsidP="009904D9">
      <w:pPr>
        <w:pStyle w:val="ListParagraph"/>
        <w:spacing w:after="0" w:line="240" w:lineRule="auto"/>
        <w:ind w:left="0"/>
        <w:jc w:val="both"/>
        <w:rPr>
          <w:rFonts w:ascii="Times New Roman" w:hAnsi="Times New Roman"/>
          <w:sz w:val="28"/>
          <w:szCs w:val="28"/>
        </w:rPr>
      </w:pPr>
    </w:p>
    <w:p w:rsidR="00DA3346" w:rsidRPr="009904D9"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In order to determine the standard of review, it is necessary first to determine how this ground of appeal should be characterized.  The Appellant frames it as an issue of procedural fairness, which would mean that the question on appeal is </w:t>
      </w:r>
      <w:r>
        <w:rPr>
          <w:rFonts w:ascii="Times New Roman" w:hAnsi="Times New Roman"/>
          <w:sz w:val="28"/>
          <w:szCs w:val="28"/>
        </w:rPr>
        <w:lastRenderedPageBreak/>
        <w:t xml:space="preserve">whether the Adjudicator acted correctly: </w:t>
      </w:r>
      <w:r>
        <w:rPr>
          <w:rFonts w:ascii="Times New Roman" w:hAnsi="Times New Roman"/>
          <w:i/>
          <w:iCs/>
          <w:sz w:val="28"/>
          <w:szCs w:val="28"/>
        </w:rPr>
        <w:t>Carter v. Northwest Territories Power Corp.</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Counsel for the Employment Standards Appeals Office, who made submissions solely on the standard of review, submitted that it is not an issue of procedural fairness, but rather an issue of adequacy of the Adjudicator’s reasons, for which the standard of review is reasonableness: </w:t>
      </w:r>
      <w:r>
        <w:rPr>
          <w:rFonts w:ascii="Times New Roman" w:hAnsi="Times New Roman"/>
          <w:i/>
          <w:iCs/>
          <w:sz w:val="28"/>
          <w:szCs w:val="28"/>
        </w:rPr>
        <w:t>Newfoundland and Labrador Nurses’ Union v. Newfoundland and Labrador (Treasury Board),</w:t>
      </w:r>
      <w:r>
        <w:rPr>
          <w:rFonts w:ascii="Times New Roman" w:hAnsi="Times New Roman"/>
          <w:sz w:val="28"/>
          <w:szCs w:val="28"/>
        </w:rPr>
        <w:t xml:space="preserve"> 2011 SCC 62.  She submitted that the Adjudicator was not obliged to address every argument made by the Appellant and that the Appellant was given every opportunity to present its arguments on this issue; accordingly, in her submission, the Adjudicator did not act unfairly.</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Although the Appellant raised the ESO’s consultation of outside sources before the Adjudicator, it was not explicitly characterized by the Appellant in its submissions to her as a question of procedural fairness.  Instead, its approach was to argue that the information from the unnamed sources was incorrect, contradicted by the Appellant’s material, or irrelevant (Record, Volume 2, Tab 71, paragraphs 25 to 27 </w:t>
      </w:r>
      <w:r w:rsidR="00860612">
        <w:rPr>
          <w:rFonts w:ascii="Times New Roman" w:hAnsi="Times New Roman"/>
          <w:sz w:val="28"/>
          <w:szCs w:val="28"/>
        </w:rPr>
        <w:t>)</w:t>
      </w:r>
      <w:r>
        <w:rPr>
          <w:rFonts w:ascii="Times New Roman" w:hAnsi="Times New Roman"/>
          <w:sz w:val="28"/>
          <w:szCs w:val="28"/>
        </w:rPr>
        <w:t xml:space="preserve">.  The Appellant did submit that the information obtained from the WSCC source that there were no construction projects at Diavik went directly to the main issue, that is, whether Mr. Lavallee was employed in the construction industry.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Notwithstanding that the Appellant did not characterize the issue as one of procedural fairness in its submissions to the Adjudicator, I am satisfied that it was flagged for her as of sufficient importance that it should have been dealt with by her.  Since she did not rule on the issue, or explain why she need not rule on the issue, the Appellant and this Court on review cannot know whether she simply overlooked the issue, or determined that there was nothing wrong with the ESO consulting the outside sources.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On balance, I would not characterize the issue on this appeal as one of procedural fairness.  It is really a failure to deal with the argument that certain evidence was improperly obtained, or contradicted by other evidence, or irrelevant and in my view that goes to the adequacy of the Adjudicator’s reasons rather than a breach of procedural fairness on her part.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standard of review for adequacy of reasons is reasonableness.  The Court’s task is to review the reasons together with the outcome to determine whether the decision under review is reasonable.  As I will refer to later in these Reasons for Judgment, the Adjudicator ultimately accepted the Appellant’s evidence as to the work done by Mr. Lavallee, which means that she did not accept the evidence from </w:t>
      </w:r>
      <w:r>
        <w:rPr>
          <w:rFonts w:ascii="Times New Roman" w:hAnsi="Times New Roman"/>
          <w:sz w:val="28"/>
          <w:szCs w:val="28"/>
        </w:rPr>
        <w:lastRenderedPageBreak/>
        <w:t xml:space="preserve">the outside sources that there were no construction projects at the mine.  I would not give effect to this ground of appeal because the impugned evidence does not appear to have had any impact on the Adjudicator’s decision.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 do not mean to indicate by this that the issue about consultation of outside sources was not worthy of consideration.  The ESO, as an administrative decision maker, owes a duty of procedural fairness to the parties to a claim which she is asked to decide.  Although the content, or extent, of the duty of fairness will vary according to the circumstances, the ESO has a duty to ensure that her decisions are made using a fair and open procedure:; </w:t>
      </w:r>
      <w:r>
        <w:rPr>
          <w:rFonts w:ascii="Times New Roman" w:hAnsi="Times New Roman"/>
          <w:i/>
          <w:iCs/>
          <w:sz w:val="28"/>
          <w:szCs w:val="28"/>
        </w:rPr>
        <w:t>Baker v. Canada (Minister of Citizenship and Immigration)</w:t>
      </w:r>
      <w:r>
        <w:rPr>
          <w:rFonts w:ascii="Times New Roman" w:hAnsi="Times New Roman"/>
          <w:sz w:val="28"/>
          <w:szCs w:val="28"/>
        </w:rPr>
        <w:t xml:space="preserve">, [1999] 2 SCR 817; </w:t>
      </w:r>
      <w:r>
        <w:rPr>
          <w:rFonts w:ascii="Times New Roman" w:hAnsi="Times New Roman"/>
          <w:i/>
          <w:iCs/>
          <w:sz w:val="28"/>
          <w:szCs w:val="28"/>
        </w:rPr>
        <w:t>Carter v. Northwest Territories Power Corp.</w:t>
      </w:r>
      <w:r>
        <w:rPr>
          <w:rFonts w:ascii="Times New Roman" w:hAnsi="Times New Roman"/>
          <w:sz w:val="28"/>
          <w:szCs w:val="28"/>
        </w:rPr>
        <w:t>, 2014 NWTSC 19.</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There are a number of factors to be considered when determining the content of the duty of procedural fairness.  Among them are the nature of the decision being made, the process followed in making it, the nature of the statutory scheme, the importance of the decision to those affected by it and the legitimate expectations of the person challenging the decision.  In this case, the decision was important to the parties in terms of its financial consequences and also to the Appellant, and possibly others doing the same type of work, in terms of a precedent for the consequences of laying off employees without notice.  The decision to be made by the ESO hinged on whether Mr. Lavallee was found to be employed in the construction industry or not.  The information obtained from the WSCC in particular was clearly relevant to that issue.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In a contested proceeding, fairness requires that the decision maker act on the information presented by the parties, allowing them to challenge or support it as they see fit, and not receive other information outside that proceeding.  As the Appellant pointed out, the </w:t>
      </w:r>
      <w:r>
        <w:rPr>
          <w:rFonts w:ascii="Times New Roman" w:hAnsi="Times New Roman"/>
          <w:i/>
          <w:iCs/>
          <w:sz w:val="28"/>
          <w:szCs w:val="28"/>
        </w:rPr>
        <w:t xml:space="preserve">Employment Standards Act </w:t>
      </w:r>
      <w:r>
        <w:rPr>
          <w:rFonts w:ascii="Times New Roman" w:hAnsi="Times New Roman"/>
          <w:sz w:val="28"/>
          <w:szCs w:val="28"/>
        </w:rPr>
        <w:t xml:space="preserve">does not contain a provision like s. 82 of the </w:t>
      </w:r>
      <w:r>
        <w:rPr>
          <w:rFonts w:ascii="Times New Roman" w:hAnsi="Times New Roman"/>
          <w:i/>
          <w:iCs/>
          <w:sz w:val="28"/>
          <w:szCs w:val="28"/>
        </w:rPr>
        <w:t xml:space="preserve">Residential Tenancies Act, </w:t>
      </w:r>
      <w:r>
        <w:rPr>
          <w:rFonts w:ascii="Times New Roman" w:hAnsi="Times New Roman"/>
          <w:sz w:val="28"/>
          <w:szCs w:val="28"/>
        </w:rPr>
        <w:t xml:space="preserve">R.S.N.W.T. 1988, c. R-5, which permits a rental officer to obtain information additional to the evidence at a hearing.  Even so, s. 82 requires that the rental officer inform the parties and give them the opportunity to explain or refute the information.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In this case, it is not completely clear how the Employment Standards Officer came to speak with the outside sources.  Had she required further information in order to make her decision, she should have raised that with the parties before determining how to obtain the further information.  She did not do that.  Obtaining the information unilaterally was a breach of her duty of procedural fairness: </w:t>
      </w:r>
      <w:r>
        <w:rPr>
          <w:rFonts w:ascii="Times New Roman" w:hAnsi="Times New Roman"/>
          <w:i/>
          <w:iCs/>
          <w:sz w:val="28"/>
          <w:szCs w:val="28"/>
        </w:rPr>
        <w:t>National Bank of Canada v. Lajoie</w:t>
      </w:r>
      <w:r>
        <w:rPr>
          <w:rFonts w:ascii="Times New Roman" w:hAnsi="Times New Roman"/>
          <w:sz w:val="28"/>
          <w:szCs w:val="28"/>
        </w:rPr>
        <w:t xml:space="preserve">, 2007 FC 1130; </w:t>
      </w:r>
      <w:r>
        <w:rPr>
          <w:rFonts w:ascii="Times New Roman" w:hAnsi="Times New Roman"/>
          <w:i/>
          <w:iCs/>
          <w:sz w:val="28"/>
          <w:szCs w:val="28"/>
        </w:rPr>
        <w:t>Baptiste v. Canada (Minister of Citizenship and Immigration)</w:t>
      </w:r>
      <w:r>
        <w:rPr>
          <w:rFonts w:ascii="Times New Roman" w:hAnsi="Times New Roman"/>
          <w:sz w:val="28"/>
          <w:szCs w:val="28"/>
        </w:rPr>
        <w:t>, 2006 FC 1382.</w:t>
      </w:r>
    </w:p>
    <w:p w:rsidR="009904D9" w:rsidRDefault="009904D9" w:rsidP="009904D9">
      <w:pPr>
        <w:jc w:val="both"/>
        <w:rPr>
          <w:sz w:val="28"/>
          <w:szCs w:val="28"/>
        </w:rPr>
      </w:pPr>
    </w:p>
    <w:p w:rsidR="00FB7763" w:rsidRPr="009904D9" w:rsidRDefault="00FB7763" w:rsidP="009904D9">
      <w:pPr>
        <w:jc w:val="both"/>
        <w:rPr>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Having obtained the information without notice to the parties, had the ESO wanted to use that information, she had a duty to provide it to the parties and give the Appellant an opportunity to refute it: </w:t>
      </w:r>
      <w:r>
        <w:rPr>
          <w:rFonts w:ascii="Times New Roman" w:hAnsi="Times New Roman"/>
          <w:i/>
          <w:iCs/>
          <w:sz w:val="28"/>
          <w:szCs w:val="28"/>
        </w:rPr>
        <w:t>Baptiste v. Canada</w:t>
      </w:r>
      <w:r>
        <w:rPr>
          <w:rFonts w:ascii="Times New Roman" w:hAnsi="Times New Roman"/>
          <w:sz w:val="28"/>
          <w:szCs w:val="28"/>
        </w:rPr>
        <w:t>.</w:t>
      </w: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As part of its argument on the issue of procedural fairness, the Appellant also complained of the ESO referring in her decision to previous cases which had not been submitted by the parties and for which the ESO did not provide names or citations.  This issue was also raised before the Adjudicator, however she did not address it.  Since the Adjudicator made her own decision on the merits of the case and did name and cite various cases in doing so, I am satisfied that I need not address this issue further except to say that when an administrative decision maker relies on previous cases it is always preferable to provide them to the parties for their comments on whether or how those cases are applicable.  If for some reason that is not done, the decision should identify the cases so that the parties can consult them in assessing whether there are grounds for appeal.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Appellant also submitted that certain information and documents in the Record give rise to an apprehension that after releasing her decision, the ESO located, and included as part of her file, information that would substantiate the conclusions in her decision.  Since the Record was filed pursuant to Rule 601 of the </w:t>
      </w:r>
      <w:r>
        <w:rPr>
          <w:rFonts w:ascii="Times New Roman" w:hAnsi="Times New Roman"/>
          <w:i/>
          <w:iCs/>
          <w:sz w:val="28"/>
          <w:szCs w:val="28"/>
        </w:rPr>
        <w:t>Northwest Territories Rules of Court</w:t>
      </w:r>
      <w:r>
        <w:rPr>
          <w:rFonts w:ascii="Times New Roman" w:hAnsi="Times New Roman"/>
          <w:sz w:val="28"/>
          <w:szCs w:val="28"/>
        </w:rPr>
        <w:t xml:space="preserve"> as a requirement of the appeal to this Court and was not before the Adjudicator, this does not involve a point of law raised before the Adjudicator and is not properly the subject of a s. 81.1 appeal.  The appropriate way to raise this issue might be by way of a challenge to the Record, although I leave that issue for another day.  However, since it was raised, I will simply observe that any factual material that an administrative decision maker might gather after rendering their decision is irrelevant.  A court on appeal can consider only information the decision maker took into account in making the decision, not material that the decision maker discovered later or that the decision maker thinks will support the decision they have already made.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For the reasons stated, I would not give effect to this ground of appeal.  </w:t>
      </w:r>
    </w:p>
    <w:p w:rsidR="00DA3346" w:rsidRDefault="00511B62" w:rsidP="009904D9">
      <w:pPr>
        <w:pStyle w:val="ListParagraph"/>
        <w:numPr>
          <w:ilvl w:val="0"/>
          <w:numId w:val="7"/>
        </w:numPr>
        <w:spacing w:after="0" w:line="240" w:lineRule="auto"/>
        <w:ind w:left="0" w:firstLine="0"/>
        <w:jc w:val="both"/>
        <w:rPr>
          <w:rFonts w:ascii="Times New Roman" w:hAnsi="Times New Roman"/>
          <w:sz w:val="28"/>
          <w:szCs w:val="28"/>
          <w:u w:val="single"/>
        </w:rPr>
      </w:pPr>
      <w:r>
        <w:rPr>
          <w:rFonts w:ascii="Times New Roman" w:hAnsi="Times New Roman"/>
          <w:sz w:val="28"/>
          <w:szCs w:val="28"/>
          <w:u w:val="single"/>
        </w:rPr>
        <w:t>Was the Adjudicator’s interpretation and application of the statutory provision exempting employees in the construction industry from termination pay unreasonable?</w:t>
      </w:r>
    </w:p>
    <w:p w:rsidR="009904D9" w:rsidRDefault="009904D9" w:rsidP="009904D9">
      <w:pPr>
        <w:pStyle w:val="ListParagraph"/>
        <w:spacing w:after="0" w:line="240" w:lineRule="auto"/>
        <w:ind w:left="1080"/>
        <w:jc w:val="both"/>
        <w:rPr>
          <w:rFonts w:ascii="Times New Roman" w:eastAsia="Times New Roman" w:hAnsi="Times New Roman" w:cs="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Adjudicator decided that Mr. Lavallee was not employed in the construction industry and was therefore entitled to termination pay.  She determined </w:t>
      </w:r>
      <w:r>
        <w:rPr>
          <w:rFonts w:ascii="Times New Roman" w:hAnsi="Times New Roman"/>
          <w:sz w:val="28"/>
          <w:szCs w:val="28"/>
        </w:rPr>
        <w:lastRenderedPageBreak/>
        <w:t>that the short term nature of construction work is a factor in determining whether someone can be said to be employed in the construction industry.</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The relevant statutory provisions are as follows:</w:t>
      </w:r>
    </w:p>
    <w:p w:rsidR="009904D9" w:rsidRDefault="009904D9" w:rsidP="00E524A2">
      <w:pPr>
        <w:pStyle w:val="ListParagraph"/>
        <w:spacing w:after="240" w:line="240" w:lineRule="auto"/>
        <w:ind w:left="0" w:firstLine="720"/>
        <w:jc w:val="both"/>
        <w:rPr>
          <w:rFonts w:ascii="Times New Roman" w:hAnsi="Times New Roman"/>
          <w:i/>
          <w:iCs/>
          <w:sz w:val="24"/>
          <w:szCs w:val="24"/>
        </w:rPr>
      </w:pPr>
    </w:p>
    <w:p w:rsidR="00DA3346" w:rsidRDefault="00511B62" w:rsidP="00E524A2">
      <w:pPr>
        <w:pStyle w:val="ListParagraph"/>
        <w:spacing w:after="240" w:line="240" w:lineRule="auto"/>
        <w:ind w:left="0" w:firstLine="720"/>
        <w:jc w:val="both"/>
        <w:rPr>
          <w:rFonts w:ascii="Times New Roman" w:eastAsia="Times New Roman" w:hAnsi="Times New Roman" w:cs="Times New Roman"/>
          <w:sz w:val="24"/>
          <w:szCs w:val="24"/>
        </w:rPr>
      </w:pPr>
      <w:r>
        <w:rPr>
          <w:rFonts w:ascii="Times New Roman" w:hAnsi="Times New Roman"/>
          <w:i/>
          <w:iCs/>
          <w:sz w:val="24"/>
          <w:szCs w:val="24"/>
        </w:rPr>
        <w:t>Employment Standards Act</w:t>
      </w:r>
      <w:r>
        <w:rPr>
          <w:rFonts w:ascii="Times New Roman" w:hAnsi="Times New Roman"/>
          <w:sz w:val="24"/>
          <w:szCs w:val="24"/>
        </w:rPr>
        <w:t>:</w:t>
      </w:r>
    </w:p>
    <w:p w:rsidR="00DA3346" w:rsidRDefault="00511B62" w:rsidP="00E524A2">
      <w:pPr>
        <w:pStyle w:val="ListParagraph"/>
        <w:spacing w:after="240" w:line="240" w:lineRule="auto"/>
        <w:ind w:left="0" w:firstLine="720"/>
        <w:jc w:val="both"/>
        <w:rPr>
          <w:rFonts w:ascii="Times New Roman" w:eastAsia="Times New Roman" w:hAnsi="Times New Roman" w:cs="Times New Roman"/>
          <w:sz w:val="24"/>
          <w:szCs w:val="24"/>
        </w:rPr>
      </w:pPr>
      <w:r>
        <w:rPr>
          <w:rFonts w:ascii="Times New Roman" w:hAnsi="Times New Roman"/>
          <w:sz w:val="24"/>
          <w:szCs w:val="24"/>
        </w:rPr>
        <w:t>In this Act, (…)</w:t>
      </w:r>
    </w:p>
    <w:p w:rsidR="00DA3346" w:rsidRDefault="00511B62" w:rsidP="00E524A2">
      <w:pPr>
        <w:pStyle w:val="ListParagraph"/>
        <w:spacing w:after="240" w:line="240" w:lineRule="auto"/>
        <w:ind w:left="0" w:firstLine="720"/>
        <w:jc w:val="both"/>
        <w:rPr>
          <w:rFonts w:ascii="Times New Roman" w:eastAsia="Times New Roman" w:hAnsi="Times New Roman" w:cs="Times New Roman"/>
          <w:sz w:val="24"/>
          <w:szCs w:val="24"/>
        </w:rPr>
      </w:pPr>
      <w:r>
        <w:rPr>
          <w:rFonts w:ascii="Times New Roman" w:hAnsi="Times New Roman"/>
          <w:sz w:val="24"/>
          <w:szCs w:val="24"/>
        </w:rPr>
        <w:t>“work of construction” means a building, mine, (…)</w:t>
      </w:r>
    </w:p>
    <w:p w:rsidR="00DA3346" w:rsidRDefault="00511B62" w:rsidP="00E524A2">
      <w:pPr>
        <w:pStyle w:val="ListParagraph"/>
        <w:spacing w:after="240" w:line="240" w:lineRule="auto"/>
        <w:ind w:right="720"/>
        <w:jc w:val="both"/>
        <w:rPr>
          <w:rFonts w:ascii="Times New Roman" w:eastAsia="Times New Roman" w:hAnsi="Times New Roman" w:cs="Times New Roman"/>
          <w:sz w:val="24"/>
          <w:szCs w:val="24"/>
        </w:rPr>
      </w:pPr>
      <w:r>
        <w:rPr>
          <w:rFonts w:ascii="Times New Roman" w:hAnsi="Times New Roman"/>
          <w:sz w:val="24"/>
          <w:szCs w:val="24"/>
        </w:rPr>
        <w:t>37. (1) No employer shall terminate the employment of an employee who has been employed by that employer for a period of 90 days or more, unless the employer</w:t>
      </w:r>
    </w:p>
    <w:p w:rsidR="00DA3346" w:rsidRDefault="007343D3" w:rsidP="00E524A2">
      <w:pPr>
        <w:pStyle w:val="ListParagraph"/>
        <w:spacing w:after="240" w:line="240" w:lineRule="auto"/>
        <w:ind w:right="720"/>
        <w:jc w:val="both"/>
        <w:rPr>
          <w:rFonts w:ascii="Times New Roman" w:eastAsia="Times New Roman" w:hAnsi="Times New Roman" w:cs="Times New Roman"/>
          <w:i/>
          <w:iCs/>
          <w:sz w:val="24"/>
          <w:szCs w:val="24"/>
          <w:u w:val="single"/>
        </w:rPr>
      </w:pPr>
      <w:r w:rsidRPr="007343D3">
        <w:rPr>
          <w:rFonts w:ascii="Times New Roman" w:hAnsi="Times New Roman"/>
          <w:i/>
          <w:sz w:val="24"/>
          <w:szCs w:val="24"/>
        </w:rPr>
        <w:t>(a)</w:t>
      </w:r>
      <w:r w:rsidR="00511B62">
        <w:rPr>
          <w:rFonts w:ascii="Times New Roman" w:hAnsi="Times New Roman"/>
          <w:sz w:val="24"/>
          <w:szCs w:val="24"/>
        </w:rPr>
        <w:t xml:space="preserve">gives the employee a written notice of termination indicating the date the notice is given and the date on which the employment is terminated; or </w:t>
      </w:r>
    </w:p>
    <w:p w:rsidR="00DA3346" w:rsidRDefault="007343D3" w:rsidP="00E524A2">
      <w:pPr>
        <w:pStyle w:val="ListParagraph"/>
        <w:spacing w:after="240" w:line="240" w:lineRule="auto"/>
        <w:ind w:left="0" w:right="720" w:firstLine="720"/>
        <w:jc w:val="both"/>
        <w:rPr>
          <w:rFonts w:ascii="Times New Roman" w:eastAsia="Times New Roman" w:hAnsi="Times New Roman" w:cs="Times New Roman"/>
          <w:sz w:val="24"/>
          <w:szCs w:val="24"/>
        </w:rPr>
      </w:pPr>
      <w:r w:rsidRPr="007343D3">
        <w:rPr>
          <w:rFonts w:ascii="Times New Roman" w:hAnsi="Times New Roman"/>
          <w:i/>
          <w:sz w:val="24"/>
          <w:szCs w:val="24"/>
        </w:rPr>
        <w:t>(b)</w:t>
      </w:r>
      <w:r w:rsidR="00511B62">
        <w:rPr>
          <w:rFonts w:ascii="Times New Roman" w:hAnsi="Times New Roman"/>
          <w:sz w:val="24"/>
          <w:szCs w:val="24"/>
        </w:rPr>
        <w:t>pays the employee termination pay.</w:t>
      </w:r>
    </w:p>
    <w:p w:rsidR="00DA3346" w:rsidRDefault="00511B62" w:rsidP="00E524A2">
      <w:pPr>
        <w:pStyle w:val="ListParagraph"/>
        <w:spacing w:after="240" w:line="240" w:lineRule="auto"/>
        <w:ind w:right="720"/>
        <w:jc w:val="both"/>
        <w:rPr>
          <w:rFonts w:ascii="Times New Roman" w:eastAsia="Times New Roman" w:hAnsi="Times New Roman" w:cs="Times New Roman"/>
          <w:sz w:val="24"/>
          <w:szCs w:val="24"/>
        </w:rPr>
      </w:pPr>
      <w:r>
        <w:rPr>
          <w:rFonts w:ascii="Times New Roman" w:hAnsi="Times New Roman"/>
          <w:sz w:val="24"/>
          <w:szCs w:val="24"/>
        </w:rPr>
        <w:t>45. No employer shall employ a youth in any of the following activities unless the employer first obtains the approval in writing of the Employment Standards Officer:</w:t>
      </w:r>
    </w:p>
    <w:p w:rsidR="00DA3346" w:rsidRDefault="00511B62" w:rsidP="00E524A2">
      <w:pPr>
        <w:pStyle w:val="ListParagraph"/>
        <w:spacing w:after="240" w:line="240" w:lineRule="auto"/>
        <w:ind w:left="0" w:right="720" w:firstLine="720"/>
        <w:jc w:val="both"/>
        <w:rPr>
          <w:rFonts w:ascii="Times New Roman" w:eastAsia="Times New Roman" w:hAnsi="Times New Roman" w:cs="Times New Roman"/>
          <w:sz w:val="24"/>
          <w:szCs w:val="24"/>
        </w:rPr>
      </w:pPr>
      <w:r>
        <w:rPr>
          <w:rFonts w:ascii="Times New Roman" w:hAnsi="Times New Roman"/>
          <w:sz w:val="24"/>
          <w:szCs w:val="24"/>
        </w:rPr>
        <w:t>(…)</w:t>
      </w:r>
    </w:p>
    <w:p w:rsidR="00DA3346" w:rsidRDefault="00511B62" w:rsidP="00E524A2">
      <w:pPr>
        <w:pStyle w:val="ListParagraph"/>
        <w:spacing w:after="240" w:line="240" w:lineRule="auto"/>
        <w:ind w:right="720"/>
        <w:jc w:val="both"/>
        <w:rPr>
          <w:rFonts w:ascii="Times New Roman" w:eastAsia="Times New Roman" w:hAnsi="Times New Roman" w:cs="Times New Roman"/>
          <w:sz w:val="24"/>
          <w:szCs w:val="24"/>
        </w:rPr>
      </w:pPr>
      <w:r>
        <w:rPr>
          <w:rFonts w:ascii="Times New Roman" w:hAnsi="Times New Roman"/>
          <w:sz w:val="24"/>
          <w:szCs w:val="24"/>
        </w:rPr>
        <w:t>(b) constructing, reconstructing, repairing, altering or demolishing any work of construction, including the preparation for or the laying of the foundations of any work of construction.</w:t>
      </w:r>
    </w:p>
    <w:p w:rsidR="00DA3346" w:rsidRDefault="00511B62" w:rsidP="00E524A2">
      <w:pPr>
        <w:pStyle w:val="ListParagraph"/>
        <w:spacing w:after="240" w:line="240" w:lineRule="auto"/>
        <w:ind w:left="0" w:firstLine="720"/>
        <w:jc w:val="both"/>
        <w:rPr>
          <w:rFonts w:ascii="Times New Roman" w:eastAsia="Times New Roman" w:hAnsi="Times New Roman" w:cs="Times New Roman"/>
          <w:sz w:val="24"/>
          <w:szCs w:val="24"/>
        </w:rPr>
      </w:pPr>
      <w:r>
        <w:rPr>
          <w:rFonts w:ascii="Times New Roman" w:hAnsi="Times New Roman"/>
          <w:i/>
          <w:iCs/>
          <w:sz w:val="24"/>
          <w:szCs w:val="24"/>
        </w:rPr>
        <w:t>Employment Standards Regulations:</w:t>
      </w:r>
    </w:p>
    <w:p w:rsidR="00DA3346" w:rsidRDefault="00511B62" w:rsidP="00E524A2">
      <w:pPr>
        <w:pStyle w:val="ListParagraph"/>
        <w:numPr>
          <w:ilvl w:val="1"/>
          <w:numId w:val="8"/>
        </w:numPr>
        <w:spacing w:after="240" w:line="240" w:lineRule="auto"/>
        <w:ind w:right="720"/>
        <w:jc w:val="both"/>
        <w:rPr>
          <w:rFonts w:ascii="Times New Roman" w:eastAsia="Times New Roman" w:hAnsi="Times New Roman" w:cs="Times New Roman"/>
          <w:sz w:val="24"/>
          <w:szCs w:val="24"/>
        </w:rPr>
      </w:pPr>
      <w:r>
        <w:rPr>
          <w:rFonts w:ascii="Times New Roman" w:hAnsi="Times New Roman"/>
          <w:sz w:val="24"/>
          <w:szCs w:val="24"/>
        </w:rPr>
        <w:t xml:space="preserve">Subsection 37(1) of the Act does not apply to an employee who is employed </w:t>
      </w:r>
    </w:p>
    <w:p w:rsidR="00DA3346" w:rsidRDefault="007343D3" w:rsidP="00E524A2">
      <w:pPr>
        <w:pStyle w:val="ListParagraph"/>
        <w:spacing w:after="240" w:line="240" w:lineRule="auto"/>
        <w:ind w:left="0" w:right="720" w:firstLine="720"/>
        <w:jc w:val="both"/>
        <w:rPr>
          <w:rFonts w:ascii="Times New Roman" w:eastAsia="Times New Roman" w:hAnsi="Times New Roman" w:cs="Times New Roman"/>
          <w:i/>
          <w:iCs/>
          <w:sz w:val="24"/>
          <w:szCs w:val="24"/>
          <w:u w:val="single"/>
        </w:rPr>
      </w:pPr>
      <w:r>
        <w:rPr>
          <w:rFonts w:ascii="Times New Roman" w:hAnsi="Times New Roman"/>
          <w:i/>
          <w:sz w:val="24"/>
          <w:szCs w:val="24"/>
        </w:rPr>
        <w:t>(a)</w:t>
      </w:r>
      <w:r w:rsidR="00511B62">
        <w:rPr>
          <w:rFonts w:ascii="Times New Roman" w:hAnsi="Times New Roman"/>
          <w:sz w:val="24"/>
          <w:szCs w:val="24"/>
        </w:rPr>
        <w:t>in the construction industry;</w:t>
      </w:r>
    </w:p>
    <w:p w:rsidR="00DA3346" w:rsidRDefault="007343D3" w:rsidP="00E524A2">
      <w:pPr>
        <w:pStyle w:val="ListParagraph"/>
        <w:spacing w:after="240" w:line="240" w:lineRule="auto"/>
        <w:ind w:right="720"/>
        <w:jc w:val="both"/>
        <w:rPr>
          <w:rFonts w:ascii="Times New Roman" w:eastAsia="Times New Roman" w:hAnsi="Times New Roman" w:cs="Times New Roman"/>
          <w:i/>
          <w:iCs/>
          <w:sz w:val="24"/>
          <w:szCs w:val="24"/>
          <w:u w:val="single"/>
        </w:rPr>
      </w:pPr>
      <w:r>
        <w:rPr>
          <w:rFonts w:ascii="Times New Roman" w:hAnsi="Times New Roman"/>
          <w:i/>
          <w:sz w:val="24"/>
          <w:szCs w:val="24"/>
        </w:rPr>
        <w:t>(b)</w:t>
      </w:r>
      <w:r w:rsidR="00511B62">
        <w:rPr>
          <w:rFonts w:ascii="Times New Roman" w:hAnsi="Times New Roman"/>
          <w:sz w:val="24"/>
          <w:szCs w:val="24"/>
        </w:rPr>
        <w:t>for less than 180 days in a year, seasonally or intermittently, in an activity, business, work, trade or profession;</w:t>
      </w:r>
    </w:p>
    <w:p w:rsidR="00DA3346" w:rsidRDefault="00511B62" w:rsidP="00E524A2">
      <w:pPr>
        <w:pStyle w:val="ListParagraph"/>
        <w:spacing w:after="240" w:line="240" w:lineRule="auto"/>
        <w:ind w:right="720"/>
        <w:jc w:val="both"/>
        <w:rPr>
          <w:rFonts w:ascii="Times New Roman" w:eastAsia="Times New Roman" w:hAnsi="Times New Roman" w:cs="Times New Roman"/>
          <w:i/>
          <w:iCs/>
          <w:sz w:val="24"/>
          <w:szCs w:val="24"/>
          <w:u w:val="single"/>
        </w:rPr>
      </w:pPr>
      <w:r>
        <w:rPr>
          <w:rFonts w:ascii="Times New Roman" w:hAnsi="Times New Roman"/>
          <w:i/>
          <w:iCs/>
          <w:sz w:val="24"/>
          <w:szCs w:val="24"/>
        </w:rPr>
        <w:t xml:space="preserve">(c) </w:t>
      </w:r>
      <w:r>
        <w:rPr>
          <w:rFonts w:ascii="Times New Roman" w:hAnsi="Times New Roman"/>
          <w:sz w:val="24"/>
          <w:szCs w:val="24"/>
        </w:rPr>
        <w:t>in an activity, business, work, trade or profession, for a definite term or task for    a period not exceeding 365 days where at the end of the term the employment is terminated; or</w:t>
      </w:r>
    </w:p>
    <w:p w:rsidR="00DA3346" w:rsidRPr="007343D3" w:rsidRDefault="007343D3" w:rsidP="00E524A2">
      <w:pPr>
        <w:spacing w:after="240"/>
        <w:ind w:right="720" w:firstLine="720"/>
        <w:jc w:val="both"/>
        <w:rPr>
          <w:rFonts w:eastAsia="Times New Roman"/>
          <w:i/>
          <w:iCs/>
          <w:u w:val="single"/>
        </w:rPr>
      </w:pPr>
      <w:r>
        <w:rPr>
          <w:i/>
        </w:rPr>
        <w:t>(d)</w:t>
      </w:r>
      <w:r w:rsidR="00511B62" w:rsidRPr="007343D3">
        <w:t>in an activity, business, work, trade or profession for less than 25 hours.</w:t>
      </w:r>
    </w:p>
    <w:p w:rsidR="00DA3346" w:rsidRDefault="00511B62" w:rsidP="009904D9">
      <w:pPr>
        <w:pStyle w:val="ListParagraph"/>
        <w:spacing w:after="0" w:line="240" w:lineRule="auto"/>
        <w:ind w:left="0" w:right="720" w:firstLine="720"/>
        <w:jc w:val="both"/>
        <w:rPr>
          <w:rFonts w:ascii="Times New Roman" w:hAnsi="Times New Roman"/>
          <w:sz w:val="24"/>
          <w:szCs w:val="24"/>
        </w:rPr>
      </w:pPr>
      <w:r>
        <w:rPr>
          <w:rFonts w:ascii="Times New Roman" w:hAnsi="Times New Roman"/>
          <w:sz w:val="24"/>
          <w:szCs w:val="24"/>
        </w:rPr>
        <w:t>(“Regulation 4.1”)</w:t>
      </w:r>
    </w:p>
    <w:p w:rsidR="009904D9" w:rsidRDefault="009904D9" w:rsidP="009904D9">
      <w:pPr>
        <w:pStyle w:val="ListParagraph"/>
        <w:spacing w:after="0" w:line="240" w:lineRule="auto"/>
        <w:ind w:left="0" w:right="720" w:firstLine="720"/>
        <w:jc w:val="both"/>
        <w:rPr>
          <w:rFonts w:ascii="Times New Roman" w:eastAsia="Times New Roman" w:hAnsi="Times New Roman" w:cs="Times New Roman"/>
          <w:sz w:val="24"/>
          <w:szCs w:val="24"/>
        </w:rPr>
      </w:pPr>
    </w:p>
    <w:p w:rsidR="00FB7763" w:rsidRDefault="00FB7763" w:rsidP="009904D9">
      <w:pPr>
        <w:pStyle w:val="ListParagraph"/>
        <w:spacing w:after="0" w:line="240" w:lineRule="auto"/>
        <w:ind w:left="0" w:right="720" w:firstLine="720"/>
        <w:jc w:val="both"/>
        <w:rPr>
          <w:rFonts w:ascii="Times New Roman" w:eastAsia="Times New Roman" w:hAnsi="Times New Roman" w:cs="Times New Roman"/>
          <w:sz w:val="24"/>
          <w:szCs w:val="24"/>
        </w:rPr>
      </w:pPr>
    </w:p>
    <w:p w:rsidR="00FB7763" w:rsidRDefault="00FB7763" w:rsidP="009904D9">
      <w:pPr>
        <w:pStyle w:val="ListParagraph"/>
        <w:spacing w:after="0" w:line="240" w:lineRule="auto"/>
        <w:ind w:left="0" w:right="720" w:firstLine="720"/>
        <w:jc w:val="both"/>
        <w:rPr>
          <w:rFonts w:ascii="Times New Roman" w:eastAsia="Times New Roman" w:hAnsi="Times New Roman" w:cs="Times New Roman"/>
          <w:sz w:val="24"/>
          <w:szCs w:val="24"/>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w:t>
      </w:r>
      <w:r>
        <w:rPr>
          <w:rFonts w:ascii="Times New Roman" w:hAnsi="Times New Roman"/>
          <w:i/>
          <w:iCs/>
          <w:sz w:val="28"/>
          <w:szCs w:val="28"/>
        </w:rPr>
        <w:t xml:space="preserve">Employment Standards </w:t>
      </w:r>
      <w:r>
        <w:rPr>
          <w:rFonts w:ascii="Times New Roman" w:hAnsi="Times New Roman"/>
          <w:sz w:val="28"/>
          <w:szCs w:val="28"/>
        </w:rPr>
        <w:t xml:space="preserve">Act does not contain a definition of “construction industry”.  Under the now repealed </w:t>
      </w:r>
      <w:r>
        <w:rPr>
          <w:rFonts w:ascii="Times New Roman" w:hAnsi="Times New Roman"/>
          <w:i/>
          <w:iCs/>
          <w:sz w:val="28"/>
          <w:szCs w:val="28"/>
        </w:rPr>
        <w:t>Labour Standards Act</w:t>
      </w:r>
      <w:r>
        <w:rPr>
          <w:rFonts w:ascii="Times New Roman" w:hAnsi="Times New Roman"/>
          <w:sz w:val="28"/>
          <w:szCs w:val="28"/>
        </w:rPr>
        <w:t xml:space="preserve">, R.S.N.W.T.  1988, c. L-1, which was replaced by the </w:t>
      </w:r>
      <w:r>
        <w:rPr>
          <w:rFonts w:ascii="Times New Roman" w:hAnsi="Times New Roman"/>
          <w:i/>
          <w:iCs/>
          <w:sz w:val="28"/>
          <w:szCs w:val="28"/>
        </w:rPr>
        <w:t>Employment Standards Act</w:t>
      </w:r>
      <w:r>
        <w:rPr>
          <w:rFonts w:ascii="Times New Roman" w:hAnsi="Times New Roman"/>
          <w:sz w:val="28"/>
          <w:szCs w:val="28"/>
        </w:rPr>
        <w:t xml:space="preserve">, the </w:t>
      </w:r>
      <w:r>
        <w:rPr>
          <w:rFonts w:ascii="Times New Roman" w:hAnsi="Times New Roman"/>
          <w:i/>
          <w:iCs/>
          <w:sz w:val="28"/>
          <w:szCs w:val="28"/>
        </w:rPr>
        <w:t xml:space="preserve">Employment of Young Persons Regulations, </w:t>
      </w:r>
      <w:r>
        <w:rPr>
          <w:rFonts w:ascii="Times New Roman" w:hAnsi="Times New Roman"/>
          <w:sz w:val="28"/>
          <w:szCs w:val="28"/>
        </w:rPr>
        <w:t xml:space="preserve">R.R.N.W.T. 1990, c. L-3, did include a definition of “construction industry” as follows: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spacing w:after="0" w:line="240" w:lineRule="auto"/>
        <w:ind w:right="720"/>
        <w:jc w:val="both"/>
        <w:rPr>
          <w:rFonts w:ascii="Times New Roman" w:hAnsi="Times New Roman"/>
          <w:sz w:val="24"/>
          <w:szCs w:val="24"/>
        </w:rPr>
      </w:pPr>
      <w:r>
        <w:rPr>
          <w:rFonts w:ascii="Times New Roman" w:hAnsi="Times New Roman"/>
          <w:sz w:val="24"/>
          <w:szCs w:val="24"/>
        </w:rPr>
        <w:t>“construction industry” means an industry in which persons are employed for the purpose of clearing brush and trees or constructing, re-constructing, repairing, altering or demolishing any building, arbour, dock, pier, road, tunnel, bridge, viaduct, sewer, drain, well, telegraphic or telephone installation, electrical undertaking, gasworks, pipeline, waterway or other work of construction including the preparation for or the laying of foundations of any such work or structure</w:t>
      </w:r>
      <w:r w:rsidR="009904D9">
        <w:rPr>
          <w:rFonts w:ascii="Times New Roman" w:hAnsi="Times New Roman"/>
          <w:sz w:val="24"/>
          <w:szCs w:val="24"/>
        </w:rPr>
        <w:t>.</w:t>
      </w:r>
    </w:p>
    <w:p w:rsidR="009904D9" w:rsidRDefault="009904D9" w:rsidP="009904D9">
      <w:pPr>
        <w:pStyle w:val="ListParagraph"/>
        <w:spacing w:after="0" w:line="240" w:lineRule="auto"/>
        <w:ind w:right="720"/>
        <w:jc w:val="both"/>
        <w:rPr>
          <w:rFonts w:ascii="Times New Roman" w:eastAsia="Times New Roman" w:hAnsi="Times New Roman" w:cs="Times New Roman"/>
          <w:sz w:val="24"/>
          <w:szCs w:val="24"/>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That regulation was also repealed.</w:t>
      </w:r>
    </w:p>
    <w:p w:rsidR="00DA3346" w:rsidRDefault="00DA3346" w:rsidP="009904D9">
      <w:pPr>
        <w:pStyle w:val="ListParagraph"/>
        <w:spacing w:after="0" w:line="240" w:lineRule="auto"/>
        <w:ind w:left="0"/>
        <w:jc w:val="both"/>
        <w:rPr>
          <w:rFonts w:ascii="Times New Roman" w:eastAsia="Times New Roman" w:hAnsi="Times New Roman" w:cs="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Regarding the standard of review to be applied to the Adjudicator’s decision, the Appellant takes the position that it is reasonableness.  I agree.  The Supreme Court of Canada has directed that the first step is to determine whether the jurisprudence has established a standard of review: </w:t>
      </w:r>
      <w:r>
        <w:rPr>
          <w:rFonts w:ascii="Times New Roman" w:hAnsi="Times New Roman"/>
          <w:i/>
          <w:iCs/>
          <w:sz w:val="28"/>
          <w:szCs w:val="28"/>
        </w:rPr>
        <w:t>Dunsmuir v. New Brunswick</w:t>
      </w:r>
      <w:r>
        <w:rPr>
          <w:rFonts w:ascii="Times New Roman" w:hAnsi="Times New Roman"/>
          <w:sz w:val="28"/>
          <w:szCs w:val="28"/>
        </w:rPr>
        <w:t xml:space="preserve">, 2008 SCC 9.  In this case, the jurisprudence has established that the standard of review for the decision of an arbitrator under the </w:t>
      </w:r>
      <w:r>
        <w:rPr>
          <w:rFonts w:ascii="Times New Roman" w:hAnsi="Times New Roman"/>
          <w:i/>
          <w:iCs/>
          <w:sz w:val="28"/>
          <w:szCs w:val="28"/>
        </w:rPr>
        <w:t>Employment Standards Act</w:t>
      </w:r>
      <w:r>
        <w:rPr>
          <w:rFonts w:ascii="Times New Roman" w:hAnsi="Times New Roman"/>
          <w:sz w:val="28"/>
          <w:szCs w:val="28"/>
        </w:rPr>
        <w:t xml:space="preserve"> is reasonableness: </w:t>
      </w:r>
      <w:r>
        <w:rPr>
          <w:rFonts w:ascii="Times New Roman" w:hAnsi="Times New Roman"/>
          <w:i/>
          <w:iCs/>
          <w:sz w:val="28"/>
          <w:szCs w:val="28"/>
        </w:rPr>
        <w:t>Medic North v. Harnish</w:t>
      </w:r>
      <w:r>
        <w:rPr>
          <w:rFonts w:ascii="Times New Roman" w:hAnsi="Times New Roman"/>
          <w:sz w:val="28"/>
          <w:szCs w:val="28"/>
        </w:rPr>
        <w:t xml:space="preserve">, 2011 NWTSC 46; </w:t>
      </w:r>
      <w:r>
        <w:rPr>
          <w:rFonts w:ascii="Times New Roman" w:hAnsi="Times New Roman"/>
          <w:i/>
          <w:iCs/>
          <w:sz w:val="28"/>
          <w:szCs w:val="28"/>
        </w:rPr>
        <w:t>Chaykowski v. 506465 NWT Ltd</w:t>
      </w:r>
      <w:r>
        <w:rPr>
          <w:rFonts w:ascii="Times New Roman" w:hAnsi="Times New Roman"/>
          <w:sz w:val="28"/>
          <w:szCs w:val="28"/>
        </w:rPr>
        <w:t>., 2016 NWTSC 19.</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Reviewing a decision for reasonableness requires that the reviewing court show deference in that the matter before the administrative decision-maker may give rise to a number of possible, reasonable conclusions.  The reviewing court will look at both the reasons and the outcome to determine whether “the decision falls within a range of possible, acceptable outcomes which are defensible in respect of the facts and law”: </w:t>
      </w:r>
      <w:r>
        <w:rPr>
          <w:rFonts w:ascii="Times New Roman" w:hAnsi="Times New Roman"/>
          <w:i/>
          <w:iCs/>
          <w:sz w:val="28"/>
          <w:szCs w:val="28"/>
        </w:rPr>
        <w:t>Dunsmuir v. New Brunswick; Carter v. Northwest Territories Power Corp</w:t>
      </w:r>
      <w:r>
        <w:rPr>
          <w:rFonts w:ascii="Times New Roman" w:hAnsi="Times New Roman"/>
          <w:sz w:val="28"/>
          <w:szCs w:val="28"/>
        </w:rPr>
        <w:t>.</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Appellant submits that the Adjudicator erred in deciding that the short term nature of construction work is a factor in determining whether a worker is employed in the construction industry.  The Appellant submits that her decision in that regard is contrary to the legislation in the Northwest Territories and also to previous cases which have dealt with the same issue.  These errors, the Appellant says, led the Adjudicator to make a decision that is not reasonable.</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In her decision, the Adjudicator reviewed the Act, which she stated lacks clarity.  She found that construction workers had been included in the exemptions in Regulation 4.1 because, like the other workers to which it applies, their work is short </w:t>
      </w:r>
      <w:r>
        <w:rPr>
          <w:rFonts w:ascii="Times New Roman" w:hAnsi="Times New Roman"/>
          <w:sz w:val="28"/>
          <w:szCs w:val="28"/>
        </w:rPr>
        <w:lastRenderedPageBreak/>
        <w:t xml:space="preserve">term.  She agreed with the ESO’s view that the variables of project scope and availability of skilled workers made it difficult to specify a time as was done with subsections (b), (c) and (d) of the Regulation.  She noted that other jurisdictions in Canada cite the short term nature of construction work as a reason for including the construction industry in their exemptions in similar legislation. </w:t>
      </w: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After observing that, “The construction industry is characterized by short-term projects”, the Adjudicator referred to the Ontario Court of Appeal’s decision in </w:t>
      </w:r>
      <w:r>
        <w:rPr>
          <w:rFonts w:ascii="Times New Roman" w:hAnsi="Times New Roman"/>
          <w:i/>
          <w:iCs/>
          <w:sz w:val="28"/>
          <w:szCs w:val="28"/>
        </w:rPr>
        <w:t>Scapillati v. A. Potvin Construction Limited,</w:t>
      </w:r>
      <w:r>
        <w:rPr>
          <w:rFonts w:ascii="Times New Roman" w:hAnsi="Times New Roman"/>
          <w:sz w:val="28"/>
          <w:szCs w:val="28"/>
        </w:rPr>
        <w:t xml:space="preserve"> 1999 CanLII 1473, where the Court quoted the Ontario Minister of Labour who introduced the Ontario legislation as saying: </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9904D9">
      <w:pPr>
        <w:pStyle w:val="ListParagraph"/>
        <w:spacing w:after="0" w:line="240" w:lineRule="auto"/>
        <w:ind w:right="720"/>
        <w:jc w:val="both"/>
        <w:rPr>
          <w:rFonts w:ascii="Times New Roman" w:hAnsi="Times New Roman"/>
          <w:sz w:val="24"/>
          <w:szCs w:val="24"/>
        </w:rPr>
      </w:pPr>
      <w:r>
        <w:rPr>
          <w:rFonts w:ascii="Times New Roman" w:hAnsi="Times New Roman"/>
          <w:sz w:val="24"/>
          <w:szCs w:val="24"/>
        </w:rPr>
        <w:t>On-site construction workers are excluded from severance pay coverage because of the special nature of the industry, where employment is typically irregular and intermittent; that principle is recognized by all jurisdictions in Canada through exclusion from the termination provisions.</w:t>
      </w:r>
    </w:p>
    <w:p w:rsidR="009904D9" w:rsidRDefault="009904D9" w:rsidP="009904D9">
      <w:pPr>
        <w:pStyle w:val="ListParagraph"/>
        <w:spacing w:after="0" w:line="240" w:lineRule="auto"/>
        <w:ind w:right="720"/>
        <w:jc w:val="both"/>
        <w:rPr>
          <w:rFonts w:ascii="Times New Roman" w:eastAsia="Times New Roman" w:hAnsi="Times New Roman" w:cs="Times New Roman"/>
          <w:sz w:val="24"/>
          <w:szCs w:val="24"/>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Adjudicator referred to another adjudicator’s decision as recognizing the length of employment as a factor in determining whether an employee was a construction employee.  In that decision, </w:t>
      </w:r>
      <w:r>
        <w:rPr>
          <w:rFonts w:ascii="Times New Roman" w:hAnsi="Times New Roman"/>
          <w:i/>
          <w:iCs/>
          <w:sz w:val="28"/>
          <w:szCs w:val="28"/>
        </w:rPr>
        <w:t>851791 NWT Ltd. v. Pelletier,</w:t>
      </w:r>
      <w:r>
        <w:rPr>
          <w:rFonts w:ascii="Times New Roman" w:hAnsi="Times New Roman"/>
          <w:sz w:val="28"/>
          <w:szCs w:val="28"/>
        </w:rPr>
        <w:t xml:space="preserve"> 2013 CanLII 89790 (NWT LSB), the adjudicator was dealing with an employee with 13 years service, who had historically worked on a number of projects for the employer, some of which involved maintenance work.  The adjudicator in that case found that the employee worked during various seasons.  His decision was that the employee could not be classified as a constructional or seasonal employee.</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decision is not very detailed but as I read it, the adjudicator in that case found that the employee was not employed in the construction industry because he also did maintenance work.  The adjudicator also rejected the employer’s argument that the work was seasonal.  In my view, the decision is not authority for the proposition that </w:t>
      </w:r>
      <w:r w:rsidRPr="00AD694F">
        <w:rPr>
          <w:rFonts w:ascii="Times New Roman" w:hAnsi="Times New Roman"/>
          <w:iCs/>
          <w:sz w:val="28"/>
          <w:szCs w:val="28"/>
        </w:rPr>
        <w:t>the</w:t>
      </w:r>
      <w:r w:rsidRPr="00AD694F">
        <w:rPr>
          <w:rFonts w:ascii="Times New Roman" w:hAnsi="Times New Roman"/>
          <w:sz w:val="28"/>
          <w:szCs w:val="28"/>
        </w:rPr>
        <w:t xml:space="preserve"> </w:t>
      </w:r>
      <w:r>
        <w:rPr>
          <w:rFonts w:ascii="Times New Roman" w:hAnsi="Times New Roman"/>
          <w:sz w:val="28"/>
          <w:szCs w:val="28"/>
        </w:rPr>
        <w:t xml:space="preserve">short term nature of construction work was intended to be a factor in determining whether an employee is employed in the construction industry under the legislation in the Northwest Territories.  </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The Adjudicator in this case disagreed with the decision by an adjudicator in </w:t>
      </w:r>
      <w:r>
        <w:rPr>
          <w:rFonts w:ascii="Times New Roman" w:hAnsi="Times New Roman"/>
          <w:i/>
          <w:iCs/>
          <w:sz w:val="28"/>
          <w:szCs w:val="28"/>
        </w:rPr>
        <w:t>JSL Mechanical Installations Ltd. v. Martiniuk</w:t>
      </w:r>
      <w:r>
        <w:rPr>
          <w:rFonts w:ascii="Times New Roman" w:hAnsi="Times New Roman"/>
          <w:sz w:val="28"/>
          <w:szCs w:val="28"/>
        </w:rPr>
        <w:t xml:space="preserve">, 2011 CanLII 62153 (NWT LSB), where he rejected the argument that the termination pay exception is restricted to short term construction work.  In </w:t>
      </w:r>
      <w:r>
        <w:rPr>
          <w:rFonts w:ascii="Times New Roman" w:hAnsi="Times New Roman"/>
          <w:i/>
          <w:iCs/>
          <w:sz w:val="28"/>
          <w:szCs w:val="28"/>
        </w:rPr>
        <w:t>Martiniuk</w:t>
      </w:r>
      <w:r>
        <w:rPr>
          <w:rFonts w:ascii="Times New Roman" w:hAnsi="Times New Roman"/>
          <w:sz w:val="28"/>
          <w:szCs w:val="28"/>
        </w:rPr>
        <w:t xml:space="preserve">, the adjudicator referred to the definition of “construction industry” in the former </w:t>
      </w:r>
      <w:r>
        <w:rPr>
          <w:rFonts w:ascii="Times New Roman" w:hAnsi="Times New Roman"/>
          <w:i/>
          <w:iCs/>
          <w:sz w:val="28"/>
          <w:szCs w:val="28"/>
        </w:rPr>
        <w:t>Employment of Young Persons Regulations</w:t>
      </w:r>
      <w:r>
        <w:rPr>
          <w:rFonts w:ascii="Times New Roman" w:hAnsi="Times New Roman"/>
          <w:sz w:val="28"/>
          <w:szCs w:val="28"/>
        </w:rPr>
        <w:t xml:space="preserve"> and the lack of any time element in the current Regulation and concluded:</w:t>
      </w:r>
    </w:p>
    <w:p w:rsidR="00FB7763" w:rsidRPr="00FB7763" w:rsidRDefault="00FB7763" w:rsidP="00FB7763">
      <w:pPr>
        <w:pStyle w:val="ListParagraph"/>
        <w:rPr>
          <w:rFonts w:ascii="Times New Roman" w:hAnsi="Times New Roman"/>
          <w:sz w:val="28"/>
          <w:szCs w:val="28"/>
        </w:rPr>
      </w:pPr>
    </w:p>
    <w:p w:rsidR="00FB7763" w:rsidRDefault="00FB7763" w:rsidP="00FB7763">
      <w:pPr>
        <w:pStyle w:val="ListParagraph"/>
        <w:spacing w:after="240" w:line="240" w:lineRule="auto"/>
        <w:ind w:left="0"/>
        <w:jc w:val="both"/>
        <w:rPr>
          <w:rFonts w:ascii="Times New Roman" w:hAnsi="Times New Roman"/>
          <w:sz w:val="28"/>
          <w:szCs w:val="28"/>
        </w:rPr>
      </w:pPr>
    </w:p>
    <w:p w:rsidR="00DA3346" w:rsidRDefault="00511B62" w:rsidP="00032723">
      <w:pPr>
        <w:pStyle w:val="ListParagraph"/>
        <w:spacing w:after="0" w:line="240" w:lineRule="auto"/>
        <w:ind w:right="720"/>
        <w:jc w:val="both"/>
        <w:rPr>
          <w:rFonts w:ascii="Times New Roman" w:hAnsi="Times New Roman"/>
          <w:sz w:val="24"/>
          <w:szCs w:val="24"/>
        </w:rPr>
      </w:pPr>
      <w:r>
        <w:rPr>
          <w:rFonts w:ascii="Times New Roman" w:hAnsi="Times New Roman"/>
          <w:sz w:val="24"/>
          <w:szCs w:val="24"/>
        </w:rPr>
        <w:t xml:space="preserve">The words “construction industry” in the Act would seem to contemplate something broader than work on a single project or on new construction and had the legislators wished to restrict the notice exception to a type of project or period of time they would have made the legislation more explicit.  </w:t>
      </w:r>
    </w:p>
    <w:p w:rsidR="00032723" w:rsidRDefault="00032723" w:rsidP="00032723">
      <w:pPr>
        <w:pStyle w:val="ListParagraph"/>
        <w:spacing w:after="0" w:line="240" w:lineRule="auto"/>
        <w:ind w:right="720"/>
        <w:jc w:val="both"/>
        <w:rPr>
          <w:rFonts w:ascii="Times New Roman" w:eastAsia="Times New Roman" w:hAnsi="Times New Roman" w:cs="Times New Roman"/>
          <w:sz w:val="24"/>
          <w:szCs w:val="24"/>
        </w:rPr>
      </w:pPr>
    </w:p>
    <w:p w:rsidR="00032723" w:rsidRDefault="00032723" w:rsidP="00032723">
      <w:pPr>
        <w:pStyle w:val="ListParagraph"/>
        <w:spacing w:after="0" w:line="240" w:lineRule="auto"/>
        <w:ind w:right="720"/>
        <w:jc w:val="both"/>
        <w:rPr>
          <w:rFonts w:ascii="Times New Roman" w:eastAsia="Times New Roman" w:hAnsi="Times New Roman" w:cs="Times New Roman"/>
          <w:sz w:val="24"/>
          <w:szCs w:val="24"/>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The same adjudicator came to the same conclusion in </w:t>
      </w:r>
      <w:r>
        <w:rPr>
          <w:rFonts w:ascii="Times New Roman" w:hAnsi="Times New Roman"/>
          <w:i/>
          <w:iCs/>
          <w:sz w:val="28"/>
          <w:szCs w:val="28"/>
        </w:rPr>
        <w:t>JSL Mechanical Installations Ltd. v. Alsgard</w:t>
      </w:r>
      <w:r>
        <w:rPr>
          <w:rFonts w:ascii="Times New Roman" w:hAnsi="Times New Roman"/>
          <w:sz w:val="28"/>
          <w:szCs w:val="28"/>
        </w:rPr>
        <w:t>, 2011 CanLII 62152 (NWT LSB).</w:t>
      </w: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Appellant points out that the decision in </w:t>
      </w:r>
      <w:r>
        <w:rPr>
          <w:rFonts w:ascii="Times New Roman" w:hAnsi="Times New Roman"/>
          <w:i/>
          <w:iCs/>
          <w:sz w:val="28"/>
          <w:szCs w:val="28"/>
        </w:rPr>
        <w:t>Martiniuk</w:t>
      </w:r>
      <w:r>
        <w:rPr>
          <w:rFonts w:ascii="Times New Roman" w:hAnsi="Times New Roman"/>
          <w:sz w:val="28"/>
          <w:szCs w:val="28"/>
        </w:rPr>
        <w:t xml:space="preserve"> is consistent with remarks made by the Minister who introduced the </w:t>
      </w:r>
      <w:r>
        <w:rPr>
          <w:rFonts w:ascii="Times New Roman" w:hAnsi="Times New Roman"/>
          <w:i/>
          <w:iCs/>
          <w:sz w:val="28"/>
          <w:szCs w:val="28"/>
        </w:rPr>
        <w:t>Employment Standards Act</w:t>
      </w:r>
      <w:r>
        <w:rPr>
          <w:rFonts w:ascii="Times New Roman" w:hAnsi="Times New Roman"/>
          <w:sz w:val="28"/>
          <w:szCs w:val="28"/>
        </w:rPr>
        <w:t xml:space="preserve"> in the Legislative Assembly of the Northwest Territories in August 2007.  In those remarks, he referred to the regulations under the Act as exempting “classes of employers and employees” from the general provisions of the Act.  He also said that the intention was to ensure that definitions were clarified and not substantially changed from what was then understood by the definitions (Hansard, August 16, 2007).  Although the definition of “construction industry” contained in the repealed </w:t>
      </w:r>
      <w:r>
        <w:rPr>
          <w:rFonts w:ascii="Times New Roman" w:hAnsi="Times New Roman"/>
          <w:i/>
          <w:iCs/>
          <w:sz w:val="28"/>
          <w:szCs w:val="28"/>
        </w:rPr>
        <w:t>Employment of Young Persons Regulations</w:t>
      </w:r>
      <w:r>
        <w:rPr>
          <w:rFonts w:ascii="Times New Roman" w:hAnsi="Times New Roman"/>
          <w:sz w:val="28"/>
          <w:szCs w:val="28"/>
        </w:rPr>
        <w:t xml:space="preserve"> under the </w:t>
      </w:r>
      <w:r>
        <w:rPr>
          <w:rFonts w:ascii="Times New Roman" w:hAnsi="Times New Roman"/>
          <w:i/>
          <w:iCs/>
          <w:sz w:val="28"/>
          <w:szCs w:val="28"/>
        </w:rPr>
        <w:t>Labour Standards Act</w:t>
      </w:r>
      <w:r>
        <w:rPr>
          <w:rFonts w:ascii="Times New Roman" w:hAnsi="Times New Roman"/>
          <w:sz w:val="28"/>
          <w:szCs w:val="28"/>
        </w:rPr>
        <w:t xml:space="preserve"> was not included in the </w:t>
      </w:r>
      <w:r>
        <w:rPr>
          <w:rFonts w:ascii="Times New Roman" w:hAnsi="Times New Roman"/>
          <w:i/>
          <w:iCs/>
          <w:sz w:val="28"/>
          <w:szCs w:val="28"/>
        </w:rPr>
        <w:t>Employment Standards Act</w:t>
      </w:r>
      <w:r>
        <w:rPr>
          <w:rFonts w:ascii="Times New Roman" w:hAnsi="Times New Roman"/>
          <w:sz w:val="28"/>
          <w:szCs w:val="28"/>
        </w:rPr>
        <w:t xml:space="preserve"> or its regulations, there is consistency.  There was no time restriction in the definition of construction industry in the repealed legislation, the Minister’s remarks suggest that there would not be substantial change and there is no time restriction in s. 4.1(a) of the current regulation.  The decisions in </w:t>
      </w:r>
      <w:r>
        <w:rPr>
          <w:rFonts w:ascii="Times New Roman" w:hAnsi="Times New Roman"/>
          <w:i/>
          <w:iCs/>
          <w:sz w:val="28"/>
          <w:szCs w:val="28"/>
        </w:rPr>
        <w:t>Martiniuk</w:t>
      </w:r>
      <w:r>
        <w:rPr>
          <w:rFonts w:ascii="Times New Roman" w:hAnsi="Times New Roman"/>
          <w:sz w:val="28"/>
          <w:szCs w:val="28"/>
        </w:rPr>
        <w:t xml:space="preserve"> and </w:t>
      </w:r>
      <w:r>
        <w:rPr>
          <w:rFonts w:ascii="Times New Roman" w:hAnsi="Times New Roman"/>
          <w:i/>
          <w:iCs/>
          <w:sz w:val="28"/>
          <w:szCs w:val="28"/>
        </w:rPr>
        <w:t>Alsgard</w:t>
      </w:r>
      <w:r>
        <w:rPr>
          <w:rFonts w:ascii="Times New Roman" w:hAnsi="Times New Roman"/>
          <w:sz w:val="28"/>
          <w:szCs w:val="28"/>
        </w:rPr>
        <w:t xml:space="preserve"> recognize that.</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In </w:t>
      </w:r>
      <w:r>
        <w:rPr>
          <w:rFonts w:ascii="Times New Roman" w:hAnsi="Times New Roman"/>
          <w:i/>
          <w:iCs/>
          <w:sz w:val="28"/>
          <w:szCs w:val="28"/>
        </w:rPr>
        <w:t>Millennium Construction Ltd. v. Nel</w:t>
      </w:r>
      <w:r>
        <w:rPr>
          <w:rFonts w:ascii="Times New Roman" w:hAnsi="Times New Roman"/>
          <w:sz w:val="28"/>
          <w:szCs w:val="28"/>
        </w:rPr>
        <w:t xml:space="preserve">, 2012 CanLII 102409 (NWTLSB), the Adjudicator who heard this case quoted the decision in </w:t>
      </w:r>
      <w:r>
        <w:rPr>
          <w:rFonts w:ascii="Times New Roman" w:hAnsi="Times New Roman"/>
          <w:i/>
          <w:iCs/>
          <w:sz w:val="28"/>
          <w:szCs w:val="28"/>
        </w:rPr>
        <w:t>Martiniuk</w:t>
      </w:r>
      <w:r>
        <w:rPr>
          <w:rFonts w:ascii="Times New Roman" w:hAnsi="Times New Roman"/>
          <w:sz w:val="28"/>
          <w:szCs w:val="28"/>
        </w:rPr>
        <w:t xml:space="preserve"> with approval.  She adopted the </w:t>
      </w:r>
      <w:r>
        <w:rPr>
          <w:rFonts w:ascii="Times New Roman" w:hAnsi="Times New Roman"/>
          <w:i/>
          <w:iCs/>
          <w:sz w:val="28"/>
          <w:szCs w:val="28"/>
        </w:rPr>
        <w:t>Martiniuk</w:t>
      </w:r>
      <w:r>
        <w:rPr>
          <w:rFonts w:ascii="Times New Roman" w:hAnsi="Times New Roman"/>
          <w:sz w:val="28"/>
          <w:szCs w:val="28"/>
        </w:rPr>
        <w:t xml:space="preserve"> definition of construction industry and in her own decision relied on the definition that had been contained in the </w:t>
      </w:r>
      <w:r>
        <w:rPr>
          <w:rFonts w:ascii="Times New Roman" w:hAnsi="Times New Roman"/>
          <w:i/>
          <w:iCs/>
          <w:sz w:val="28"/>
          <w:szCs w:val="28"/>
        </w:rPr>
        <w:t>Employment of Young Persons Regulations.</w:t>
      </w:r>
      <w:r>
        <w:rPr>
          <w:rFonts w:ascii="Times New Roman" w:hAnsi="Times New Roman"/>
          <w:sz w:val="28"/>
          <w:szCs w:val="28"/>
        </w:rPr>
        <w:t xml:space="preserve">  In the case now before me, however, she acknowledged only that that definition may throw some light on the issue but distinguished it because it is no longer in the legislation and had been contained in regulations focused on the protection of young people, not protection of all workers.</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length of Mr. Lavallee’s employment with the Appellant was substantially longer than was the case in </w:t>
      </w:r>
      <w:r>
        <w:rPr>
          <w:rFonts w:ascii="Times New Roman" w:hAnsi="Times New Roman"/>
          <w:i/>
          <w:iCs/>
          <w:sz w:val="28"/>
          <w:szCs w:val="28"/>
        </w:rPr>
        <w:t>Nel</w:t>
      </w:r>
      <w:r>
        <w:rPr>
          <w:rFonts w:ascii="Times New Roman" w:hAnsi="Times New Roman"/>
          <w:sz w:val="28"/>
          <w:szCs w:val="28"/>
        </w:rPr>
        <w:t xml:space="preserve">, where the employee worked for 10 months.  The Adjudicator appears to have found the lengthier employment hard to reconcile with the reasoning for the exemption from notice or termination pay as set out in </w:t>
      </w:r>
      <w:r>
        <w:rPr>
          <w:rFonts w:ascii="Times New Roman" w:hAnsi="Times New Roman"/>
          <w:i/>
          <w:iCs/>
          <w:sz w:val="28"/>
          <w:szCs w:val="28"/>
        </w:rPr>
        <w:t>Scapillati,</w:t>
      </w:r>
      <w:r>
        <w:rPr>
          <w:rFonts w:ascii="Times New Roman" w:hAnsi="Times New Roman"/>
          <w:sz w:val="28"/>
          <w:szCs w:val="28"/>
        </w:rPr>
        <w:t xml:space="preserve"> referred to above. </w:t>
      </w:r>
    </w:p>
    <w:p w:rsidR="00032723" w:rsidRDefault="00032723" w:rsidP="00032723">
      <w:pPr>
        <w:pStyle w:val="ListParagraph"/>
        <w:spacing w:after="0" w:line="240" w:lineRule="auto"/>
        <w:ind w:left="0"/>
        <w:jc w:val="both"/>
        <w:rPr>
          <w:rFonts w:ascii="Times New Roman" w:hAnsi="Times New Roman"/>
          <w:sz w:val="28"/>
          <w:szCs w:val="28"/>
        </w:rPr>
      </w:pPr>
    </w:p>
    <w:p w:rsidR="00FB7763" w:rsidRDefault="00FB7763" w:rsidP="00032723">
      <w:pPr>
        <w:pStyle w:val="ListParagraph"/>
        <w:spacing w:after="0" w:line="240" w:lineRule="auto"/>
        <w:ind w:left="0"/>
        <w:jc w:val="both"/>
        <w:rPr>
          <w:rFonts w:ascii="Times New Roman" w:hAnsi="Times New Roman"/>
          <w:sz w:val="28"/>
          <w:szCs w:val="28"/>
        </w:rPr>
      </w:pPr>
    </w:p>
    <w:p w:rsidR="00FB7763" w:rsidRDefault="00FB776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Notwithstanding what was said in </w:t>
      </w:r>
      <w:r>
        <w:rPr>
          <w:rFonts w:ascii="Times New Roman" w:hAnsi="Times New Roman"/>
          <w:i/>
          <w:iCs/>
          <w:sz w:val="28"/>
          <w:szCs w:val="28"/>
        </w:rPr>
        <w:t>Scapillati</w:t>
      </w:r>
      <w:r>
        <w:rPr>
          <w:rFonts w:ascii="Times New Roman" w:hAnsi="Times New Roman"/>
          <w:sz w:val="28"/>
          <w:szCs w:val="28"/>
        </w:rPr>
        <w:t xml:space="preserve">, in two Ontario cases claims for termination pay by employees of the Appellant Cementation Canada Inc. working in circumstances similar to Mr. Lavallee were rejected because the employees were found to be employed in the construction industry.  In </w:t>
      </w:r>
      <w:r>
        <w:rPr>
          <w:rFonts w:ascii="Times New Roman" w:hAnsi="Times New Roman"/>
          <w:i/>
          <w:iCs/>
          <w:sz w:val="28"/>
          <w:szCs w:val="28"/>
        </w:rPr>
        <w:t>Hollos v. Cementation Canada Inc.</w:t>
      </w:r>
      <w:r>
        <w:rPr>
          <w:rFonts w:ascii="Times New Roman" w:hAnsi="Times New Roman"/>
          <w:sz w:val="28"/>
          <w:szCs w:val="28"/>
        </w:rPr>
        <w:t xml:space="preserve">, [2007] O.E.S.A.D. No. 388, the Ontario Labour Relations Board found that in building a mine shaft, the Appellant was engaged as a business in the construction industry.  The fact that the Appellant’s employee worked underground in that case did not mean that the employee was employed in the mining industry, as he had argued.  The Board stated that the correct focus of the inquiry is on the nature of the work the employee was engaged in and whether his activities fell within the definition of “construction industry” in the Ontario statute.  The Appellant’s work was construction of a structure or tunnel, which fell within the statute’s definition of “construction industry” and the employee was engaged in that work.  Therefore, the Board held, the exemption from termination pay applied.  </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In </w:t>
      </w:r>
      <w:r>
        <w:rPr>
          <w:rFonts w:ascii="Times New Roman" w:hAnsi="Times New Roman"/>
          <w:i/>
          <w:iCs/>
          <w:sz w:val="28"/>
          <w:szCs w:val="28"/>
        </w:rPr>
        <w:t>Hollos</w:t>
      </w:r>
      <w:r>
        <w:rPr>
          <w:rFonts w:ascii="Times New Roman" w:hAnsi="Times New Roman"/>
          <w:sz w:val="28"/>
          <w:szCs w:val="28"/>
        </w:rPr>
        <w:t>, at paragraph 14 of its decision, the Board also commented on the purpose of the exclusion of the construction industry from the termination pay provision:</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spacing w:after="0" w:line="240" w:lineRule="auto"/>
        <w:ind w:right="720"/>
        <w:jc w:val="both"/>
        <w:rPr>
          <w:rFonts w:ascii="Times New Roman" w:hAnsi="Times New Roman"/>
          <w:sz w:val="24"/>
          <w:szCs w:val="24"/>
        </w:rPr>
      </w:pPr>
      <w:r>
        <w:rPr>
          <w:rFonts w:ascii="Times New Roman" w:hAnsi="Times New Roman"/>
          <w:sz w:val="24"/>
          <w:szCs w:val="24"/>
        </w:rPr>
        <w:t>Moreover, the work of [Cementation Canada Inc.] is transitory and project oriented.  Employment lasts as long as the project’s estimated duration, and sometimes not even that long.  The duration of the work depends upon circumstances beyond [Cementation’s] control.  This is true generally of the construction industry, and is essentially the reason the notice of termination exemption exists.</w:t>
      </w:r>
    </w:p>
    <w:p w:rsidR="00032723" w:rsidRDefault="00032723" w:rsidP="00032723">
      <w:pPr>
        <w:pStyle w:val="ListParagraph"/>
        <w:spacing w:after="0" w:line="240" w:lineRule="auto"/>
        <w:ind w:right="720"/>
        <w:jc w:val="both"/>
        <w:rPr>
          <w:rFonts w:ascii="Times New Roman" w:eastAsia="Times New Roman" w:hAnsi="Times New Roman" w:cs="Times New Roman"/>
          <w:sz w:val="24"/>
          <w:szCs w:val="24"/>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Similarly, in </w:t>
      </w:r>
      <w:r>
        <w:rPr>
          <w:rFonts w:ascii="Times New Roman" w:hAnsi="Times New Roman"/>
          <w:i/>
          <w:iCs/>
          <w:sz w:val="28"/>
          <w:szCs w:val="28"/>
        </w:rPr>
        <w:t>Harvey v. Cementation Canada,</w:t>
      </w:r>
      <w:r>
        <w:rPr>
          <w:rFonts w:ascii="Times New Roman" w:hAnsi="Times New Roman"/>
          <w:sz w:val="28"/>
          <w:szCs w:val="28"/>
        </w:rPr>
        <w:t xml:space="preserve">  April 4,  2014, Employment Standards Officer, Ministry of Labour (Ontario), it was found that the Appellant was contracted for construction of a mine, not production mining.  The Appellant’s employee, who was laid off after more than two and a half years, was found to be a construction employee and not entitled to termination pay.</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In this case, in paragraph 26 of her decision, the Adjudicator stated that the construction industry is characterized by short term projects and that construction workers are aware of this when they are employed.  As I have noted above, she quoted from the </w:t>
      </w:r>
      <w:r>
        <w:rPr>
          <w:rFonts w:ascii="Times New Roman" w:hAnsi="Times New Roman"/>
          <w:i/>
          <w:iCs/>
          <w:sz w:val="28"/>
          <w:szCs w:val="28"/>
        </w:rPr>
        <w:t>Scapillati</w:t>
      </w:r>
      <w:r>
        <w:rPr>
          <w:rFonts w:ascii="Times New Roman" w:hAnsi="Times New Roman"/>
          <w:sz w:val="28"/>
          <w:szCs w:val="28"/>
        </w:rPr>
        <w:t xml:space="preserve"> case, where Ontario’s Minister of Labour remarked that the typically irregular and intermittent nature of construction employment was the reason construction workers were excluded from termination pay coverage.  However, the Adjudicator inferred from that that the short term nature of construction work should be a factor in determining whether an employee can be said to be working in the construction industry. </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In my view, the Adjudicator erred in making that inference.  It is contrary to previous cases in this jurisdiction and to the legislation itself.  </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 xml:space="preserve">Absent a statutory time restriction, it is not the length of the employment or the construction project, but the lack of control that the construction industry employer has over the length of the employment or project, that is the reason for the exclusion, as stated by the Board in the </w:t>
      </w:r>
      <w:r>
        <w:rPr>
          <w:rFonts w:ascii="Times New Roman" w:hAnsi="Times New Roman"/>
          <w:i/>
          <w:iCs/>
          <w:sz w:val="28"/>
          <w:szCs w:val="28"/>
        </w:rPr>
        <w:t>Hollos</w:t>
      </w:r>
      <w:r>
        <w:rPr>
          <w:rFonts w:ascii="Times New Roman" w:hAnsi="Times New Roman"/>
          <w:sz w:val="28"/>
          <w:szCs w:val="28"/>
        </w:rPr>
        <w:t xml:space="preserve"> case.  If the legislature should choose to amend the statute by restricting the availability of the exemption to a specified length of time, that would be up to it.  However, as the statute now stands, the length of time over which the construction work takes place or the employee is employed in it is not a consideration.  The Adjudicator erred in finding that it was.</w:t>
      </w:r>
    </w:p>
    <w:p w:rsidR="00032723"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Adjudicator’s decision that the length of the project the employee works on is relevant to whether the employee can be said to be employed in the construction industry could lead to great uncertainty.  One would have to determine what is short versus long term and that might depend on the nature of the work that is being done. </w:t>
      </w:r>
    </w:p>
    <w:p w:rsidR="00DA3346" w:rsidRDefault="00DA3346" w:rsidP="00032723">
      <w:pPr>
        <w:pStyle w:val="ListParagraph"/>
        <w:spacing w:after="0" w:line="240" w:lineRule="auto"/>
        <w:ind w:left="0"/>
        <w:jc w:val="both"/>
        <w:rPr>
          <w:rFonts w:ascii="Times New Roman" w:hAnsi="Times New Roman"/>
          <w:sz w:val="28"/>
          <w:szCs w:val="28"/>
        </w:rPr>
      </w:pPr>
    </w:p>
    <w:p w:rsidR="00032723"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Adjudicator also went on to consider whether the type of work Mr. Lavallee did could be considered construction work.  She accepted as a fact that he worked as a development miner (a term used to describe an individual involved in construction of a mine as contrasted to an individual involved in production mining).  At paragraph 29 of her decision she stated:</w:t>
      </w:r>
    </w:p>
    <w:p w:rsidR="00032723" w:rsidRP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spacing w:after="0" w:line="240" w:lineRule="auto"/>
        <w:ind w:right="720"/>
        <w:jc w:val="both"/>
        <w:rPr>
          <w:rFonts w:ascii="Times New Roman" w:hAnsi="Times New Roman"/>
          <w:sz w:val="24"/>
          <w:szCs w:val="24"/>
        </w:rPr>
      </w:pPr>
      <w:r>
        <w:rPr>
          <w:rFonts w:ascii="Times New Roman" w:hAnsi="Times New Roman"/>
          <w:sz w:val="24"/>
          <w:szCs w:val="24"/>
        </w:rPr>
        <w:t>(…) I, therefore, accept as fact that Mr. Lavallee worked as a development miner and was engaged in work associated with constructing drifts and tunnels that lead to underground ore bodies, as indicated by Cementation’s submissions and which was undisputed by Mr. Lavallee in his submissions to the Appeal.</w:t>
      </w:r>
    </w:p>
    <w:p w:rsidR="00032723" w:rsidRDefault="00032723" w:rsidP="00032723">
      <w:pPr>
        <w:pStyle w:val="ListParagraph"/>
        <w:spacing w:after="0" w:line="240" w:lineRule="auto"/>
        <w:ind w:right="720"/>
        <w:jc w:val="both"/>
        <w:rPr>
          <w:rFonts w:ascii="Times New Roman" w:eastAsia="Times New Roman" w:hAnsi="Times New Roman" w:cs="Times New Roman"/>
          <w:sz w:val="24"/>
          <w:szCs w:val="24"/>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Having said that, however, the Adjudicator went on to review some areas of the Appellant’s evidence that she found problematic.  She found that the fact that Mr. Lavallee had been trained in blasting and did blast ore while employed by the Appellant created a doubt as to how clearly defined his duties were and that the line between a development miner and a production miner is not as clear as the Appellant “purports it to be” (paragraph 32).  While she accepted that Mr. Lavallee was “engaged in extending drifts and tunnels, some of the work he did was very similar to that done by the production miners”.  She noted that generally the development miners blasted rock without ore in it while the production miners blasted rock with ore in it.</w:t>
      </w:r>
    </w:p>
    <w:p w:rsidR="00032723" w:rsidRDefault="00032723" w:rsidP="00032723">
      <w:pPr>
        <w:pStyle w:val="ListParagraph"/>
        <w:spacing w:after="0" w:line="240" w:lineRule="auto"/>
        <w:ind w:left="0"/>
        <w:jc w:val="both"/>
        <w:rPr>
          <w:rFonts w:ascii="Times New Roman" w:hAnsi="Times New Roman"/>
          <w:sz w:val="28"/>
          <w:szCs w:val="28"/>
        </w:rPr>
      </w:pPr>
    </w:p>
    <w:p w:rsidR="00FB7763" w:rsidRDefault="00FB7763" w:rsidP="00032723">
      <w:pPr>
        <w:pStyle w:val="ListParagraph"/>
        <w:spacing w:after="0" w:line="240" w:lineRule="auto"/>
        <w:ind w:left="0"/>
        <w:jc w:val="both"/>
        <w:rPr>
          <w:rFonts w:ascii="Times New Roman" w:hAnsi="Times New Roman"/>
          <w:sz w:val="28"/>
          <w:szCs w:val="28"/>
        </w:rPr>
      </w:pPr>
    </w:p>
    <w:p w:rsidR="00FB7763" w:rsidRDefault="00FB7763" w:rsidP="00032723">
      <w:pPr>
        <w:pStyle w:val="ListParagraph"/>
        <w:spacing w:after="0" w:line="240" w:lineRule="auto"/>
        <w:ind w:left="0"/>
        <w:jc w:val="both"/>
        <w:rPr>
          <w:rFonts w:ascii="Times New Roman" w:hAnsi="Times New Roman"/>
          <w:sz w:val="28"/>
          <w:szCs w:val="28"/>
        </w:rPr>
      </w:pPr>
    </w:p>
    <w:p w:rsidR="00DA3346" w:rsidRDefault="00511B62" w:rsidP="009904D9">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Although not explicitly stated in her decision, the material that was before the Adjudicator indicates that drifts are horizontal tunnels driven along the mineral vein, thus part of the infrastructure of the mine. (Record, Volume 1, Tab 50).</w:t>
      </w:r>
    </w:p>
    <w:p w:rsidR="009904D9" w:rsidRDefault="009904D9" w:rsidP="009904D9">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Material submitted to the Adjudicator by the Appellant referred to the distinction between development miners (whose job is to construct and develop the mine so that mining of the ore can take place) and production miners (whose job is to mine the ore to retrieve what is or will become the desired product).  While these appear to be terms of art in the industry, as suggested by counsel for the Appellant, they simply reflect the fact that there are two groups of workers with different goals.  This does not mean that they are doing the same work.  From the point of view of performance, a factor relevant to the employer of the production miners would likely be the amount of ore they mine.  That factor would not be relevant to the employer of the development miners, who would be concerned with the pace and quality of construction.</w:t>
      </w:r>
    </w:p>
    <w:p w:rsidR="00032723" w:rsidRDefault="000327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In my view, the Adjudicator overlooked this distinction.  She focused instead on similarities in aspects of the physical day to day work rather than the ultimate goal of each employer.</w:t>
      </w:r>
    </w:p>
    <w:p w:rsidR="00DA3346" w:rsidRDefault="00DA3346" w:rsidP="00032723">
      <w:pPr>
        <w:pStyle w:val="ListParagraph"/>
        <w:spacing w:after="0" w:line="240" w:lineRule="auto"/>
        <w:ind w:left="0"/>
        <w:jc w:val="both"/>
        <w:rPr>
          <w:rFonts w:ascii="Times New Roman" w:eastAsia="Times New Roman" w:hAnsi="Times New Roman" w:cs="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Adjudicator found that because the development and production miners worked at similar tasks in the same location of the mine, although at different times, it “is absurd to conclude that the statute intended to deprive one of these groups of their right to reasonable notice based on the fact that (most of the time) they were not blasting the same type of rock”.  She concluded that this would be reasonable “only if there were a time factor involved, that is if one group of employees were engaged on a short term project which had an obvious end” (paragraph 33).  She noted that the Appellant had not proved that to be the case and found that “Mr. Lavallee was a long-term employee and there is no evidence that he was hired only until the completion of a short-term construction project” (paragraph 33).</w:t>
      </w:r>
    </w:p>
    <w:p w:rsidR="00FF1463" w:rsidRDefault="00FF146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This part of the Adjudicator’s analysis does not take into account the reality that the two groups of employees working at the mine had different employers.  The group to which Mr. Lavallee belonged was employed by the Appellant, which did not have control over the length of time its work constructing the mine would last.  The other group, the production miners, were employed by the mine owner which, subject to there being product to mine, had control over how long both construction and mining would continue.</w:t>
      </w:r>
    </w:p>
    <w:p w:rsidR="00631D23" w:rsidRDefault="00631D23" w:rsidP="00032723">
      <w:pPr>
        <w:pStyle w:val="ListParagraph"/>
        <w:spacing w:after="0" w:line="240" w:lineRule="auto"/>
        <w:rPr>
          <w:rFonts w:ascii="Times New Roman" w:hAnsi="Times New Roman"/>
          <w:sz w:val="28"/>
          <w:szCs w:val="28"/>
        </w:rPr>
      </w:pPr>
    </w:p>
    <w:p w:rsidR="00FB7763" w:rsidRDefault="00FB7763" w:rsidP="00032723">
      <w:pPr>
        <w:pStyle w:val="ListParagraph"/>
        <w:spacing w:after="0" w:line="240" w:lineRule="auto"/>
        <w:rPr>
          <w:rFonts w:ascii="Times New Roman" w:hAnsi="Times New Roman"/>
          <w:sz w:val="28"/>
          <w:szCs w:val="28"/>
        </w:rPr>
      </w:pPr>
    </w:p>
    <w:p w:rsidR="00FB7763" w:rsidRPr="00631D23" w:rsidRDefault="00FB7763" w:rsidP="00032723">
      <w:pPr>
        <w:pStyle w:val="ListParagraph"/>
        <w:spacing w:after="0" w:line="240" w:lineRule="auto"/>
        <w:rPr>
          <w:rFonts w:ascii="Times New Roman" w:hAnsi="Times New Roman"/>
          <w:sz w:val="28"/>
          <w:szCs w:val="28"/>
        </w:rPr>
      </w:pPr>
    </w:p>
    <w:p w:rsidR="00631D23" w:rsidRDefault="00631D23" w:rsidP="00032723">
      <w:pPr>
        <w:pStyle w:val="ListParagraph"/>
        <w:numPr>
          <w:ilvl w:val="0"/>
          <w:numId w:val="6"/>
        </w:numPr>
        <w:spacing w:after="0" w:line="240" w:lineRule="auto"/>
        <w:ind w:left="0" w:firstLine="0"/>
        <w:jc w:val="both"/>
        <w:rPr>
          <w:rFonts w:ascii="Times New Roman" w:hAnsi="Times New Roman"/>
          <w:sz w:val="28"/>
          <w:szCs w:val="28"/>
        </w:rPr>
      </w:pPr>
      <w:r w:rsidRPr="00631D23">
        <w:rPr>
          <w:rFonts w:ascii="Times New Roman" w:hAnsi="Times New Roman"/>
          <w:sz w:val="28"/>
          <w:szCs w:val="28"/>
        </w:rPr>
        <w:lastRenderedPageBreak/>
        <w:t>In the evidence before her, the Adjudicator had a letter from Diavik (Record,</w:t>
      </w:r>
      <w:r>
        <w:rPr>
          <w:rFonts w:ascii="Times New Roman" w:hAnsi="Times New Roman"/>
          <w:sz w:val="28"/>
          <w:szCs w:val="28"/>
        </w:rPr>
        <w:t xml:space="preserve"> Volume 2, Tab 71 G ) </w:t>
      </w:r>
      <w:r w:rsidRPr="00631D23">
        <w:rPr>
          <w:rFonts w:ascii="Times New Roman" w:hAnsi="Times New Roman"/>
          <w:sz w:val="28"/>
          <w:szCs w:val="28"/>
        </w:rPr>
        <w:t xml:space="preserve">explaining that all the production mining in the Diavik underground is conducted by Diavik’s workforce.  That letter also states, “All pre-production development work and a portion of the supporting construction activities are carried out by  KCMD workforce”.  </w:t>
      </w:r>
    </w:p>
    <w:p w:rsidR="00631D23" w:rsidRPr="00631D23" w:rsidRDefault="00631D23" w:rsidP="00032723">
      <w:pPr>
        <w:pStyle w:val="ListParagraph"/>
        <w:spacing w:after="0" w:line="240" w:lineRule="auto"/>
        <w:rPr>
          <w:rFonts w:ascii="Times New Roman" w:hAnsi="Times New Roman"/>
          <w:sz w:val="28"/>
          <w:szCs w:val="28"/>
        </w:rPr>
      </w:pPr>
    </w:p>
    <w:p w:rsidR="00631D23" w:rsidRDefault="00631D23" w:rsidP="00032723">
      <w:pPr>
        <w:pStyle w:val="ListParagraph"/>
        <w:numPr>
          <w:ilvl w:val="0"/>
          <w:numId w:val="6"/>
        </w:numPr>
        <w:spacing w:after="0" w:line="240" w:lineRule="auto"/>
        <w:ind w:left="0" w:firstLine="0"/>
        <w:jc w:val="both"/>
        <w:rPr>
          <w:rFonts w:ascii="Times New Roman" w:hAnsi="Times New Roman"/>
          <w:sz w:val="28"/>
          <w:szCs w:val="28"/>
        </w:rPr>
      </w:pPr>
      <w:r w:rsidRPr="00631D23">
        <w:rPr>
          <w:rFonts w:ascii="Times New Roman" w:hAnsi="Times New Roman"/>
          <w:sz w:val="28"/>
          <w:szCs w:val="28"/>
        </w:rPr>
        <w:t xml:space="preserve">The reference to KCMD has to be explained.  The Appellant had submitted to the Adjudicator that Mr. </w:t>
      </w:r>
      <w:r>
        <w:rPr>
          <w:rFonts w:ascii="Times New Roman" w:hAnsi="Times New Roman"/>
          <w:sz w:val="28"/>
          <w:szCs w:val="28"/>
        </w:rPr>
        <w:t>Lava</w:t>
      </w:r>
      <w:r w:rsidRPr="00631D23">
        <w:rPr>
          <w:rFonts w:ascii="Times New Roman" w:hAnsi="Times New Roman"/>
          <w:sz w:val="28"/>
          <w:szCs w:val="28"/>
        </w:rPr>
        <w:t>ll</w:t>
      </w:r>
      <w:r>
        <w:rPr>
          <w:rFonts w:ascii="Times New Roman" w:hAnsi="Times New Roman"/>
          <w:sz w:val="28"/>
          <w:szCs w:val="28"/>
        </w:rPr>
        <w:t>ee</w:t>
      </w:r>
      <w:r w:rsidRPr="00631D23">
        <w:rPr>
          <w:rFonts w:ascii="Times New Roman" w:hAnsi="Times New Roman"/>
          <w:sz w:val="28"/>
          <w:szCs w:val="28"/>
        </w:rPr>
        <w:t xml:space="preserve">’s employer was actually Kitikmeot Cementation Mining and Development, “KCMD”, a joint venture between the Appellant and another company.  The Adjudicator found that while certain documents showed that KCMD was a contractor at Diavik, all of the documents referencing Mr. </w:t>
      </w:r>
      <w:r>
        <w:rPr>
          <w:rFonts w:ascii="Times New Roman" w:hAnsi="Times New Roman"/>
          <w:sz w:val="28"/>
          <w:szCs w:val="28"/>
        </w:rPr>
        <w:t>Lava</w:t>
      </w:r>
      <w:r w:rsidRPr="00631D23">
        <w:rPr>
          <w:rFonts w:ascii="Times New Roman" w:hAnsi="Times New Roman"/>
          <w:sz w:val="28"/>
          <w:szCs w:val="28"/>
        </w:rPr>
        <w:t>ll</w:t>
      </w:r>
      <w:r>
        <w:rPr>
          <w:rFonts w:ascii="Times New Roman" w:hAnsi="Times New Roman"/>
          <w:sz w:val="28"/>
          <w:szCs w:val="28"/>
        </w:rPr>
        <w:t>ee</w:t>
      </w:r>
      <w:r w:rsidRPr="00631D23">
        <w:rPr>
          <w:rFonts w:ascii="Times New Roman" w:hAnsi="Times New Roman"/>
          <w:sz w:val="28"/>
          <w:szCs w:val="28"/>
        </w:rPr>
        <w:t>’s employment indicated that the Appellant was his employer and so she concluded that he was employed by the Appellant.  Nothing turns on this as there was no finding or evidence that the Appellant was doing any work at Diavik other than through the joint venture.</w:t>
      </w:r>
    </w:p>
    <w:p w:rsidR="00631D23" w:rsidRPr="00631D23" w:rsidRDefault="00631D23" w:rsidP="00032723">
      <w:pPr>
        <w:pStyle w:val="ListParagraph"/>
        <w:spacing w:after="0" w:line="240" w:lineRule="auto"/>
        <w:rPr>
          <w:rFonts w:ascii="Times New Roman" w:hAnsi="Times New Roman"/>
          <w:sz w:val="28"/>
          <w:szCs w:val="28"/>
        </w:rPr>
      </w:pPr>
    </w:p>
    <w:p w:rsidR="00631D23" w:rsidRPr="00AD694F" w:rsidRDefault="00631D23" w:rsidP="00032723">
      <w:pPr>
        <w:pStyle w:val="ListParagraph"/>
        <w:numPr>
          <w:ilvl w:val="0"/>
          <w:numId w:val="6"/>
        </w:numPr>
        <w:spacing w:after="0" w:line="240" w:lineRule="auto"/>
        <w:ind w:left="0" w:firstLine="0"/>
        <w:jc w:val="both"/>
        <w:rPr>
          <w:rFonts w:ascii="Times New Roman" w:eastAsia="Times New Roman" w:hAnsi="Times New Roman" w:cs="Times New Roman"/>
          <w:sz w:val="28"/>
          <w:szCs w:val="28"/>
        </w:rPr>
      </w:pPr>
      <w:r w:rsidRPr="00631D23">
        <w:rPr>
          <w:rFonts w:ascii="Times New Roman" w:hAnsi="Times New Roman"/>
          <w:sz w:val="28"/>
          <w:szCs w:val="28"/>
        </w:rPr>
        <w:t>The letter from Diavik also stated that pre-production development of the mine consists of activities that occur ahead of production to prepare future areas for production mining.  The letter listed a number of such work activities, including “developing production drill drifts within the orebody”.  Some other activities in the list are: developing the mine’s ramp access system deeper; developing the levels to access the orebodies; building ventilation bulkheads, doors and regulators.  It is clear from the letter that the activities it refers to are aimed at creating or contributing to the infrastructure that is required so that production mining can take place.</w:t>
      </w:r>
    </w:p>
    <w:p w:rsidR="00AD694F" w:rsidRPr="00AD694F" w:rsidRDefault="00AD694F" w:rsidP="00032723">
      <w:pPr>
        <w:pStyle w:val="ListParagraph"/>
        <w:spacing w:after="0" w:line="240" w:lineRule="auto"/>
        <w:rPr>
          <w:rFonts w:ascii="Times New Roman" w:eastAsia="Times New Roman" w:hAnsi="Times New Roman" w:cs="Times New Roman"/>
          <w:sz w:val="28"/>
          <w:szCs w:val="28"/>
        </w:rPr>
      </w:pPr>
    </w:p>
    <w:p w:rsidR="00AD694F" w:rsidRPr="00631D23" w:rsidRDefault="00AD694F" w:rsidP="00032723">
      <w:pPr>
        <w:pStyle w:val="ListParagraph"/>
        <w:numPr>
          <w:ilvl w:val="0"/>
          <w:numId w:val="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Although the Act does not contain a definition of construction industry, it is clear from the definition of “work of construction”, notwithstanding that it is used only in s. 45, that the statute contemplates that a mine can be constructed, just as a building can.  The employees of an employer engaged to construct or develop a mine or parts of a mine prior to mining taking place are, logical</w:t>
      </w:r>
      <w:r w:rsidR="00FE0F6D">
        <w:rPr>
          <w:rFonts w:ascii="Times New Roman" w:eastAsia="Times New Roman" w:hAnsi="Times New Roman" w:cs="Times New Roman"/>
          <w:sz w:val="28"/>
          <w:szCs w:val="28"/>
        </w:rPr>
        <w:t>ly, working in the construc</w:t>
      </w:r>
      <w:r>
        <w:rPr>
          <w:rFonts w:ascii="Times New Roman" w:eastAsia="Times New Roman" w:hAnsi="Times New Roman" w:cs="Times New Roman"/>
          <w:sz w:val="28"/>
          <w:szCs w:val="28"/>
        </w:rPr>
        <w:t>ti</w:t>
      </w:r>
      <w:r w:rsidR="00FE0F6D">
        <w:rPr>
          <w:rFonts w:ascii="Times New Roman" w:eastAsia="Times New Roman" w:hAnsi="Times New Roman" w:cs="Times New Roman"/>
          <w:sz w:val="28"/>
          <w:szCs w:val="28"/>
        </w:rPr>
        <w:t>o</w:t>
      </w:r>
      <w:r>
        <w:rPr>
          <w:rFonts w:ascii="Times New Roman" w:eastAsia="Times New Roman" w:hAnsi="Times New Roman" w:cs="Times New Roman"/>
          <w:sz w:val="28"/>
          <w:szCs w:val="28"/>
        </w:rPr>
        <w:t>n industry.  Their role is not to mine the ore, but to construct infrastructure so th</w:t>
      </w:r>
      <w:r w:rsidR="00FE0F6D">
        <w:rPr>
          <w:rFonts w:ascii="Times New Roman" w:eastAsia="Times New Roman" w:hAnsi="Times New Roman" w:cs="Times New Roman"/>
          <w:sz w:val="28"/>
          <w:szCs w:val="28"/>
        </w:rPr>
        <w:t>at others can mine the ore.  Onc</w:t>
      </w:r>
      <w:r>
        <w:rPr>
          <w:rFonts w:ascii="Times New Roman" w:eastAsia="Times New Roman" w:hAnsi="Times New Roman" w:cs="Times New Roman"/>
          <w:sz w:val="28"/>
          <w:szCs w:val="28"/>
        </w:rPr>
        <w:t xml:space="preserve">e one area of the mine is constructed, the employees engaged in that construction move on to another area.  This is reflected in the Handover Checklists (Record, Volume2, Tab 71F) that indicate on their face that they are to be filled out once development has been completed in an area and it is ready for Diavik’s production or engineering activities.  </w:t>
      </w:r>
      <w:r w:rsidR="00FE0F6D">
        <w:rPr>
          <w:rFonts w:ascii="Times New Roman" w:eastAsia="Times New Roman" w:hAnsi="Times New Roman" w:cs="Times New Roman"/>
          <w:sz w:val="28"/>
          <w:szCs w:val="28"/>
        </w:rPr>
        <w:t>Completion</w:t>
      </w:r>
      <w:r>
        <w:rPr>
          <w:rFonts w:ascii="Times New Roman" w:eastAsia="Times New Roman" w:hAnsi="Times New Roman" w:cs="Times New Roman"/>
          <w:sz w:val="28"/>
          <w:szCs w:val="28"/>
        </w:rPr>
        <w:t xml:space="preserve"> of the form is stated to indicate acceptance of conditions at the date of handover.</w:t>
      </w:r>
    </w:p>
    <w:p w:rsidR="00DA3346" w:rsidRPr="00631D23" w:rsidRDefault="00DA3346" w:rsidP="00032723">
      <w:pPr>
        <w:pStyle w:val="ListParagraph"/>
        <w:spacing w:after="0" w:line="240" w:lineRule="auto"/>
        <w:ind w:left="0"/>
        <w:jc w:val="both"/>
        <w:rPr>
          <w:rFonts w:ascii="Times New Roman" w:eastAsia="Times New Roman" w:hAnsi="Times New Roman" w:cs="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The Adjudicator erred in deciding that length of employment is a consideration in determining whether an employee is employed in the construction industry and in finding that only employment on short term projects amounts to </w:t>
      </w:r>
      <w:r>
        <w:rPr>
          <w:rFonts w:ascii="Times New Roman" w:hAnsi="Times New Roman"/>
          <w:sz w:val="28"/>
          <w:szCs w:val="28"/>
        </w:rPr>
        <w:lastRenderedPageBreak/>
        <w:t xml:space="preserve">employment in the construction industry and attracts the exemption from notice or termination pay.  That same error led her to conclude that the legislation as written would lead to an absurd result in this case.  </w:t>
      </w:r>
    </w:p>
    <w:p w:rsidR="00DA3346" w:rsidRDefault="00DA3346" w:rsidP="00032723">
      <w:pPr>
        <w:pStyle w:val="ListParagraph"/>
        <w:spacing w:after="0" w:line="240" w:lineRule="auto"/>
        <w:ind w:left="0"/>
        <w:jc w:val="both"/>
        <w:rPr>
          <w:rFonts w:ascii="Times New Roman" w:eastAsia="Times New Roman" w:hAnsi="Times New Roman" w:cs="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It is clear from her decision that the Adjudicator accepted that Mr. Lavallee’s duties were as described by the Appellant, even though she found parts of the Appellant’s evidence problematic.  The Appellant was hired to construct the mine and as its employee that is the work Lavallee was engaged in.  He was engaged in constructing drifts and tunnels for an employer contracted to construct and develop the mine so that it would be ready for production </w:t>
      </w:r>
      <w:r w:rsidR="008E49A3">
        <w:rPr>
          <w:rFonts w:ascii="Times New Roman" w:hAnsi="Times New Roman"/>
          <w:sz w:val="28"/>
          <w:szCs w:val="28"/>
        </w:rPr>
        <w:t>mining</w:t>
      </w:r>
      <w:r>
        <w:rPr>
          <w:rFonts w:ascii="Times New Roman" w:hAnsi="Times New Roman"/>
          <w:sz w:val="28"/>
          <w:szCs w:val="28"/>
        </w:rPr>
        <w:t xml:space="preserve">.  That would bring him within the definition of “construction industry” in the repealed </w:t>
      </w:r>
      <w:r>
        <w:rPr>
          <w:rFonts w:ascii="Times New Roman" w:hAnsi="Times New Roman"/>
          <w:i/>
          <w:iCs/>
          <w:sz w:val="28"/>
          <w:szCs w:val="28"/>
        </w:rPr>
        <w:t xml:space="preserve">Employment of Young Persons </w:t>
      </w:r>
      <w:r>
        <w:rPr>
          <w:rFonts w:ascii="Times New Roman" w:hAnsi="Times New Roman"/>
          <w:sz w:val="28"/>
          <w:szCs w:val="28"/>
        </w:rPr>
        <w:t>Regulations and certainly within s. 4.1(a) of the current Regulation.  The fact that the work he did was similar in some ways to the work done by miners engaged in production, who were not employed by the Appellant, or that he worked closely with those other workers, does not change the fact that he was working in construction of the mine, for an employer who was engaged for that purpose.  The work he was doing would end when the Appellant was told that it was no longer needed or required to construct the mine.</w:t>
      </w:r>
    </w:p>
    <w:p w:rsidR="00631D23" w:rsidRPr="00631D23" w:rsidRDefault="00631D23" w:rsidP="00032723">
      <w:pPr>
        <w:pStyle w:val="ListParagraph"/>
        <w:spacing w:after="0" w:line="240" w:lineRule="auto"/>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Regulation 4</w:t>
      </w:r>
      <w:r w:rsidR="00FE0F6D">
        <w:rPr>
          <w:rFonts w:ascii="Times New Roman" w:hAnsi="Times New Roman"/>
          <w:sz w:val="28"/>
          <w:szCs w:val="28"/>
        </w:rPr>
        <w:t>.1</w:t>
      </w:r>
      <w:r>
        <w:rPr>
          <w:rFonts w:ascii="Times New Roman" w:hAnsi="Times New Roman"/>
          <w:sz w:val="28"/>
          <w:szCs w:val="28"/>
        </w:rPr>
        <w:t>(a) simply requires that an employee be employed in the construction industry for the exemption to apply.  As his employer in this case was contracted to construct the mine, Mr. Lavallee was, in his employment with the Appellant, employed in the construction industry.</w:t>
      </w:r>
    </w:p>
    <w:p w:rsidR="00631D23" w:rsidRDefault="00631D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I bear in mind that the Adjudicator’s decision is to be given deference, however her erroneous finding that the short term nature of construction work is intended to be a factor in determining whether an individual is employed in the construction industry under the Act diverted her from the fact that Mr. Lavallee was working for an employer that was engaged to construct the mine and he was thus employed in the construction industry.</w:t>
      </w:r>
    </w:p>
    <w:p w:rsidR="00631D23" w:rsidRDefault="00631D23" w:rsidP="00032723">
      <w:pPr>
        <w:pStyle w:val="ListParagraph"/>
        <w:spacing w:after="0" w:line="240" w:lineRule="auto"/>
        <w:ind w:left="0"/>
        <w:jc w:val="both"/>
        <w:rPr>
          <w:rFonts w:ascii="Times New Roman" w:hAnsi="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Based on the plain language of the statutory exemption and the Adjudicator’s finding as to the facts, her decision that Mr. Lavallee was not employed in the construction industry is not reasonable.  It is not defensible in respect of the law or the facts.</w:t>
      </w:r>
    </w:p>
    <w:p w:rsidR="00DA3346" w:rsidRDefault="00DA3346" w:rsidP="00032723">
      <w:pPr>
        <w:pStyle w:val="ListParagraph"/>
        <w:spacing w:after="0" w:line="240" w:lineRule="auto"/>
        <w:ind w:left="0"/>
        <w:jc w:val="both"/>
        <w:rPr>
          <w:rFonts w:ascii="Times New Roman" w:eastAsia="Times New Roman" w:hAnsi="Times New Roman" w:cs="Times New Roman"/>
          <w:sz w:val="28"/>
          <w:szCs w:val="28"/>
        </w:rPr>
      </w:pPr>
    </w:p>
    <w:p w:rsidR="00DA3346" w:rsidRDefault="00511B62" w:rsidP="00032723">
      <w:pPr>
        <w:pStyle w:val="ListParagraph"/>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The next question is whether I should remit this matter to the Adjudicator or another adjudicator to decide without restricting the applicability of Regulation 4</w:t>
      </w:r>
      <w:r w:rsidR="00FE0F6D">
        <w:rPr>
          <w:rFonts w:ascii="Times New Roman" w:hAnsi="Times New Roman"/>
          <w:sz w:val="28"/>
          <w:szCs w:val="28"/>
        </w:rPr>
        <w:t>.1</w:t>
      </w:r>
      <w:r>
        <w:rPr>
          <w:rFonts w:ascii="Times New Roman" w:hAnsi="Times New Roman"/>
          <w:sz w:val="28"/>
          <w:szCs w:val="28"/>
        </w:rPr>
        <w:t xml:space="preserve">(a) to short term construction work.  Counsel for the Appellant submitted that although that is a possible remedy, a proper interpretation and application of the Regulation to the facts leads to only one reasonable conclusion and therefore this </w:t>
      </w:r>
      <w:r>
        <w:rPr>
          <w:rFonts w:ascii="Times New Roman" w:hAnsi="Times New Roman"/>
          <w:sz w:val="28"/>
          <w:szCs w:val="28"/>
        </w:rPr>
        <w:lastRenderedPageBreak/>
        <w:t xml:space="preserve">Court should simply render the decision in accordance with that conclusion.  I have considered that the Court’s approach in matters of judicial review should be characterized by restraint, however I agree with the Appellant that the only reasonable conclusion on the law and the evidence is that in his employment with the Appellant, Mr. Lavallee was employed in the construction industry.  </w:t>
      </w:r>
    </w:p>
    <w:p w:rsidR="00DA3346" w:rsidRDefault="00DA3346" w:rsidP="00032723">
      <w:pPr>
        <w:pStyle w:val="ListParagraph"/>
        <w:spacing w:after="0" w:line="240" w:lineRule="auto"/>
        <w:ind w:left="0"/>
        <w:jc w:val="both"/>
        <w:rPr>
          <w:rFonts w:ascii="Times New Roman" w:eastAsia="Times New Roman" w:hAnsi="Times New Roman" w:cs="Times New Roman"/>
          <w:sz w:val="28"/>
          <w:szCs w:val="28"/>
        </w:rPr>
      </w:pPr>
    </w:p>
    <w:p w:rsidR="00DA3346" w:rsidRPr="00631D23" w:rsidRDefault="00511B62" w:rsidP="00E524A2">
      <w:pPr>
        <w:pStyle w:val="ListParagraph"/>
        <w:numPr>
          <w:ilvl w:val="0"/>
          <w:numId w:val="6"/>
        </w:numPr>
        <w:spacing w:after="240" w:line="240" w:lineRule="auto"/>
        <w:ind w:left="0" w:firstLine="0"/>
        <w:jc w:val="both"/>
        <w:rPr>
          <w:rFonts w:ascii="Times New Roman" w:hAnsi="Times New Roman"/>
          <w:sz w:val="28"/>
          <w:szCs w:val="28"/>
        </w:rPr>
      </w:pPr>
      <w:r>
        <w:rPr>
          <w:rFonts w:ascii="Times New Roman" w:hAnsi="Times New Roman"/>
          <w:sz w:val="28"/>
          <w:szCs w:val="28"/>
        </w:rPr>
        <w:t>Accordingly, the appeal is allowed and the order for termination pay is quashed.</w:t>
      </w:r>
    </w:p>
    <w:p w:rsidR="00DA3346" w:rsidRDefault="00DA3346" w:rsidP="00E524A2">
      <w:pPr>
        <w:pStyle w:val="ListParagraph"/>
        <w:spacing w:after="240" w:line="240" w:lineRule="auto"/>
        <w:ind w:left="0"/>
        <w:jc w:val="both"/>
        <w:rPr>
          <w:rFonts w:ascii="Times New Roman" w:eastAsia="Times New Roman" w:hAnsi="Times New Roman" w:cs="Times New Roman"/>
          <w:sz w:val="28"/>
          <w:szCs w:val="28"/>
        </w:rPr>
      </w:pPr>
    </w:p>
    <w:p w:rsidR="00FB7763" w:rsidRDefault="00FB7763" w:rsidP="00E524A2">
      <w:pPr>
        <w:pStyle w:val="ListParagraph"/>
        <w:spacing w:after="240" w:line="240" w:lineRule="auto"/>
        <w:ind w:left="0"/>
        <w:jc w:val="both"/>
        <w:rPr>
          <w:rFonts w:ascii="Times New Roman" w:eastAsia="Times New Roman" w:hAnsi="Times New Roman" w:cs="Times New Roman"/>
          <w:sz w:val="28"/>
          <w:szCs w:val="28"/>
        </w:rPr>
      </w:pPr>
    </w:p>
    <w:p w:rsidR="00DA3346" w:rsidRDefault="00511B62" w:rsidP="00E524A2">
      <w:pPr>
        <w:pStyle w:val="ListParagraph"/>
        <w:spacing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V.A. Schuler</w:t>
      </w:r>
    </w:p>
    <w:p w:rsidR="00DA3346" w:rsidRDefault="00511B62" w:rsidP="00E524A2">
      <w:pPr>
        <w:pStyle w:val="ListParagraph"/>
        <w:spacing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J.S.C.</w:t>
      </w:r>
    </w:p>
    <w:p w:rsidR="00DA3346" w:rsidRDefault="00511B62" w:rsidP="00E524A2">
      <w:pPr>
        <w:pStyle w:val="ListParagraph"/>
        <w:spacing w:after="0" w:line="240" w:lineRule="auto"/>
        <w:ind w:left="0"/>
        <w:jc w:val="both"/>
        <w:rPr>
          <w:rFonts w:ascii="Times New Roman" w:eastAsia="Times New Roman" w:hAnsi="Times New Roman" w:cs="Times New Roman"/>
          <w:sz w:val="28"/>
          <w:szCs w:val="28"/>
        </w:rPr>
      </w:pPr>
      <w:r>
        <w:rPr>
          <w:rFonts w:ascii="Times New Roman" w:hAnsi="Times New Roman"/>
          <w:sz w:val="28"/>
          <w:szCs w:val="28"/>
        </w:rPr>
        <w:t xml:space="preserve">Dated in Yellowknife, NT this </w:t>
      </w:r>
    </w:p>
    <w:p w:rsidR="00DA3346" w:rsidRDefault="00FB7763" w:rsidP="00E524A2">
      <w:pPr>
        <w:pStyle w:val="ListParagraph"/>
        <w:spacing w:line="240" w:lineRule="auto"/>
        <w:ind w:left="0"/>
        <w:jc w:val="both"/>
        <w:rPr>
          <w:rFonts w:ascii="Times New Roman" w:eastAsia="Times New Roman" w:hAnsi="Times New Roman" w:cs="Times New Roman"/>
          <w:sz w:val="28"/>
          <w:szCs w:val="28"/>
        </w:rPr>
      </w:pPr>
      <w:r>
        <w:rPr>
          <w:rFonts w:ascii="Times New Roman" w:hAnsi="Times New Roman"/>
          <w:sz w:val="28"/>
          <w:szCs w:val="28"/>
        </w:rPr>
        <w:t>27</w:t>
      </w:r>
      <w:r w:rsidRPr="00FB7763">
        <w:rPr>
          <w:rFonts w:ascii="Times New Roman" w:hAnsi="Times New Roman"/>
          <w:sz w:val="28"/>
          <w:szCs w:val="28"/>
          <w:vertAlign w:val="superscript"/>
        </w:rPr>
        <w:t>th</w:t>
      </w:r>
      <w:r>
        <w:rPr>
          <w:rFonts w:ascii="Times New Roman" w:hAnsi="Times New Roman"/>
          <w:sz w:val="28"/>
          <w:szCs w:val="28"/>
        </w:rPr>
        <w:t xml:space="preserve"> </w:t>
      </w:r>
      <w:r w:rsidR="00511B62">
        <w:rPr>
          <w:rFonts w:ascii="Times New Roman" w:hAnsi="Times New Roman"/>
          <w:sz w:val="28"/>
          <w:szCs w:val="28"/>
        </w:rPr>
        <w:t>day of July, 2018</w:t>
      </w:r>
    </w:p>
    <w:p w:rsidR="00631D23" w:rsidRPr="00631D23" w:rsidRDefault="00631D23" w:rsidP="00E524A2">
      <w:pPr>
        <w:pStyle w:val="Body"/>
        <w:spacing w:line="240" w:lineRule="auto"/>
        <w:jc w:val="both"/>
        <w:rPr>
          <w:rFonts w:ascii="Times New Roman" w:hAnsi="Times New Roman"/>
          <w:sz w:val="28"/>
          <w:szCs w:val="28"/>
          <w:lang w:val="en-US"/>
        </w:rPr>
      </w:pPr>
      <w:r w:rsidRPr="00631D23">
        <w:rPr>
          <w:rFonts w:ascii="Times New Roman" w:hAnsi="Times New Roman"/>
          <w:sz w:val="28"/>
          <w:szCs w:val="28"/>
          <w:lang w:val="en-US"/>
        </w:rPr>
        <w:t>Counsel for the Appellant:</w:t>
      </w:r>
      <w:r w:rsidRPr="00631D23">
        <w:rPr>
          <w:rFonts w:ascii="Times New Roman" w:hAnsi="Times New Roman"/>
          <w:sz w:val="28"/>
          <w:szCs w:val="28"/>
          <w:lang w:val="en-US"/>
        </w:rPr>
        <w:tab/>
        <w:t xml:space="preserve">Glen Rutland </w:t>
      </w:r>
    </w:p>
    <w:p w:rsidR="00631D23" w:rsidRPr="00631D23" w:rsidRDefault="00631D23" w:rsidP="00E524A2">
      <w:pPr>
        <w:pStyle w:val="Body"/>
        <w:spacing w:line="240" w:lineRule="auto"/>
        <w:jc w:val="both"/>
        <w:rPr>
          <w:rFonts w:ascii="Times New Roman" w:hAnsi="Times New Roman"/>
          <w:sz w:val="28"/>
          <w:szCs w:val="28"/>
          <w:lang w:val="en-US"/>
        </w:rPr>
      </w:pPr>
      <w:r w:rsidRPr="00631D23">
        <w:rPr>
          <w:rFonts w:ascii="Times New Roman" w:hAnsi="Times New Roman"/>
          <w:sz w:val="28"/>
          <w:szCs w:val="28"/>
          <w:lang w:val="en-US"/>
        </w:rPr>
        <w:t>Counsel for the Employment Standards Appeal Office: Trisha Paradis</w:t>
      </w:r>
    </w:p>
    <w:p w:rsidR="00631D23" w:rsidRPr="00631D23" w:rsidRDefault="00631D23" w:rsidP="00E524A2">
      <w:pPr>
        <w:pStyle w:val="Body"/>
        <w:spacing w:after="0" w:line="240" w:lineRule="auto"/>
        <w:jc w:val="both"/>
        <w:rPr>
          <w:rFonts w:ascii="Times New Roman" w:hAnsi="Times New Roman"/>
          <w:sz w:val="28"/>
          <w:szCs w:val="28"/>
          <w:lang w:val="en-US"/>
        </w:rPr>
        <w:sectPr w:rsidR="00631D23" w:rsidRPr="00631D23">
          <w:pgSz w:w="12240" w:h="15840"/>
          <w:pgMar w:top="1350" w:right="1440" w:bottom="1260" w:left="1440" w:header="720" w:footer="720" w:gutter="0"/>
          <w:cols w:space="720"/>
          <w:titlePg/>
        </w:sectPr>
      </w:pPr>
      <w:r w:rsidRPr="00631D23">
        <w:rPr>
          <w:rFonts w:ascii="Times New Roman" w:hAnsi="Times New Roman"/>
          <w:sz w:val="28"/>
          <w:szCs w:val="28"/>
          <w:lang w:val="en-US"/>
        </w:rPr>
        <w:t>No one appearing for the Respondent</w:t>
      </w:r>
    </w:p>
    <w:p w:rsidR="00DA3346" w:rsidRDefault="00511B62" w:rsidP="00E524A2">
      <w:pPr>
        <w:pStyle w:val="Body"/>
        <w:tabs>
          <w:tab w:val="right" w:pos="4230"/>
        </w:tabs>
        <w:spacing w:after="0" w:line="240" w:lineRule="auto"/>
        <w:jc w:val="both"/>
      </w:pPr>
      <w:r>
        <w:rPr>
          <w:rFonts w:ascii="Arial Unicode MS" w:eastAsia="Arial Unicode MS" w:hAnsi="Arial Unicode MS" w:cs="Arial Unicode MS"/>
          <w:sz w:val="28"/>
          <w:szCs w:val="28"/>
          <w:u w:val="single"/>
        </w:rPr>
        <w:lastRenderedPageBreak/>
        <w:br w:type="column"/>
      </w:r>
    </w:p>
    <w:tbl>
      <w:tblPr>
        <w:tblW w:w="64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0"/>
      </w:tblGrid>
      <w:tr w:rsidR="00DA3346">
        <w:trPr>
          <w:trHeight w:val="633"/>
        </w:trPr>
        <w:tc>
          <w:tcPr>
            <w:tcW w:w="6480" w:type="dxa"/>
            <w:tcBorders>
              <w:top w:val="nil"/>
              <w:left w:val="nil"/>
              <w:bottom w:val="single" w:sz="4" w:space="0" w:color="000000"/>
              <w:right w:val="nil"/>
            </w:tcBorders>
            <w:shd w:val="clear" w:color="auto" w:fill="auto"/>
            <w:tcMar>
              <w:top w:w="80" w:type="dxa"/>
              <w:left w:w="80" w:type="dxa"/>
              <w:bottom w:w="80" w:type="dxa"/>
              <w:right w:w="80" w:type="dxa"/>
            </w:tcMar>
          </w:tcPr>
          <w:p w:rsidR="00DA3346" w:rsidRDefault="00511B62" w:rsidP="00E524A2">
            <w:pPr>
              <w:pStyle w:val="Body"/>
              <w:spacing w:after="0" w:line="240" w:lineRule="auto"/>
              <w:jc w:val="right"/>
            </w:pPr>
            <w:r>
              <w:rPr>
                <w:rFonts w:ascii="Times New Roman" w:hAnsi="Times New Roman"/>
                <w:sz w:val="28"/>
                <w:szCs w:val="28"/>
                <w:lang w:val="en-US"/>
              </w:rPr>
              <w:t>S-1-CV-2017 000 313</w:t>
            </w:r>
          </w:p>
        </w:tc>
      </w:tr>
      <w:tr w:rsidR="00DA3346">
        <w:trPr>
          <w:trHeight w:val="7059"/>
        </w:trPr>
        <w:tc>
          <w:tcPr>
            <w:tcW w:w="64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3346" w:rsidRDefault="00DA3346" w:rsidP="00E524A2">
            <w:pPr>
              <w:pStyle w:val="Body"/>
              <w:tabs>
                <w:tab w:val="center" w:pos="2784"/>
              </w:tabs>
              <w:spacing w:after="0" w:line="240" w:lineRule="auto"/>
              <w:jc w:val="center"/>
              <w:rPr>
                <w:rFonts w:ascii="Times New Roman" w:eastAsia="Times New Roman" w:hAnsi="Times New Roman" w:cs="Times New Roman"/>
                <w:b/>
                <w:bCs/>
                <w:sz w:val="28"/>
                <w:szCs w:val="28"/>
                <w:lang w:val="en-US"/>
              </w:rPr>
            </w:pPr>
          </w:p>
          <w:p w:rsidR="00DA3346" w:rsidRDefault="00511B62" w:rsidP="00E524A2">
            <w:pPr>
              <w:pStyle w:val="Body"/>
              <w:tabs>
                <w:tab w:val="center" w:pos="2784"/>
              </w:tabs>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en-US"/>
              </w:rPr>
              <w:t>IN THE SUPREME COURT OF THE</w:t>
            </w:r>
          </w:p>
          <w:p w:rsidR="00DA3346" w:rsidRDefault="00511B62" w:rsidP="00E524A2">
            <w:pPr>
              <w:pStyle w:val="Body"/>
              <w:tabs>
                <w:tab w:val="center" w:pos="2784"/>
                <w:tab w:val="left" w:pos="4740"/>
              </w:tabs>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en-US"/>
              </w:rPr>
              <w:t>NORTHWEST TERRITORIES</w:t>
            </w:r>
          </w:p>
          <w:p w:rsidR="00DA3346" w:rsidRDefault="00511B62" w:rsidP="00E524A2">
            <w:pPr>
              <w:pStyle w:val="Body"/>
              <w:spacing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In the matter of the </w:t>
            </w:r>
            <w:r>
              <w:rPr>
                <w:rFonts w:ascii="Times New Roman" w:hAnsi="Times New Roman"/>
                <w:i/>
                <w:iCs/>
                <w:sz w:val="24"/>
                <w:szCs w:val="24"/>
                <w:lang w:val="en-US"/>
              </w:rPr>
              <w:t>Employment Standards Act</w:t>
            </w:r>
            <w:r>
              <w:rPr>
                <w:rFonts w:ascii="Times New Roman" w:hAnsi="Times New Roman"/>
                <w:sz w:val="24"/>
                <w:szCs w:val="24"/>
                <w:lang w:val="en-US"/>
              </w:rPr>
              <w:t>, 2007</w:t>
            </w:r>
          </w:p>
          <w:p w:rsidR="00DA3346" w:rsidRDefault="00511B62" w:rsidP="00E524A2">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 xml:space="preserve">And in the matter of the Decision of </w:t>
            </w:r>
          </w:p>
          <w:p w:rsidR="00DA3346" w:rsidRDefault="00511B62" w:rsidP="00E524A2">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The Employment Standards</w:t>
            </w:r>
            <w:r w:rsidR="00AD694F">
              <w:rPr>
                <w:rFonts w:ascii="Times New Roman" w:hAnsi="Times New Roman"/>
                <w:sz w:val="24"/>
                <w:szCs w:val="24"/>
                <w:lang w:val="en-US"/>
              </w:rPr>
              <w:t xml:space="preserve"> Appeal Office File No. 20-3148</w:t>
            </w:r>
            <w:r>
              <w:rPr>
                <w:rFonts w:ascii="Times New Roman" w:hAnsi="Times New Roman"/>
                <w:sz w:val="24"/>
                <w:szCs w:val="24"/>
                <w:lang w:val="en-US"/>
              </w:rPr>
              <w:t>/16, Order 2478</w:t>
            </w:r>
          </w:p>
          <w:p w:rsidR="00DA3346" w:rsidRDefault="00DA3346" w:rsidP="00E524A2">
            <w:pPr>
              <w:pStyle w:val="Body"/>
              <w:spacing w:after="0" w:line="240" w:lineRule="auto"/>
              <w:jc w:val="center"/>
              <w:rPr>
                <w:rFonts w:ascii="Times New Roman" w:eastAsia="Times New Roman" w:hAnsi="Times New Roman" w:cs="Times New Roman"/>
                <w:sz w:val="24"/>
                <w:szCs w:val="24"/>
                <w:lang w:val="en-US"/>
              </w:rPr>
            </w:pPr>
          </w:p>
          <w:p w:rsidR="00DA3346" w:rsidRDefault="00511B62" w:rsidP="00E524A2">
            <w:pPr>
              <w:pStyle w:val="Body"/>
              <w:spacing w:line="240" w:lineRule="auto"/>
              <w:rPr>
                <w:rFonts w:ascii="Times New Roman" w:eastAsia="Times New Roman" w:hAnsi="Times New Roman" w:cs="Times New Roman"/>
                <w:sz w:val="28"/>
                <w:szCs w:val="28"/>
              </w:rPr>
            </w:pPr>
            <w:r>
              <w:rPr>
                <w:rFonts w:ascii="Times New Roman" w:hAnsi="Times New Roman"/>
                <w:sz w:val="28"/>
                <w:szCs w:val="28"/>
                <w:lang w:val="en-US"/>
              </w:rPr>
              <w:t>BETWEEN:</w:t>
            </w: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Cementation Canada Inc.</w:t>
            </w:r>
          </w:p>
          <w:p w:rsidR="00DA3346" w:rsidRDefault="00511B62" w:rsidP="00E524A2">
            <w:pPr>
              <w:pStyle w:val="Body"/>
              <w:spacing w:line="240" w:lineRule="auto"/>
              <w:jc w:val="right"/>
              <w:rPr>
                <w:rFonts w:ascii="Times New Roman" w:eastAsia="Times New Roman" w:hAnsi="Times New Roman" w:cs="Times New Roman"/>
                <w:sz w:val="28"/>
                <w:szCs w:val="28"/>
              </w:rPr>
            </w:pPr>
            <w:r>
              <w:rPr>
                <w:rFonts w:ascii="Times New Roman" w:hAnsi="Times New Roman"/>
                <w:sz w:val="28"/>
                <w:szCs w:val="28"/>
                <w:lang w:val="en-US"/>
              </w:rPr>
              <w:t>Appellant</w:t>
            </w: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-and-</w:t>
            </w:r>
          </w:p>
          <w:p w:rsidR="00DA3346" w:rsidRDefault="00DA3346" w:rsidP="00E524A2">
            <w:pPr>
              <w:pStyle w:val="Body"/>
              <w:spacing w:line="240" w:lineRule="auto"/>
              <w:jc w:val="center"/>
              <w:rPr>
                <w:rFonts w:ascii="Times New Roman" w:eastAsia="Times New Roman" w:hAnsi="Times New Roman" w:cs="Times New Roman"/>
                <w:sz w:val="28"/>
                <w:szCs w:val="28"/>
                <w:lang w:val="en-US"/>
              </w:rPr>
            </w:pPr>
          </w:p>
          <w:p w:rsidR="00DA3346" w:rsidRDefault="00511B62" w:rsidP="00E524A2">
            <w:pPr>
              <w:pStyle w:val="Body"/>
              <w:spacing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Bryan Lavallee</w:t>
            </w:r>
          </w:p>
          <w:p w:rsidR="00DA3346" w:rsidRDefault="00511B62" w:rsidP="00E524A2">
            <w:pPr>
              <w:pStyle w:val="Body"/>
              <w:tabs>
                <w:tab w:val="center" w:pos="4680"/>
              </w:tabs>
              <w:spacing w:after="0" w:line="240" w:lineRule="auto"/>
              <w:jc w:val="right"/>
              <w:rPr>
                <w:rFonts w:ascii="Times New Roman" w:eastAsia="Times New Roman" w:hAnsi="Times New Roman" w:cs="Times New Roman"/>
                <w:sz w:val="28"/>
                <w:szCs w:val="28"/>
              </w:rPr>
            </w:pPr>
            <w:r>
              <w:rPr>
                <w:rFonts w:ascii="Times New Roman" w:hAnsi="Times New Roman"/>
                <w:sz w:val="28"/>
                <w:szCs w:val="28"/>
                <w:lang w:val="en-US"/>
              </w:rPr>
              <w:t>Respondent</w:t>
            </w:r>
          </w:p>
          <w:p w:rsidR="00DA3346" w:rsidRDefault="00DA3346" w:rsidP="00E524A2">
            <w:pPr>
              <w:pStyle w:val="Body"/>
              <w:tabs>
                <w:tab w:val="center" w:pos="2784"/>
                <w:tab w:val="left" w:pos="4740"/>
              </w:tabs>
              <w:spacing w:after="0" w:line="240" w:lineRule="auto"/>
              <w:jc w:val="center"/>
            </w:pPr>
          </w:p>
        </w:tc>
      </w:tr>
      <w:tr w:rsidR="00DA3346">
        <w:trPr>
          <w:trHeight w:val="318"/>
        </w:trPr>
        <w:tc>
          <w:tcPr>
            <w:tcW w:w="64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3346" w:rsidRDefault="00DA3346" w:rsidP="00E524A2"/>
        </w:tc>
      </w:tr>
      <w:tr w:rsidR="00DA3346">
        <w:trPr>
          <w:trHeight w:val="1598"/>
        </w:trPr>
        <w:tc>
          <w:tcPr>
            <w:tcW w:w="64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A3346" w:rsidRDefault="00DA3346" w:rsidP="00E524A2">
            <w:pPr>
              <w:pStyle w:val="Body"/>
              <w:tabs>
                <w:tab w:val="left" w:pos="720"/>
                <w:tab w:val="left" w:pos="1452"/>
                <w:tab w:val="left" w:pos="2392"/>
              </w:tabs>
              <w:spacing w:after="0" w:line="240" w:lineRule="auto"/>
              <w:jc w:val="center"/>
              <w:rPr>
                <w:rFonts w:ascii="Times New Roman" w:eastAsia="Times New Roman" w:hAnsi="Times New Roman" w:cs="Times New Roman"/>
                <w:sz w:val="28"/>
                <w:szCs w:val="28"/>
                <w:lang w:val="en-US"/>
              </w:rPr>
            </w:pPr>
          </w:p>
          <w:p w:rsidR="00DA3346" w:rsidRDefault="00511B62" w:rsidP="00E524A2">
            <w:pPr>
              <w:pStyle w:val="Body"/>
              <w:tabs>
                <w:tab w:val="left" w:pos="720"/>
                <w:tab w:val="left" w:pos="1452"/>
                <w:tab w:val="left" w:pos="2392"/>
              </w:tabs>
              <w:spacing w:after="0" w:line="240" w:lineRule="auto"/>
              <w:jc w:val="center"/>
              <w:rPr>
                <w:rFonts w:ascii="Times New Roman" w:eastAsia="Times New Roman" w:hAnsi="Times New Roman" w:cs="Times New Roman"/>
                <w:sz w:val="28"/>
                <w:szCs w:val="28"/>
              </w:rPr>
            </w:pPr>
            <w:r>
              <w:rPr>
                <w:rFonts w:ascii="Times New Roman" w:hAnsi="Times New Roman"/>
                <w:sz w:val="28"/>
                <w:szCs w:val="28"/>
                <w:lang w:val="en-US"/>
              </w:rPr>
              <w:t>REASONS FOR JUDGMENT OF</w:t>
            </w:r>
          </w:p>
          <w:p w:rsidR="00DA3346" w:rsidRDefault="00511B62" w:rsidP="00E524A2">
            <w:pPr>
              <w:pStyle w:val="Body"/>
              <w:tabs>
                <w:tab w:val="left" w:pos="720"/>
                <w:tab w:val="left" w:pos="1452"/>
                <w:tab w:val="left" w:pos="2392"/>
              </w:tabs>
              <w:spacing w:after="0" w:line="240" w:lineRule="auto"/>
              <w:jc w:val="center"/>
            </w:pPr>
            <w:r>
              <w:rPr>
                <w:rFonts w:ascii="Times New Roman" w:hAnsi="Times New Roman"/>
                <w:sz w:val="28"/>
                <w:szCs w:val="28"/>
                <w:lang w:val="en-US"/>
              </w:rPr>
              <w:t>THE HONOURABLE JUSTICE V.A.</w:t>
            </w:r>
            <w:r w:rsidR="00631D23">
              <w:rPr>
                <w:rFonts w:ascii="Times New Roman" w:hAnsi="Times New Roman"/>
                <w:sz w:val="28"/>
                <w:szCs w:val="28"/>
                <w:lang w:val="en-US"/>
              </w:rPr>
              <w:t xml:space="preserve"> </w:t>
            </w:r>
            <w:r>
              <w:rPr>
                <w:rFonts w:ascii="Times New Roman" w:hAnsi="Times New Roman"/>
                <w:sz w:val="28"/>
                <w:szCs w:val="28"/>
                <w:lang w:val="en-US"/>
              </w:rPr>
              <w:t>SCHULER</w:t>
            </w:r>
          </w:p>
        </w:tc>
      </w:tr>
    </w:tbl>
    <w:p w:rsidR="00DA3346" w:rsidRDefault="00DA3346" w:rsidP="00E524A2">
      <w:pPr>
        <w:pStyle w:val="ListParagraph"/>
        <w:tabs>
          <w:tab w:val="right" w:pos="4230"/>
        </w:tabs>
        <w:spacing w:after="0" w:line="240" w:lineRule="auto"/>
        <w:ind w:left="0"/>
      </w:pPr>
    </w:p>
    <w:sectPr w:rsidR="00DA3346">
      <w:headerReference w:type="default" r:id="rId8"/>
      <w:footerReference w:type="default" r:id="rId9"/>
      <w:headerReference w:type="first" r:id="rId10"/>
      <w:footerReference w:type="first" r:id="rId11"/>
      <w:pgSz w:w="12240" w:h="15840"/>
      <w:pgMar w:top="1440" w:right="1440" w:bottom="1440" w:left="1440" w:header="720" w:footer="720" w:gutter="0"/>
      <w:cols w:num="2" w:space="720" w:equalWidth="0">
        <w:col w:w="3600" w:space="288"/>
        <w:col w:w="5472"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B54" w:rsidRDefault="00511B62">
      <w:r>
        <w:separator/>
      </w:r>
    </w:p>
  </w:endnote>
  <w:endnote w:type="continuationSeparator" w:id="0">
    <w:p w:rsidR="00D73B54" w:rsidRDefault="0051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46" w:rsidRDefault="00DA3346">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46" w:rsidRDefault="00DA334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B54" w:rsidRDefault="00511B62">
      <w:r>
        <w:separator/>
      </w:r>
    </w:p>
  </w:footnote>
  <w:footnote w:type="continuationSeparator" w:id="0">
    <w:p w:rsidR="00D73B54" w:rsidRDefault="00511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46" w:rsidRDefault="00511B62">
    <w:pPr>
      <w:pStyle w:val="Header"/>
      <w:tabs>
        <w:tab w:val="clear" w:pos="9360"/>
        <w:tab w:val="left" w:pos="8565"/>
        <w:tab w:val="right" w:pos="9340"/>
      </w:tabs>
      <w:jc w:val="right"/>
    </w:pPr>
    <w:r>
      <w:tab/>
    </w:r>
    <w:r>
      <w:rPr>
        <w:rFonts w:ascii="Times New Roman" w:hAnsi="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783CFB">
      <w:rPr>
        <w:rFonts w:ascii="Times New Roman" w:eastAsia="Times New Roman" w:hAnsi="Times New Roman" w:cs="Times New Roman"/>
        <w:noProof/>
      </w:rPr>
      <w:t>17</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46" w:rsidRDefault="00511B62">
    <w:pPr>
      <w:pStyle w:val="Header"/>
      <w:tabs>
        <w:tab w:val="clear" w:pos="9360"/>
        <w:tab w:val="right" w:pos="9340"/>
      </w:tabs>
      <w:jc w:val="right"/>
    </w:pPr>
    <w:r>
      <w:t xml:space="preserve">Page:  </w:t>
    </w:r>
    <w:r>
      <w:fldChar w:fldCharType="begin"/>
    </w:r>
    <w:r>
      <w:instrText xml:space="preserve"> PAGE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346" w:rsidRDefault="00DA334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981"/>
    <w:multiLevelType w:val="hybridMultilevel"/>
    <w:tmpl w:val="0B58AC2A"/>
    <w:styleLink w:val="ImportedStyle1"/>
    <w:lvl w:ilvl="0" w:tplc="4B3A3D7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84158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E0C9DA">
      <w:start w:val="1"/>
      <w:numFmt w:val="lowerRoman"/>
      <w:lvlText w:val="%3."/>
      <w:lvlJc w:val="left"/>
      <w:pPr>
        <w:ind w:left="288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2E4B57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C6C12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E6D31E">
      <w:start w:val="1"/>
      <w:numFmt w:val="lowerRoman"/>
      <w:lvlText w:val="%6."/>
      <w:lvlJc w:val="left"/>
      <w:pPr>
        <w:ind w:left="504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066E43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BCF4A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0E84F4">
      <w:start w:val="1"/>
      <w:numFmt w:val="lowerRoman"/>
      <w:lvlText w:val="%9."/>
      <w:lvlJc w:val="left"/>
      <w:pPr>
        <w:ind w:left="720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FB7604"/>
    <w:multiLevelType w:val="multilevel"/>
    <w:tmpl w:val="A0402744"/>
    <w:lvl w:ilvl="0">
      <w:start w:val="4"/>
      <w:numFmt w:val="decimal"/>
      <w:lvlText w:val="%1"/>
      <w:lvlJc w:val="left"/>
      <w:pPr>
        <w:ind w:left="360" w:hanging="360"/>
      </w:pPr>
      <w:rPr>
        <w:rFonts w:eastAsia="Calibri" w:cs="Calibri" w:hint="default"/>
      </w:rPr>
    </w:lvl>
    <w:lvl w:ilvl="1">
      <w:start w:val="1"/>
      <w:numFmt w:val="decimal"/>
      <w:lvlText w:val="%1.%2"/>
      <w:lvlJc w:val="left"/>
      <w:pPr>
        <w:ind w:left="1080" w:hanging="36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2880" w:hanging="72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4680" w:hanging="108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480" w:hanging="144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2" w15:restartNumberingAfterBreak="0">
    <w:nsid w:val="301D0148"/>
    <w:multiLevelType w:val="hybridMultilevel"/>
    <w:tmpl w:val="0B58AC2A"/>
    <w:numStyleLink w:val="ImportedStyle1"/>
  </w:abstractNum>
  <w:abstractNum w:abstractNumId="3" w15:restartNumberingAfterBreak="0">
    <w:nsid w:val="521542B7"/>
    <w:multiLevelType w:val="hybridMultilevel"/>
    <w:tmpl w:val="E8E2D6E2"/>
    <w:numStyleLink w:val="JudgmentParagraphs"/>
  </w:abstractNum>
  <w:abstractNum w:abstractNumId="4" w15:restartNumberingAfterBreak="0">
    <w:nsid w:val="5AD7347A"/>
    <w:multiLevelType w:val="hybridMultilevel"/>
    <w:tmpl w:val="E91EB6C2"/>
    <w:lvl w:ilvl="0" w:tplc="33DE1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9630BE"/>
    <w:multiLevelType w:val="hybridMultilevel"/>
    <w:tmpl w:val="49ACA0CC"/>
    <w:lvl w:ilvl="0" w:tplc="069C06CE">
      <w:start w:val="1"/>
      <w:numFmt w:val="decimal"/>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60E4A468">
      <w:start w:val="1"/>
      <w:numFmt w:val="lowerLetter"/>
      <w:lvlText w:val="(%3)"/>
      <w:lvlJc w:val="left"/>
      <w:pPr>
        <w:ind w:left="2340" w:hanging="360"/>
      </w:pPr>
      <w:rPr>
        <w:rFonts w:eastAsia="Calibri" w:cs="Calibri" w:hint="default"/>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E3793"/>
    <w:multiLevelType w:val="hybridMultilevel"/>
    <w:tmpl w:val="94A4E838"/>
    <w:lvl w:ilvl="0" w:tplc="EA86A8C8">
      <w:start w:val="9"/>
      <w:numFmt w:val="decimal"/>
      <w:lvlText w:val="(%1)"/>
      <w:lvlJc w:val="left"/>
      <w:pPr>
        <w:ind w:left="1080" w:hanging="360"/>
      </w:pPr>
      <w:rPr>
        <w:rFonts w:eastAsia="Calibri" w:cs="Calibr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967489"/>
    <w:multiLevelType w:val="hybridMultilevel"/>
    <w:tmpl w:val="E8E2D6E2"/>
    <w:styleLink w:val="JudgmentParagraphs"/>
    <w:lvl w:ilvl="0" w:tplc="1B665A9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4625C5A">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E58AFD8">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C18D290">
      <w:start w:val="1"/>
      <w:numFmt w:val="decimal"/>
      <w:lvlText w:val="(%4)"/>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47EB188">
      <w:start w:val="1"/>
      <w:numFmt w:val="lowerLetter"/>
      <w:lvlText w:val="(%5)"/>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ED621A2">
      <w:start w:val="1"/>
      <w:numFmt w:val="lowerRoman"/>
      <w:lvlText w:val="(%6)"/>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5671D6">
      <w:start w:val="1"/>
      <w:numFmt w:val="decimal"/>
      <w:lvlText w:val="%7."/>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1898AA">
      <w:start w:val="1"/>
      <w:numFmt w:val="lowerLetter"/>
      <w:lvlText w:val="%8."/>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FF8D606">
      <w:start w:val="1"/>
      <w:numFmt w:val="lowerRoman"/>
      <w:lvlText w:val="%9."/>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0"/>
  </w:num>
  <w:num w:numId="4">
    <w:abstractNumId w:val="2"/>
  </w:num>
  <w:num w:numId="5">
    <w:abstractNumId w:val="3"/>
    <w:lvlOverride w:ilvl="0">
      <w:startOverride w:val="5"/>
    </w:lvlOverride>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46"/>
    <w:rsid w:val="00032723"/>
    <w:rsid w:val="0020646E"/>
    <w:rsid w:val="002A78C5"/>
    <w:rsid w:val="00444EA3"/>
    <w:rsid w:val="00511B62"/>
    <w:rsid w:val="00631D23"/>
    <w:rsid w:val="00703BD8"/>
    <w:rsid w:val="007343D3"/>
    <w:rsid w:val="00741907"/>
    <w:rsid w:val="00783CFB"/>
    <w:rsid w:val="00786972"/>
    <w:rsid w:val="00860612"/>
    <w:rsid w:val="008E49A3"/>
    <w:rsid w:val="009904D9"/>
    <w:rsid w:val="00A32ABE"/>
    <w:rsid w:val="00A71C63"/>
    <w:rsid w:val="00AD694F"/>
    <w:rsid w:val="00D44B09"/>
    <w:rsid w:val="00D73B54"/>
    <w:rsid w:val="00DA3346"/>
    <w:rsid w:val="00E07D82"/>
    <w:rsid w:val="00E524A2"/>
    <w:rsid w:val="00E651EB"/>
    <w:rsid w:val="00F80FB6"/>
    <w:rsid w:val="00FB7763"/>
    <w:rsid w:val="00FE0F6D"/>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953BAF-A548-42FD-9549-8674797F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it-IT"/>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JudgmentParagraphs">
    <w:name w:val="Judgment Paragraphs"/>
    <w:pPr>
      <w:numPr>
        <w:numId w:val="1"/>
      </w:numPr>
    </w:pPr>
  </w:style>
  <w:style w:type="numbering" w:customStyle="1" w:styleId="ImportedStyle1">
    <w:name w:val="Imported Style 1"/>
    <w:pPr>
      <w:numPr>
        <w:numId w:val="3"/>
      </w:numPr>
    </w:pPr>
  </w:style>
  <w:style w:type="paragraph" w:styleId="BalloonText">
    <w:name w:val="Balloon Text"/>
    <w:basedOn w:val="Normal"/>
    <w:link w:val="BalloonTextChar"/>
    <w:uiPriority w:val="99"/>
    <w:semiHidden/>
    <w:unhideWhenUsed/>
    <w:rsid w:val="00511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62"/>
    <w:rPr>
      <w:rFonts w:ascii="Segoe UI" w:hAnsi="Segoe UI" w:cs="Segoe UI"/>
      <w:sz w:val="18"/>
      <w:szCs w:val="18"/>
    </w:rPr>
  </w:style>
  <w:style w:type="paragraph" w:styleId="Footer">
    <w:name w:val="footer"/>
    <w:basedOn w:val="Normal"/>
    <w:link w:val="FooterChar"/>
    <w:uiPriority w:val="99"/>
    <w:unhideWhenUsed/>
    <w:rsid w:val="00032723"/>
    <w:pPr>
      <w:tabs>
        <w:tab w:val="center" w:pos="4680"/>
        <w:tab w:val="right" w:pos="9360"/>
      </w:tabs>
    </w:pPr>
  </w:style>
  <w:style w:type="character" w:customStyle="1" w:styleId="FooterChar">
    <w:name w:val="Footer Char"/>
    <w:basedOn w:val="DefaultParagraphFont"/>
    <w:link w:val="Footer"/>
    <w:uiPriority w:val="99"/>
    <w:rsid w:val="000327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18</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Mair</dc:creator>
  <cp:lastModifiedBy>Shirley Mair</cp:lastModifiedBy>
  <cp:revision>16</cp:revision>
  <cp:lastPrinted>2018-07-26T16:30:00Z</cp:lastPrinted>
  <dcterms:created xsi:type="dcterms:W3CDTF">2018-07-26T15:40:00Z</dcterms:created>
  <dcterms:modified xsi:type="dcterms:W3CDTF">2018-07-27T19:14:00Z</dcterms:modified>
</cp:coreProperties>
</file>