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07" w:rsidRDefault="00607107" w:rsidP="00607107">
      <w:pPr>
        <w:rPr>
          <w:sz w:val="28"/>
          <w:szCs w:val="28"/>
        </w:rPr>
      </w:pPr>
      <w:bookmarkStart w:id="0" w:name="_GoBack"/>
      <w:bookmarkEnd w:id="0"/>
      <w:r w:rsidRPr="00607107">
        <w:rPr>
          <w:i/>
          <w:sz w:val="28"/>
          <w:szCs w:val="28"/>
        </w:rPr>
        <w:t>Whitelock v Folk on the Rocks Society et al</w:t>
      </w:r>
      <w:r>
        <w:rPr>
          <w:i/>
          <w:sz w:val="28"/>
          <w:szCs w:val="28"/>
        </w:rPr>
        <w:t>,</w:t>
      </w:r>
      <w:r w:rsidRPr="00607107">
        <w:rPr>
          <w:sz w:val="28"/>
          <w:szCs w:val="28"/>
        </w:rPr>
        <w:t xml:space="preserve"> </w:t>
      </w:r>
      <w:r w:rsidR="00377AC5" w:rsidRPr="00607107">
        <w:rPr>
          <w:sz w:val="28"/>
          <w:szCs w:val="28"/>
        </w:rPr>
        <w:t xml:space="preserve">2018 NWTSC 32 </w:t>
      </w:r>
      <w:r w:rsidR="00377AC5" w:rsidRPr="00607107">
        <w:rPr>
          <w:sz w:val="28"/>
          <w:szCs w:val="28"/>
        </w:rPr>
        <w:tab/>
      </w:r>
    </w:p>
    <w:p w:rsidR="00607107" w:rsidRPr="00607107" w:rsidRDefault="00607107" w:rsidP="00607107">
      <w:pPr>
        <w:jc w:val="right"/>
        <w:rPr>
          <w:sz w:val="28"/>
          <w:szCs w:val="28"/>
        </w:rPr>
      </w:pPr>
      <w:r w:rsidRPr="00607107">
        <w:rPr>
          <w:sz w:val="28"/>
          <w:szCs w:val="28"/>
        </w:rPr>
        <w:fldChar w:fldCharType="begin"/>
      </w:r>
      <w:r w:rsidRPr="00607107">
        <w:rPr>
          <w:sz w:val="28"/>
          <w:szCs w:val="28"/>
        </w:rPr>
        <w:instrText xml:space="preserve"> SEQ CHAPTER \h \r 1</w:instrText>
      </w:r>
      <w:r w:rsidRPr="00607107">
        <w:rPr>
          <w:sz w:val="28"/>
          <w:szCs w:val="28"/>
        </w:rPr>
        <w:fldChar w:fldCharType="end"/>
      </w:r>
      <w:r w:rsidRPr="00607107">
        <w:rPr>
          <w:sz w:val="28"/>
          <w:szCs w:val="28"/>
        </w:rPr>
        <w:t xml:space="preserve">Date: </w:t>
      </w:r>
      <w:bookmarkStart w:id="1" w:name="1"/>
      <w:bookmarkEnd w:id="1"/>
      <w:r w:rsidRPr="00607107">
        <w:rPr>
          <w:sz w:val="28"/>
          <w:szCs w:val="28"/>
        </w:rPr>
        <w:t xml:space="preserve"> 2018 06 29</w:t>
      </w:r>
    </w:p>
    <w:p w:rsidR="00607107" w:rsidRDefault="00607107" w:rsidP="00607107">
      <w:pPr>
        <w:jc w:val="right"/>
        <w:rPr>
          <w:sz w:val="28"/>
          <w:szCs w:val="28"/>
        </w:rPr>
      </w:pPr>
      <w:r w:rsidRPr="00607107">
        <w:rPr>
          <w:sz w:val="28"/>
          <w:szCs w:val="28"/>
        </w:rPr>
        <w:t xml:space="preserve">Docket: </w:t>
      </w:r>
      <w:bookmarkStart w:id="2" w:name="2"/>
      <w:bookmarkEnd w:id="2"/>
      <w:r w:rsidRPr="00607107">
        <w:rPr>
          <w:sz w:val="28"/>
          <w:szCs w:val="28"/>
        </w:rPr>
        <w:t xml:space="preserve"> S-1-CV-2017-000191</w:t>
      </w:r>
    </w:p>
    <w:p w:rsidR="00161119" w:rsidRPr="00607107" w:rsidRDefault="00161119" w:rsidP="00607107">
      <w:pPr>
        <w:jc w:val="right"/>
        <w:rPr>
          <w:sz w:val="28"/>
          <w:szCs w:val="28"/>
        </w:rPr>
      </w:pPr>
      <w:r w:rsidRPr="00607107">
        <w:rPr>
          <w:sz w:val="28"/>
          <w:szCs w:val="28"/>
        </w:rPr>
        <w:fldChar w:fldCharType="begin"/>
      </w:r>
      <w:r w:rsidRPr="00607107">
        <w:rPr>
          <w:sz w:val="28"/>
          <w:szCs w:val="28"/>
        </w:rPr>
        <w:instrText xml:space="preserve"> SEQ CHAPTER \h \r 1</w:instrText>
      </w:r>
      <w:r w:rsidRPr="00607107">
        <w:rPr>
          <w:sz w:val="28"/>
          <w:szCs w:val="28"/>
        </w:rPr>
        <w:fldChar w:fldCharType="end"/>
      </w:r>
    </w:p>
    <w:p w:rsidR="00161119" w:rsidRPr="006C547B" w:rsidRDefault="00161119" w:rsidP="00161119">
      <w:pPr>
        <w:jc w:val="right"/>
        <w:rPr>
          <w:sz w:val="28"/>
          <w:szCs w:val="28"/>
        </w:rPr>
      </w:pPr>
    </w:p>
    <w:p w:rsidR="00161119" w:rsidRPr="006C547B" w:rsidRDefault="00161119" w:rsidP="00161119">
      <w:pPr>
        <w:jc w:val="right"/>
        <w:rPr>
          <w:sz w:val="28"/>
          <w:szCs w:val="28"/>
        </w:rPr>
      </w:pPr>
    </w:p>
    <w:p w:rsidR="00161119" w:rsidRPr="006C547B" w:rsidRDefault="00161119" w:rsidP="00161119">
      <w:pPr>
        <w:jc w:val="center"/>
        <w:rPr>
          <w:sz w:val="28"/>
          <w:szCs w:val="28"/>
        </w:rPr>
      </w:pPr>
      <w:r w:rsidRPr="006C547B">
        <w:rPr>
          <w:sz w:val="28"/>
          <w:szCs w:val="28"/>
        </w:rPr>
        <w:t>IN THE SUPREME COURT OF THE NORTHWEST TERRITORIES</w:t>
      </w:r>
    </w:p>
    <w:p w:rsidR="00161119" w:rsidRPr="006C547B" w:rsidRDefault="00161119" w:rsidP="00161119">
      <w:pPr>
        <w:jc w:val="center"/>
        <w:rPr>
          <w:sz w:val="28"/>
          <w:szCs w:val="28"/>
        </w:rPr>
      </w:pPr>
    </w:p>
    <w:p w:rsidR="00161119" w:rsidRPr="006C547B" w:rsidRDefault="00161119" w:rsidP="00161119">
      <w:pPr>
        <w:pStyle w:val="ListParagraph"/>
        <w:ind w:left="0"/>
        <w:jc w:val="center"/>
        <w:rPr>
          <w:sz w:val="28"/>
          <w:szCs w:val="28"/>
        </w:rPr>
      </w:pPr>
      <w:r w:rsidRPr="006C547B">
        <w:rPr>
          <w:sz w:val="28"/>
          <w:szCs w:val="28"/>
        </w:rPr>
        <w:t xml:space="preserve">IN THE MATTER OF the </w:t>
      </w:r>
      <w:r w:rsidRPr="006C547B">
        <w:rPr>
          <w:i/>
          <w:sz w:val="28"/>
          <w:szCs w:val="28"/>
        </w:rPr>
        <w:t>Employment Standards Act</w:t>
      </w:r>
      <w:r w:rsidRPr="006C547B">
        <w:rPr>
          <w:sz w:val="28"/>
          <w:szCs w:val="28"/>
        </w:rPr>
        <w:t xml:space="preserve">, </w:t>
      </w:r>
    </w:p>
    <w:p w:rsidR="00161119" w:rsidRPr="006C547B" w:rsidRDefault="00161119" w:rsidP="00161119">
      <w:pPr>
        <w:pStyle w:val="ListParagraph"/>
        <w:tabs>
          <w:tab w:val="center" w:pos="4680"/>
          <w:tab w:val="left" w:pos="7008"/>
        </w:tabs>
        <w:ind w:left="0"/>
        <w:rPr>
          <w:sz w:val="28"/>
          <w:szCs w:val="28"/>
        </w:rPr>
      </w:pPr>
      <w:r w:rsidRPr="006C547B">
        <w:rPr>
          <w:sz w:val="28"/>
          <w:szCs w:val="28"/>
        </w:rPr>
        <w:tab/>
        <w:t>S.N.W.T. 2007, c. 13, as amended</w:t>
      </w:r>
      <w:r w:rsidRPr="006C547B">
        <w:rPr>
          <w:sz w:val="28"/>
          <w:szCs w:val="28"/>
        </w:rPr>
        <w:tab/>
      </w:r>
    </w:p>
    <w:p w:rsidR="00161119" w:rsidRPr="006C547B" w:rsidRDefault="00161119" w:rsidP="00161119">
      <w:pPr>
        <w:pStyle w:val="ListParagraph"/>
        <w:ind w:left="0"/>
        <w:jc w:val="center"/>
        <w:rPr>
          <w:sz w:val="28"/>
          <w:szCs w:val="28"/>
        </w:rPr>
      </w:pPr>
    </w:p>
    <w:p w:rsidR="00161119" w:rsidRPr="006C547B" w:rsidRDefault="00161119" w:rsidP="00161119">
      <w:pPr>
        <w:pStyle w:val="ListParagraph"/>
        <w:ind w:left="0"/>
        <w:jc w:val="center"/>
        <w:rPr>
          <w:sz w:val="28"/>
          <w:szCs w:val="28"/>
        </w:rPr>
      </w:pPr>
      <w:r w:rsidRPr="006C547B">
        <w:rPr>
          <w:sz w:val="28"/>
          <w:szCs w:val="28"/>
        </w:rPr>
        <w:t xml:space="preserve">AND IN THE MATTER OF the decision of the Adjudicator dated April 4, 2017, </w:t>
      </w:r>
    </w:p>
    <w:p w:rsidR="00161119" w:rsidRPr="006C547B" w:rsidRDefault="00161119" w:rsidP="00161119">
      <w:pPr>
        <w:pStyle w:val="ListParagraph"/>
        <w:ind w:left="0"/>
        <w:jc w:val="center"/>
        <w:rPr>
          <w:sz w:val="28"/>
          <w:szCs w:val="28"/>
        </w:rPr>
      </w:pPr>
    </w:p>
    <w:p w:rsidR="00161119" w:rsidRPr="006C547B" w:rsidRDefault="00161119" w:rsidP="00161119">
      <w:pPr>
        <w:pStyle w:val="ListParagraph"/>
        <w:ind w:left="0"/>
        <w:rPr>
          <w:sz w:val="28"/>
          <w:szCs w:val="28"/>
        </w:rPr>
      </w:pPr>
      <w:r w:rsidRPr="006C547B">
        <w:rPr>
          <w:sz w:val="28"/>
          <w:szCs w:val="28"/>
        </w:rPr>
        <w:t>BETWEEN</w:t>
      </w:r>
    </w:p>
    <w:p w:rsidR="00161119" w:rsidRPr="006C547B" w:rsidRDefault="00161119" w:rsidP="00161119">
      <w:pPr>
        <w:pStyle w:val="ListParagraph"/>
        <w:ind w:left="0"/>
        <w:jc w:val="center"/>
        <w:rPr>
          <w:sz w:val="28"/>
          <w:szCs w:val="28"/>
        </w:rPr>
      </w:pPr>
    </w:p>
    <w:p w:rsidR="00161119" w:rsidRPr="006C547B" w:rsidRDefault="00161119" w:rsidP="00161119">
      <w:pPr>
        <w:pStyle w:val="ListParagraph"/>
        <w:ind w:left="0"/>
        <w:jc w:val="center"/>
        <w:rPr>
          <w:sz w:val="28"/>
          <w:szCs w:val="28"/>
        </w:rPr>
      </w:pPr>
      <w:r w:rsidRPr="006C547B">
        <w:rPr>
          <w:sz w:val="28"/>
          <w:szCs w:val="28"/>
        </w:rPr>
        <w:t>DAVID WHITELOCK</w:t>
      </w:r>
    </w:p>
    <w:p w:rsidR="00161119" w:rsidRPr="006C547B" w:rsidRDefault="00161119" w:rsidP="00161119">
      <w:pPr>
        <w:pStyle w:val="ListParagraph"/>
        <w:ind w:left="0"/>
        <w:jc w:val="right"/>
        <w:rPr>
          <w:sz w:val="28"/>
          <w:szCs w:val="28"/>
        </w:rPr>
      </w:pPr>
      <w:r w:rsidRPr="006C547B">
        <w:rPr>
          <w:sz w:val="28"/>
          <w:szCs w:val="28"/>
        </w:rPr>
        <w:t>Appellant</w:t>
      </w:r>
    </w:p>
    <w:p w:rsidR="00161119" w:rsidRPr="006C547B" w:rsidRDefault="00161119" w:rsidP="00161119">
      <w:pPr>
        <w:pStyle w:val="ListParagraph"/>
        <w:ind w:left="0"/>
        <w:jc w:val="center"/>
        <w:rPr>
          <w:sz w:val="28"/>
          <w:szCs w:val="28"/>
        </w:rPr>
      </w:pPr>
    </w:p>
    <w:p w:rsidR="00161119" w:rsidRPr="006C547B" w:rsidRDefault="00161119" w:rsidP="00607107">
      <w:pPr>
        <w:ind w:left="360"/>
        <w:jc w:val="center"/>
        <w:rPr>
          <w:sz w:val="28"/>
          <w:szCs w:val="28"/>
        </w:rPr>
      </w:pPr>
      <w:r w:rsidRPr="006C547B">
        <w:rPr>
          <w:sz w:val="28"/>
          <w:szCs w:val="28"/>
        </w:rPr>
        <w:t>- and -</w:t>
      </w:r>
    </w:p>
    <w:p w:rsidR="00161119" w:rsidRPr="006C547B" w:rsidRDefault="00161119" w:rsidP="00161119">
      <w:pPr>
        <w:jc w:val="center"/>
        <w:rPr>
          <w:sz w:val="28"/>
          <w:szCs w:val="28"/>
        </w:rPr>
      </w:pPr>
    </w:p>
    <w:p w:rsidR="00161119" w:rsidRPr="006C547B" w:rsidRDefault="00377AC5" w:rsidP="00161119">
      <w:pPr>
        <w:jc w:val="center"/>
        <w:rPr>
          <w:sz w:val="28"/>
          <w:szCs w:val="28"/>
        </w:rPr>
      </w:pPr>
      <w:r>
        <w:rPr>
          <w:sz w:val="28"/>
          <w:szCs w:val="28"/>
        </w:rPr>
        <w:t>FOLK</w:t>
      </w:r>
      <w:r w:rsidR="00161119" w:rsidRPr="006C547B">
        <w:rPr>
          <w:sz w:val="28"/>
          <w:szCs w:val="28"/>
        </w:rPr>
        <w:t xml:space="preserve"> ON THE ROCKS SOCIETY</w:t>
      </w:r>
    </w:p>
    <w:p w:rsidR="00161119" w:rsidRPr="006C547B" w:rsidRDefault="00161119" w:rsidP="00607107">
      <w:pPr>
        <w:jc w:val="right"/>
        <w:rPr>
          <w:sz w:val="28"/>
          <w:szCs w:val="28"/>
        </w:rPr>
      </w:pPr>
      <w:r w:rsidRPr="006C547B">
        <w:rPr>
          <w:sz w:val="28"/>
          <w:szCs w:val="28"/>
        </w:rPr>
        <w:t>Respondent</w:t>
      </w:r>
    </w:p>
    <w:p w:rsidR="00161119" w:rsidRPr="006C547B" w:rsidRDefault="00607107" w:rsidP="00607107">
      <w:pPr>
        <w:pStyle w:val="ListParagraph"/>
        <w:ind w:left="1080"/>
        <w:rPr>
          <w:sz w:val="28"/>
          <w:szCs w:val="28"/>
        </w:rPr>
      </w:pPr>
      <w:r>
        <w:rPr>
          <w:sz w:val="28"/>
          <w:szCs w:val="28"/>
        </w:rPr>
        <w:t xml:space="preserve">                                                 </w:t>
      </w:r>
      <w:r w:rsidR="00161119" w:rsidRPr="006C547B">
        <w:rPr>
          <w:sz w:val="28"/>
          <w:szCs w:val="28"/>
        </w:rPr>
        <w:t>- and -</w:t>
      </w:r>
    </w:p>
    <w:p w:rsidR="00161119" w:rsidRDefault="00161119" w:rsidP="00CB4AA5">
      <w:pPr>
        <w:widowControl/>
        <w:rPr>
          <w:sz w:val="28"/>
          <w:szCs w:val="28"/>
          <w:lang w:val="en-GB"/>
        </w:rPr>
      </w:pPr>
    </w:p>
    <w:p w:rsidR="00161119" w:rsidRDefault="00161119" w:rsidP="00161119">
      <w:pPr>
        <w:pStyle w:val="ListParagraph"/>
        <w:ind w:left="1080"/>
        <w:jc w:val="center"/>
        <w:rPr>
          <w:sz w:val="28"/>
          <w:szCs w:val="28"/>
        </w:rPr>
      </w:pPr>
      <w:r w:rsidRPr="006C547B">
        <w:rPr>
          <w:sz w:val="28"/>
          <w:szCs w:val="28"/>
        </w:rPr>
        <w:t>EMPLOYMENT STANDARDS APPEAL OFFICE</w:t>
      </w:r>
    </w:p>
    <w:p w:rsidR="00161119" w:rsidRPr="006C547B" w:rsidRDefault="00161119" w:rsidP="00161119">
      <w:pPr>
        <w:pStyle w:val="ListParagraph"/>
        <w:ind w:left="1080"/>
        <w:jc w:val="right"/>
        <w:rPr>
          <w:sz w:val="28"/>
          <w:szCs w:val="28"/>
        </w:rPr>
      </w:pPr>
      <w:r w:rsidRPr="006C547B">
        <w:rPr>
          <w:sz w:val="28"/>
          <w:szCs w:val="28"/>
        </w:rPr>
        <w:t xml:space="preserve">Respondent </w:t>
      </w:r>
    </w:p>
    <w:p w:rsidR="00161119" w:rsidRPr="006C547B" w:rsidRDefault="00161119" w:rsidP="00EF73FC">
      <w:pPr>
        <w:pStyle w:val="ListParagraph"/>
        <w:ind w:left="0"/>
        <w:rPr>
          <w:sz w:val="28"/>
          <w:szCs w:val="28"/>
        </w:rPr>
      </w:pPr>
    </w:p>
    <w:p w:rsidR="00161119" w:rsidRPr="006C547B" w:rsidRDefault="00161119" w:rsidP="00161119">
      <w:pPr>
        <w:pStyle w:val="ListParagraph"/>
        <w:ind w:left="0"/>
        <w:jc w:val="center"/>
        <w:rPr>
          <w:sz w:val="28"/>
          <w:szCs w:val="28"/>
        </w:rPr>
      </w:pPr>
      <w:r w:rsidRPr="006C547B">
        <w:rPr>
          <w:sz w:val="28"/>
          <w:szCs w:val="28"/>
          <w:u w:val="single"/>
        </w:rPr>
        <w:t>MEMORANDUM OF JUDGMENT</w:t>
      </w:r>
    </w:p>
    <w:p w:rsidR="00161119" w:rsidRPr="006C547B" w:rsidRDefault="00161119" w:rsidP="00161119">
      <w:pPr>
        <w:pStyle w:val="ListParagraph"/>
        <w:ind w:left="0"/>
        <w:jc w:val="center"/>
        <w:rPr>
          <w:sz w:val="28"/>
          <w:szCs w:val="28"/>
        </w:rPr>
      </w:pPr>
    </w:p>
    <w:p w:rsidR="00161119" w:rsidRPr="005B0608" w:rsidRDefault="00161119" w:rsidP="00161119">
      <w:pPr>
        <w:pStyle w:val="ListParagraph"/>
        <w:spacing w:after="280"/>
        <w:ind w:left="0"/>
        <w:contextualSpacing w:val="0"/>
        <w:jc w:val="both"/>
        <w:rPr>
          <w:sz w:val="28"/>
          <w:szCs w:val="28"/>
        </w:rPr>
      </w:pPr>
      <w:r w:rsidRPr="005B0608">
        <w:rPr>
          <w:sz w:val="28"/>
          <w:szCs w:val="28"/>
        </w:rPr>
        <w:fldChar w:fldCharType="begin"/>
      </w:r>
      <w:r w:rsidRPr="005B0608">
        <w:rPr>
          <w:sz w:val="28"/>
          <w:szCs w:val="28"/>
        </w:rPr>
        <w:instrText xml:space="preserve"> SEQ CHAPTER \h \r 1</w:instrText>
      </w:r>
      <w:r w:rsidRPr="005B0608">
        <w:rPr>
          <w:sz w:val="28"/>
          <w:szCs w:val="28"/>
        </w:rPr>
        <w:fldChar w:fldCharType="end"/>
      </w:r>
      <w:r w:rsidRPr="005B0608">
        <w:rPr>
          <w:sz w:val="28"/>
          <w:szCs w:val="28"/>
        </w:rPr>
        <w:fldChar w:fldCharType="begin"/>
      </w:r>
      <w:r w:rsidRPr="005B0608">
        <w:rPr>
          <w:sz w:val="28"/>
          <w:szCs w:val="28"/>
        </w:rPr>
        <w:instrText xml:space="preserve"> SEQ CHAPTER \h \r 1</w:instrText>
      </w:r>
      <w:r w:rsidRPr="005B0608">
        <w:rPr>
          <w:sz w:val="28"/>
          <w:szCs w:val="28"/>
        </w:rPr>
        <w:fldChar w:fldCharType="end"/>
      </w:r>
      <w:r w:rsidRPr="005B0608">
        <w:rPr>
          <w:bCs/>
          <w:sz w:val="28"/>
          <w:szCs w:val="28"/>
          <w:u w:val="single"/>
        </w:rPr>
        <w:t>Introduction</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This is an appeal brought pursuant to the </w:t>
      </w:r>
      <w:r w:rsidRPr="006C547B">
        <w:rPr>
          <w:i/>
          <w:sz w:val="28"/>
          <w:szCs w:val="28"/>
        </w:rPr>
        <w:t xml:space="preserve">Employment Standards </w:t>
      </w:r>
      <w:r w:rsidRPr="006C547B">
        <w:rPr>
          <w:sz w:val="28"/>
          <w:szCs w:val="28"/>
        </w:rPr>
        <w:t>Act, S.N.W.T. 2007, c. 13 (</w:t>
      </w:r>
      <w:r w:rsidRPr="006C547B">
        <w:rPr>
          <w:i/>
          <w:sz w:val="28"/>
          <w:szCs w:val="28"/>
        </w:rPr>
        <w:t>Act</w:t>
      </w:r>
      <w:r w:rsidRPr="006C547B">
        <w:rPr>
          <w:sz w:val="28"/>
          <w:szCs w:val="28"/>
        </w:rPr>
        <w:t>).  It arises from a dispute between the Respondent Folk on the Rocks Society (FOTR) and the Appellant David Whitelock (Whitelock), the former Executive Director of FOTR.</w:t>
      </w:r>
    </w:p>
    <w:p w:rsidR="00161119" w:rsidRPr="008D77C8" w:rsidRDefault="00161119" w:rsidP="008D77C8">
      <w:pPr>
        <w:pStyle w:val="ListParagraph"/>
        <w:widowControl/>
        <w:numPr>
          <w:ilvl w:val="0"/>
          <w:numId w:val="2"/>
        </w:numPr>
        <w:autoSpaceDE/>
        <w:autoSpaceDN/>
        <w:adjustRightInd/>
        <w:spacing w:after="280"/>
        <w:ind w:left="0" w:firstLine="0"/>
        <w:contextualSpacing w:val="0"/>
        <w:jc w:val="both"/>
        <w:rPr>
          <w:sz w:val="28"/>
          <w:szCs w:val="28"/>
        </w:rPr>
      </w:pPr>
      <w:r w:rsidRPr="008D77C8">
        <w:rPr>
          <w:sz w:val="28"/>
          <w:szCs w:val="28"/>
        </w:rPr>
        <w:t xml:space="preserve">The Respondent employed the Appellant from March 12, 2014 until FOTR terminated Whitelock’s employment on December 29, 2015.  Whitelock had entered into a 3 year contract with FOTR to be employed as its Executive Director at an annual salary of $85,000.  The terms of the contract covered a number of items including providing for an annual bonus to be received by Whitelock after a performance review.  Whitelock filed a complaint with the Employment Standards </w:t>
      </w:r>
      <w:r w:rsidRPr="008D77C8">
        <w:rPr>
          <w:sz w:val="28"/>
          <w:szCs w:val="28"/>
        </w:rPr>
        <w:lastRenderedPageBreak/>
        <w:t>Office on</w:t>
      </w:r>
      <w:r w:rsidR="008D77C8">
        <w:rPr>
          <w:sz w:val="28"/>
          <w:szCs w:val="28"/>
        </w:rPr>
        <w:t xml:space="preserve"> </w:t>
      </w:r>
      <w:r w:rsidRPr="008D77C8">
        <w:rPr>
          <w:sz w:val="28"/>
          <w:szCs w:val="28"/>
        </w:rPr>
        <w:t>January 18, 2016 claiming, amongst other things, unpaid wages, payment for an outstanding bonus and holiday pay.</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The Employment Standards Officer (Officer) released a decision on June 16, 2016.  The Officer found that Whitelock was not entitled to a bonus as the bonus was conditional on generated excess cash income and there was no excess cash income available as FOTR was in a deficit financial position.  The Officer also made findings with respect to termination pay, unpaid wages and other issues which do not form the basis of this appeal and, as such, will not be addressed in this decision.</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On July 14, 2016, Whitelock filed a Notice of Appeal from the Officer’s decision pursuant to section 71 of the </w:t>
      </w:r>
      <w:r w:rsidRPr="006C547B">
        <w:rPr>
          <w:i/>
          <w:sz w:val="28"/>
          <w:szCs w:val="28"/>
        </w:rPr>
        <w:t>Act</w:t>
      </w:r>
      <w:r w:rsidRPr="006C547B">
        <w:rPr>
          <w:sz w:val="28"/>
          <w:szCs w:val="28"/>
        </w:rPr>
        <w:t>.  Whitelock appealed the decision on several grounds including that the Officer had misinterpreted the language of the employment agreement which provided for a bonus.</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The appeal was heard by an Adjudicator who released her decision dismissing the appeal on April 4, 2017.  The Adjudicator considered the terms of the employment agreement and found that Whitelock was not entitled to a bonus because FOTR’s had “no money left over that could be used “at the discretion of FOTR” and so the bonus amounted to $0.00.”</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Whitelock filed an Originating Notice of Appeal from the Adjudicator’s decision in the Supreme Court of the Northwest Territories on May 5, 2017.  The Originating Notice of Appeal referred to three grounds of appeal, although only one was advanced at </w:t>
      </w:r>
      <w:r w:rsidR="00377AC5">
        <w:rPr>
          <w:sz w:val="28"/>
          <w:szCs w:val="28"/>
        </w:rPr>
        <w:t>the hearing which related to Whitelock’s</w:t>
      </w:r>
      <w:r w:rsidRPr="006C547B">
        <w:rPr>
          <w:sz w:val="28"/>
          <w:szCs w:val="28"/>
        </w:rPr>
        <w:t xml:space="preserve"> entitlement to an annual bonus.</w:t>
      </w:r>
    </w:p>
    <w:p w:rsidR="00161119" w:rsidRPr="005B0608" w:rsidRDefault="00161119" w:rsidP="00161119">
      <w:pPr>
        <w:pStyle w:val="ListParagraph"/>
        <w:spacing w:after="280"/>
        <w:ind w:left="0"/>
        <w:contextualSpacing w:val="0"/>
        <w:jc w:val="both"/>
        <w:rPr>
          <w:sz w:val="28"/>
          <w:szCs w:val="28"/>
        </w:rPr>
      </w:pPr>
      <w:r w:rsidRPr="005B0608">
        <w:rPr>
          <w:bCs/>
          <w:sz w:val="28"/>
          <w:szCs w:val="28"/>
          <w:u w:val="single"/>
        </w:rPr>
        <w:t>Appeal on a Question of Law</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Section 79(2) of the </w:t>
      </w:r>
      <w:r w:rsidRPr="006C547B">
        <w:rPr>
          <w:i/>
          <w:sz w:val="28"/>
          <w:szCs w:val="28"/>
        </w:rPr>
        <w:t xml:space="preserve">Act </w:t>
      </w:r>
      <w:r w:rsidRPr="006C547B">
        <w:rPr>
          <w:sz w:val="28"/>
          <w:szCs w:val="28"/>
        </w:rPr>
        <w:t xml:space="preserve">contains a privative clause which provides that an Adjudicator’s decision is final and not subject to appeal except in accordance with section 81.1.  </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This appeal is brought pursuant to section 81.1 of the </w:t>
      </w:r>
      <w:r w:rsidRPr="006C547B">
        <w:rPr>
          <w:i/>
          <w:sz w:val="28"/>
          <w:szCs w:val="28"/>
        </w:rPr>
        <w:t>Act</w:t>
      </w:r>
      <w:r w:rsidRPr="006C547B">
        <w:rPr>
          <w:sz w:val="28"/>
          <w:szCs w:val="28"/>
        </w:rPr>
        <w:t>, which states:</w:t>
      </w:r>
    </w:p>
    <w:p w:rsidR="00161119" w:rsidRPr="00D8717D" w:rsidRDefault="00161119" w:rsidP="00D8717D">
      <w:pPr>
        <w:pStyle w:val="ListParagraph"/>
        <w:spacing w:after="280"/>
        <w:ind w:right="720"/>
        <w:contextualSpacing w:val="0"/>
        <w:jc w:val="both"/>
      </w:pPr>
      <w:r w:rsidRPr="00D8717D">
        <w:t>81.1(1) An Adjudicator’s award on an appeal of a decision of the Employment Standards Officer made under section 65 or 66 may be appealed to the Supreme Court by a party, within 30 days after service of a copy of the award on that party, on any point of law raised before the Adjudicator.</w:t>
      </w:r>
    </w:p>
    <w:p w:rsidR="00161119" w:rsidRPr="006C547B" w:rsidRDefault="00161119" w:rsidP="00161119">
      <w:pPr>
        <w:pStyle w:val="ListParagraph"/>
        <w:spacing w:after="280"/>
        <w:ind w:left="0"/>
        <w:contextualSpacing w:val="0"/>
        <w:jc w:val="both"/>
        <w:rPr>
          <w:sz w:val="28"/>
          <w:szCs w:val="28"/>
        </w:rPr>
      </w:pP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lastRenderedPageBreak/>
        <w:t xml:space="preserve">There have been relatively few cases in which appeals pursuant to the </w:t>
      </w:r>
      <w:r w:rsidRPr="006C547B">
        <w:rPr>
          <w:i/>
          <w:sz w:val="28"/>
          <w:szCs w:val="28"/>
        </w:rPr>
        <w:t xml:space="preserve">Act </w:t>
      </w:r>
      <w:r w:rsidRPr="006C547B">
        <w:rPr>
          <w:sz w:val="28"/>
          <w:szCs w:val="28"/>
        </w:rPr>
        <w:t xml:space="preserve">have been considered by this Court.  The predecessor legislation to the </w:t>
      </w:r>
      <w:r w:rsidRPr="006C547B">
        <w:rPr>
          <w:i/>
          <w:sz w:val="28"/>
          <w:szCs w:val="28"/>
        </w:rPr>
        <w:t>Act</w:t>
      </w:r>
      <w:r w:rsidRPr="006C547B">
        <w:rPr>
          <w:sz w:val="28"/>
          <w:szCs w:val="28"/>
        </w:rPr>
        <w:t xml:space="preserve">, the </w:t>
      </w:r>
      <w:r w:rsidRPr="006C547B">
        <w:rPr>
          <w:i/>
          <w:sz w:val="28"/>
          <w:szCs w:val="28"/>
        </w:rPr>
        <w:t>Labour Standards Act</w:t>
      </w:r>
      <w:r w:rsidRPr="006C547B">
        <w:rPr>
          <w:sz w:val="28"/>
          <w:szCs w:val="28"/>
        </w:rPr>
        <w:t xml:space="preserve">, R.S.N.W.T. 1988, c. L-1, also had a provision which permitted appeals to the Supreme Court on any point of law.  In </w:t>
      </w:r>
      <w:r w:rsidRPr="006C547B">
        <w:rPr>
          <w:i/>
          <w:sz w:val="28"/>
          <w:szCs w:val="28"/>
        </w:rPr>
        <w:t xml:space="preserve">Johnson v Yanke, </w:t>
      </w:r>
      <w:r w:rsidRPr="006C547B">
        <w:rPr>
          <w:sz w:val="28"/>
          <w:szCs w:val="28"/>
        </w:rPr>
        <w:t>2009 NWTSC 17, the Court considered the previous legislation and whether the issue on appeal involved a point of law (at para. 9):</w:t>
      </w:r>
    </w:p>
    <w:p w:rsidR="008D77C8" w:rsidRPr="001C1CE2" w:rsidRDefault="00161119" w:rsidP="00D8717D">
      <w:pPr>
        <w:spacing w:after="280"/>
        <w:ind w:left="720" w:right="720"/>
        <w:jc w:val="both"/>
      </w:pPr>
      <w:r w:rsidRPr="001C1CE2">
        <w:t>Since the Appellant’s right of appeal is restricted under the Act to a point of law, the question is whether the Board’s definition or interpretation of the factors and its application of them to the evidence can also be said to involve a point of law.  Interpretation of the factors is really part of the legal test and so in my view is a question of law, although there is a factual aspect to it because interpretation of the legal factors will usually take place in the context of the evidence.</w:t>
      </w:r>
    </w:p>
    <w:p w:rsidR="008D77C8" w:rsidRDefault="008D77C8" w:rsidP="00161119">
      <w:pPr>
        <w:pStyle w:val="ListParagraph"/>
        <w:widowControl/>
        <w:numPr>
          <w:ilvl w:val="0"/>
          <w:numId w:val="2"/>
        </w:numPr>
        <w:autoSpaceDE/>
        <w:autoSpaceDN/>
        <w:adjustRightInd/>
        <w:spacing w:after="280"/>
        <w:ind w:left="0" w:firstLine="0"/>
        <w:contextualSpacing w:val="0"/>
        <w:jc w:val="both"/>
        <w:rPr>
          <w:sz w:val="28"/>
          <w:szCs w:val="28"/>
        </w:rPr>
      </w:pPr>
      <w:r w:rsidRPr="008D77C8">
        <w:rPr>
          <w:i/>
          <w:sz w:val="28"/>
          <w:szCs w:val="28"/>
        </w:rPr>
        <w:t>Medic North v Harnish</w:t>
      </w:r>
      <w:r>
        <w:rPr>
          <w:sz w:val="28"/>
          <w:szCs w:val="28"/>
        </w:rPr>
        <w:t xml:space="preserve">, 2011 NWTSC 46 was the first appeal heard under this </w:t>
      </w:r>
      <w:r w:rsidRPr="008D77C8">
        <w:rPr>
          <w:i/>
          <w:sz w:val="28"/>
          <w:szCs w:val="28"/>
        </w:rPr>
        <w:t>Act.</w:t>
      </w:r>
      <w:r>
        <w:rPr>
          <w:sz w:val="28"/>
          <w:szCs w:val="28"/>
        </w:rPr>
        <w:t xml:space="preserve"> In </w:t>
      </w:r>
      <w:r w:rsidRPr="008D77C8">
        <w:rPr>
          <w:i/>
          <w:sz w:val="28"/>
          <w:szCs w:val="28"/>
        </w:rPr>
        <w:t>Medic North</w:t>
      </w:r>
      <w:r>
        <w:rPr>
          <w:sz w:val="28"/>
          <w:szCs w:val="28"/>
        </w:rPr>
        <w:t xml:space="preserve">, the Court confirmed that appeals to the Supreme Court under s. 81.1 were limited to questions of law.  Similar to the finding in </w:t>
      </w:r>
      <w:r w:rsidRPr="008D77C8">
        <w:rPr>
          <w:i/>
          <w:sz w:val="28"/>
          <w:szCs w:val="28"/>
        </w:rPr>
        <w:t>Johnson</w:t>
      </w:r>
      <w:r>
        <w:rPr>
          <w:sz w:val="28"/>
          <w:szCs w:val="28"/>
        </w:rPr>
        <w:t xml:space="preserve">, the issue in </w:t>
      </w:r>
      <w:r w:rsidRPr="008D77C8">
        <w:rPr>
          <w:i/>
          <w:sz w:val="28"/>
          <w:szCs w:val="28"/>
        </w:rPr>
        <w:t>Medic North</w:t>
      </w:r>
      <w:r>
        <w:rPr>
          <w:sz w:val="28"/>
          <w:szCs w:val="28"/>
        </w:rPr>
        <w:t xml:space="preserve"> was determined to be a legal one with a factual element as the legal question required an examination of the employment relationship between the parties: para. 13. </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In </w:t>
      </w:r>
      <w:r w:rsidRPr="006C547B">
        <w:rPr>
          <w:i/>
          <w:sz w:val="28"/>
          <w:szCs w:val="28"/>
        </w:rPr>
        <w:t>Chaykowski v 506465 NWT Ltd.</w:t>
      </w:r>
      <w:r w:rsidRPr="006C547B">
        <w:rPr>
          <w:sz w:val="28"/>
          <w:szCs w:val="28"/>
        </w:rPr>
        <w:t xml:space="preserve">, 2016 NWTSC 19, the Court was required to consider what constituted a point of law within the meaning of section 81.1 of the </w:t>
      </w:r>
      <w:r w:rsidRPr="006C547B">
        <w:rPr>
          <w:i/>
          <w:sz w:val="28"/>
          <w:szCs w:val="28"/>
        </w:rPr>
        <w:t xml:space="preserve">Act.  </w:t>
      </w:r>
      <w:r w:rsidRPr="006C547B">
        <w:rPr>
          <w:sz w:val="28"/>
          <w:szCs w:val="28"/>
        </w:rPr>
        <w:t xml:space="preserve">The Appellant challenged the Adjudicator’s assessment of evidence and the procedure followed by the Adjudicator in conducting the hearing.  In </w:t>
      </w:r>
      <w:r w:rsidRPr="006C547B">
        <w:rPr>
          <w:i/>
          <w:sz w:val="28"/>
          <w:szCs w:val="28"/>
        </w:rPr>
        <w:t xml:space="preserve">Chaykowski, </w:t>
      </w:r>
      <w:r w:rsidRPr="006C547B">
        <w:rPr>
          <w:sz w:val="28"/>
          <w:szCs w:val="28"/>
        </w:rPr>
        <w:t xml:space="preserve">the issues were clearly more factual than legal; the Appellant’s complaint related to procedure and the evaluation of the evidence and there was no suggestion that the Adjudicator had applied the wrong test or misinterpreted the </w:t>
      </w:r>
      <w:r w:rsidRPr="006C547B">
        <w:rPr>
          <w:i/>
          <w:sz w:val="28"/>
          <w:szCs w:val="28"/>
        </w:rPr>
        <w:t xml:space="preserve">Act.  </w:t>
      </w:r>
      <w:r w:rsidRPr="006C547B">
        <w:rPr>
          <w:sz w:val="28"/>
          <w:szCs w:val="28"/>
        </w:rPr>
        <w:t xml:space="preserve">The conclusion of the Court was that the appeal did not involve a question on a point of law and could not be the subject of an appeal under the </w:t>
      </w:r>
      <w:r w:rsidRPr="006C547B">
        <w:rPr>
          <w:i/>
          <w:sz w:val="28"/>
          <w:szCs w:val="28"/>
        </w:rPr>
        <w:t>Act</w:t>
      </w:r>
      <w:r w:rsidRPr="006C547B">
        <w:rPr>
          <w:sz w:val="28"/>
          <w:szCs w:val="28"/>
        </w:rPr>
        <w:t>.</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 xml:space="preserve">Determining whether an appeal engages a point of law involves a consideration of the nature of the issue before the Court. </w:t>
      </w:r>
      <w:r>
        <w:rPr>
          <w:sz w:val="28"/>
          <w:szCs w:val="28"/>
        </w:rPr>
        <w:t>Questions of law are questions about what the correct legal test is but, a</w:t>
      </w:r>
      <w:r w:rsidRPr="006C547B">
        <w:rPr>
          <w:sz w:val="28"/>
          <w:szCs w:val="28"/>
        </w:rPr>
        <w:t xml:space="preserve">s stated in </w:t>
      </w:r>
      <w:r w:rsidRPr="006C547B">
        <w:rPr>
          <w:i/>
          <w:sz w:val="28"/>
          <w:szCs w:val="28"/>
        </w:rPr>
        <w:t>Chaykowski</w:t>
      </w:r>
      <w:r>
        <w:rPr>
          <w:i/>
          <w:sz w:val="28"/>
          <w:szCs w:val="28"/>
        </w:rPr>
        <w:t>, supra</w:t>
      </w:r>
      <w:r w:rsidRPr="006C547B">
        <w:rPr>
          <w:i/>
          <w:sz w:val="28"/>
          <w:szCs w:val="28"/>
        </w:rPr>
        <w:t xml:space="preserve"> </w:t>
      </w:r>
      <w:r w:rsidRPr="006C547B">
        <w:rPr>
          <w:sz w:val="28"/>
          <w:szCs w:val="28"/>
        </w:rPr>
        <w:t>at para. 1</w:t>
      </w:r>
      <w:r>
        <w:rPr>
          <w:sz w:val="28"/>
          <w:szCs w:val="28"/>
        </w:rPr>
        <w:t>7</w:t>
      </w:r>
      <w:r w:rsidRPr="006C547B">
        <w:rPr>
          <w:sz w:val="28"/>
          <w:szCs w:val="28"/>
        </w:rPr>
        <w:t>:</w:t>
      </w:r>
    </w:p>
    <w:p w:rsidR="00757901" w:rsidRDefault="00161119" w:rsidP="00D8717D">
      <w:pPr>
        <w:pStyle w:val="ListParagraph"/>
        <w:spacing w:after="280"/>
        <w:ind w:right="720"/>
        <w:contextualSpacing w:val="0"/>
        <w:jc w:val="both"/>
      </w:pPr>
      <w:r w:rsidRPr="001C1CE2">
        <w:t xml:space="preserve">Distinctions between questions of law and questions of mixed law and fact can be </w:t>
      </w:r>
    </w:p>
    <w:p w:rsidR="00757901" w:rsidRDefault="00757901" w:rsidP="00D8717D">
      <w:pPr>
        <w:pStyle w:val="ListParagraph"/>
        <w:spacing w:after="280"/>
        <w:ind w:right="720"/>
        <w:contextualSpacing w:val="0"/>
        <w:jc w:val="both"/>
      </w:pPr>
    </w:p>
    <w:p w:rsidR="00757901" w:rsidRDefault="00757901" w:rsidP="00D8717D">
      <w:pPr>
        <w:pStyle w:val="ListParagraph"/>
        <w:spacing w:after="280"/>
        <w:ind w:right="720"/>
        <w:contextualSpacing w:val="0"/>
        <w:jc w:val="both"/>
      </w:pPr>
    </w:p>
    <w:p w:rsidR="00757901" w:rsidRDefault="00757901" w:rsidP="00D8717D">
      <w:pPr>
        <w:pStyle w:val="ListParagraph"/>
        <w:spacing w:after="280"/>
        <w:ind w:right="720"/>
        <w:contextualSpacing w:val="0"/>
        <w:jc w:val="both"/>
      </w:pPr>
    </w:p>
    <w:p w:rsidR="00757901" w:rsidRDefault="00757901" w:rsidP="00D8717D">
      <w:pPr>
        <w:pStyle w:val="ListParagraph"/>
        <w:spacing w:after="280"/>
        <w:ind w:right="720"/>
        <w:contextualSpacing w:val="0"/>
        <w:jc w:val="both"/>
      </w:pPr>
    </w:p>
    <w:p w:rsidR="008D77C8" w:rsidRPr="001C1CE2" w:rsidRDefault="00161119" w:rsidP="00757901">
      <w:pPr>
        <w:pStyle w:val="ListParagraph"/>
        <w:spacing w:after="280"/>
        <w:ind w:right="720"/>
        <w:contextualSpacing w:val="0"/>
        <w:jc w:val="both"/>
      </w:pPr>
      <w:r w:rsidRPr="001C1CE2">
        <w:t>difficult to determine.  A key difference is whether the result will have precedential value or will mainly have an impact on the parties to the dispute:</w:t>
      </w:r>
    </w:p>
    <w:p w:rsidR="00161119" w:rsidRPr="006C547B" w:rsidRDefault="00161119" w:rsidP="00D8717D">
      <w:pPr>
        <w:pStyle w:val="ListParagraph"/>
        <w:spacing w:after="280"/>
        <w:ind w:left="1440" w:right="720"/>
        <w:contextualSpacing w:val="0"/>
        <w:jc w:val="both"/>
        <w:rPr>
          <w:sz w:val="28"/>
          <w:szCs w:val="28"/>
        </w:rPr>
      </w:pPr>
      <w:r w:rsidRPr="001C1CE2">
        <w:t>One central purpose of drawing a distinction between questions of law and those of mixed fact and law is to limit the intervention of appellate courts to cases where the results can be expected to have an impact beyond the parties to the particular dispute. It reflects the role of courts of appeal in ensuring the consistency of the law, rather than in providing a new forum for parties to continue their private litigation.</w:t>
      </w:r>
    </w:p>
    <w:p w:rsidR="00161119" w:rsidRPr="001C1CE2" w:rsidRDefault="00D8717D" w:rsidP="00D8717D">
      <w:pPr>
        <w:spacing w:after="280"/>
        <w:ind w:right="720"/>
        <w:jc w:val="both"/>
      </w:pPr>
      <w:r>
        <w:rPr>
          <w:i/>
        </w:rPr>
        <w:t xml:space="preserve">                        </w:t>
      </w:r>
      <w:r w:rsidR="00161119" w:rsidRPr="001C1CE2">
        <w:rPr>
          <w:i/>
        </w:rPr>
        <w:t xml:space="preserve">Sattva Capital Corp. </w:t>
      </w:r>
      <w:r w:rsidR="001C1CE2" w:rsidRPr="001C1CE2">
        <w:rPr>
          <w:i/>
        </w:rPr>
        <w:t>v</w:t>
      </w:r>
      <w:r w:rsidR="001C1CE2">
        <w:t xml:space="preserve"> </w:t>
      </w:r>
      <w:r w:rsidR="00161119" w:rsidRPr="001C1CE2">
        <w:rPr>
          <w:i/>
        </w:rPr>
        <w:t>Creston Moly Corp.,</w:t>
      </w:r>
      <w:r w:rsidR="00161119" w:rsidRPr="001C1CE2">
        <w:t xml:space="preserve"> 2014 SCC 53 at para. 51.</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In this case, the matter in issue involves the interpretation of the employment contract between the Appellant and Respondent and specifically, the interpretation of the bonus provision of the contract.</w:t>
      </w:r>
    </w:p>
    <w:p w:rsidR="00161119" w:rsidRPr="008D77C8" w:rsidRDefault="00161119" w:rsidP="008D77C8">
      <w:pPr>
        <w:pStyle w:val="ListParagraph"/>
        <w:widowControl/>
        <w:numPr>
          <w:ilvl w:val="0"/>
          <w:numId w:val="2"/>
        </w:numPr>
        <w:autoSpaceDE/>
        <w:autoSpaceDN/>
        <w:adjustRightInd/>
        <w:spacing w:after="280"/>
        <w:ind w:left="0" w:firstLine="0"/>
        <w:contextualSpacing w:val="0"/>
        <w:jc w:val="both"/>
        <w:rPr>
          <w:sz w:val="28"/>
          <w:szCs w:val="28"/>
        </w:rPr>
      </w:pPr>
      <w:r w:rsidRPr="008D77C8">
        <w:rPr>
          <w:sz w:val="28"/>
          <w:szCs w:val="28"/>
        </w:rPr>
        <w:t xml:space="preserve">The Supreme Court of Canada in </w:t>
      </w:r>
      <w:r w:rsidRPr="008D77C8">
        <w:rPr>
          <w:i/>
          <w:sz w:val="28"/>
          <w:szCs w:val="28"/>
        </w:rPr>
        <w:t xml:space="preserve">Sattva Capital </w:t>
      </w:r>
      <w:r w:rsidRPr="008D77C8">
        <w:rPr>
          <w:sz w:val="28"/>
          <w:szCs w:val="28"/>
        </w:rPr>
        <w:t>concluded that contractual interpretation generally involves questions of mixed law and fact in which the legal obligations arising from the contract are, for the most part, only of interest to the parties to the dispute.  An exception to this is where it is possible to</w:t>
      </w:r>
      <w:r w:rsidR="008D77C8">
        <w:rPr>
          <w:sz w:val="28"/>
          <w:szCs w:val="28"/>
        </w:rPr>
        <w:t xml:space="preserve"> </w:t>
      </w:r>
      <w:r w:rsidRPr="008D77C8">
        <w:rPr>
          <w:sz w:val="28"/>
          <w:szCs w:val="28"/>
        </w:rPr>
        <w:t>identify an extricable question of law for example, the failure to consider a required element of a legal test:  paras. 52-53.</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 xml:space="preserve">Where an Adjudicator applies a legal test and fails to consider a required element of that test, the question becomes a question of law as the issue is whether the decision-maker applied the correct legal test.  This is an extricable question of law.  </w:t>
      </w:r>
      <w:r>
        <w:rPr>
          <w:i/>
          <w:sz w:val="28"/>
          <w:szCs w:val="28"/>
        </w:rPr>
        <w:t xml:space="preserve">Teal Cedar Products Ltd. v British Columbia, </w:t>
      </w:r>
      <w:r>
        <w:rPr>
          <w:sz w:val="28"/>
          <w:szCs w:val="28"/>
        </w:rPr>
        <w:t>2017 SCC 32 at para. 44.</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The Supreme Court, however, cautioned appellate courts against being too quick to find an extricable question of law i</w:t>
      </w:r>
      <w:r w:rsidR="00BE66E5">
        <w:rPr>
          <w:sz w:val="28"/>
          <w:szCs w:val="28"/>
        </w:rPr>
        <w:t xml:space="preserve">n contractual disputes, </w:t>
      </w:r>
      <w:r w:rsidR="001C1CE2">
        <w:rPr>
          <w:sz w:val="28"/>
          <w:szCs w:val="28"/>
        </w:rPr>
        <w:t xml:space="preserve">stating in </w:t>
      </w:r>
      <w:r>
        <w:rPr>
          <w:i/>
          <w:sz w:val="28"/>
          <w:szCs w:val="28"/>
        </w:rPr>
        <w:t xml:space="preserve">Sattva Capital, supra </w:t>
      </w:r>
      <w:r w:rsidR="001C1CE2">
        <w:rPr>
          <w:sz w:val="28"/>
          <w:szCs w:val="28"/>
        </w:rPr>
        <w:t>at para. 55</w:t>
      </w:r>
      <w:r>
        <w:rPr>
          <w:sz w:val="28"/>
          <w:szCs w:val="28"/>
        </w:rPr>
        <w:t>:</w:t>
      </w:r>
    </w:p>
    <w:p w:rsidR="00161119" w:rsidRDefault="00161119" w:rsidP="00BE66E5">
      <w:pPr>
        <w:spacing w:after="280"/>
        <w:ind w:left="720" w:right="720"/>
        <w:jc w:val="both"/>
      </w:pPr>
      <w:r w:rsidRPr="001C1CE2">
        <w:t>As mentioned, the goal of contractual interpretation, to ascertain the objective intention of the parties, is inherently fact specific.  The close relationship between the selection and application of principles of contractual interpretation and the construction ultimately given to the instrument means that the circumstances in which a question of law can be extricated from the interpretation process will be rare.</w:t>
      </w:r>
    </w:p>
    <w:p w:rsidR="00BE66E5" w:rsidRDefault="00BE66E5" w:rsidP="00BE66E5">
      <w:pPr>
        <w:spacing w:after="280"/>
        <w:ind w:left="720" w:right="720"/>
        <w:jc w:val="both"/>
      </w:pPr>
    </w:p>
    <w:p w:rsidR="00BE66E5" w:rsidRPr="001C1CE2" w:rsidRDefault="00BE66E5" w:rsidP="00BE66E5">
      <w:pPr>
        <w:spacing w:after="280"/>
        <w:ind w:left="720" w:right="720"/>
        <w:jc w:val="both"/>
      </w:pP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The employment contract between the Appellant and Respondent allowed for an annual bonus.  The requirements for the bonus and determining the amount of the bonus were set out in the contract in a provision entitled “Annual Performance Review” which stated:</w:t>
      </w:r>
    </w:p>
    <w:p w:rsidR="00161119" w:rsidRPr="001C1CE2" w:rsidRDefault="00161119" w:rsidP="00BE66E5">
      <w:pPr>
        <w:spacing w:after="280"/>
        <w:ind w:left="720" w:right="720"/>
        <w:jc w:val="both"/>
      </w:pPr>
      <w:r w:rsidRPr="001C1CE2">
        <w:t>An annual performance review will be conducted for the ED by the Human Resources Committee between the festival weekend and the following Annual General Meeting.  This review will include a review of base salary and benefits, including annual leave.</w:t>
      </w:r>
    </w:p>
    <w:p w:rsidR="00161119" w:rsidRPr="001C1CE2" w:rsidRDefault="00161119" w:rsidP="00BE66E5">
      <w:pPr>
        <w:spacing w:after="280"/>
        <w:ind w:left="720" w:right="720"/>
        <w:jc w:val="both"/>
      </w:pPr>
      <w:r w:rsidRPr="001C1CE2">
        <w:t>After each annual performance review, the ED will be entitled to a bonus equal to 20% of any general purpose cash income that is generated in excess of cash income for the fiscal year ended August 31, 2013.  General purpose cash income will be defined as any cash income that can be used at the discretion of FOTR and is not tied to a specific program or activity that is not already undertaken by FOTR.  This bonus will be limited to a maximum value of $20,000 per year.</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 xml:space="preserve">The contract between the parties was not a standard form contract where the interpretation of a provision of a standard form contract might be characterized as a question of law:  </w:t>
      </w:r>
      <w:r>
        <w:rPr>
          <w:i/>
          <w:sz w:val="28"/>
          <w:szCs w:val="28"/>
        </w:rPr>
        <w:t>Ledcor Construction Ltd. v Northbridge Indemnity Insurance Co.</w:t>
      </w:r>
      <w:r>
        <w:rPr>
          <w:sz w:val="28"/>
          <w:szCs w:val="28"/>
        </w:rPr>
        <w:t>, 2016 SCC 37 at para. 39.</w:t>
      </w:r>
    </w:p>
    <w:p w:rsidR="00161119"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The interpretation of the bonus provision involved a consideration of the specific words of the contract including the meaning of general purpose cash income.  General purpose cash income was defined in the contract and the Adjudicator considered the definition in determining that “there was no money left over that could be used “at the discretion of FOTR” and so the bonus amounted to $0.00.”</w:t>
      </w:r>
    </w:p>
    <w:p w:rsidR="00967A42" w:rsidRDefault="00161119" w:rsidP="00967A42">
      <w:pPr>
        <w:pStyle w:val="ListParagraph"/>
        <w:widowControl/>
        <w:numPr>
          <w:ilvl w:val="0"/>
          <w:numId w:val="2"/>
        </w:numPr>
        <w:autoSpaceDE/>
        <w:autoSpaceDN/>
        <w:adjustRightInd/>
        <w:spacing w:after="280"/>
        <w:ind w:left="0" w:firstLine="0"/>
        <w:contextualSpacing w:val="0"/>
        <w:jc w:val="both"/>
        <w:rPr>
          <w:sz w:val="28"/>
          <w:szCs w:val="28"/>
        </w:rPr>
      </w:pPr>
      <w:r>
        <w:rPr>
          <w:sz w:val="28"/>
          <w:szCs w:val="28"/>
        </w:rPr>
        <w:t xml:space="preserve">In my view, the issue on appeal is not an extricable question of law and involves a question of mixed law and fact.  The interpretation of the term general purpose cash income was based on the language used in the contract and was determined in relation to the specific facts which were before the Adjudicator regarding the parties and the financial situation of the Respondent.  The interpretation of the employment contract and the application of principles of contractual interpretation are inherently fact specific in this instance.  Furthermore, it is not a question that will have a precedential value beyond its impact upon the parties.  Therefore it is not an appeal on a point of law within the meaning of s. 81.1 of the </w:t>
      </w:r>
      <w:r>
        <w:rPr>
          <w:i/>
          <w:sz w:val="28"/>
          <w:szCs w:val="28"/>
        </w:rPr>
        <w:t xml:space="preserve">Act. </w:t>
      </w:r>
      <w:r>
        <w:rPr>
          <w:sz w:val="28"/>
          <w:szCs w:val="28"/>
        </w:rPr>
        <w:t>As such, I have not gone on to consider the other issues raised by the parties.</w:t>
      </w:r>
    </w:p>
    <w:p w:rsidR="00BE66E5" w:rsidRDefault="00BE66E5" w:rsidP="00BE66E5">
      <w:pPr>
        <w:widowControl/>
        <w:autoSpaceDE/>
        <w:autoSpaceDN/>
        <w:adjustRightInd/>
        <w:spacing w:after="280"/>
        <w:jc w:val="both"/>
        <w:rPr>
          <w:sz w:val="28"/>
          <w:szCs w:val="28"/>
        </w:rPr>
      </w:pPr>
    </w:p>
    <w:p w:rsidR="00BE66E5" w:rsidRPr="00BE66E5" w:rsidRDefault="00BE66E5" w:rsidP="00BE66E5">
      <w:pPr>
        <w:widowControl/>
        <w:autoSpaceDE/>
        <w:autoSpaceDN/>
        <w:adjustRightInd/>
        <w:spacing w:after="280"/>
        <w:jc w:val="both"/>
        <w:rPr>
          <w:sz w:val="28"/>
          <w:szCs w:val="28"/>
        </w:rPr>
      </w:pPr>
    </w:p>
    <w:p w:rsidR="00161119" w:rsidRPr="005B0608" w:rsidRDefault="00161119" w:rsidP="00161119">
      <w:pPr>
        <w:pStyle w:val="ListParagraph"/>
        <w:spacing w:after="280"/>
        <w:ind w:left="0"/>
        <w:contextualSpacing w:val="0"/>
        <w:jc w:val="both"/>
        <w:rPr>
          <w:sz w:val="28"/>
          <w:szCs w:val="28"/>
          <w:u w:val="single"/>
        </w:rPr>
      </w:pPr>
      <w:r w:rsidRPr="005B0608">
        <w:rPr>
          <w:sz w:val="28"/>
          <w:szCs w:val="28"/>
          <w:u w:val="single"/>
        </w:rPr>
        <w:t>Conclusion</w:t>
      </w:r>
    </w:p>
    <w:p w:rsidR="00161119" w:rsidRPr="006C547B" w:rsidRDefault="00161119" w:rsidP="00161119">
      <w:pPr>
        <w:pStyle w:val="ListParagraph"/>
        <w:widowControl/>
        <w:numPr>
          <w:ilvl w:val="0"/>
          <w:numId w:val="2"/>
        </w:numPr>
        <w:autoSpaceDE/>
        <w:autoSpaceDN/>
        <w:adjustRightInd/>
        <w:spacing w:after="280"/>
        <w:ind w:left="0" w:firstLine="0"/>
        <w:contextualSpacing w:val="0"/>
        <w:jc w:val="both"/>
        <w:rPr>
          <w:sz w:val="28"/>
          <w:szCs w:val="28"/>
        </w:rPr>
      </w:pPr>
      <w:r w:rsidRPr="006C547B">
        <w:rPr>
          <w:sz w:val="28"/>
          <w:szCs w:val="28"/>
        </w:rPr>
        <w:t>For the foregoing reasons, the appeal is dismissed.</w:t>
      </w:r>
    </w:p>
    <w:p w:rsidR="007A78CE" w:rsidRDefault="007A78CE" w:rsidP="00CB4AA5">
      <w:pPr>
        <w:tabs>
          <w:tab w:val="left" w:pos="720"/>
          <w:tab w:val="left" w:pos="1440"/>
          <w:tab w:val="left" w:pos="2160"/>
          <w:tab w:val="left" w:pos="2880"/>
          <w:tab w:val="left" w:pos="3600"/>
          <w:tab w:val="left" w:pos="4320"/>
          <w:tab w:val="left" w:pos="5040"/>
          <w:tab w:val="left" w:pos="5760"/>
        </w:tabs>
        <w:ind w:left="5760" w:hanging="5760"/>
        <w:rPr>
          <w:sz w:val="28"/>
          <w:szCs w:val="28"/>
        </w:rPr>
      </w:pPr>
    </w:p>
    <w:p w:rsidR="007A78CE" w:rsidRDefault="007A78CE" w:rsidP="00CB4AA5">
      <w:pPr>
        <w:tabs>
          <w:tab w:val="left" w:pos="720"/>
          <w:tab w:val="left" w:pos="1440"/>
          <w:tab w:val="left" w:pos="2160"/>
          <w:tab w:val="left" w:pos="2880"/>
          <w:tab w:val="left" w:pos="3600"/>
          <w:tab w:val="left" w:pos="4320"/>
          <w:tab w:val="left" w:pos="5040"/>
          <w:tab w:val="left" w:pos="5760"/>
        </w:tabs>
        <w:ind w:left="5760" w:hanging="5760"/>
        <w:rPr>
          <w:sz w:val="28"/>
          <w:szCs w:val="28"/>
        </w:rPr>
      </w:pPr>
    </w:p>
    <w:p w:rsidR="007A78CE" w:rsidRPr="00CB4AA5" w:rsidRDefault="007A78CE" w:rsidP="00CB4AA5">
      <w:pPr>
        <w:tabs>
          <w:tab w:val="left" w:pos="720"/>
          <w:tab w:val="left" w:pos="1440"/>
          <w:tab w:val="left" w:pos="2160"/>
          <w:tab w:val="left" w:pos="2880"/>
          <w:tab w:val="left" w:pos="3600"/>
          <w:tab w:val="left" w:pos="4320"/>
          <w:tab w:val="left" w:pos="5040"/>
          <w:tab w:val="left" w:pos="5760"/>
        </w:tabs>
        <w:ind w:left="5760" w:hanging="5760"/>
        <w:rPr>
          <w:sz w:val="28"/>
          <w:szCs w:val="28"/>
        </w:rPr>
      </w:pPr>
    </w:p>
    <w:p w:rsidR="00DD5032" w:rsidRPr="00CB4AA5" w:rsidRDefault="00DD5032" w:rsidP="00CB4AA5">
      <w:pPr>
        <w:tabs>
          <w:tab w:val="left" w:pos="720"/>
          <w:tab w:val="left" w:pos="1440"/>
          <w:tab w:val="left" w:pos="2160"/>
          <w:tab w:val="left" w:pos="2880"/>
          <w:tab w:val="left" w:pos="3600"/>
          <w:tab w:val="left" w:pos="4320"/>
          <w:tab w:val="left" w:pos="5040"/>
          <w:tab w:val="left" w:pos="5760"/>
        </w:tabs>
        <w:ind w:left="5760" w:hanging="5760"/>
        <w:rPr>
          <w:sz w:val="28"/>
          <w:szCs w:val="28"/>
        </w:rPr>
      </w:pPr>
      <w:r w:rsidRPr="00CB4AA5">
        <w:rPr>
          <w:sz w:val="28"/>
          <w:szCs w:val="28"/>
        </w:rPr>
        <w:fldChar w:fldCharType="begin"/>
      </w:r>
      <w:r w:rsidRPr="00CB4AA5">
        <w:rPr>
          <w:sz w:val="28"/>
          <w:szCs w:val="28"/>
        </w:rPr>
        <w:instrText xml:space="preserve"> SEQ CHAPTER \h \r 1</w:instrText>
      </w:r>
      <w:r w:rsidRPr="00CB4AA5">
        <w:rPr>
          <w:sz w:val="28"/>
          <w:szCs w:val="28"/>
        </w:rPr>
        <w:fldChar w:fldCharType="end"/>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t>S.H. Smallwood</w:t>
      </w:r>
    </w:p>
    <w:p w:rsidR="00DD5032" w:rsidRPr="00CB4AA5" w:rsidRDefault="00DD5032" w:rsidP="00CB4AA5">
      <w:pPr>
        <w:rPr>
          <w:sz w:val="28"/>
          <w:szCs w:val="28"/>
        </w:rPr>
      </w:pP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r>
      <w:r w:rsidRPr="00CB4AA5">
        <w:rPr>
          <w:sz w:val="28"/>
          <w:szCs w:val="28"/>
        </w:rPr>
        <w:tab/>
        <w:t xml:space="preserve">        J.S.C.</w:t>
      </w:r>
    </w:p>
    <w:p w:rsidR="00107A18" w:rsidRPr="00EE6E13" w:rsidRDefault="00107A18" w:rsidP="00107A18">
      <w:pPr>
        <w:rPr>
          <w:sz w:val="28"/>
          <w:szCs w:val="28"/>
        </w:rPr>
      </w:pPr>
    </w:p>
    <w:p w:rsidR="00107A18" w:rsidRPr="00455003" w:rsidRDefault="00107A18" w:rsidP="00107A18">
      <w:pPr>
        <w:rPr>
          <w:sz w:val="28"/>
          <w:szCs w:val="28"/>
        </w:rPr>
      </w:pPr>
      <w:r w:rsidRPr="00455003">
        <w:rPr>
          <w:sz w:val="28"/>
          <w:szCs w:val="28"/>
        </w:rPr>
        <w:t>Dated at Yellowknife, NT, this</w:t>
      </w:r>
    </w:p>
    <w:p w:rsidR="00107A18" w:rsidRDefault="007F5D58" w:rsidP="00107A18">
      <w:pPr>
        <w:rPr>
          <w:sz w:val="28"/>
          <w:szCs w:val="28"/>
        </w:rPr>
      </w:pPr>
      <w:r>
        <w:rPr>
          <w:sz w:val="28"/>
          <w:szCs w:val="28"/>
        </w:rPr>
        <w:t>29</w:t>
      </w:r>
      <w:r w:rsidR="00107A18" w:rsidRPr="00116D22">
        <w:rPr>
          <w:sz w:val="28"/>
          <w:szCs w:val="28"/>
          <w:vertAlign w:val="superscript"/>
        </w:rPr>
        <w:t>th</w:t>
      </w:r>
      <w:r w:rsidR="00107A18">
        <w:rPr>
          <w:sz w:val="28"/>
          <w:szCs w:val="28"/>
        </w:rPr>
        <w:t xml:space="preserve"> day</w:t>
      </w:r>
      <w:r w:rsidR="00107A18" w:rsidRPr="00455003">
        <w:rPr>
          <w:sz w:val="28"/>
          <w:szCs w:val="28"/>
        </w:rPr>
        <w:t xml:space="preserve"> of</w:t>
      </w:r>
      <w:r w:rsidR="000C4CCF">
        <w:rPr>
          <w:sz w:val="28"/>
          <w:szCs w:val="28"/>
        </w:rPr>
        <w:t xml:space="preserve"> June</w:t>
      </w:r>
      <w:r w:rsidR="00107A18">
        <w:rPr>
          <w:sz w:val="28"/>
          <w:szCs w:val="28"/>
        </w:rPr>
        <w:t xml:space="preserve">, </w:t>
      </w:r>
      <w:r w:rsidR="00107A18" w:rsidRPr="00455003">
        <w:rPr>
          <w:sz w:val="28"/>
          <w:szCs w:val="28"/>
        </w:rPr>
        <w:t>201</w:t>
      </w:r>
      <w:r>
        <w:rPr>
          <w:sz w:val="28"/>
          <w:szCs w:val="28"/>
        </w:rPr>
        <w:t>8</w:t>
      </w:r>
    </w:p>
    <w:p w:rsidR="00107A18" w:rsidRDefault="00107A18" w:rsidP="00107A18">
      <w:pPr>
        <w:rPr>
          <w:sz w:val="28"/>
          <w:szCs w:val="28"/>
        </w:rPr>
      </w:pPr>
    </w:p>
    <w:p w:rsidR="00107A18" w:rsidRDefault="00107A18" w:rsidP="00107A18">
      <w:pPr>
        <w:tabs>
          <w:tab w:val="left" w:pos="5220"/>
          <w:tab w:val="right" w:pos="9360"/>
        </w:tabs>
        <w:rPr>
          <w:sz w:val="28"/>
          <w:szCs w:val="28"/>
        </w:rPr>
      </w:pPr>
      <w:r>
        <w:rPr>
          <w:sz w:val="28"/>
          <w:szCs w:val="28"/>
        </w:rPr>
        <w:t xml:space="preserve">Counsel for </w:t>
      </w:r>
      <w:r w:rsidR="000C4CCF">
        <w:rPr>
          <w:sz w:val="28"/>
          <w:szCs w:val="28"/>
          <w:lang w:val="en-GB"/>
        </w:rPr>
        <w:t xml:space="preserve">Appellant:     </w:t>
      </w:r>
      <w:r w:rsidR="007F5D58">
        <w:rPr>
          <w:sz w:val="28"/>
          <w:szCs w:val="28"/>
          <w:lang w:val="en-GB"/>
        </w:rPr>
        <w:t xml:space="preserve">         </w:t>
      </w:r>
      <w:r w:rsidR="007F5D58">
        <w:rPr>
          <w:sz w:val="28"/>
          <w:szCs w:val="28"/>
        </w:rPr>
        <w:t>Stuart Chambers</w:t>
      </w:r>
    </w:p>
    <w:p w:rsidR="00107A18" w:rsidRDefault="007F5D58" w:rsidP="000C4CCF">
      <w:pPr>
        <w:tabs>
          <w:tab w:val="left" w:pos="5220"/>
          <w:tab w:val="right" w:pos="9360"/>
        </w:tabs>
        <w:rPr>
          <w:sz w:val="28"/>
          <w:szCs w:val="28"/>
        </w:rPr>
      </w:pPr>
      <w:r>
        <w:rPr>
          <w:sz w:val="28"/>
          <w:szCs w:val="28"/>
        </w:rPr>
        <w:t xml:space="preserve">Counsel </w:t>
      </w:r>
      <w:r w:rsidR="000C4CCF">
        <w:rPr>
          <w:sz w:val="28"/>
          <w:szCs w:val="28"/>
        </w:rPr>
        <w:t>F</w:t>
      </w:r>
      <w:r w:rsidR="00107A18">
        <w:rPr>
          <w:sz w:val="28"/>
          <w:szCs w:val="28"/>
        </w:rPr>
        <w:t xml:space="preserve">or the </w:t>
      </w:r>
      <w:r w:rsidR="00B4126E">
        <w:rPr>
          <w:sz w:val="28"/>
          <w:szCs w:val="28"/>
          <w:lang w:val="en-GB"/>
        </w:rPr>
        <w:t>Respondent</w:t>
      </w:r>
      <w:r w:rsidR="000C4CCF">
        <w:rPr>
          <w:sz w:val="28"/>
          <w:szCs w:val="28"/>
        </w:rPr>
        <w:t xml:space="preserve">:    </w:t>
      </w:r>
      <w:r>
        <w:rPr>
          <w:sz w:val="28"/>
          <w:szCs w:val="28"/>
        </w:rPr>
        <w:t>Glen Rutland</w:t>
      </w:r>
    </w:p>
    <w:p w:rsidR="00107A18" w:rsidRDefault="007F5D58" w:rsidP="007F5D58">
      <w:pPr>
        <w:tabs>
          <w:tab w:val="left" w:pos="5220"/>
          <w:tab w:val="right" w:pos="9360"/>
        </w:tabs>
        <w:rPr>
          <w:sz w:val="28"/>
          <w:szCs w:val="28"/>
        </w:rPr>
      </w:pPr>
      <w:r>
        <w:rPr>
          <w:sz w:val="28"/>
          <w:szCs w:val="28"/>
        </w:rPr>
        <w:t xml:space="preserve">Counsel for Employment </w:t>
      </w:r>
    </w:p>
    <w:p w:rsidR="007F5D58" w:rsidRDefault="007F5D58" w:rsidP="007F5D58">
      <w:pPr>
        <w:tabs>
          <w:tab w:val="left" w:pos="5220"/>
          <w:tab w:val="right" w:pos="9360"/>
        </w:tabs>
        <w:rPr>
          <w:sz w:val="28"/>
          <w:szCs w:val="28"/>
        </w:rPr>
      </w:pPr>
      <w:r>
        <w:rPr>
          <w:sz w:val="28"/>
          <w:szCs w:val="28"/>
        </w:rPr>
        <w:t xml:space="preserve">  Standards Appeal Office:         </w:t>
      </w:r>
      <w:r w:rsidR="00BE66E5">
        <w:rPr>
          <w:sz w:val="28"/>
          <w:szCs w:val="28"/>
        </w:rPr>
        <w:t>Rylu</w:t>
      </w:r>
      <w:r>
        <w:rPr>
          <w:sz w:val="28"/>
          <w:szCs w:val="28"/>
        </w:rPr>
        <w:t>nd Johnson</w:t>
      </w:r>
    </w:p>
    <w:p w:rsidR="007F5D58" w:rsidRPr="0032647A" w:rsidRDefault="007F5D58" w:rsidP="007F5D58">
      <w:pPr>
        <w:tabs>
          <w:tab w:val="left" w:pos="5220"/>
          <w:tab w:val="right" w:pos="9360"/>
        </w:tabs>
        <w:rPr>
          <w:sz w:val="28"/>
          <w:szCs w:val="28"/>
        </w:rPr>
        <w:sectPr w:rsidR="007F5D58" w:rsidRPr="0032647A" w:rsidSect="00C07BBC">
          <w:headerReference w:type="default" r:id="rId8"/>
          <w:headerReference w:type="first" r:id="rId9"/>
          <w:pgSz w:w="12240" w:h="15840"/>
          <w:pgMar w:top="1080" w:right="1530" w:bottom="1260" w:left="1440" w:header="540" w:footer="720" w:gutter="0"/>
          <w:cols w:space="720"/>
          <w:titlePg/>
          <w:docGrid w:linePitch="360"/>
        </w:sectPr>
      </w:pPr>
    </w:p>
    <w:p w:rsidR="00107A18" w:rsidRPr="0032647A" w:rsidRDefault="00107A18" w:rsidP="00107A18">
      <w:pPr>
        <w:rPr>
          <w:sz w:val="28"/>
          <w:szCs w:val="28"/>
        </w:rPr>
      </w:pPr>
    </w:p>
    <w:tbl>
      <w:tblPr>
        <w:tblStyle w:val="TableGrid"/>
        <w:tblpPr w:leftFromText="180" w:rightFromText="180" w:horzAnchor="margin" w:tblpXSpec="right" w:tblpY="510"/>
        <w:tblW w:w="0" w:type="auto"/>
        <w:tblBorders>
          <w:top w:val="none" w:sz="0" w:space="0" w:color="auto"/>
          <w:left w:val="none" w:sz="0" w:space="0" w:color="auto"/>
          <w:right w:val="none" w:sz="0" w:space="0" w:color="auto"/>
        </w:tblBorders>
        <w:tblLook w:val="04A0" w:firstRow="1" w:lastRow="0" w:firstColumn="1" w:lastColumn="0" w:noHBand="0" w:noVBand="1"/>
      </w:tblPr>
      <w:tblGrid>
        <w:gridCol w:w="6408"/>
      </w:tblGrid>
      <w:tr w:rsidR="00107A18" w:rsidRPr="0032647A" w:rsidTr="001726B4">
        <w:tc>
          <w:tcPr>
            <w:tcW w:w="6408" w:type="dxa"/>
          </w:tcPr>
          <w:p w:rsidR="00107A18" w:rsidRPr="0032647A" w:rsidRDefault="00107A18" w:rsidP="009B47B5">
            <w:pPr>
              <w:jc w:val="right"/>
              <w:rPr>
                <w:sz w:val="28"/>
                <w:szCs w:val="28"/>
              </w:rPr>
            </w:pPr>
            <w:r w:rsidRPr="00923F35">
              <w:rPr>
                <w:sz w:val="28"/>
                <w:szCs w:val="28"/>
                <w:lang w:val="en-GB"/>
              </w:rPr>
              <w:t>S-1-</w:t>
            </w:r>
            <w:r w:rsidR="009B47B5">
              <w:rPr>
                <w:sz w:val="28"/>
                <w:szCs w:val="28"/>
                <w:lang w:val="en-GB"/>
              </w:rPr>
              <w:t>C</w:t>
            </w:r>
            <w:r>
              <w:rPr>
                <w:sz w:val="28"/>
                <w:szCs w:val="28"/>
                <w:lang w:val="en-GB"/>
              </w:rPr>
              <w:t>V-20</w:t>
            </w:r>
            <w:r w:rsidR="000C4CCF">
              <w:rPr>
                <w:sz w:val="28"/>
                <w:szCs w:val="28"/>
                <w:lang w:val="en-GB"/>
              </w:rPr>
              <w:t>17</w:t>
            </w:r>
            <w:r>
              <w:rPr>
                <w:sz w:val="28"/>
                <w:szCs w:val="28"/>
                <w:lang w:val="en-GB"/>
              </w:rPr>
              <w:t>-</w:t>
            </w:r>
            <w:r w:rsidR="000C4CCF">
              <w:rPr>
                <w:sz w:val="28"/>
                <w:szCs w:val="28"/>
                <w:lang w:val="en-GB"/>
              </w:rPr>
              <w:t>000-191</w:t>
            </w:r>
          </w:p>
        </w:tc>
      </w:tr>
      <w:tr w:rsidR="00107A18" w:rsidRPr="0032647A" w:rsidTr="001726B4">
        <w:tc>
          <w:tcPr>
            <w:tcW w:w="6408" w:type="dxa"/>
          </w:tcPr>
          <w:p w:rsidR="00107A18" w:rsidRPr="0032647A" w:rsidRDefault="00107A18" w:rsidP="001726B4">
            <w:pPr>
              <w:tabs>
                <w:tab w:val="center" w:pos="2784"/>
              </w:tabs>
              <w:jc w:val="center"/>
              <w:rPr>
                <w:b/>
                <w:bCs/>
                <w:sz w:val="28"/>
                <w:szCs w:val="28"/>
                <w:lang w:val="en-GB"/>
              </w:rPr>
            </w:pPr>
          </w:p>
          <w:p w:rsidR="00107A18" w:rsidRPr="0032647A" w:rsidRDefault="00107A18" w:rsidP="001726B4">
            <w:pPr>
              <w:tabs>
                <w:tab w:val="center" w:pos="2784"/>
              </w:tabs>
              <w:jc w:val="center"/>
              <w:rPr>
                <w:b/>
                <w:bCs/>
                <w:sz w:val="28"/>
                <w:szCs w:val="28"/>
                <w:lang w:val="en-GB"/>
              </w:rPr>
            </w:pPr>
            <w:r w:rsidRPr="0032647A">
              <w:rPr>
                <w:b/>
                <w:bCs/>
                <w:sz w:val="28"/>
                <w:szCs w:val="28"/>
                <w:lang w:val="en-GB"/>
              </w:rPr>
              <w:t>IN THE SUPREME COURT OF THE</w:t>
            </w:r>
          </w:p>
          <w:p w:rsidR="00107A18" w:rsidRPr="0032647A" w:rsidRDefault="00107A18" w:rsidP="001726B4">
            <w:pPr>
              <w:tabs>
                <w:tab w:val="center" w:pos="2784"/>
                <w:tab w:val="left" w:pos="4740"/>
              </w:tabs>
              <w:jc w:val="center"/>
              <w:rPr>
                <w:b/>
                <w:bCs/>
                <w:sz w:val="28"/>
                <w:szCs w:val="28"/>
                <w:lang w:val="en-GB"/>
              </w:rPr>
            </w:pPr>
            <w:r w:rsidRPr="0032647A">
              <w:rPr>
                <w:b/>
                <w:bCs/>
                <w:sz w:val="28"/>
                <w:szCs w:val="28"/>
                <w:lang w:val="en-GB"/>
              </w:rPr>
              <w:t>NORTHWEST TERRITORIES</w:t>
            </w:r>
          </w:p>
          <w:p w:rsidR="00107A18" w:rsidRPr="0032647A" w:rsidRDefault="00107A18" w:rsidP="001726B4">
            <w:pPr>
              <w:pStyle w:val="NoSpacing"/>
              <w:rPr>
                <w:rFonts w:ascii="Times New Roman" w:hAnsi="Times New Roman" w:cs="Times New Roman"/>
                <w:sz w:val="28"/>
                <w:szCs w:val="28"/>
                <w:lang w:val="en-GB"/>
              </w:rPr>
            </w:pPr>
          </w:p>
        </w:tc>
      </w:tr>
      <w:tr w:rsidR="00107A18" w:rsidRPr="0032647A" w:rsidTr="001726B4">
        <w:tc>
          <w:tcPr>
            <w:tcW w:w="6408" w:type="dxa"/>
          </w:tcPr>
          <w:p w:rsidR="00107A18" w:rsidRDefault="00107A18" w:rsidP="001726B4">
            <w:pPr>
              <w:rPr>
                <w:b/>
                <w:sz w:val="28"/>
                <w:szCs w:val="28"/>
              </w:rPr>
            </w:pPr>
          </w:p>
          <w:p w:rsidR="000C4CCF" w:rsidRPr="006C547B" w:rsidRDefault="000C4CCF" w:rsidP="000C4CCF">
            <w:pPr>
              <w:pStyle w:val="ListParagraph"/>
              <w:ind w:left="0"/>
              <w:jc w:val="center"/>
              <w:rPr>
                <w:sz w:val="28"/>
                <w:szCs w:val="28"/>
              </w:rPr>
            </w:pPr>
            <w:r w:rsidRPr="006C547B">
              <w:rPr>
                <w:sz w:val="28"/>
                <w:szCs w:val="28"/>
              </w:rPr>
              <w:t xml:space="preserve">IN THE MATTER OF the </w:t>
            </w:r>
            <w:r w:rsidRPr="006C547B">
              <w:rPr>
                <w:i/>
                <w:sz w:val="28"/>
                <w:szCs w:val="28"/>
              </w:rPr>
              <w:t>Employment Standards Act</w:t>
            </w:r>
            <w:r w:rsidRPr="006C547B">
              <w:rPr>
                <w:sz w:val="28"/>
                <w:szCs w:val="28"/>
              </w:rPr>
              <w:t xml:space="preserve">, </w:t>
            </w:r>
          </w:p>
          <w:p w:rsidR="000C4CCF" w:rsidRPr="006C547B" w:rsidRDefault="000C4CCF" w:rsidP="000C4CCF">
            <w:pPr>
              <w:pStyle w:val="ListParagraph"/>
              <w:tabs>
                <w:tab w:val="center" w:pos="4680"/>
                <w:tab w:val="left" w:pos="7008"/>
              </w:tabs>
              <w:ind w:left="0"/>
              <w:rPr>
                <w:sz w:val="28"/>
                <w:szCs w:val="28"/>
              </w:rPr>
            </w:pPr>
            <w:r w:rsidRPr="006C547B">
              <w:rPr>
                <w:sz w:val="28"/>
                <w:szCs w:val="28"/>
              </w:rPr>
              <w:tab/>
              <w:t>S.N.W.T. 2007, c. 13, as amended</w:t>
            </w:r>
            <w:r w:rsidRPr="006C547B">
              <w:rPr>
                <w:sz w:val="28"/>
                <w:szCs w:val="28"/>
              </w:rPr>
              <w:tab/>
            </w:r>
          </w:p>
          <w:p w:rsidR="000C4CCF" w:rsidRPr="006C547B" w:rsidRDefault="000C4CCF" w:rsidP="000C4CCF">
            <w:pPr>
              <w:pStyle w:val="ListParagraph"/>
              <w:ind w:left="0"/>
              <w:jc w:val="center"/>
              <w:rPr>
                <w:sz w:val="28"/>
                <w:szCs w:val="28"/>
              </w:rPr>
            </w:pPr>
          </w:p>
          <w:p w:rsidR="000C4CCF" w:rsidRPr="006C547B" w:rsidRDefault="000C4CCF" w:rsidP="000C4CCF">
            <w:pPr>
              <w:pStyle w:val="ListParagraph"/>
              <w:ind w:left="0"/>
              <w:jc w:val="center"/>
              <w:rPr>
                <w:sz w:val="28"/>
                <w:szCs w:val="28"/>
              </w:rPr>
            </w:pPr>
            <w:r w:rsidRPr="006C547B">
              <w:rPr>
                <w:sz w:val="28"/>
                <w:szCs w:val="28"/>
              </w:rPr>
              <w:t xml:space="preserve">AND IN THE MATTER OF the decision of the Adjudicator dated April 4, 2017, </w:t>
            </w:r>
          </w:p>
          <w:p w:rsidR="000C4CCF" w:rsidRDefault="000C4CCF" w:rsidP="001726B4">
            <w:pPr>
              <w:rPr>
                <w:b/>
                <w:sz w:val="28"/>
                <w:szCs w:val="28"/>
              </w:rPr>
            </w:pPr>
          </w:p>
          <w:p w:rsidR="000C4CCF" w:rsidRDefault="000C4CCF" w:rsidP="001726B4">
            <w:pPr>
              <w:rPr>
                <w:b/>
                <w:sz w:val="28"/>
                <w:szCs w:val="28"/>
              </w:rPr>
            </w:pPr>
          </w:p>
          <w:p w:rsidR="00107A18" w:rsidRPr="00945A01" w:rsidRDefault="00107A18" w:rsidP="001726B4">
            <w:pPr>
              <w:rPr>
                <w:b/>
                <w:sz w:val="28"/>
                <w:szCs w:val="28"/>
              </w:rPr>
            </w:pPr>
            <w:r w:rsidRPr="00945A01">
              <w:rPr>
                <w:b/>
                <w:sz w:val="28"/>
                <w:szCs w:val="28"/>
              </w:rPr>
              <w:t>BETWEEN:</w:t>
            </w:r>
          </w:p>
          <w:p w:rsidR="00107A18" w:rsidRDefault="00107A18" w:rsidP="001726B4">
            <w:pPr>
              <w:jc w:val="center"/>
              <w:rPr>
                <w:sz w:val="28"/>
                <w:szCs w:val="28"/>
              </w:rPr>
            </w:pPr>
          </w:p>
          <w:p w:rsidR="009B47B5" w:rsidRDefault="009B47B5" w:rsidP="000C4CCF">
            <w:pPr>
              <w:widowControl/>
              <w:rPr>
                <w:sz w:val="28"/>
                <w:szCs w:val="28"/>
                <w:lang w:val="en-GB"/>
              </w:rPr>
            </w:pPr>
          </w:p>
          <w:p w:rsidR="009B47B5" w:rsidRDefault="000C4CCF" w:rsidP="009B47B5">
            <w:pPr>
              <w:widowControl/>
              <w:jc w:val="center"/>
              <w:rPr>
                <w:sz w:val="28"/>
                <w:szCs w:val="28"/>
                <w:lang w:val="en-GB"/>
              </w:rPr>
            </w:pPr>
            <w:r>
              <w:rPr>
                <w:sz w:val="28"/>
                <w:szCs w:val="28"/>
                <w:lang w:val="en-GB"/>
              </w:rPr>
              <w:t>DAVID WHITELOCK</w:t>
            </w:r>
          </w:p>
          <w:p w:rsidR="009B47B5" w:rsidRPr="00CB4AA5" w:rsidRDefault="009B47B5" w:rsidP="009B47B5">
            <w:pPr>
              <w:widowControl/>
              <w:jc w:val="center"/>
              <w:rPr>
                <w:sz w:val="28"/>
                <w:szCs w:val="28"/>
                <w:lang w:val="en-GB"/>
              </w:rPr>
            </w:pPr>
          </w:p>
          <w:p w:rsidR="009B47B5" w:rsidRPr="00CB4AA5" w:rsidRDefault="000C4CCF" w:rsidP="009B47B5">
            <w:pPr>
              <w:widowControl/>
              <w:tabs>
                <w:tab w:val="right" w:pos="9360"/>
              </w:tabs>
              <w:jc w:val="right"/>
              <w:rPr>
                <w:sz w:val="28"/>
                <w:szCs w:val="28"/>
                <w:lang w:val="en-GB"/>
              </w:rPr>
            </w:pPr>
            <w:r>
              <w:rPr>
                <w:sz w:val="28"/>
                <w:szCs w:val="28"/>
                <w:lang w:val="en-GB"/>
              </w:rPr>
              <w:t>Appellant</w:t>
            </w:r>
          </w:p>
          <w:p w:rsidR="009B47B5" w:rsidRPr="00CB4AA5" w:rsidRDefault="009B47B5" w:rsidP="009B47B5">
            <w:pPr>
              <w:widowControl/>
              <w:rPr>
                <w:sz w:val="28"/>
                <w:szCs w:val="28"/>
                <w:lang w:val="en-GB"/>
              </w:rPr>
            </w:pPr>
          </w:p>
          <w:p w:rsidR="009B47B5" w:rsidRPr="00CB4AA5" w:rsidRDefault="009B47B5" w:rsidP="009B47B5">
            <w:pPr>
              <w:widowControl/>
              <w:tabs>
                <w:tab w:val="center" w:pos="4680"/>
              </w:tabs>
              <w:jc w:val="center"/>
              <w:rPr>
                <w:sz w:val="28"/>
                <w:szCs w:val="28"/>
                <w:lang w:val="en-GB"/>
              </w:rPr>
            </w:pPr>
            <w:r w:rsidRPr="00CB4AA5">
              <w:rPr>
                <w:sz w:val="28"/>
                <w:szCs w:val="28"/>
                <w:lang w:val="en-GB"/>
              </w:rPr>
              <w:t>- and -</w:t>
            </w:r>
          </w:p>
          <w:p w:rsidR="009B47B5" w:rsidRPr="00CB4AA5" w:rsidRDefault="009B47B5" w:rsidP="009B47B5">
            <w:pPr>
              <w:widowControl/>
              <w:rPr>
                <w:sz w:val="28"/>
                <w:szCs w:val="28"/>
                <w:lang w:val="en-GB"/>
              </w:rPr>
            </w:pPr>
          </w:p>
          <w:p w:rsidR="009B47B5" w:rsidRPr="00CB4AA5" w:rsidRDefault="000C4CCF" w:rsidP="000C4CCF">
            <w:pPr>
              <w:widowControl/>
              <w:jc w:val="center"/>
              <w:rPr>
                <w:sz w:val="28"/>
                <w:szCs w:val="28"/>
                <w:lang w:val="en-GB"/>
              </w:rPr>
            </w:pPr>
            <w:r>
              <w:rPr>
                <w:sz w:val="28"/>
                <w:szCs w:val="28"/>
                <w:lang w:val="en-GB"/>
              </w:rPr>
              <w:t>FOLK ON THE ROCKS SOCIETY</w:t>
            </w:r>
          </w:p>
          <w:p w:rsidR="009B47B5" w:rsidRPr="00CB4AA5" w:rsidRDefault="009B47B5" w:rsidP="009B47B5">
            <w:pPr>
              <w:widowControl/>
              <w:jc w:val="center"/>
              <w:rPr>
                <w:sz w:val="28"/>
                <w:szCs w:val="28"/>
                <w:lang w:val="en-GB"/>
              </w:rPr>
            </w:pPr>
          </w:p>
          <w:p w:rsidR="009B47B5" w:rsidRPr="00CB4AA5" w:rsidRDefault="009B47B5" w:rsidP="009B47B5">
            <w:pPr>
              <w:widowControl/>
              <w:jc w:val="right"/>
              <w:rPr>
                <w:sz w:val="28"/>
                <w:szCs w:val="28"/>
                <w:lang w:val="en-GB"/>
              </w:rPr>
            </w:pPr>
            <w:r w:rsidRPr="00CB4AA5">
              <w:rPr>
                <w:sz w:val="28"/>
                <w:szCs w:val="28"/>
                <w:lang w:val="en-GB"/>
              </w:rPr>
              <w:tab/>
            </w:r>
            <w:r w:rsidRPr="00CB4AA5">
              <w:rPr>
                <w:sz w:val="28"/>
                <w:szCs w:val="28"/>
                <w:lang w:val="en-GB"/>
              </w:rPr>
              <w:tab/>
              <w:t xml:space="preserve">Respondent </w:t>
            </w:r>
          </w:p>
          <w:p w:rsidR="009B47B5" w:rsidRPr="00CB4AA5" w:rsidRDefault="009B47B5" w:rsidP="009B47B5">
            <w:pPr>
              <w:widowControl/>
              <w:jc w:val="right"/>
              <w:rPr>
                <w:sz w:val="28"/>
                <w:szCs w:val="28"/>
                <w:lang w:val="en-GB"/>
              </w:rPr>
            </w:pPr>
          </w:p>
          <w:p w:rsidR="009B47B5" w:rsidRPr="00CB4AA5" w:rsidRDefault="009B47B5" w:rsidP="009B47B5">
            <w:pPr>
              <w:widowControl/>
              <w:jc w:val="center"/>
              <w:rPr>
                <w:sz w:val="28"/>
                <w:szCs w:val="28"/>
                <w:lang w:val="en-GB"/>
              </w:rPr>
            </w:pPr>
            <w:r w:rsidRPr="00CB4AA5">
              <w:rPr>
                <w:sz w:val="28"/>
                <w:szCs w:val="28"/>
                <w:lang w:val="en-GB"/>
              </w:rPr>
              <w:t>- and -</w:t>
            </w:r>
          </w:p>
          <w:p w:rsidR="009B47B5" w:rsidRPr="00CB4AA5" w:rsidRDefault="009B47B5" w:rsidP="009B47B5">
            <w:pPr>
              <w:widowControl/>
              <w:jc w:val="center"/>
              <w:rPr>
                <w:sz w:val="28"/>
                <w:szCs w:val="28"/>
                <w:lang w:val="en-GB"/>
              </w:rPr>
            </w:pPr>
          </w:p>
          <w:p w:rsidR="009B47B5" w:rsidRPr="00CB4AA5" w:rsidRDefault="000C4CCF" w:rsidP="000C4CCF">
            <w:pPr>
              <w:widowControl/>
              <w:jc w:val="center"/>
              <w:rPr>
                <w:sz w:val="28"/>
                <w:szCs w:val="28"/>
                <w:lang w:val="en-GB"/>
              </w:rPr>
            </w:pPr>
            <w:r>
              <w:rPr>
                <w:sz w:val="28"/>
                <w:szCs w:val="28"/>
                <w:lang w:val="en-GB"/>
              </w:rPr>
              <w:t>EMPLOYMENT STANDARDS APPEAL OFFICE</w:t>
            </w:r>
          </w:p>
          <w:p w:rsidR="009B47B5" w:rsidRPr="00CB4AA5" w:rsidRDefault="009B47B5" w:rsidP="009B47B5">
            <w:pPr>
              <w:widowControl/>
              <w:jc w:val="center"/>
              <w:rPr>
                <w:sz w:val="28"/>
                <w:szCs w:val="28"/>
                <w:lang w:val="en-GB"/>
              </w:rPr>
            </w:pPr>
          </w:p>
          <w:p w:rsidR="009B47B5" w:rsidRPr="00CB4AA5" w:rsidRDefault="000C4CCF" w:rsidP="009B47B5">
            <w:pPr>
              <w:widowControl/>
              <w:tabs>
                <w:tab w:val="right" w:pos="9360"/>
              </w:tabs>
              <w:jc w:val="right"/>
              <w:rPr>
                <w:sz w:val="28"/>
                <w:szCs w:val="28"/>
                <w:lang w:val="en-GB"/>
              </w:rPr>
            </w:pPr>
            <w:r>
              <w:rPr>
                <w:sz w:val="28"/>
                <w:szCs w:val="28"/>
                <w:lang w:val="en-GB"/>
              </w:rPr>
              <w:t>Respondent</w:t>
            </w:r>
          </w:p>
          <w:p w:rsidR="009B47B5" w:rsidRPr="00CB4AA5" w:rsidRDefault="009B47B5" w:rsidP="009B47B5">
            <w:pPr>
              <w:widowControl/>
              <w:rPr>
                <w:sz w:val="28"/>
                <w:szCs w:val="28"/>
                <w:lang w:val="en-GB"/>
              </w:rPr>
            </w:pPr>
          </w:p>
          <w:p w:rsidR="00107A18" w:rsidRPr="0032647A" w:rsidRDefault="00107A18" w:rsidP="001726B4">
            <w:pPr>
              <w:jc w:val="right"/>
              <w:rPr>
                <w:sz w:val="28"/>
                <w:szCs w:val="28"/>
              </w:rPr>
            </w:pPr>
          </w:p>
        </w:tc>
      </w:tr>
      <w:tr w:rsidR="00107A18" w:rsidRPr="0032647A" w:rsidTr="001726B4">
        <w:tc>
          <w:tcPr>
            <w:tcW w:w="6408" w:type="dxa"/>
          </w:tcPr>
          <w:p w:rsidR="00107A18" w:rsidRPr="0032647A" w:rsidRDefault="00107A18" w:rsidP="001726B4">
            <w:pPr>
              <w:tabs>
                <w:tab w:val="left" w:pos="720"/>
                <w:tab w:val="left" w:pos="1452"/>
                <w:tab w:val="left" w:pos="2392"/>
              </w:tabs>
              <w:jc w:val="center"/>
              <w:rPr>
                <w:sz w:val="28"/>
                <w:szCs w:val="28"/>
                <w:lang w:val="en-GB"/>
              </w:rPr>
            </w:pPr>
          </w:p>
          <w:p w:rsidR="00107A18" w:rsidRPr="0032647A" w:rsidRDefault="000C4CCF" w:rsidP="001726B4">
            <w:pPr>
              <w:tabs>
                <w:tab w:val="left" w:pos="720"/>
                <w:tab w:val="left" w:pos="1452"/>
                <w:tab w:val="left" w:pos="2392"/>
              </w:tabs>
              <w:jc w:val="center"/>
              <w:rPr>
                <w:sz w:val="28"/>
                <w:szCs w:val="28"/>
                <w:lang w:val="en-GB"/>
              </w:rPr>
            </w:pPr>
            <w:r>
              <w:rPr>
                <w:sz w:val="28"/>
                <w:szCs w:val="28"/>
                <w:lang w:val="en-GB"/>
              </w:rPr>
              <w:t xml:space="preserve">MEMORANDUM OF </w:t>
            </w:r>
            <w:r w:rsidR="00107A18" w:rsidRPr="0032647A">
              <w:rPr>
                <w:sz w:val="28"/>
                <w:szCs w:val="28"/>
                <w:lang w:val="en-GB"/>
              </w:rPr>
              <w:t>JUDGMENT OF</w:t>
            </w:r>
          </w:p>
          <w:p w:rsidR="00107A18" w:rsidRPr="0032647A" w:rsidRDefault="00107A18" w:rsidP="001726B4">
            <w:pPr>
              <w:tabs>
                <w:tab w:val="left" w:pos="720"/>
                <w:tab w:val="left" w:pos="1452"/>
                <w:tab w:val="left" w:pos="2392"/>
              </w:tabs>
              <w:jc w:val="center"/>
              <w:rPr>
                <w:sz w:val="28"/>
                <w:szCs w:val="28"/>
                <w:lang w:val="en-GB"/>
              </w:rPr>
            </w:pPr>
            <w:r w:rsidRPr="0032647A">
              <w:rPr>
                <w:sz w:val="28"/>
                <w:szCs w:val="28"/>
                <w:lang w:val="en-GB"/>
              </w:rPr>
              <w:t xml:space="preserve">THE HONOURABLE JUSTICE </w:t>
            </w:r>
            <w:r>
              <w:rPr>
                <w:sz w:val="28"/>
                <w:szCs w:val="28"/>
                <w:lang w:val="en-GB"/>
              </w:rPr>
              <w:t>S.H. SMALLWOOD</w:t>
            </w:r>
          </w:p>
          <w:p w:rsidR="00107A18" w:rsidRPr="0032647A" w:rsidRDefault="00107A18" w:rsidP="001726B4">
            <w:pPr>
              <w:tabs>
                <w:tab w:val="left" w:pos="720"/>
                <w:tab w:val="left" w:pos="1452"/>
                <w:tab w:val="left" w:pos="2392"/>
              </w:tabs>
              <w:jc w:val="center"/>
              <w:rPr>
                <w:sz w:val="28"/>
                <w:szCs w:val="28"/>
                <w:lang w:val="en-GB"/>
              </w:rPr>
            </w:pPr>
          </w:p>
        </w:tc>
      </w:tr>
    </w:tbl>
    <w:p w:rsidR="00107A18" w:rsidRPr="0032647A" w:rsidRDefault="00107A18" w:rsidP="00107A18">
      <w:pPr>
        <w:rPr>
          <w:sz w:val="28"/>
          <w:szCs w:val="28"/>
        </w:rPr>
        <w:sectPr w:rsidR="00107A18" w:rsidRPr="0032647A" w:rsidSect="00303191">
          <w:pgSz w:w="12240" w:h="15840"/>
          <w:pgMar w:top="1440" w:right="1530" w:bottom="1440" w:left="1440" w:header="720" w:footer="720" w:gutter="0"/>
          <w:cols w:space="720"/>
          <w:titlePg/>
          <w:docGrid w:linePitch="360"/>
        </w:sectPr>
      </w:pPr>
    </w:p>
    <w:p w:rsidR="00DD5032" w:rsidRDefault="00DD5032" w:rsidP="00CB4AA5">
      <w:pPr>
        <w:rPr>
          <w:sz w:val="28"/>
          <w:szCs w:val="28"/>
        </w:rPr>
      </w:pPr>
    </w:p>
    <w:sectPr w:rsidR="00DD5032" w:rsidSect="00BF18D3">
      <w:headerReference w:type="default" r:id="rId10"/>
      <w:pgSz w:w="12240" w:h="15840" w:code="1"/>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D3" w:rsidRDefault="00BF18D3" w:rsidP="00BF18D3">
      <w:r>
        <w:separator/>
      </w:r>
    </w:p>
  </w:endnote>
  <w:endnote w:type="continuationSeparator" w:id="0">
    <w:p w:rsidR="00BF18D3" w:rsidRDefault="00BF18D3" w:rsidP="00BF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D3" w:rsidRDefault="00BF18D3" w:rsidP="00BF18D3">
      <w:r>
        <w:separator/>
      </w:r>
    </w:p>
  </w:footnote>
  <w:footnote w:type="continuationSeparator" w:id="0">
    <w:p w:rsidR="00BF18D3" w:rsidRDefault="00BF18D3" w:rsidP="00BF1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A18" w:rsidRPr="0032647A" w:rsidRDefault="00107A18">
    <w:pPr>
      <w:pStyle w:val="Header"/>
      <w:jc w:val="right"/>
    </w:pPr>
    <w:r w:rsidRPr="0032647A">
      <w:t xml:space="preserve">Page:  </w:t>
    </w:r>
    <w:sdt>
      <w:sdtPr>
        <w:id w:val="837736348"/>
        <w:docPartObj>
          <w:docPartGallery w:val="Page Numbers (Top of Page)"/>
          <w:docPartUnique/>
        </w:docPartObj>
      </w:sdtPr>
      <w:sdtEndPr/>
      <w:sdtContent>
        <w:r w:rsidRPr="0032647A">
          <w:fldChar w:fldCharType="begin"/>
        </w:r>
        <w:r w:rsidRPr="0032647A">
          <w:instrText xml:space="preserve"> PAGE   \* MERGEFORMAT </w:instrText>
        </w:r>
        <w:r w:rsidRPr="0032647A">
          <w:fldChar w:fldCharType="separate"/>
        </w:r>
        <w:r w:rsidR="00742D57">
          <w:rPr>
            <w:noProof/>
          </w:rPr>
          <w:t>6</w:t>
        </w:r>
        <w:r w:rsidRPr="0032647A">
          <w:rPr>
            <w:noProof/>
          </w:rPr>
          <w:fldChar w:fldCharType="end"/>
        </w:r>
      </w:sdtContent>
    </w:sdt>
  </w:p>
  <w:p w:rsidR="00107A18" w:rsidRDefault="00107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A18" w:rsidRDefault="00107A18">
    <w:pPr>
      <w:pStyle w:val="Header"/>
      <w:jc w:val="right"/>
    </w:pPr>
  </w:p>
  <w:p w:rsidR="00107A18" w:rsidRDefault="00107A18" w:rsidP="005B5B19">
    <w:pPr>
      <w:pStyle w:val="Header"/>
      <w:tabs>
        <w:tab w:val="clear" w:pos="46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22998"/>
      <w:docPartObj>
        <w:docPartGallery w:val="Page Numbers (Top of Page)"/>
        <w:docPartUnique/>
      </w:docPartObj>
    </w:sdtPr>
    <w:sdtEndPr>
      <w:rPr>
        <w:sz w:val="22"/>
        <w:szCs w:val="22"/>
      </w:rPr>
    </w:sdtEndPr>
    <w:sdtContent>
      <w:p w:rsidR="00BF18D3" w:rsidRPr="00BF18D3" w:rsidRDefault="00BF18D3">
        <w:pPr>
          <w:pStyle w:val="Header"/>
          <w:jc w:val="right"/>
          <w:rPr>
            <w:sz w:val="22"/>
            <w:szCs w:val="22"/>
          </w:rPr>
        </w:pPr>
        <w:r w:rsidRPr="00BF18D3">
          <w:rPr>
            <w:sz w:val="22"/>
            <w:szCs w:val="22"/>
          </w:rPr>
          <w:t xml:space="preserve">Page </w:t>
        </w:r>
        <w:r w:rsidRPr="00BF18D3">
          <w:rPr>
            <w:sz w:val="22"/>
            <w:szCs w:val="22"/>
          </w:rPr>
          <w:fldChar w:fldCharType="begin"/>
        </w:r>
        <w:r w:rsidRPr="00BF18D3">
          <w:rPr>
            <w:sz w:val="22"/>
            <w:szCs w:val="22"/>
          </w:rPr>
          <w:instrText>PAGE   \* MERGEFORMAT</w:instrText>
        </w:r>
        <w:r w:rsidRPr="00BF18D3">
          <w:rPr>
            <w:sz w:val="22"/>
            <w:szCs w:val="22"/>
          </w:rPr>
          <w:fldChar w:fldCharType="separate"/>
        </w:r>
        <w:r w:rsidR="00107A18" w:rsidRPr="00107A18">
          <w:rPr>
            <w:noProof/>
            <w:sz w:val="22"/>
            <w:szCs w:val="22"/>
            <w:lang w:val="fr-FR"/>
          </w:rPr>
          <w:t>12</w:t>
        </w:r>
        <w:r w:rsidRPr="00BF18D3">
          <w:rPr>
            <w:sz w:val="22"/>
            <w:szCs w:val="22"/>
          </w:rPr>
          <w:fldChar w:fldCharType="end"/>
        </w:r>
      </w:p>
    </w:sdtContent>
  </w:sdt>
  <w:p w:rsidR="00BF18D3" w:rsidRDefault="00BF1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CE3"/>
    <w:multiLevelType w:val="hybridMultilevel"/>
    <w:tmpl w:val="0FBA92C4"/>
    <w:lvl w:ilvl="0" w:tplc="0C0C0019">
      <w:start w:val="1"/>
      <w:numFmt w:val="lowerLetter"/>
      <w:lvlText w:val="%1."/>
      <w:lvlJc w:val="left"/>
      <w:pPr>
        <w:ind w:left="1440" w:hanging="360"/>
      </w:p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12230F1"/>
    <w:multiLevelType w:val="hybridMultilevel"/>
    <w:tmpl w:val="E340A5D4"/>
    <w:lvl w:ilvl="0" w:tplc="493E39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52DF6"/>
    <w:multiLevelType w:val="hybridMultilevel"/>
    <w:tmpl w:val="3FFE3D06"/>
    <w:lvl w:ilvl="0" w:tplc="601A4B36">
      <w:start w:val="1"/>
      <w:numFmt w:val="decimal"/>
      <w:lvlText w:val="[%1]"/>
      <w:lvlJc w:val="left"/>
      <w:pPr>
        <w:ind w:left="450" w:hanging="360"/>
      </w:pPr>
      <w:rPr>
        <w:rFonts w:ascii="Times New Roman" w:hAnsi="Times New Roman" w:hint="default"/>
        <w:b w:val="0"/>
        <w:i w:val="0"/>
        <w:sz w:val="28"/>
      </w:rPr>
    </w:lvl>
    <w:lvl w:ilvl="1" w:tplc="AD285C74">
      <w:start w:val="1"/>
      <w:numFmt w:val="lowerLetter"/>
      <w:lvlText w:val="%2."/>
      <w:lvlJc w:val="left"/>
      <w:pPr>
        <w:ind w:left="1170" w:hanging="360"/>
      </w:pPr>
      <w:rPr>
        <w:rFonts w:ascii="Times New Roman" w:eastAsiaTheme="minorEastAsia" w:hAnsi="Times New Roman" w:cs="Times New Roman"/>
      </w:rPr>
    </w:lvl>
    <w:lvl w:ilvl="2" w:tplc="1009001B">
      <w:start w:val="1"/>
      <w:numFmt w:val="lowerRoman"/>
      <w:lvlText w:val="%3."/>
      <w:lvlJc w:val="right"/>
      <w:pPr>
        <w:ind w:left="1890" w:hanging="180"/>
      </w:pPr>
    </w:lvl>
    <w:lvl w:ilvl="3" w:tplc="1009000F">
      <w:start w:val="1"/>
      <w:numFmt w:val="decimal"/>
      <w:lvlText w:val="%4."/>
      <w:lvlJc w:val="left"/>
      <w:pPr>
        <w:ind w:left="2610" w:hanging="360"/>
      </w:pPr>
    </w:lvl>
    <w:lvl w:ilvl="4" w:tplc="10090019">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 w15:restartNumberingAfterBreak="0">
    <w:nsid w:val="1DFA2A0A"/>
    <w:multiLevelType w:val="hybridMultilevel"/>
    <w:tmpl w:val="E340A5D4"/>
    <w:lvl w:ilvl="0" w:tplc="493E39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A6974"/>
    <w:multiLevelType w:val="hybridMultilevel"/>
    <w:tmpl w:val="8E70D67E"/>
    <w:lvl w:ilvl="0" w:tplc="F6C8E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D6153E"/>
    <w:multiLevelType w:val="hybridMultilevel"/>
    <w:tmpl w:val="CA746460"/>
    <w:lvl w:ilvl="0" w:tplc="0F1878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1191C0F"/>
    <w:multiLevelType w:val="hybridMultilevel"/>
    <w:tmpl w:val="F1B42662"/>
    <w:lvl w:ilvl="0" w:tplc="3C4ED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A30043"/>
    <w:multiLevelType w:val="hybridMultilevel"/>
    <w:tmpl w:val="9CC0EA7A"/>
    <w:lvl w:ilvl="0" w:tplc="D40ECE92">
      <w:start w:val="1"/>
      <w:numFmt w:val="decimal"/>
      <w:lvlText w:val="[%1]"/>
      <w:lvlJc w:val="left"/>
      <w:pPr>
        <w:ind w:left="360" w:hanging="360"/>
      </w:pPr>
      <w:rPr>
        <w:rFonts w:ascii="Times New Roman" w:hAnsi="Times New Roman" w:hint="default"/>
        <w:b w:val="0"/>
        <w:i w:val="0"/>
        <w:sz w:val="28"/>
      </w:r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8" w15:restartNumberingAfterBreak="0">
    <w:nsid w:val="46F85619"/>
    <w:multiLevelType w:val="hybridMultilevel"/>
    <w:tmpl w:val="73B0C7AC"/>
    <w:lvl w:ilvl="0" w:tplc="84E4B208">
      <w:start w:val="30"/>
      <w:numFmt w:val="decimal"/>
      <w:lvlText w:val="[%1]"/>
      <w:lvlJc w:val="left"/>
      <w:pPr>
        <w:ind w:left="63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F6A8B"/>
    <w:multiLevelType w:val="hybridMultilevel"/>
    <w:tmpl w:val="463C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A6753"/>
    <w:multiLevelType w:val="hybridMultilevel"/>
    <w:tmpl w:val="7158A214"/>
    <w:lvl w:ilvl="0" w:tplc="C666E4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5854AA"/>
    <w:multiLevelType w:val="hybridMultilevel"/>
    <w:tmpl w:val="16D674F2"/>
    <w:lvl w:ilvl="0" w:tplc="E9A633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E035D4"/>
    <w:multiLevelType w:val="hybridMultilevel"/>
    <w:tmpl w:val="82FA4F78"/>
    <w:lvl w:ilvl="0" w:tplc="1612FDDE">
      <w:start w:val="8"/>
      <w:numFmt w:val="decimal"/>
      <w:lvlText w:val="[%1]"/>
      <w:lvlJc w:val="left"/>
      <w:pPr>
        <w:ind w:left="180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2"/>
  </w:num>
  <w:num w:numId="5">
    <w:abstractNumId w:val="10"/>
  </w:num>
  <w:num w:numId="6">
    <w:abstractNumId w:val="6"/>
  </w:num>
  <w:num w:numId="7">
    <w:abstractNumId w:val="8"/>
  </w:num>
  <w:num w:numId="8">
    <w:abstractNumId w:val="11"/>
  </w:num>
  <w:num w:numId="9">
    <w:abstractNumId w:val="1"/>
  </w:num>
  <w:num w:numId="10">
    <w:abstractNumId w:val="3"/>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918A77-B130-40F4-B4FD-565192513B4C}"/>
    <w:docVar w:name="dgnword-eventsink" w:val="192456096"/>
  </w:docVars>
  <w:rsids>
    <w:rsidRoot w:val="00C01E7F"/>
    <w:rsid w:val="00005923"/>
    <w:rsid w:val="000061A5"/>
    <w:rsid w:val="000108C3"/>
    <w:rsid w:val="00015974"/>
    <w:rsid w:val="00017965"/>
    <w:rsid w:val="00017DBE"/>
    <w:rsid w:val="0002056F"/>
    <w:rsid w:val="000234C7"/>
    <w:rsid w:val="000271E4"/>
    <w:rsid w:val="000325FD"/>
    <w:rsid w:val="00032B09"/>
    <w:rsid w:val="00037EF6"/>
    <w:rsid w:val="00052F53"/>
    <w:rsid w:val="00056CC2"/>
    <w:rsid w:val="000610E1"/>
    <w:rsid w:val="00061241"/>
    <w:rsid w:val="00066008"/>
    <w:rsid w:val="000719D7"/>
    <w:rsid w:val="00075836"/>
    <w:rsid w:val="0008139B"/>
    <w:rsid w:val="00081A69"/>
    <w:rsid w:val="000842A4"/>
    <w:rsid w:val="000848B8"/>
    <w:rsid w:val="000868D2"/>
    <w:rsid w:val="000A261C"/>
    <w:rsid w:val="000A7699"/>
    <w:rsid w:val="000B4048"/>
    <w:rsid w:val="000C2549"/>
    <w:rsid w:val="000C4CCF"/>
    <w:rsid w:val="000C544B"/>
    <w:rsid w:val="000C7C2A"/>
    <w:rsid w:val="000D0A3A"/>
    <w:rsid w:val="000D0D71"/>
    <w:rsid w:val="000D1E04"/>
    <w:rsid w:val="000E1A3D"/>
    <w:rsid w:val="000E3259"/>
    <w:rsid w:val="000E5A6A"/>
    <w:rsid w:val="000F2C35"/>
    <w:rsid w:val="0010289B"/>
    <w:rsid w:val="00107631"/>
    <w:rsid w:val="00107A18"/>
    <w:rsid w:val="00110837"/>
    <w:rsid w:val="001352F4"/>
    <w:rsid w:val="00137AE6"/>
    <w:rsid w:val="00141EA6"/>
    <w:rsid w:val="00151110"/>
    <w:rsid w:val="00151AFA"/>
    <w:rsid w:val="00161119"/>
    <w:rsid w:val="00161BB9"/>
    <w:rsid w:val="00162616"/>
    <w:rsid w:val="0016405E"/>
    <w:rsid w:val="001671BC"/>
    <w:rsid w:val="0016781A"/>
    <w:rsid w:val="00173C0C"/>
    <w:rsid w:val="00173C17"/>
    <w:rsid w:val="00183FCA"/>
    <w:rsid w:val="00190272"/>
    <w:rsid w:val="00192456"/>
    <w:rsid w:val="00193133"/>
    <w:rsid w:val="00193585"/>
    <w:rsid w:val="00193A07"/>
    <w:rsid w:val="001A0190"/>
    <w:rsid w:val="001A057C"/>
    <w:rsid w:val="001A1360"/>
    <w:rsid w:val="001A299C"/>
    <w:rsid w:val="001C04D9"/>
    <w:rsid w:val="001C1CE2"/>
    <w:rsid w:val="001C2056"/>
    <w:rsid w:val="001C37BD"/>
    <w:rsid w:val="001C605C"/>
    <w:rsid w:val="001D4D26"/>
    <w:rsid w:val="001D5B4A"/>
    <w:rsid w:val="001E3F42"/>
    <w:rsid w:val="001F3D76"/>
    <w:rsid w:val="001F5833"/>
    <w:rsid w:val="001F5EA1"/>
    <w:rsid w:val="00200179"/>
    <w:rsid w:val="0020611A"/>
    <w:rsid w:val="002104EC"/>
    <w:rsid w:val="002115B9"/>
    <w:rsid w:val="00211F51"/>
    <w:rsid w:val="002127A6"/>
    <w:rsid w:val="002137A7"/>
    <w:rsid w:val="00215F29"/>
    <w:rsid w:val="00217510"/>
    <w:rsid w:val="002211C7"/>
    <w:rsid w:val="00221E6E"/>
    <w:rsid w:val="00222764"/>
    <w:rsid w:val="00230366"/>
    <w:rsid w:val="00230A07"/>
    <w:rsid w:val="002421E8"/>
    <w:rsid w:val="0024374B"/>
    <w:rsid w:val="00250473"/>
    <w:rsid w:val="00251987"/>
    <w:rsid w:val="00252029"/>
    <w:rsid w:val="002565F9"/>
    <w:rsid w:val="002625FA"/>
    <w:rsid w:val="0027047A"/>
    <w:rsid w:val="002766DA"/>
    <w:rsid w:val="00280387"/>
    <w:rsid w:val="00284106"/>
    <w:rsid w:val="00290DD7"/>
    <w:rsid w:val="00297768"/>
    <w:rsid w:val="002A5F1C"/>
    <w:rsid w:val="002B58A8"/>
    <w:rsid w:val="002C192D"/>
    <w:rsid w:val="002D04FE"/>
    <w:rsid w:val="002D0621"/>
    <w:rsid w:val="002D19B8"/>
    <w:rsid w:val="002D2F69"/>
    <w:rsid w:val="002E4090"/>
    <w:rsid w:val="002E77D4"/>
    <w:rsid w:val="002F05E4"/>
    <w:rsid w:val="002F5366"/>
    <w:rsid w:val="00306317"/>
    <w:rsid w:val="0030772F"/>
    <w:rsid w:val="003114CC"/>
    <w:rsid w:val="00315869"/>
    <w:rsid w:val="00316B28"/>
    <w:rsid w:val="00317143"/>
    <w:rsid w:val="003171E3"/>
    <w:rsid w:val="0031746A"/>
    <w:rsid w:val="00324F5A"/>
    <w:rsid w:val="003256E6"/>
    <w:rsid w:val="00337171"/>
    <w:rsid w:val="0034163C"/>
    <w:rsid w:val="0036301D"/>
    <w:rsid w:val="003630E7"/>
    <w:rsid w:val="00377AC5"/>
    <w:rsid w:val="00377DA1"/>
    <w:rsid w:val="00377E60"/>
    <w:rsid w:val="00380494"/>
    <w:rsid w:val="003811E0"/>
    <w:rsid w:val="003822DB"/>
    <w:rsid w:val="003958A5"/>
    <w:rsid w:val="00396617"/>
    <w:rsid w:val="003A4E18"/>
    <w:rsid w:val="003B00BD"/>
    <w:rsid w:val="003B053D"/>
    <w:rsid w:val="003B082C"/>
    <w:rsid w:val="003B13CD"/>
    <w:rsid w:val="003B17C2"/>
    <w:rsid w:val="003B24A4"/>
    <w:rsid w:val="003C103D"/>
    <w:rsid w:val="003E3724"/>
    <w:rsid w:val="003F6959"/>
    <w:rsid w:val="004071B4"/>
    <w:rsid w:val="004165E7"/>
    <w:rsid w:val="00417522"/>
    <w:rsid w:val="00425E23"/>
    <w:rsid w:val="00434A61"/>
    <w:rsid w:val="00440819"/>
    <w:rsid w:val="004408F0"/>
    <w:rsid w:val="00442937"/>
    <w:rsid w:val="004442C7"/>
    <w:rsid w:val="004445B0"/>
    <w:rsid w:val="00444C97"/>
    <w:rsid w:val="00446308"/>
    <w:rsid w:val="0046027D"/>
    <w:rsid w:val="00462E20"/>
    <w:rsid w:val="00465934"/>
    <w:rsid w:val="0047015B"/>
    <w:rsid w:val="0047372F"/>
    <w:rsid w:val="00476EA4"/>
    <w:rsid w:val="00481BB8"/>
    <w:rsid w:val="004848E0"/>
    <w:rsid w:val="0048725F"/>
    <w:rsid w:val="00490B80"/>
    <w:rsid w:val="004A0A0E"/>
    <w:rsid w:val="004A1ACD"/>
    <w:rsid w:val="004A5401"/>
    <w:rsid w:val="004A6663"/>
    <w:rsid w:val="004B0012"/>
    <w:rsid w:val="004B1796"/>
    <w:rsid w:val="004B4883"/>
    <w:rsid w:val="004C3163"/>
    <w:rsid w:val="004C3980"/>
    <w:rsid w:val="004D12EC"/>
    <w:rsid w:val="004D4BE4"/>
    <w:rsid w:val="004D558D"/>
    <w:rsid w:val="004F098E"/>
    <w:rsid w:val="004F30B6"/>
    <w:rsid w:val="004F6E41"/>
    <w:rsid w:val="004F6E53"/>
    <w:rsid w:val="0050032C"/>
    <w:rsid w:val="005013ED"/>
    <w:rsid w:val="00504D3C"/>
    <w:rsid w:val="005066C0"/>
    <w:rsid w:val="00522058"/>
    <w:rsid w:val="0052476D"/>
    <w:rsid w:val="00526ED8"/>
    <w:rsid w:val="00531FD9"/>
    <w:rsid w:val="00534208"/>
    <w:rsid w:val="00543288"/>
    <w:rsid w:val="00543F60"/>
    <w:rsid w:val="0055085A"/>
    <w:rsid w:val="00570525"/>
    <w:rsid w:val="00575077"/>
    <w:rsid w:val="00580B1A"/>
    <w:rsid w:val="005855B3"/>
    <w:rsid w:val="00587FF0"/>
    <w:rsid w:val="00597E7C"/>
    <w:rsid w:val="005A0990"/>
    <w:rsid w:val="005A75F7"/>
    <w:rsid w:val="005B150D"/>
    <w:rsid w:val="005B47FC"/>
    <w:rsid w:val="005B5FF4"/>
    <w:rsid w:val="005C052A"/>
    <w:rsid w:val="005C4610"/>
    <w:rsid w:val="005C4D4F"/>
    <w:rsid w:val="005D3B9C"/>
    <w:rsid w:val="005D4744"/>
    <w:rsid w:val="005E00CA"/>
    <w:rsid w:val="005F108E"/>
    <w:rsid w:val="005F154C"/>
    <w:rsid w:val="005F6258"/>
    <w:rsid w:val="006017B2"/>
    <w:rsid w:val="00605B56"/>
    <w:rsid w:val="0060652E"/>
    <w:rsid w:val="00607107"/>
    <w:rsid w:val="0060774B"/>
    <w:rsid w:val="00607B6D"/>
    <w:rsid w:val="00612051"/>
    <w:rsid w:val="006157D9"/>
    <w:rsid w:val="00617F69"/>
    <w:rsid w:val="00620B76"/>
    <w:rsid w:val="00623B02"/>
    <w:rsid w:val="00624C8D"/>
    <w:rsid w:val="0062552B"/>
    <w:rsid w:val="00630C6F"/>
    <w:rsid w:val="006346FA"/>
    <w:rsid w:val="006410ED"/>
    <w:rsid w:val="00657DDB"/>
    <w:rsid w:val="00666C25"/>
    <w:rsid w:val="00670BD2"/>
    <w:rsid w:val="00671BFC"/>
    <w:rsid w:val="006725C3"/>
    <w:rsid w:val="00675B05"/>
    <w:rsid w:val="006778ED"/>
    <w:rsid w:val="00681074"/>
    <w:rsid w:val="00685235"/>
    <w:rsid w:val="00687F4C"/>
    <w:rsid w:val="00691361"/>
    <w:rsid w:val="00693110"/>
    <w:rsid w:val="006A002C"/>
    <w:rsid w:val="006A11E8"/>
    <w:rsid w:val="006A5DF6"/>
    <w:rsid w:val="006A60E1"/>
    <w:rsid w:val="006A7AEF"/>
    <w:rsid w:val="006B4A31"/>
    <w:rsid w:val="006B5E20"/>
    <w:rsid w:val="006B7BCF"/>
    <w:rsid w:val="006C2A6A"/>
    <w:rsid w:val="006D1433"/>
    <w:rsid w:val="006D3590"/>
    <w:rsid w:val="006D7090"/>
    <w:rsid w:val="006D75C3"/>
    <w:rsid w:val="006F1E14"/>
    <w:rsid w:val="006F2468"/>
    <w:rsid w:val="006F2967"/>
    <w:rsid w:val="006F3C46"/>
    <w:rsid w:val="006F48E9"/>
    <w:rsid w:val="0070589F"/>
    <w:rsid w:val="0071071A"/>
    <w:rsid w:val="007172E5"/>
    <w:rsid w:val="0072028C"/>
    <w:rsid w:val="00724831"/>
    <w:rsid w:val="007260DD"/>
    <w:rsid w:val="0073254B"/>
    <w:rsid w:val="00740108"/>
    <w:rsid w:val="0074073E"/>
    <w:rsid w:val="00742D57"/>
    <w:rsid w:val="00753512"/>
    <w:rsid w:val="00753707"/>
    <w:rsid w:val="00754181"/>
    <w:rsid w:val="00757901"/>
    <w:rsid w:val="007611CC"/>
    <w:rsid w:val="00762B09"/>
    <w:rsid w:val="0077522B"/>
    <w:rsid w:val="00775427"/>
    <w:rsid w:val="00782241"/>
    <w:rsid w:val="00784573"/>
    <w:rsid w:val="0079132F"/>
    <w:rsid w:val="007A19C7"/>
    <w:rsid w:val="007A5720"/>
    <w:rsid w:val="007A78CE"/>
    <w:rsid w:val="007B2980"/>
    <w:rsid w:val="007B7C39"/>
    <w:rsid w:val="007C10C7"/>
    <w:rsid w:val="007C2FDD"/>
    <w:rsid w:val="007C35AE"/>
    <w:rsid w:val="007D3830"/>
    <w:rsid w:val="007E0B46"/>
    <w:rsid w:val="007E3638"/>
    <w:rsid w:val="007F08E3"/>
    <w:rsid w:val="007F1A3D"/>
    <w:rsid w:val="007F5385"/>
    <w:rsid w:val="007F5D58"/>
    <w:rsid w:val="00806CA1"/>
    <w:rsid w:val="00812B99"/>
    <w:rsid w:val="008131E7"/>
    <w:rsid w:val="00814507"/>
    <w:rsid w:val="00825B00"/>
    <w:rsid w:val="00825B7B"/>
    <w:rsid w:val="00825C7E"/>
    <w:rsid w:val="00827F00"/>
    <w:rsid w:val="00831E3F"/>
    <w:rsid w:val="00843074"/>
    <w:rsid w:val="008449DA"/>
    <w:rsid w:val="00844A92"/>
    <w:rsid w:val="0084762D"/>
    <w:rsid w:val="00854AE2"/>
    <w:rsid w:val="00872434"/>
    <w:rsid w:val="008725E3"/>
    <w:rsid w:val="00874EED"/>
    <w:rsid w:val="00884157"/>
    <w:rsid w:val="00885789"/>
    <w:rsid w:val="00893036"/>
    <w:rsid w:val="008A12CA"/>
    <w:rsid w:val="008A39A5"/>
    <w:rsid w:val="008B3308"/>
    <w:rsid w:val="008B7770"/>
    <w:rsid w:val="008C44FE"/>
    <w:rsid w:val="008D0739"/>
    <w:rsid w:val="008D1DF5"/>
    <w:rsid w:val="008D753B"/>
    <w:rsid w:val="008D77C8"/>
    <w:rsid w:val="008E0BE3"/>
    <w:rsid w:val="008E1076"/>
    <w:rsid w:val="008E4B85"/>
    <w:rsid w:val="008E5D9D"/>
    <w:rsid w:val="008F5AA3"/>
    <w:rsid w:val="008F6DD0"/>
    <w:rsid w:val="008F6F6F"/>
    <w:rsid w:val="00903259"/>
    <w:rsid w:val="00904378"/>
    <w:rsid w:val="00906370"/>
    <w:rsid w:val="0090639D"/>
    <w:rsid w:val="00906F6E"/>
    <w:rsid w:val="0091258D"/>
    <w:rsid w:val="00912F90"/>
    <w:rsid w:val="00916C28"/>
    <w:rsid w:val="00920F1C"/>
    <w:rsid w:val="009216D0"/>
    <w:rsid w:val="00921CD4"/>
    <w:rsid w:val="00921E0A"/>
    <w:rsid w:val="00922FCC"/>
    <w:rsid w:val="00925016"/>
    <w:rsid w:val="00936567"/>
    <w:rsid w:val="00937B27"/>
    <w:rsid w:val="009537D8"/>
    <w:rsid w:val="009541CE"/>
    <w:rsid w:val="009546EB"/>
    <w:rsid w:val="00961C38"/>
    <w:rsid w:val="009668BD"/>
    <w:rsid w:val="00967A42"/>
    <w:rsid w:val="0097567D"/>
    <w:rsid w:val="00976B2D"/>
    <w:rsid w:val="00985B9C"/>
    <w:rsid w:val="00992329"/>
    <w:rsid w:val="00992CFE"/>
    <w:rsid w:val="00994699"/>
    <w:rsid w:val="009A150B"/>
    <w:rsid w:val="009A4345"/>
    <w:rsid w:val="009A5731"/>
    <w:rsid w:val="009B442F"/>
    <w:rsid w:val="009B45E0"/>
    <w:rsid w:val="009B47B5"/>
    <w:rsid w:val="009B4AC7"/>
    <w:rsid w:val="009B6AB4"/>
    <w:rsid w:val="009C0832"/>
    <w:rsid w:val="009C10E7"/>
    <w:rsid w:val="009F070A"/>
    <w:rsid w:val="009F0F70"/>
    <w:rsid w:val="009F5239"/>
    <w:rsid w:val="009F74C7"/>
    <w:rsid w:val="00A009E3"/>
    <w:rsid w:val="00A01C21"/>
    <w:rsid w:val="00A0208D"/>
    <w:rsid w:val="00A22327"/>
    <w:rsid w:val="00A22908"/>
    <w:rsid w:val="00A245E3"/>
    <w:rsid w:val="00A24C4D"/>
    <w:rsid w:val="00A26CFA"/>
    <w:rsid w:val="00A30177"/>
    <w:rsid w:val="00A31EEE"/>
    <w:rsid w:val="00A32532"/>
    <w:rsid w:val="00A32624"/>
    <w:rsid w:val="00A32791"/>
    <w:rsid w:val="00A36288"/>
    <w:rsid w:val="00A42958"/>
    <w:rsid w:val="00A43A43"/>
    <w:rsid w:val="00A44B3B"/>
    <w:rsid w:val="00A509EC"/>
    <w:rsid w:val="00A51DD2"/>
    <w:rsid w:val="00A5774C"/>
    <w:rsid w:val="00A67B78"/>
    <w:rsid w:val="00A70A00"/>
    <w:rsid w:val="00A72447"/>
    <w:rsid w:val="00A740C9"/>
    <w:rsid w:val="00A75281"/>
    <w:rsid w:val="00A77BCB"/>
    <w:rsid w:val="00A80E47"/>
    <w:rsid w:val="00A9135A"/>
    <w:rsid w:val="00A91510"/>
    <w:rsid w:val="00AA2014"/>
    <w:rsid w:val="00AA24C2"/>
    <w:rsid w:val="00AB19A9"/>
    <w:rsid w:val="00AB2428"/>
    <w:rsid w:val="00AB3C93"/>
    <w:rsid w:val="00AB3F3A"/>
    <w:rsid w:val="00AB57B6"/>
    <w:rsid w:val="00AB5A19"/>
    <w:rsid w:val="00AD12C2"/>
    <w:rsid w:val="00AD380B"/>
    <w:rsid w:val="00AD4128"/>
    <w:rsid w:val="00AD70FA"/>
    <w:rsid w:val="00AE09F7"/>
    <w:rsid w:val="00AF1681"/>
    <w:rsid w:val="00AF5005"/>
    <w:rsid w:val="00AF5F85"/>
    <w:rsid w:val="00B04D02"/>
    <w:rsid w:val="00B12F0E"/>
    <w:rsid w:val="00B146B9"/>
    <w:rsid w:val="00B14EC2"/>
    <w:rsid w:val="00B16F36"/>
    <w:rsid w:val="00B20CD8"/>
    <w:rsid w:val="00B276AF"/>
    <w:rsid w:val="00B32F5C"/>
    <w:rsid w:val="00B34294"/>
    <w:rsid w:val="00B4126E"/>
    <w:rsid w:val="00B42ED6"/>
    <w:rsid w:val="00B50E13"/>
    <w:rsid w:val="00B56AE4"/>
    <w:rsid w:val="00B56BD4"/>
    <w:rsid w:val="00B5739D"/>
    <w:rsid w:val="00B57A3E"/>
    <w:rsid w:val="00B618BA"/>
    <w:rsid w:val="00B61A26"/>
    <w:rsid w:val="00B66CA7"/>
    <w:rsid w:val="00B755E1"/>
    <w:rsid w:val="00B75CB7"/>
    <w:rsid w:val="00B80F35"/>
    <w:rsid w:val="00B81FBC"/>
    <w:rsid w:val="00B823F8"/>
    <w:rsid w:val="00B92380"/>
    <w:rsid w:val="00BA10A8"/>
    <w:rsid w:val="00BA18EC"/>
    <w:rsid w:val="00BA22DF"/>
    <w:rsid w:val="00BA253F"/>
    <w:rsid w:val="00BA4308"/>
    <w:rsid w:val="00BA5EFC"/>
    <w:rsid w:val="00BA776B"/>
    <w:rsid w:val="00BB4019"/>
    <w:rsid w:val="00BB71E9"/>
    <w:rsid w:val="00BB72B4"/>
    <w:rsid w:val="00BB770F"/>
    <w:rsid w:val="00BC063E"/>
    <w:rsid w:val="00BC0E99"/>
    <w:rsid w:val="00BC1C8E"/>
    <w:rsid w:val="00BC4762"/>
    <w:rsid w:val="00BD078D"/>
    <w:rsid w:val="00BD156F"/>
    <w:rsid w:val="00BD43D3"/>
    <w:rsid w:val="00BD5234"/>
    <w:rsid w:val="00BD69B4"/>
    <w:rsid w:val="00BE08F8"/>
    <w:rsid w:val="00BE66E5"/>
    <w:rsid w:val="00BE7833"/>
    <w:rsid w:val="00BF0C55"/>
    <w:rsid w:val="00BF18D3"/>
    <w:rsid w:val="00BF42F1"/>
    <w:rsid w:val="00BF79E6"/>
    <w:rsid w:val="00C005C5"/>
    <w:rsid w:val="00C007FF"/>
    <w:rsid w:val="00C01E7F"/>
    <w:rsid w:val="00C07BBC"/>
    <w:rsid w:val="00C1533F"/>
    <w:rsid w:val="00C16D0C"/>
    <w:rsid w:val="00C25327"/>
    <w:rsid w:val="00C30565"/>
    <w:rsid w:val="00C40591"/>
    <w:rsid w:val="00C4526A"/>
    <w:rsid w:val="00C507D1"/>
    <w:rsid w:val="00C50C05"/>
    <w:rsid w:val="00C5189B"/>
    <w:rsid w:val="00C55789"/>
    <w:rsid w:val="00C55FB7"/>
    <w:rsid w:val="00C57CC8"/>
    <w:rsid w:val="00C60A1D"/>
    <w:rsid w:val="00C627B7"/>
    <w:rsid w:val="00C6324A"/>
    <w:rsid w:val="00C664C2"/>
    <w:rsid w:val="00C703D7"/>
    <w:rsid w:val="00C73D0D"/>
    <w:rsid w:val="00C75663"/>
    <w:rsid w:val="00C80EDD"/>
    <w:rsid w:val="00C83770"/>
    <w:rsid w:val="00C83FBE"/>
    <w:rsid w:val="00C87FD6"/>
    <w:rsid w:val="00C9113F"/>
    <w:rsid w:val="00CB45BB"/>
    <w:rsid w:val="00CB4AA5"/>
    <w:rsid w:val="00CB5B14"/>
    <w:rsid w:val="00CB7E11"/>
    <w:rsid w:val="00CC5246"/>
    <w:rsid w:val="00CE1DB2"/>
    <w:rsid w:val="00CE343C"/>
    <w:rsid w:val="00CE3BB7"/>
    <w:rsid w:val="00CE4C01"/>
    <w:rsid w:val="00CE6A98"/>
    <w:rsid w:val="00CE7D4C"/>
    <w:rsid w:val="00CF36D3"/>
    <w:rsid w:val="00D02408"/>
    <w:rsid w:val="00D04713"/>
    <w:rsid w:val="00D128A3"/>
    <w:rsid w:val="00D1524D"/>
    <w:rsid w:val="00D15294"/>
    <w:rsid w:val="00D17F2D"/>
    <w:rsid w:val="00D27A60"/>
    <w:rsid w:val="00D350A4"/>
    <w:rsid w:val="00D36447"/>
    <w:rsid w:val="00D427AE"/>
    <w:rsid w:val="00D46713"/>
    <w:rsid w:val="00D479DF"/>
    <w:rsid w:val="00D5109D"/>
    <w:rsid w:val="00D54B6D"/>
    <w:rsid w:val="00D55D4A"/>
    <w:rsid w:val="00D7006B"/>
    <w:rsid w:val="00D7356A"/>
    <w:rsid w:val="00D74734"/>
    <w:rsid w:val="00D83D89"/>
    <w:rsid w:val="00D85071"/>
    <w:rsid w:val="00D86FF8"/>
    <w:rsid w:val="00D8717D"/>
    <w:rsid w:val="00D878F6"/>
    <w:rsid w:val="00D90CF8"/>
    <w:rsid w:val="00D939A7"/>
    <w:rsid w:val="00DA4DB8"/>
    <w:rsid w:val="00DB41DF"/>
    <w:rsid w:val="00DB7002"/>
    <w:rsid w:val="00DB7EF8"/>
    <w:rsid w:val="00DC57FC"/>
    <w:rsid w:val="00DC6CB4"/>
    <w:rsid w:val="00DD1AFC"/>
    <w:rsid w:val="00DD2393"/>
    <w:rsid w:val="00DD2DD2"/>
    <w:rsid w:val="00DD3C56"/>
    <w:rsid w:val="00DD5032"/>
    <w:rsid w:val="00DD52FA"/>
    <w:rsid w:val="00DD6301"/>
    <w:rsid w:val="00DD651E"/>
    <w:rsid w:val="00DD6880"/>
    <w:rsid w:val="00DE2078"/>
    <w:rsid w:val="00DF0137"/>
    <w:rsid w:val="00DF16D6"/>
    <w:rsid w:val="00DF2202"/>
    <w:rsid w:val="00DF72CD"/>
    <w:rsid w:val="00E112C0"/>
    <w:rsid w:val="00E1194D"/>
    <w:rsid w:val="00E125FC"/>
    <w:rsid w:val="00E23016"/>
    <w:rsid w:val="00E25AB4"/>
    <w:rsid w:val="00E3065E"/>
    <w:rsid w:val="00E40C89"/>
    <w:rsid w:val="00E4596E"/>
    <w:rsid w:val="00E4798F"/>
    <w:rsid w:val="00E51CC2"/>
    <w:rsid w:val="00E523EB"/>
    <w:rsid w:val="00E55833"/>
    <w:rsid w:val="00E57CD8"/>
    <w:rsid w:val="00E64415"/>
    <w:rsid w:val="00E66C77"/>
    <w:rsid w:val="00E6789D"/>
    <w:rsid w:val="00E8096A"/>
    <w:rsid w:val="00E82704"/>
    <w:rsid w:val="00E82880"/>
    <w:rsid w:val="00E84FC2"/>
    <w:rsid w:val="00E9114C"/>
    <w:rsid w:val="00E93225"/>
    <w:rsid w:val="00E93B36"/>
    <w:rsid w:val="00E94ADC"/>
    <w:rsid w:val="00EA0188"/>
    <w:rsid w:val="00EA178F"/>
    <w:rsid w:val="00EA2AF6"/>
    <w:rsid w:val="00EA454D"/>
    <w:rsid w:val="00EA5E5B"/>
    <w:rsid w:val="00EA6D15"/>
    <w:rsid w:val="00EB1947"/>
    <w:rsid w:val="00EB1BF1"/>
    <w:rsid w:val="00EB1E4D"/>
    <w:rsid w:val="00EB3E4B"/>
    <w:rsid w:val="00EB430A"/>
    <w:rsid w:val="00EB4E10"/>
    <w:rsid w:val="00EC608B"/>
    <w:rsid w:val="00ED5D85"/>
    <w:rsid w:val="00EE1905"/>
    <w:rsid w:val="00EE203C"/>
    <w:rsid w:val="00EF59E8"/>
    <w:rsid w:val="00EF70A9"/>
    <w:rsid w:val="00EF73FC"/>
    <w:rsid w:val="00F01246"/>
    <w:rsid w:val="00F04C5D"/>
    <w:rsid w:val="00F170A8"/>
    <w:rsid w:val="00F203C7"/>
    <w:rsid w:val="00F24F95"/>
    <w:rsid w:val="00F33D2E"/>
    <w:rsid w:val="00F3470C"/>
    <w:rsid w:val="00F43A8E"/>
    <w:rsid w:val="00F44F3C"/>
    <w:rsid w:val="00F54363"/>
    <w:rsid w:val="00F64E02"/>
    <w:rsid w:val="00F75BCE"/>
    <w:rsid w:val="00F76375"/>
    <w:rsid w:val="00F765E8"/>
    <w:rsid w:val="00F83A0E"/>
    <w:rsid w:val="00F9351D"/>
    <w:rsid w:val="00F9707A"/>
    <w:rsid w:val="00F97F98"/>
    <w:rsid w:val="00FA04D3"/>
    <w:rsid w:val="00FC29E1"/>
    <w:rsid w:val="00FC34B4"/>
    <w:rsid w:val="00FE1B96"/>
    <w:rsid w:val="00FE242F"/>
    <w:rsid w:val="00FE5245"/>
    <w:rsid w:val="00FE6162"/>
    <w:rsid w:val="00FF0602"/>
    <w:rsid w:val="00FF4C08"/>
    <w:rsid w:val="00FF5A03"/>
    <w:rsid w:val="00F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0A3F011-3930-4F34-A453-6F69C25C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7F"/>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07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5071"/>
    <w:rPr>
      <w:rFonts w:ascii="Tahoma" w:hAnsi="Tahoma" w:cs="Tahoma"/>
      <w:sz w:val="16"/>
      <w:szCs w:val="16"/>
    </w:rPr>
  </w:style>
  <w:style w:type="character" w:customStyle="1" w:styleId="BalloonTextChar">
    <w:name w:val="Balloon Text Char"/>
    <w:basedOn w:val="DefaultParagraphFont"/>
    <w:link w:val="BalloonText"/>
    <w:uiPriority w:val="99"/>
    <w:semiHidden/>
    <w:rsid w:val="00D85071"/>
    <w:rPr>
      <w:rFonts w:ascii="Tahoma" w:eastAsiaTheme="minorEastAsia" w:hAnsi="Tahoma" w:cs="Tahoma"/>
      <w:sz w:val="16"/>
      <w:szCs w:val="16"/>
      <w:lang w:eastAsia="en-CA"/>
    </w:rPr>
  </w:style>
  <w:style w:type="paragraph" w:styleId="ListParagraph">
    <w:name w:val="List Paragraph"/>
    <w:basedOn w:val="Normal"/>
    <w:uiPriority w:val="34"/>
    <w:qFormat/>
    <w:rsid w:val="004A1ACD"/>
    <w:pPr>
      <w:ind w:left="720"/>
      <w:contextualSpacing/>
    </w:pPr>
  </w:style>
  <w:style w:type="paragraph" w:styleId="NoSpacing">
    <w:name w:val="No Spacing"/>
    <w:uiPriority w:val="1"/>
    <w:qFormat/>
    <w:rsid w:val="00DD5032"/>
    <w:pPr>
      <w:spacing w:after="0" w:line="240" w:lineRule="auto"/>
      <w:jc w:val="both"/>
    </w:pPr>
    <w:rPr>
      <w:rFonts w:ascii="Arial" w:hAnsi="Arial"/>
    </w:rPr>
  </w:style>
  <w:style w:type="table" w:styleId="TableGrid">
    <w:name w:val="Table Grid"/>
    <w:basedOn w:val="TableNormal"/>
    <w:uiPriority w:val="59"/>
    <w:rsid w:val="00DD50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num1">
    <w:name w:val="paragnum1"/>
    <w:basedOn w:val="Normal"/>
    <w:rsid w:val="00685235"/>
    <w:pPr>
      <w:widowControl/>
      <w:autoSpaceDE/>
      <w:autoSpaceDN/>
      <w:adjustRightInd/>
      <w:spacing w:before="552"/>
    </w:pPr>
    <w:rPr>
      <w:rFonts w:eastAsia="Times New Roman"/>
      <w:lang w:eastAsia="en-US"/>
    </w:rPr>
  </w:style>
  <w:style w:type="character" w:customStyle="1" w:styleId="reflex3-block">
    <w:name w:val="reflex3-block"/>
    <w:basedOn w:val="DefaultParagraphFont"/>
    <w:rsid w:val="00685235"/>
  </w:style>
  <w:style w:type="character" w:customStyle="1" w:styleId="reflex3-alt">
    <w:name w:val="reflex3-alt"/>
    <w:basedOn w:val="DefaultParagraphFont"/>
    <w:rsid w:val="00685235"/>
  </w:style>
  <w:style w:type="paragraph" w:styleId="Header">
    <w:name w:val="header"/>
    <w:basedOn w:val="Normal"/>
    <w:link w:val="HeaderChar"/>
    <w:uiPriority w:val="99"/>
    <w:unhideWhenUsed/>
    <w:rsid w:val="00BF18D3"/>
    <w:pPr>
      <w:tabs>
        <w:tab w:val="center" w:pos="4680"/>
        <w:tab w:val="right" w:pos="9360"/>
      </w:tabs>
    </w:pPr>
  </w:style>
  <w:style w:type="character" w:customStyle="1" w:styleId="HeaderChar">
    <w:name w:val="Header Char"/>
    <w:basedOn w:val="DefaultParagraphFont"/>
    <w:link w:val="Header"/>
    <w:uiPriority w:val="99"/>
    <w:rsid w:val="00BF18D3"/>
    <w:rPr>
      <w:rFonts w:ascii="Times New Roman" w:eastAsiaTheme="minorEastAsia" w:hAnsi="Times New Roman" w:cs="Times New Roman"/>
      <w:sz w:val="24"/>
      <w:szCs w:val="24"/>
      <w:lang w:eastAsia="en-CA"/>
    </w:rPr>
  </w:style>
  <w:style w:type="paragraph" w:styleId="Footer">
    <w:name w:val="footer"/>
    <w:basedOn w:val="Normal"/>
    <w:link w:val="FooterChar"/>
    <w:uiPriority w:val="99"/>
    <w:unhideWhenUsed/>
    <w:rsid w:val="00BF18D3"/>
    <w:pPr>
      <w:tabs>
        <w:tab w:val="center" w:pos="4680"/>
        <w:tab w:val="right" w:pos="9360"/>
      </w:tabs>
    </w:pPr>
  </w:style>
  <w:style w:type="character" w:customStyle="1" w:styleId="FooterChar">
    <w:name w:val="Footer Char"/>
    <w:basedOn w:val="DefaultParagraphFont"/>
    <w:link w:val="Footer"/>
    <w:uiPriority w:val="99"/>
    <w:rsid w:val="00BF18D3"/>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2309-9835-4CF6-A436-A08455A7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9708</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Smallwood</dc:creator>
  <cp:keywords/>
  <dc:description/>
  <cp:lastModifiedBy>Tami Martin</cp:lastModifiedBy>
  <cp:revision>2</cp:revision>
  <cp:lastPrinted>2018-06-28T23:17:00Z</cp:lastPrinted>
  <dcterms:created xsi:type="dcterms:W3CDTF">2018-07-03T21:56:00Z</dcterms:created>
  <dcterms:modified xsi:type="dcterms:W3CDTF">2018-07-03T21:56:00Z</dcterms:modified>
</cp:coreProperties>
</file>