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44BBE" w14:textId="77777777" w:rsidR="00C7413C" w:rsidRDefault="00C7413C" w:rsidP="00FE1751">
      <w:pPr>
        <w:widowControl/>
        <w:autoSpaceDE/>
        <w:autoSpaceDN/>
        <w:adjustRightInd/>
        <w:rPr>
          <w:rFonts w:eastAsia="Times New Roman"/>
          <w:color w:val="000000"/>
          <w:sz w:val="28"/>
          <w:szCs w:val="28"/>
          <w:lang w:eastAsia="fr-CA"/>
        </w:rPr>
      </w:pPr>
      <w:r w:rsidRPr="00C7413C">
        <w:rPr>
          <w:rFonts w:eastAsia="Times New Roman"/>
          <w:i/>
          <w:color w:val="000000"/>
          <w:sz w:val="28"/>
          <w:szCs w:val="28"/>
          <w:lang w:eastAsia="fr-CA"/>
        </w:rPr>
        <w:t>GNWT v Union of Northern Workers</w:t>
      </w:r>
      <w:r w:rsidR="00FE2B62">
        <w:rPr>
          <w:rFonts w:eastAsia="Times New Roman"/>
          <w:color w:val="000000"/>
          <w:sz w:val="28"/>
          <w:szCs w:val="28"/>
          <w:lang w:eastAsia="fr-CA"/>
        </w:rPr>
        <w:t>, 2018</w:t>
      </w:r>
      <w:r w:rsidRPr="00C7413C">
        <w:rPr>
          <w:rFonts w:eastAsia="Times New Roman"/>
          <w:color w:val="000000"/>
          <w:sz w:val="28"/>
          <w:szCs w:val="28"/>
          <w:lang w:eastAsia="fr-CA"/>
        </w:rPr>
        <w:t xml:space="preserve"> NWTSC </w:t>
      </w:r>
      <w:r w:rsidR="00FE2B62">
        <w:rPr>
          <w:rFonts w:eastAsia="Times New Roman"/>
          <w:color w:val="000000"/>
          <w:sz w:val="28"/>
          <w:szCs w:val="28"/>
          <w:lang w:eastAsia="fr-CA"/>
        </w:rPr>
        <w:t>19</w:t>
      </w:r>
    </w:p>
    <w:p w14:paraId="06A17BF8" w14:textId="77777777" w:rsidR="00FE1751" w:rsidRPr="00C7413C" w:rsidRDefault="00FE1751" w:rsidP="00FE1751">
      <w:pPr>
        <w:widowControl/>
        <w:autoSpaceDE/>
        <w:autoSpaceDN/>
        <w:adjustRightInd/>
        <w:rPr>
          <w:rFonts w:eastAsia="Times New Roman"/>
          <w:color w:val="000000"/>
          <w:sz w:val="28"/>
          <w:szCs w:val="28"/>
          <w:lang w:eastAsia="fr-CA"/>
        </w:rPr>
      </w:pPr>
    </w:p>
    <w:p w14:paraId="52CA8B1E" w14:textId="77777777" w:rsidR="00C7413C" w:rsidRPr="00C7413C" w:rsidRDefault="00C7413C" w:rsidP="00FE1751">
      <w:pPr>
        <w:widowControl/>
        <w:ind w:right="-36"/>
        <w:rPr>
          <w:i/>
          <w:sz w:val="28"/>
          <w:szCs w:val="28"/>
        </w:rPr>
      </w:pPr>
    </w:p>
    <w:p w14:paraId="3F47E899" w14:textId="77777777" w:rsidR="002C7C17" w:rsidRPr="00C83B8B" w:rsidRDefault="00FE2B62" w:rsidP="00FE1751">
      <w:pPr>
        <w:widowControl/>
        <w:ind w:right="-36"/>
        <w:jc w:val="right"/>
        <w:rPr>
          <w:sz w:val="28"/>
          <w:szCs w:val="28"/>
          <w:lang w:val="en-GB"/>
        </w:rPr>
      </w:pPr>
      <w:r>
        <w:rPr>
          <w:sz w:val="28"/>
          <w:szCs w:val="28"/>
          <w:lang w:val="en-GB"/>
        </w:rPr>
        <w:t>Date:  2018</w:t>
      </w:r>
      <w:r w:rsidR="009B22CA">
        <w:rPr>
          <w:sz w:val="28"/>
          <w:szCs w:val="28"/>
          <w:lang w:val="en-GB"/>
        </w:rPr>
        <w:t xml:space="preserve"> </w:t>
      </w:r>
      <w:r>
        <w:rPr>
          <w:sz w:val="28"/>
          <w:szCs w:val="28"/>
          <w:lang w:val="en-GB"/>
        </w:rPr>
        <w:t>03</w:t>
      </w:r>
      <w:r w:rsidR="00DE4E95">
        <w:rPr>
          <w:sz w:val="28"/>
          <w:szCs w:val="28"/>
          <w:lang w:val="en-GB"/>
        </w:rPr>
        <w:t xml:space="preserve"> </w:t>
      </w:r>
      <w:r w:rsidR="000D1C39">
        <w:rPr>
          <w:sz w:val="28"/>
          <w:szCs w:val="28"/>
          <w:lang w:val="en-GB"/>
        </w:rPr>
        <w:t>19</w:t>
      </w:r>
      <w:r w:rsidR="00C83B8B" w:rsidRPr="00C83B8B">
        <w:rPr>
          <w:sz w:val="28"/>
          <w:szCs w:val="28"/>
          <w:lang w:val="en-GB"/>
        </w:rPr>
        <w:t xml:space="preserve"> </w:t>
      </w:r>
    </w:p>
    <w:p w14:paraId="44B3023C" w14:textId="77777777" w:rsidR="00E9123C" w:rsidRPr="00C83B8B" w:rsidRDefault="002C7C17" w:rsidP="00FE1751">
      <w:pPr>
        <w:widowControl/>
        <w:ind w:right="-36"/>
        <w:jc w:val="right"/>
        <w:rPr>
          <w:sz w:val="28"/>
          <w:szCs w:val="28"/>
          <w:lang w:val="en-GB"/>
        </w:rPr>
      </w:pPr>
      <w:r w:rsidRPr="00C83B8B">
        <w:rPr>
          <w:sz w:val="28"/>
          <w:szCs w:val="28"/>
          <w:lang w:val="en-GB"/>
        </w:rPr>
        <w:t xml:space="preserve">Docket:  </w:t>
      </w:r>
      <w:r w:rsidR="00B747B5" w:rsidRPr="00C83B8B">
        <w:rPr>
          <w:sz w:val="28"/>
          <w:szCs w:val="28"/>
          <w:lang w:val="en-GB"/>
        </w:rPr>
        <w:t>S</w:t>
      </w:r>
      <w:r w:rsidRPr="00C83B8B">
        <w:rPr>
          <w:sz w:val="28"/>
          <w:szCs w:val="28"/>
          <w:lang w:val="en-GB"/>
        </w:rPr>
        <w:t>-</w:t>
      </w:r>
      <w:r w:rsidR="00B747B5" w:rsidRPr="00C83B8B">
        <w:rPr>
          <w:sz w:val="28"/>
          <w:szCs w:val="28"/>
          <w:lang w:val="en-GB"/>
        </w:rPr>
        <w:t>1</w:t>
      </w:r>
      <w:r w:rsidRPr="00C83B8B">
        <w:rPr>
          <w:sz w:val="28"/>
          <w:szCs w:val="28"/>
          <w:lang w:val="en-GB"/>
        </w:rPr>
        <w:t>-CV-</w:t>
      </w:r>
      <w:r w:rsidR="009B22CA">
        <w:rPr>
          <w:sz w:val="28"/>
          <w:szCs w:val="28"/>
          <w:lang w:val="en-GB"/>
        </w:rPr>
        <w:t>2016-000</w:t>
      </w:r>
      <w:r w:rsidR="00844B8C">
        <w:rPr>
          <w:sz w:val="28"/>
          <w:szCs w:val="28"/>
          <w:lang w:val="en-GB"/>
        </w:rPr>
        <w:t xml:space="preserve"> </w:t>
      </w:r>
      <w:r w:rsidR="009B22CA">
        <w:rPr>
          <w:sz w:val="28"/>
          <w:szCs w:val="28"/>
          <w:lang w:val="en-GB"/>
        </w:rPr>
        <w:t>352</w:t>
      </w:r>
    </w:p>
    <w:p w14:paraId="22698AAB" w14:textId="77777777" w:rsidR="00E9123C" w:rsidRPr="00C83B8B" w:rsidRDefault="00E9123C" w:rsidP="00FE1751">
      <w:pPr>
        <w:widowControl/>
        <w:tabs>
          <w:tab w:val="left" w:pos="-1440"/>
          <w:tab w:val="left" w:pos="-720"/>
        </w:tabs>
        <w:ind w:right="-36"/>
        <w:jc w:val="both"/>
        <w:rPr>
          <w:sz w:val="28"/>
          <w:szCs w:val="28"/>
          <w:lang w:val="en-GB"/>
        </w:rPr>
      </w:pPr>
    </w:p>
    <w:p w14:paraId="45F997EA" w14:textId="77777777" w:rsidR="00E9123C" w:rsidRPr="00C83B8B" w:rsidRDefault="00E9123C" w:rsidP="00FE1751">
      <w:pPr>
        <w:widowControl/>
        <w:ind w:right="-36"/>
        <w:jc w:val="center"/>
        <w:rPr>
          <w:sz w:val="28"/>
          <w:szCs w:val="28"/>
          <w:lang w:val="en-GB"/>
        </w:rPr>
      </w:pPr>
      <w:r w:rsidRPr="00C83B8B">
        <w:rPr>
          <w:sz w:val="28"/>
          <w:szCs w:val="28"/>
          <w:lang w:val="en-GB"/>
        </w:rPr>
        <w:t>IN THE SUPREME COURT OF THE NORTHWEST TERRITORIES</w:t>
      </w:r>
    </w:p>
    <w:p w14:paraId="1345C507" w14:textId="77777777" w:rsidR="00E9123C" w:rsidRPr="00C83B8B" w:rsidRDefault="00E9123C" w:rsidP="00FE1751">
      <w:pPr>
        <w:widowControl/>
        <w:tabs>
          <w:tab w:val="left" w:pos="-1440"/>
          <w:tab w:val="left" w:pos="-720"/>
        </w:tabs>
        <w:ind w:right="-36"/>
        <w:jc w:val="both"/>
        <w:rPr>
          <w:sz w:val="28"/>
          <w:szCs w:val="28"/>
          <w:lang w:val="en-GB"/>
        </w:rPr>
      </w:pPr>
    </w:p>
    <w:p w14:paraId="76A448EC" w14:textId="77777777" w:rsidR="00E9123C" w:rsidRPr="00C83B8B" w:rsidRDefault="00E9123C" w:rsidP="00FE1751">
      <w:pPr>
        <w:widowControl/>
        <w:ind w:right="-36"/>
        <w:jc w:val="both"/>
        <w:rPr>
          <w:sz w:val="28"/>
          <w:szCs w:val="28"/>
          <w:lang w:val="en-GB"/>
        </w:rPr>
      </w:pPr>
      <w:r w:rsidRPr="00C83B8B">
        <w:rPr>
          <w:sz w:val="28"/>
          <w:szCs w:val="28"/>
          <w:lang w:val="en-GB"/>
        </w:rPr>
        <w:t>BETWEEN:</w:t>
      </w:r>
    </w:p>
    <w:p w14:paraId="178E8C75" w14:textId="77777777" w:rsidR="00E9123C" w:rsidRDefault="00E9123C" w:rsidP="00FE1751">
      <w:pPr>
        <w:widowControl/>
        <w:tabs>
          <w:tab w:val="left" w:pos="-1440"/>
          <w:tab w:val="left" w:pos="-720"/>
        </w:tabs>
        <w:ind w:right="-36"/>
        <w:jc w:val="both"/>
        <w:rPr>
          <w:sz w:val="28"/>
          <w:szCs w:val="28"/>
          <w:lang w:val="en-GB"/>
        </w:rPr>
      </w:pPr>
    </w:p>
    <w:p w14:paraId="52AF2EC2" w14:textId="77777777" w:rsidR="008E3F76" w:rsidRPr="00C83B8B" w:rsidRDefault="008E3F76" w:rsidP="00FE1751">
      <w:pPr>
        <w:widowControl/>
        <w:tabs>
          <w:tab w:val="left" w:pos="-1440"/>
          <w:tab w:val="left" w:pos="-720"/>
        </w:tabs>
        <w:ind w:right="-36"/>
        <w:jc w:val="both"/>
        <w:rPr>
          <w:sz w:val="28"/>
          <w:szCs w:val="28"/>
          <w:lang w:val="en-GB"/>
        </w:rPr>
      </w:pPr>
    </w:p>
    <w:bookmarkStart w:id="0" w:name="QuickMark"/>
    <w:bookmarkEnd w:id="0"/>
    <w:p w14:paraId="25A1A28B" w14:textId="77777777" w:rsidR="006B3E24" w:rsidRPr="00C83B8B" w:rsidRDefault="006B3E24" w:rsidP="00FE1751">
      <w:pPr>
        <w:widowControl/>
        <w:jc w:val="center"/>
        <w:rPr>
          <w:sz w:val="28"/>
          <w:szCs w:val="28"/>
          <w:lang w:val="en-CA"/>
        </w:rPr>
      </w:pPr>
      <w:r w:rsidRPr="00C83B8B">
        <w:rPr>
          <w:sz w:val="28"/>
          <w:szCs w:val="28"/>
          <w:lang w:val="en-CA"/>
        </w:rPr>
        <w:fldChar w:fldCharType="begin"/>
      </w:r>
      <w:r w:rsidRPr="00C83B8B">
        <w:rPr>
          <w:sz w:val="28"/>
          <w:szCs w:val="28"/>
          <w:lang w:val="en-CA"/>
        </w:rPr>
        <w:instrText xml:space="preserve"> SEQ CHAPTER \h \r 1</w:instrText>
      </w:r>
      <w:r w:rsidRPr="00C83B8B">
        <w:rPr>
          <w:sz w:val="28"/>
          <w:szCs w:val="28"/>
          <w:lang w:val="en-CA"/>
        </w:rPr>
        <w:fldChar w:fldCharType="end"/>
      </w:r>
      <w:r w:rsidRPr="00C83B8B">
        <w:rPr>
          <w:sz w:val="28"/>
          <w:szCs w:val="28"/>
          <w:lang w:val="en-CA"/>
        </w:rPr>
        <w:t>THE GOVERNMENT OF THE NORTHWEST TERRITORIES</w:t>
      </w:r>
    </w:p>
    <w:p w14:paraId="44E56EB6" w14:textId="77777777" w:rsidR="006B3E24" w:rsidRPr="00C83B8B" w:rsidRDefault="006B3E24" w:rsidP="00FE1751">
      <w:pPr>
        <w:widowControl/>
        <w:jc w:val="center"/>
        <w:rPr>
          <w:sz w:val="28"/>
          <w:szCs w:val="28"/>
          <w:lang w:val="en-CA"/>
        </w:rPr>
      </w:pPr>
    </w:p>
    <w:p w14:paraId="30D50925" w14:textId="77777777" w:rsidR="006B3E24" w:rsidRDefault="006B3E24" w:rsidP="00FE1751">
      <w:pPr>
        <w:widowControl/>
        <w:tabs>
          <w:tab w:val="right" w:pos="9360"/>
        </w:tabs>
        <w:rPr>
          <w:sz w:val="28"/>
          <w:szCs w:val="28"/>
          <w:lang w:val="en-CA"/>
        </w:rPr>
      </w:pPr>
      <w:r w:rsidRPr="00C83B8B">
        <w:rPr>
          <w:sz w:val="28"/>
          <w:szCs w:val="28"/>
          <w:lang w:val="en-CA"/>
        </w:rPr>
        <w:tab/>
      </w:r>
      <w:r w:rsidR="009B22CA">
        <w:rPr>
          <w:sz w:val="28"/>
          <w:szCs w:val="28"/>
          <w:lang w:val="en-CA"/>
        </w:rPr>
        <w:t>Applicant</w:t>
      </w:r>
    </w:p>
    <w:p w14:paraId="77CC9FCA" w14:textId="77777777" w:rsidR="00431296" w:rsidRPr="00C83B8B" w:rsidRDefault="00431296" w:rsidP="00FE1751">
      <w:pPr>
        <w:widowControl/>
        <w:tabs>
          <w:tab w:val="right" w:pos="9360"/>
        </w:tabs>
        <w:rPr>
          <w:sz w:val="28"/>
          <w:szCs w:val="28"/>
          <w:lang w:val="en-CA"/>
        </w:rPr>
      </w:pPr>
    </w:p>
    <w:p w14:paraId="001AEFF0" w14:textId="77777777" w:rsidR="006B3E24" w:rsidRPr="00C83B8B" w:rsidRDefault="006B3E24" w:rsidP="00FE1751">
      <w:pPr>
        <w:widowControl/>
        <w:jc w:val="center"/>
        <w:rPr>
          <w:sz w:val="28"/>
          <w:szCs w:val="28"/>
          <w:lang w:val="en-CA"/>
        </w:rPr>
      </w:pPr>
      <w:r w:rsidRPr="00C83B8B">
        <w:rPr>
          <w:sz w:val="28"/>
          <w:szCs w:val="28"/>
          <w:lang w:val="en-CA"/>
        </w:rPr>
        <w:t xml:space="preserve">- </w:t>
      </w:r>
      <w:proofErr w:type="gramStart"/>
      <w:r w:rsidRPr="00C83B8B">
        <w:rPr>
          <w:sz w:val="28"/>
          <w:szCs w:val="28"/>
          <w:lang w:val="en-CA"/>
        </w:rPr>
        <w:t>and</w:t>
      </w:r>
      <w:proofErr w:type="gramEnd"/>
      <w:r w:rsidRPr="00C83B8B">
        <w:rPr>
          <w:sz w:val="28"/>
          <w:szCs w:val="28"/>
          <w:lang w:val="en-CA"/>
        </w:rPr>
        <w:t xml:space="preserve"> -</w:t>
      </w:r>
    </w:p>
    <w:p w14:paraId="24737EDD" w14:textId="77777777" w:rsidR="006B3E24" w:rsidRDefault="006B3E24" w:rsidP="00FE1751">
      <w:pPr>
        <w:widowControl/>
        <w:rPr>
          <w:sz w:val="28"/>
          <w:szCs w:val="28"/>
          <w:lang w:val="en-CA"/>
        </w:rPr>
      </w:pPr>
    </w:p>
    <w:p w14:paraId="7DD6B25C" w14:textId="77777777" w:rsidR="008657EA" w:rsidRPr="00C83B8B" w:rsidRDefault="008657EA" w:rsidP="00FE1751">
      <w:pPr>
        <w:widowControl/>
        <w:rPr>
          <w:sz w:val="28"/>
          <w:szCs w:val="28"/>
          <w:lang w:val="en-CA"/>
        </w:rPr>
      </w:pPr>
    </w:p>
    <w:p w14:paraId="308565FD" w14:textId="77777777" w:rsidR="006B3E24" w:rsidRDefault="009B22CA" w:rsidP="00FE1751">
      <w:pPr>
        <w:widowControl/>
        <w:jc w:val="center"/>
        <w:rPr>
          <w:sz w:val="28"/>
          <w:szCs w:val="28"/>
          <w:lang w:val="en-CA"/>
        </w:rPr>
      </w:pPr>
      <w:r>
        <w:rPr>
          <w:sz w:val="28"/>
          <w:szCs w:val="28"/>
          <w:lang w:val="en-CA"/>
        </w:rPr>
        <w:t>THE UNION OF NORTHERN WORKERS</w:t>
      </w:r>
    </w:p>
    <w:p w14:paraId="08A66A6A" w14:textId="77777777" w:rsidR="00630FD1" w:rsidRPr="00C83B8B" w:rsidRDefault="00630FD1" w:rsidP="00FE1751">
      <w:pPr>
        <w:widowControl/>
        <w:jc w:val="center"/>
        <w:rPr>
          <w:sz w:val="28"/>
          <w:szCs w:val="28"/>
          <w:lang w:val="en-CA"/>
        </w:rPr>
      </w:pPr>
    </w:p>
    <w:p w14:paraId="734D0D44" w14:textId="77777777" w:rsidR="006B3E24" w:rsidRPr="00C83B8B" w:rsidRDefault="006B3E24" w:rsidP="00FE1751">
      <w:pPr>
        <w:widowControl/>
        <w:tabs>
          <w:tab w:val="right" w:pos="9360"/>
        </w:tabs>
        <w:rPr>
          <w:sz w:val="28"/>
          <w:szCs w:val="28"/>
          <w:lang w:val="en-CA"/>
        </w:rPr>
      </w:pPr>
      <w:r w:rsidRPr="00C83B8B">
        <w:rPr>
          <w:sz w:val="28"/>
          <w:szCs w:val="28"/>
          <w:lang w:val="en-CA"/>
        </w:rPr>
        <w:tab/>
      </w:r>
      <w:r w:rsidR="009B22CA">
        <w:rPr>
          <w:sz w:val="28"/>
          <w:szCs w:val="28"/>
          <w:lang w:val="en-CA"/>
        </w:rPr>
        <w:t>Respondent</w:t>
      </w:r>
    </w:p>
    <w:p w14:paraId="6E02E2B6" w14:textId="77777777" w:rsidR="009B22CA" w:rsidRDefault="009B22CA" w:rsidP="00FE1751">
      <w:pPr>
        <w:widowControl/>
        <w:ind w:right="-36"/>
        <w:jc w:val="center"/>
        <w:rPr>
          <w:sz w:val="28"/>
          <w:szCs w:val="28"/>
          <w:lang w:val="en-CA"/>
        </w:rPr>
      </w:pPr>
    </w:p>
    <w:p w14:paraId="7FC04771" w14:textId="77777777" w:rsidR="00431296" w:rsidRDefault="00431296" w:rsidP="00FE1751">
      <w:pPr>
        <w:widowControl/>
        <w:ind w:right="-36"/>
        <w:jc w:val="center"/>
        <w:rPr>
          <w:sz w:val="28"/>
          <w:szCs w:val="28"/>
          <w:lang w:val="en-CA"/>
        </w:rPr>
      </w:pPr>
    </w:p>
    <w:p w14:paraId="0E81A67A" w14:textId="77777777" w:rsidR="00BF05B1" w:rsidRPr="00851BE9" w:rsidRDefault="00851BE9" w:rsidP="00FE1751">
      <w:pPr>
        <w:widowControl/>
        <w:ind w:right="-36"/>
        <w:jc w:val="center"/>
        <w:rPr>
          <w:sz w:val="28"/>
          <w:szCs w:val="28"/>
          <w:u w:val="single"/>
        </w:rPr>
      </w:pPr>
      <w:r w:rsidRPr="00784011">
        <w:rPr>
          <w:sz w:val="28"/>
          <w:szCs w:val="28"/>
        </w:rPr>
        <w:t xml:space="preserve"> </w:t>
      </w:r>
      <w:r w:rsidR="00844B8C" w:rsidRPr="00851BE9">
        <w:rPr>
          <w:sz w:val="28"/>
          <w:szCs w:val="28"/>
          <w:u w:val="single"/>
        </w:rPr>
        <w:t>RULING AS TO REMEDY</w:t>
      </w:r>
    </w:p>
    <w:p w14:paraId="1EDC4381" w14:textId="77777777" w:rsidR="00630FD1" w:rsidRDefault="00630FD1" w:rsidP="00FE1751">
      <w:pPr>
        <w:widowControl/>
        <w:ind w:right="-36"/>
        <w:jc w:val="center"/>
        <w:rPr>
          <w:sz w:val="28"/>
          <w:szCs w:val="28"/>
          <w:u w:val="single"/>
        </w:rPr>
      </w:pPr>
    </w:p>
    <w:p w14:paraId="031673A6" w14:textId="77777777" w:rsidR="00851BE9" w:rsidRPr="00C83B8B" w:rsidRDefault="00851BE9" w:rsidP="00FE1751">
      <w:pPr>
        <w:widowControl/>
        <w:ind w:right="-36"/>
        <w:jc w:val="center"/>
        <w:rPr>
          <w:sz w:val="28"/>
          <w:szCs w:val="28"/>
          <w:u w:val="single"/>
        </w:rPr>
      </w:pPr>
    </w:p>
    <w:p w14:paraId="0F5F5B3C" w14:textId="77777777" w:rsidR="009A075B" w:rsidRDefault="004F5566" w:rsidP="00FE1751">
      <w:pPr>
        <w:jc w:val="both"/>
        <w:rPr>
          <w:sz w:val="28"/>
          <w:szCs w:val="28"/>
        </w:rPr>
      </w:pPr>
      <w:r>
        <w:rPr>
          <w:sz w:val="28"/>
          <w:szCs w:val="28"/>
        </w:rPr>
        <w:t>I</w:t>
      </w:r>
      <w:r w:rsidR="00616408">
        <w:rPr>
          <w:sz w:val="28"/>
          <w:szCs w:val="28"/>
        </w:rPr>
        <w:t>)</w:t>
      </w:r>
      <w:r w:rsidR="00616408">
        <w:rPr>
          <w:sz w:val="28"/>
          <w:szCs w:val="28"/>
        </w:rPr>
        <w:tab/>
      </w:r>
      <w:r w:rsidR="003D034C" w:rsidRPr="00C83B8B">
        <w:rPr>
          <w:sz w:val="28"/>
          <w:szCs w:val="28"/>
        </w:rPr>
        <w:t>INTRODUCTION</w:t>
      </w:r>
      <w:r w:rsidR="009B22CA">
        <w:rPr>
          <w:sz w:val="28"/>
          <w:szCs w:val="28"/>
        </w:rPr>
        <w:t xml:space="preserve"> </w:t>
      </w:r>
      <w:r w:rsidR="009B22CA" w:rsidRPr="00575824">
        <w:rPr>
          <w:sz w:val="28"/>
          <w:szCs w:val="28"/>
        </w:rPr>
        <w:t>AND BACKGROUND</w:t>
      </w:r>
    </w:p>
    <w:p w14:paraId="583BBB8E" w14:textId="77777777" w:rsidR="00FE2B62" w:rsidRPr="00FE2B62" w:rsidRDefault="00FE2B62" w:rsidP="00FE1751">
      <w:pPr>
        <w:pStyle w:val="ListParagraph"/>
        <w:tabs>
          <w:tab w:val="left" w:pos="360"/>
        </w:tabs>
        <w:spacing w:line="240" w:lineRule="auto"/>
        <w:jc w:val="both"/>
        <w:rPr>
          <w:rFonts w:ascii="Times New Roman" w:hAnsi="Times New Roman" w:cs="Times New Roman"/>
          <w:sz w:val="28"/>
          <w:szCs w:val="28"/>
        </w:rPr>
      </w:pPr>
    </w:p>
    <w:p w14:paraId="06970E42" w14:textId="77777777" w:rsidR="00DE4E95" w:rsidRDefault="00FE2B62" w:rsidP="00FE1751">
      <w:pPr>
        <w:pStyle w:val="ListParagraph"/>
        <w:numPr>
          <w:ilvl w:val="0"/>
          <w:numId w:val="22"/>
        </w:numPr>
        <w:tabs>
          <w:tab w:val="left" w:pos="0"/>
        </w:tabs>
        <w:spacing w:line="240" w:lineRule="auto"/>
        <w:ind w:left="0" w:firstLine="0"/>
        <w:jc w:val="both"/>
        <w:rPr>
          <w:rFonts w:ascii="Times New Roman" w:hAnsi="Times New Roman" w:cs="Times New Roman"/>
          <w:sz w:val="28"/>
          <w:szCs w:val="28"/>
        </w:rPr>
      </w:pPr>
      <w:r w:rsidRPr="00DE4E95">
        <w:rPr>
          <w:rFonts w:ascii="Times New Roman" w:hAnsi="Times New Roman" w:cs="Times New Roman"/>
          <w:sz w:val="28"/>
          <w:szCs w:val="28"/>
        </w:rPr>
        <w:t xml:space="preserve">On November 10, 2017, I granted an Application for judicial review, brought by the Government of the Northwest Territories (GNWT), challenging the decision of an Arbitrator.  </w:t>
      </w:r>
      <w:r w:rsidRPr="00A84B99">
        <w:rPr>
          <w:rFonts w:ascii="Times New Roman" w:hAnsi="Times New Roman" w:cs="Times New Roman"/>
          <w:i/>
          <w:sz w:val="28"/>
          <w:szCs w:val="28"/>
        </w:rPr>
        <w:t>GNWT v Union of Northern Workers</w:t>
      </w:r>
      <w:r w:rsidRPr="00DE4E95">
        <w:rPr>
          <w:rFonts w:ascii="Times New Roman" w:hAnsi="Times New Roman" w:cs="Times New Roman"/>
          <w:sz w:val="28"/>
          <w:szCs w:val="28"/>
        </w:rPr>
        <w:t xml:space="preserve">, 2017 NWTSC 84. </w:t>
      </w:r>
    </w:p>
    <w:p w14:paraId="6C0A9B05" w14:textId="77777777" w:rsidR="00DE4E95" w:rsidRDefault="00DE4E95" w:rsidP="00FE1751">
      <w:pPr>
        <w:pStyle w:val="ListParagraph"/>
        <w:tabs>
          <w:tab w:val="left" w:pos="0"/>
        </w:tabs>
        <w:spacing w:line="240" w:lineRule="auto"/>
        <w:ind w:left="0"/>
        <w:jc w:val="both"/>
        <w:rPr>
          <w:rFonts w:ascii="Times New Roman" w:hAnsi="Times New Roman" w:cs="Times New Roman"/>
          <w:sz w:val="28"/>
          <w:szCs w:val="28"/>
        </w:rPr>
      </w:pPr>
    </w:p>
    <w:p w14:paraId="6DE9ECA0" w14:textId="77777777" w:rsidR="00DE4E95" w:rsidRDefault="00FE2B62" w:rsidP="00FE1751">
      <w:pPr>
        <w:pStyle w:val="ListParagraph"/>
        <w:numPr>
          <w:ilvl w:val="0"/>
          <w:numId w:val="22"/>
        </w:numPr>
        <w:tabs>
          <w:tab w:val="left" w:pos="0"/>
        </w:tabs>
        <w:spacing w:line="240" w:lineRule="auto"/>
        <w:ind w:left="0" w:firstLine="0"/>
        <w:jc w:val="both"/>
        <w:rPr>
          <w:rFonts w:ascii="Times New Roman" w:hAnsi="Times New Roman" w:cs="Times New Roman"/>
          <w:sz w:val="28"/>
          <w:szCs w:val="28"/>
        </w:rPr>
      </w:pPr>
      <w:r w:rsidRPr="00DE4E95">
        <w:rPr>
          <w:rFonts w:ascii="Times New Roman" w:hAnsi="Times New Roman" w:cs="Times New Roman"/>
          <w:sz w:val="28"/>
          <w:szCs w:val="28"/>
        </w:rPr>
        <w:t xml:space="preserve">The issue of remedy had been addressed briefly at the hearing, but I gave the parties an opportunity to </w:t>
      </w:r>
      <w:r w:rsidR="00A84B99" w:rsidRPr="00DE4E95">
        <w:rPr>
          <w:rFonts w:ascii="Times New Roman" w:hAnsi="Times New Roman" w:cs="Times New Roman"/>
          <w:sz w:val="28"/>
          <w:szCs w:val="28"/>
        </w:rPr>
        <w:t>present</w:t>
      </w:r>
      <w:r w:rsidRPr="00DE4E95">
        <w:rPr>
          <w:rFonts w:ascii="Times New Roman" w:hAnsi="Times New Roman" w:cs="Times New Roman"/>
          <w:sz w:val="28"/>
          <w:szCs w:val="28"/>
        </w:rPr>
        <w:t xml:space="preserve"> additional submissions in light of my decision on the merits.  The Applicant and Respondent filed written submissions in February 2018</w:t>
      </w:r>
      <w:r w:rsidR="000D1C39">
        <w:rPr>
          <w:rFonts w:ascii="Times New Roman" w:hAnsi="Times New Roman" w:cs="Times New Roman"/>
          <w:sz w:val="28"/>
          <w:szCs w:val="28"/>
        </w:rPr>
        <w:t>.</w:t>
      </w:r>
    </w:p>
    <w:p w14:paraId="42279FD9" w14:textId="77777777" w:rsidR="00DE4E95" w:rsidRPr="00DE4E95" w:rsidRDefault="00DE4E95" w:rsidP="00FE1751">
      <w:pPr>
        <w:pStyle w:val="ListParagraph"/>
        <w:spacing w:line="240" w:lineRule="auto"/>
        <w:rPr>
          <w:rFonts w:ascii="Times New Roman" w:hAnsi="Times New Roman" w:cs="Times New Roman"/>
          <w:sz w:val="28"/>
          <w:szCs w:val="28"/>
        </w:rPr>
      </w:pPr>
    </w:p>
    <w:p w14:paraId="052C2D10" w14:textId="77777777" w:rsidR="00DE4E95" w:rsidRDefault="00FE2B62" w:rsidP="00FE1751">
      <w:pPr>
        <w:pStyle w:val="ListParagraph"/>
        <w:numPr>
          <w:ilvl w:val="0"/>
          <w:numId w:val="22"/>
        </w:numPr>
        <w:tabs>
          <w:tab w:val="left" w:pos="0"/>
        </w:tabs>
        <w:spacing w:line="240" w:lineRule="auto"/>
        <w:ind w:left="0" w:firstLine="0"/>
        <w:jc w:val="both"/>
        <w:rPr>
          <w:rFonts w:ascii="Times New Roman" w:hAnsi="Times New Roman" w:cs="Times New Roman"/>
          <w:sz w:val="28"/>
          <w:szCs w:val="28"/>
        </w:rPr>
      </w:pPr>
      <w:r w:rsidRPr="00DE4E95">
        <w:rPr>
          <w:rFonts w:ascii="Times New Roman" w:hAnsi="Times New Roman" w:cs="Times New Roman"/>
          <w:sz w:val="28"/>
          <w:szCs w:val="28"/>
        </w:rPr>
        <w:t xml:space="preserve">To put the parties’ positions in context, I will refer </w:t>
      </w:r>
      <w:r w:rsidR="000D1C39">
        <w:rPr>
          <w:rFonts w:ascii="Times New Roman" w:hAnsi="Times New Roman" w:cs="Times New Roman"/>
          <w:sz w:val="28"/>
          <w:szCs w:val="28"/>
        </w:rPr>
        <w:t xml:space="preserve">briefly </w:t>
      </w:r>
      <w:r w:rsidRPr="00DE4E95">
        <w:rPr>
          <w:rFonts w:ascii="Times New Roman" w:hAnsi="Times New Roman" w:cs="Times New Roman"/>
          <w:sz w:val="28"/>
          <w:szCs w:val="28"/>
        </w:rPr>
        <w:t>to some of the issues raised at the hearing and to</w:t>
      </w:r>
      <w:r w:rsidR="00BE2C3B">
        <w:rPr>
          <w:rFonts w:ascii="Times New Roman" w:hAnsi="Times New Roman" w:cs="Times New Roman"/>
          <w:sz w:val="28"/>
          <w:szCs w:val="28"/>
        </w:rPr>
        <w:t xml:space="preserve"> my decision</w:t>
      </w:r>
      <w:r w:rsidRPr="00DE4E95">
        <w:rPr>
          <w:rFonts w:ascii="Times New Roman" w:hAnsi="Times New Roman" w:cs="Times New Roman"/>
          <w:sz w:val="28"/>
          <w:szCs w:val="28"/>
        </w:rPr>
        <w:t>.</w:t>
      </w:r>
      <w:r w:rsidR="00DE4E95" w:rsidRPr="00DE4E95">
        <w:rPr>
          <w:rFonts w:ascii="Times New Roman" w:hAnsi="Times New Roman" w:cs="Times New Roman"/>
          <w:sz w:val="28"/>
          <w:szCs w:val="28"/>
        </w:rPr>
        <w:t xml:space="preserve">  </w:t>
      </w:r>
    </w:p>
    <w:p w14:paraId="0AC98181" w14:textId="77777777" w:rsidR="003761D1" w:rsidRPr="003761D1" w:rsidRDefault="003761D1" w:rsidP="00FE1751">
      <w:pPr>
        <w:pStyle w:val="ListParagraph"/>
        <w:spacing w:line="240" w:lineRule="auto"/>
        <w:rPr>
          <w:rFonts w:ascii="Times New Roman" w:hAnsi="Times New Roman" w:cs="Times New Roman"/>
          <w:sz w:val="28"/>
          <w:szCs w:val="28"/>
        </w:rPr>
      </w:pPr>
    </w:p>
    <w:p w14:paraId="6F79D84D" w14:textId="77777777" w:rsidR="003761D1" w:rsidRDefault="003761D1" w:rsidP="00FE1751">
      <w:pPr>
        <w:pStyle w:val="ListParagraph"/>
        <w:tabs>
          <w:tab w:val="left" w:pos="0"/>
        </w:tabs>
        <w:spacing w:line="240" w:lineRule="auto"/>
        <w:ind w:left="0"/>
        <w:jc w:val="both"/>
        <w:rPr>
          <w:rFonts w:ascii="Times New Roman" w:hAnsi="Times New Roman" w:cs="Times New Roman"/>
          <w:sz w:val="28"/>
          <w:szCs w:val="28"/>
        </w:rPr>
      </w:pPr>
    </w:p>
    <w:p w14:paraId="306BE2C8" w14:textId="77777777" w:rsidR="00DE4E95" w:rsidRDefault="00DE4E95" w:rsidP="00FE1751">
      <w:pPr>
        <w:pStyle w:val="ListParagraph"/>
        <w:spacing w:line="240" w:lineRule="auto"/>
        <w:rPr>
          <w:rFonts w:ascii="Times New Roman" w:hAnsi="Times New Roman" w:cs="Times New Roman"/>
          <w:sz w:val="28"/>
          <w:szCs w:val="28"/>
        </w:rPr>
      </w:pPr>
    </w:p>
    <w:p w14:paraId="6A001CEF" w14:textId="77777777" w:rsidR="00FE1751" w:rsidRPr="00DE4E95" w:rsidRDefault="00FE1751" w:rsidP="00FE1751">
      <w:pPr>
        <w:pStyle w:val="ListParagraph"/>
        <w:spacing w:line="240" w:lineRule="auto"/>
        <w:rPr>
          <w:rFonts w:ascii="Times New Roman" w:hAnsi="Times New Roman" w:cs="Times New Roman"/>
          <w:sz w:val="28"/>
          <w:szCs w:val="28"/>
        </w:rPr>
      </w:pPr>
    </w:p>
    <w:p w14:paraId="35E7E035" w14:textId="77777777" w:rsidR="00DE4E95" w:rsidRDefault="00FE2B62" w:rsidP="00FE1751">
      <w:pPr>
        <w:pStyle w:val="ListParagraph"/>
        <w:numPr>
          <w:ilvl w:val="0"/>
          <w:numId w:val="22"/>
        </w:numPr>
        <w:tabs>
          <w:tab w:val="left" w:pos="0"/>
        </w:tabs>
        <w:spacing w:line="240" w:lineRule="auto"/>
        <w:ind w:left="0" w:firstLine="0"/>
        <w:jc w:val="both"/>
        <w:rPr>
          <w:rFonts w:ascii="Times New Roman" w:hAnsi="Times New Roman" w:cs="Times New Roman"/>
          <w:sz w:val="28"/>
          <w:szCs w:val="28"/>
        </w:rPr>
      </w:pPr>
      <w:r w:rsidRPr="00DE4E95">
        <w:rPr>
          <w:rFonts w:ascii="Times New Roman" w:hAnsi="Times New Roman" w:cs="Times New Roman"/>
          <w:sz w:val="28"/>
          <w:szCs w:val="28"/>
        </w:rPr>
        <w:t xml:space="preserve">The judicial review </w:t>
      </w:r>
      <w:r w:rsidR="000D1C39">
        <w:rPr>
          <w:rFonts w:ascii="Times New Roman" w:hAnsi="Times New Roman" w:cs="Times New Roman"/>
          <w:sz w:val="28"/>
          <w:szCs w:val="28"/>
        </w:rPr>
        <w:t>was about</w:t>
      </w:r>
      <w:r w:rsidRPr="00DE4E95">
        <w:rPr>
          <w:rFonts w:ascii="Times New Roman" w:hAnsi="Times New Roman" w:cs="Times New Roman"/>
          <w:sz w:val="28"/>
          <w:szCs w:val="28"/>
        </w:rPr>
        <w:t xml:space="preserve"> </w:t>
      </w:r>
      <w:r w:rsidR="000D1C39">
        <w:rPr>
          <w:rFonts w:ascii="Times New Roman" w:hAnsi="Times New Roman" w:cs="Times New Roman"/>
          <w:sz w:val="28"/>
          <w:szCs w:val="28"/>
        </w:rPr>
        <w:t xml:space="preserve">the Arbitrator's </w:t>
      </w:r>
      <w:r w:rsidRPr="00DE4E95">
        <w:rPr>
          <w:rFonts w:ascii="Times New Roman" w:hAnsi="Times New Roman" w:cs="Times New Roman"/>
          <w:sz w:val="28"/>
          <w:szCs w:val="28"/>
        </w:rPr>
        <w:t xml:space="preserve">interpretation of </w:t>
      </w:r>
      <w:r w:rsidR="000D1C39">
        <w:rPr>
          <w:rFonts w:ascii="Times New Roman" w:hAnsi="Times New Roman" w:cs="Times New Roman"/>
          <w:sz w:val="28"/>
          <w:szCs w:val="28"/>
        </w:rPr>
        <w:t xml:space="preserve">certain </w:t>
      </w:r>
      <w:r w:rsidRPr="00DE4E95">
        <w:rPr>
          <w:rFonts w:ascii="Times New Roman" w:hAnsi="Times New Roman" w:cs="Times New Roman"/>
          <w:sz w:val="28"/>
          <w:szCs w:val="28"/>
        </w:rPr>
        <w:t>Articles of a Collective Agreement between the GNWT and the Union of Northern Workers (UNW)</w:t>
      </w:r>
      <w:r w:rsidR="000D1C39">
        <w:rPr>
          <w:rFonts w:ascii="Times New Roman" w:hAnsi="Times New Roman" w:cs="Times New Roman"/>
          <w:sz w:val="28"/>
          <w:szCs w:val="28"/>
        </w:rPr>
        <w:t>.</w:t>
      </w:r>
      <w:r w:rsidRPr="00DE4E95">
        <w:rPr>
          <w:rFonts w:ascii="Times New Roman" w:hAnsi="Times New Roman" w:cs="Times New Roman"/>
          <w:sz w:val="28"/>
          <w:szCs w:val="28"/>
        </w:rPr>
        <w:t xml:space="preserve"> </w:t>
      </w:r>
      <w:r w:rsidR="00D502D7">
        <w:rPr>
          <w:rFonts w:ascii="Times New Roman" w:hAnsi="Times New Roman" w:cs="Times New Roman"/>
          <w:sz w:val="28"/>
          <w:szCs w:val="28"/>
        </w:rPr>
        <w:t xml:space="preserve"> </w:t>
      </w:r>
      <w:r w:rsidR="000D1C39">
        <w:rPr>
          <w:rFonts w:ascii="Times New Roman" w:hAnsi="Times New Roman" w:cs="Times New Roman"/>
          <w:sz w:val="28"/>
          <w:szCs w:val="28"/>
        </w:rPr>
        <w:t xml:space="preserve">The dispute between the parties centered on </w:t>
      </w:r>
      <w:r w:rsidRPr="00DE4E95">
        <w:rPr>
          <w:rFonts w:ascii="Times New Roman" w:hAnsi="Times New Roman" w:cs="Times New Roman"/>
          <w:sz w:val="28"/>
          <w:szCs w:val="28"/>
        </w:rPr>
        <w:t xml:space="preserve">entitlement to financial assistance for relocation when an employee stops working for the GNWT (Ultimate Removal Assistance).   </w:t>
      </w:r>
    </w:p>
    <w:p w14:paraId="1B912B05" w14:textId="77777777" w:rsidR="00DE4E95" w:rsidRPr="00DE4E95" w:rsidRDefault="00DE4E95" w:rsidP="00FE1751">
      <w:pPr>
        <w:pStyle w:val="ListParagraph"/>
        <w:spacing w:line="240" w:lineRule="auto"/>
        <w:rPr>
          <w:rFonts w:ascii="Times New Roman" w:hAnsi="Times New Roman" w:cs="Times New Roman"/>
          <w:sz w:val="28"/>
          <w:szCs w:val="28"/>
        </w:rPr>
      </w:pPr>
    </w:p>
    <w:p w14:paraId="2B2C2986" w14:textId="77777777" w:rsidR="00FE2B62" w:rsidRPr="00DE4E95" w:rsidRDefault="000D1C39" w:rsidP="00FE1751">
      <w:pPr>
        <w:pStyle w:val="ListParagraph"/>
        <w:numPr>
          <w:ilvl w:val="0"/>
          <w:numId w:val="22"/>
        </w:numPr>
        <w:tabs>
          <w:tab w:val="left" w:pos="0"/>
        </w:tabs>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Two Articles of the Collective Agreement were at issue</w:t>
      </w:r>
      <w:r w:rsidR="00FE2B62" w:rsidRPr="00DE4E95">
        <w:rPr>
          <w:rFonts w:ascii="Times New Roman" w:hAnsi="Times New Roman" w:cs="Times New Roman"/>
          <w:sz w:val="28"/>
          <w:szCs w:val="28"/>
        </w:rPr>
        <w:t>: Article 42.02(a)(i), which sets out the entitlement to Ultimate Removal Assistance, and Article 2.01, whi</w:t>
      </w:r>
      <w:r>
        <w:rPr>
          <w:rFonts w:ascii="Times New Roman" w:hAnsi="Times New Roman" w:cs="Times New Roman"/>
          <w:sz w:val="28"/>
          <w:szCs w:val="28"/>
        </w:rPr>
        <w:t>ch defines "Continuous Service"</w:t>
      </w:r>
      <w:r w:rsidR="00FE2B62" w:rsidRPr="00DE4E95">
        <w:rPr>
          <w:rFonts w:ascii="Times New Roman" w:hAnsi="Times New Roman" w:cs="Times New Roman"/>
          <w:sz w:val="28"/>
          <w:szCs w:val="28"/>
        </w:rPr>
        <w:t>:</w:t>
      </w:r>
    </w:p>
    <w:p w14:paraId="5841B0D3" w14:textId="77777777" w:rsidR="00FE2B62" w:rsidRPr="00FE2B62" w:rsidRDefault="00FE2B62" w:rsidP="00FE1751">
      <w:pPr>
        <w:pStyle w:val="ListParagraph"/>
        <w:tabs>
          <w:tab w:val="left" w:pos="360"/>
        </w:tabs>
        <w:spacing w:line="240" w:lineRule="auto"/>
        <w:ind w:left="0"/>
        <w:jc w:val="both"/>
        <w:rPr>
          <w:rFonts w:ascii="Times New Roman" w:hAnsi="Times New Roman" w:cs="Times New Roman"/>
          <w:sz w:val="28"/>
          <w:szCs w:val="28"/>
        </w:rPr>
      </w:pPr>
    </w:p>
    <w:p w14:paraId="6B2982DD" w14:textId="77777777" w:rsidR="00FE2B62" w:rsidRPr="00BE2C3B" w:rsidRDefault="00BE2C3B" w:rsidP="00FE1751">
      <w:pPr>
        <w:pStyle w:val="ListParagraph"/>
        <w:tabs>
          <w:tab w:val="left" w:pos="36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E2B62" w:rsidRPr="00BE2C3B">
        <w:rPr>
          <w:rFonts w:ascii="Times New Roman" w:hAnsi="Times New Roman" w:cs="Times New Roman"/>
          <w:sz w:val="24"/>
          <w:szCs w:val="24"/>
        </w:rPr>
        <w:t>42.02(a)(i)  Length of service</w:t>
      </w:r>
    </w:p>
    <w:p w14:paraId="328E4DEC" w14:textId="77777777" w:rsidR="00FE2B62" w:rsidRPr="00FE2B62" w:rsidRDefault="00FE2B62" w:rsidP="00FE1751">
      <w:pPr>
        <w:pStyle w:val="ListParagraph"/>
        <w:tabs>
          <w:tab w:val="left" w:pos="360"/>
        </w:tabs>
        <w:spacing w:line="240" w:lineRule="auto"/>
        <w:ind w:left="0"/>
        <w:jc w:val="both"/>
        <w:rPr>
          <w:rFonts w:ascii="Times New Roman" w:hAnsi="Times New Roman" w:cs="Times New Roman"/>
          <w:sz w:val="28"/>
          <w:szCs w:val="28"/>
        </w:rPr>
      </w:pPr>
    </w:p>
    <w:p w14:paraId="18503778"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r w:rsidRPr="00DE4E95">
        <w:rPr>
          <w:rFonts w:ascii="Times New Roman" w:hAnsi="Times New Roman" w:cs="Times New Roman"/>
          <w:sz w:val="24"/>
          <w:szCs w:val="24"/>
        </w:rPr>
        <w:t>An employee's entitlement to Ultimate Removal Assistance is based on years of continuous service with the Government of the Northwest Territories as follows:</w:t>
      </w:r>
    </w:p>
    <w:p w14:paraId="586CBD2D"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r w:rsidRPr="00DE4E95">
        <w:rPr>
          <w:rFonts w:ascii="Times New Roman" w:hAnsi="Times New Roman" w:cs="Times New Roman"/>
          <w:sz w:val="24"/>
          <w:szCs w:val="24"/>
        </w:rPr>
        <w:t>(...)</w:t>
      </w:r>
    </w:p>
    <w:p w14:paraId="5EA2453B" w14:textId="77777777" w:rsidR="00FE2B62" w:rsidRPr="00DE4E95" w:rsidRDefault="00BE2C3B" w:rsidP="00FE1751">
      <w:pPr>
        <w:pStyle w:val="ListParagraph"/>
        <w:tabs>
          <w:tab w:val="left" w:pos="360"/>
        </w:tabs>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(a</w:t>
      </w:r>
      <w:r w:rsidR="00FE2B62" w:rsidRPr="00DE4E95">
        <w:rPr>
          <w:rFonts w:ascii="Times New Roman" w:hAnsi="Times New Roman" w:cs="Times New Roman"/>
          <w:sz w:val="24"/>
          <w:szCs w:val="24"/>
        </w:rPr>
        <w:t>) Subject to Article 42.02(a), employees hired after August 5, 1976, whose community of residence remains the same as his/her point of recruitment will be entitled to removal assistance as follows:</w:t>
      </w:r>
    </w:p>
    <w:p w14:paraId="1246D921" w14:textId="77777777" w:rsidR="00ED5FB6" w:rsidRDefault="00FE2B62" w:rsidP="00FE1751">
      <w:pPr>
        <w:pStyle w:val="ListParagraph"/>
        <w:tabs>
          <w:tab w:val="left" w:pos="360"/>
        </w:tabs>
        <w:spacing w:line="240" w:lineRule="auto"/>
        <w:ind w:right="720"/>
        <w:jc w:val="both"/>
        <w:rPr>
          <w:rFonts w:ascii="Times New Roman" w:hAnsi="Times New Roman" w:cs="Times New Roman"/>
          <w:sz w:val="24"/>
          <w:szCs w:val="24"/>
        </w:rPr>
      </w:pPr>
      <w:r w:rsidRPr="00DE4E95">
        <w:rPr>
          <w:rFonts w:ascii="Times New Roman" w:hAnsi="Times New Roman" w:cs="Times New Roman"/>
          <w:sz w:val="24"/>
          <w:szCs w:val="24"/>
        </w:rPr>
        <w:tab/>
      </w:r>
    </w:p>
    <w:p w14:paraId="430481A8"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r w:rsidRPr="00DE4E95">
        <w:rPr>
          <w:rFonts w:ascii="Times New Roman" w:hAnsi="Times New Roman" w:cs="Times New Roman"/>
          <w:sz w:val="24"/>
          <w:szCs w:val="24"/>
        </w:rPr>
        <w:tab/>
        <w:t>after 10 years of service, 100%</w:t>
      </w:r>
      <w:r w:rsidR="00B87070">
        <w:rPr>
          <w:rFonts w:ascii="Times New Roman" w:hAnsi="Times New Roman" w:cs="Times New Roman"/>
          <w:sz w:val="24"/>
          <w:szCs w:val="24"/>
        </w:rPr>
        <w:t xml:space="preserve"> </w:t>
      </w:r>
    </w:p>
    <w:p w14:paraId="1EEEEC7D"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r w:rsidRPr="00DE4E95">
        <w:rPr>
          <w:rFonts w:ascii="Times New Roman" w:hAnsi="Times New Roman" w:cs="Times New Roman"/>
          <w:sz w:val="24"/>
          <w:szCs w:val="24"/>
        </w:rPr>
        <w:t>(...)</w:t>
      </w:r>
    </w:p>
    <w:p w14:paraId="4EF344CF"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p>
    <w:p w14:paraId="65A3AB63"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r w:rsidRPr="00DE4E95">
        <w:rPr>
          <w:rFonts w:ascii="Times New Roman" w:hAnsi="Times New Roman" w:cs="Times New Roman"/>
          <w:sz w:val="24"/>
          <w:szCs w:val="24"/>
        </w:rPr>
        <w:t>2.01 For the purposes of this Agreement:</w:t>
      </w:r>
    </w:p>
    <w:p w14:paraId="52F2EE46"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p>
    <w:p w14:paraId="4CABD031"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r w:rsidRPr="00DE4E95">
        <w:rPr>
          <w:rFonts w:ascii="Times New Roman" w:hAnsi="Times New Roman" w:cs="Times New Roman"/>
          <w:sz w:val="24"/>
          <w:szCs w:val="24"/>
        </w:rPr>
        <w:t>(...)</w:t>
      </w:r>
    </w:p>
    <w:p w14:paraId="765EBCB1"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p>
    <w:p w14:paraId="2B79CAC9"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r w:rsidRPr="00DE4E95">
        <w:rPr>
          <w:rFonts w:ascii="Times New Roman" w:hAnsi="Times New Roman" w:cs="Times New Roman"/>
          <w:sz w:val="24"/>
          <w:szCs w:val="24"/>
        </w:rPr>
        <w:t>(e)(i) "Continuous Employment" and "Continuous Service" means:</w:t>
      </w:r>
    </w:p>
    <w:p w14:paraId="7A655DDA"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p>
    <w:p w14:paraId="1DCE766C"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r w:rsidRPr="00DE4E95">
        <w:rPr>
          <w:rFonts w:ascii="Times New Roman" w:hAnsi="Times New Roman" w:cs="Times New Roman"/>
          <w:sz w:val="24"/>
          <w:szCs w:val="24"/>
        </w:rPr>
        <w:t>(1) uninterrupted employment with the Government of the Northwest Territories;</w:t>
      </w:r>
    </w:p>
    <w:p w14:paraId="14A1DB63"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r w:rsidRPr="00DE4E95">
        <w:rPr>
          <w:rFonts w:ascii="Times New Roman" w:hAnsi="Times New Roman" w:cs="Times New Roman"/>
          <w:sz w:val="24"/>
          <w:szCs w:val="24"/>
        </w:rPr>
        <w:t xml:space="preserve">(2) prior service in the Public Service of the Government of Canada providing an employee was recruited or transferred from the Public Service within three (3) months of </w:t>
      </w:r>
      <w:r w:rsidRPr="00DE4E95">
        <w:rPr>
          <w:rFonts w:ascii="Times New Roman" w:hAnsi="Times New Roman" w:cs="Times New Roman"/>
          <w:sz w:val="24"/>
          <w:szCs w:val="24"/>
        </w:rPr>
        <w:lastRenderedPageBreak/>
        <w:t>terminating his/her previous employment with such government; except where a function of the Federal Government is transferred to the Northwest Territories Government; and</w:t>
      </w:r>
    </w:p>
    <w:p w14:paraId="206A29C0"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r w:rsidRPr="00DE4E95">
        <w:rPr>
          <w:rFonts w:ascii="Times New Roman" w:hAnsi="Times New Roman" w:cs="Times New Roman"/>
          <w:sz w:val="24"/>
          <w:szCs w:val="24"/>
        </w:rPr>
        <w:t>(3) prior service with the municipalities and hamlets of the Northwest Territories providing he/she was recruited or transferred within three (3) months of terminating his/her previous employment.</w:t>
      </w:r>
    </w:p>
    <w:p w14:paraId="23D07ADA"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p>
    <w:p w14:paraId="1005B758"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r w:rsidRPr="00DE4E95">
        <w:rPr>
          <w:rFonts w:ascii="Times New Roman" w:hAnsi="Times New Roman" w:cs="Times New Roman"/>
          <w:sz w:val="24"/>
          <w:szCs w:val="24"/>
        </w:rPr>
        <w:t>(...)</w:t>
      </w:r>
    </w:p>
    <w:p w14:paraId="46575CA5" w14:textId="77777777" w:rsidR="00FE2B62" w:rsidRPr="00DE4E95" w:rsidRDefault="00FE2B62" w:rsidP="00FE1751">
      <w:pPr>
        <w:pStyle w:val="ListParagraph"/>
        <w:tabs>
          <w:tab w:val="left" w:pos="360"/>
        </w:tabs>
        <w:spacing w:line="240" w:lineRule="auto"/>
        <w:ind w:left="0" w:right="720"/>
        <w:jc w:val="both"/>
        <w:rPr>
          <w:rFonts w:ascii="Times New Roman" w:hAnsi="Times New Roman" w:cs="Times New Roman"/>
          <w:sz w:val="24"/>
          <w:szCs w:val="24"/>
        </w:rPr>
      </w:pPr>
    </w:p>
    <w:p w14:paraId="417BADA7" w14:textId="77777777" w:rsidR="00FE1751" w:rsidRDefault="00FE2B62" w:rsidP="00FE1751">
      <w:pPr>
        <w:pStyle w:val="ListParagraph"/>
        <w:numPr>
          <w:ilvl w:val="0"/>
          <w:numId w:val="22"/>
        </w:numPr>
        <w:tabs>
          <w:tab w:val="left" w:pos="0"/>
        </w:tabs>
        <w:spacing w:line="240" w:lineRule="auto"/>
        <w:ind w:left="0" w:firstLine="0"/>
        <w:jc w:val="both"/>
        <w:rPr>
          <w:rFonts w:ascii="Times New Roman" w:hAnsi="Times New Roman" w:cs="Times New Roman"/>
          <w:sz w:val="28"/>
          <w:szCs w:val="28"/>
        </w:rPr>
      </w:pPr>
      <w:r w:rsidRPr="00DE4E95">
        <w:rPr>
          <w:rFonts w:ascii="Times New Roman" w:hAnsi="Times New Roman" w:cs="Times New Roman"/>
          <w:sz w:val="28"/>
          <w:szCs w:val="28"/>
        </w:rPr>
        <w:t xml:space="preserve">The first issue was whether the definition of “Continuous Service” should be read conjunctively or disjunctively.  </w:t>
      </w:r>
      <w:r w:rsidR="002D14A5">
        <w:rPr>
          <w:rFonts w:ascii="Times New Roman" w:hAnsi="Times New Roman" w:cs="Times New Roman"/>
          <w:sz w:val="28"/>
          <w:szCs w:val="28"/>
        </w:rPr>
        <w:t>The Arbitrator</w:t>
      </w:r>
      <w:r w:rsidRPr="00DE4E95">
        <w:rPr>
          <w:rFonts w:ascii="Times New Roman" w:hAnsi="Times New Roman" w:cs="Times New Roman"/>
          <w:sz w:val="28"/>
          <w:szCs w:val="28"/>
        </w:rPr>
        <w:t xml:space="preserve"> concluded that it should be read</w:t>
      </w:r>
      <w:r w:rsidRPr="00FE1751">
        <w:rPr>
          <w:rFonts w:ascii="Times New Roman" w:hAnsi="Times New Roman" w:cs="Times New Roman"/>
          <w:sz w:val="28"/>
          <w:szCs w:val="28"/>
        </w:rPr>
        <w:t xml:space="preserve"> </w:t>
      </w:r>
    </w:p>
    <w:p w14:paraId="622D4AF3" w14:textId="77777777" w:rsidR="00FE1751" w:rsidRDefault="00FE1751" w:rsidP="00FE1751">
      <w:pPr>
        <w:pStyle w:val="ListParagraph"/>
        <w:tabs>
          <w:tab w:val="left" w:pos="0"/>
        </w:tabs>
        <w:spacing w:line="240" w:lineRule="auto"/>
        <w:ind w:left="0"/>
        <w:jc w:val="both"/>
        <w:rPr>
          <w:rFonts w:ascii="Times New Roman" w:hAnsi="Times New Roman" w:cs="Times New Roman"/>
          <w:sz w:val="28"/>
          <w:szCs w:val="28"/>
        </w:rPr>
      </w:pPr>
    </w:p>
    <w:p w14:paraId="208A1031" w14:textId="40C1B443" w:rsidR="00DE4E95" w:rsidRPr="00FE1751" w:rsidRDefault="00FE2B62" w:rsidP="00FE1751">
      <w:pPr>
        <w:pStyle w:val="ListParagraph"/>
        <w:tabs>
          <w:tab w:val="left" w:pos="0"/>
        </w:tabs>
        <w:spacing w:line="240" w:lineRule="auto"/>
        <w:ind w:left="0"/>
        <w:jc w:val="both"/>
        <w:rPr>
          <w:rFonts w:ascii="Times New Roman" w:hAnsi="Times New Roman" w:cs="Times New Roman"/>
          <w:sz w:val="28"/>
          <w:szCs w:val="28"/>
        </w:rPr>
      </w:pPr>
      <w:proofErr w:type="gramStart"/>
      <w:r w:rsidRPr="00FE1751">
        <w:rPr>
          <w:rFonts w:ascii="Times New Roman" w:hAnsi="Times New Roman" w:cs="Times New Roman"/>
          <w:sz w:val="28"/>
          <w:szCs w:val="28"/>
        </w:rPr>
        <w:t>conjunctively</w:t>
      </w:r>
      <w:proofErr w:type="gramEnd"/>
      <w:r w:rsidRPr="00FE1751">
        <w:rPr>
          <w:rFonts w:ascii="Times New Roman" w:hAnsi="Times New Roman" w:cs="Times New Roman"/>
          <w:sz w:val="28"/>
          <w:szCs w:val="28"/>
        </w:rPr>
        <w:t xml:space="preserve">, meaning that "Continuous Service" represents the total years of service with the three employers listed </w:t>
      </w:r>
      <w:r w:rsidR="002D14A5" w:rsidRPr="00FE1751">
        <w:rPr>
          <w:rFonts w:ascii="Times New Roman" w:hAnsi="Times New Roman" w:cs="Times New Roman"/>
          <w:sz w:val="28"/>
          <w:szCs w:val="28"/>
        </w:rPr>
        <w:t>in the definition</w:t>
      </w:r>
      <w:r w:rsidRPr="00FE1751">
        <w:rPr>
          <w:rFonts w:ascii="Times New Roman" w:hAnsi="Times New Roman" w:cs="Times New Roman"/>
          <w:sz w:val="28"/>
          <w:szCs w:val="28"/>
        </w:rPr>
        <w:t xml:space="preserve">. </w:t>
      </w:r>
      <w:r w:rsidR="002D14A5" w:rsidRPr="00FE1751">
        <w:rPr>
          <w:rFonts w:ascii="Times New Roman" w:hAnsi="Times New Roman" w:cs="Times New Roman"/>
          <w:sz w:val="28"/>
          <w:szCs w:val="28"/>
        </w:rPr>
        <w:t xml:space="preserve"> </w:t>
      </w:r>
      <w:r w:rsidRPr="00FE1751">
        <w:rPr>
          <w:rFonts w:ascii="Times New Roman" w:hAnsi="Times New Roman" w:cs="Times New Roman"/>
          <w:sz w:val="28"/>
          <w:szCs w:val="28"/>
        </w:rPr>
        <w:t>I found this interpretation to be reasonable.</w:t>
      </w:r>
      <w:r w:rsidR="002D14A5" w:rsidRPr="00FE1751">
        <w:rPr>
          <w:rFonts w:ascii="Times New Roman" w:hAnsi="Times New Roman" w:cs="Times New Roman"/>
          <w:sz w:val="28"/>
          <w:szCs w:val="28"/>
        </w:rPr>
        <w:t xml:space="preserve">  </w:t>
      </w:r>
      <w:r w:rsidR="002D14A5" w:rsidRPr="00FE1751">
        <w:rPr>
          <w:rFonts w:ascii="Times New Roman" w:hAnsi="Times New Roman" w:cs="Times New Roman"/>
          <w:i/>
          <w:sz w:val="28"/>
          <w:szCs w:val="28"/>
        </w:rPr>
        <w:t>GNWT v Union of Northern Workers</w:t>
      </w:r>
      <w:r w:rsidR="002D14A5" w:rsidRPr="00FE1751">
        <w:rPr>
          <w:rFonts w:ascii="Times New Roman" w:hAnsi="Times New Roman" w:cs="Times New Roman"/>
          <w:sz w:val="28"/>
          <w:szCs w:val="28"/>
        </w:rPr>
        <w:t xml:space="preserve">, paras </w:t>
      </w:r>
      <w:r w:rsidR="007D4DB5" w:rsidRPr="00FE1751">
        <w:rPr>
          <w:rFonts w:ascii="Times New Roman" w:hAnsi="Times New Roman" w:cs="Times New Roman"/>
          <w:sz w:val="28"/>
          <w:szCs w:val="28"/>
        </w:rPr>
        <w:t>31 to 37.</w:t>
      </w:r>
    </w:p>
    <w:p w14:paraId="6B9BF101" w14:textId="77777777" w:rsidR="00DE4E95" w:rsidRDefault="00DE4E95" w:rsidP="00FE1751">
      <w:pPr>
        <w:pStyle w:val="ListParagraph"/>
        <w:tabs>
          <w:tab w:val="left" w:pos="0"/>
        </w:tabs>
        <w:spacing w:line="240" w:lineRule="auto"/>
        <w:ind w:left="0"/>
        <w:jc w:val="both"/>
        <w:rPr>
          <w:rFonts w:ascii="Times New Roman" w:hAnsi="Times New Roman" w:cs="Times New Roman"/>
          <w:sz w:val="28"/>
          <w:szCs w:val="28"/>
        </w:rPr>
      </w:pPr>
    </w:p>
    <w:p w14:paraId="58799EF6" w14:textId="77777777" w:rsidR="00851BE9" w:rsidRDefault="00FE2B62" w:rsidP="00FE1751">
      <w:pPr>
        <w:pStyle w:val="ListParagraph"/>
        <w:numPr>
          <w:ilvl w:val="0"/>
          <w:numId w:val="22"/>
        </w:numPr>
        <w:tabs>
          <w:tab w:val="left" w:pos="0"/>
        </w:tabs>
        <w:spacing w:line="240" w:lineRule="auto"/>
        <w:ind w:left="0" w:firstLine="0"/>
        <w:jc w:val="both"/>
        <w:rPr>
          <w:rFonts w:ascii="Times New Roman" w:hAnsi="Times New Roman" w:cs="Times New Roman"/>
          <w:sz w:val="28"/>
          <w:szCs w:val="28"/>
        </w:rPr>
      </w:pPr>
      <w:r w:rsidRPr="00851BE9">
        <w:rPr>
          <w:rFonts w:ascii="Times New Roman" w:hAnsi="Times New Roman" w:cs="Times New Roman"/>
          <w:sz w:val="28"/>
          <w:szCs w:val="28"/>
        </w:rPr>
        <w:t xml:space="preserve">In interpreting Article 42.02(a)(i), the Arbitrator concluded that </w:t>
      </w:r>
      <w:r w:rsidR="002D14A5">
        <w:rPr>
          <w:rFonts w:ascii="Times New Roman" w:hAnsi="Times New Roman" w:cs="Times New Roman"/>
          <w:sz w:val="28"/>
          <w:szCs w:val="28"/>
        </w:rPr>
        <w:t>the</w:t>
      </w:r>
      <w:r w:rsidRPr="00851BE9">
        <w:rPr>
          <w:rFonts w:ascii="Times New Roman" w:hAnsi="Times New Roman" w:cs="Times New Roman"/>
          <w:sz w:val="28"/>
          <w:szCs w:val="28"/>
        </w:rPr>
        <w:t xml:space="preserve"> entitlement to Ultimate Removal Assistance </w:t>
      </w:r>
      <w:r w:rsidR="002D14A5">
        <w:rPr>
          <w:rFonts w:ascii="Times New Roman" w:hAnsi="Times New Roman" w:cs="Times New Roman"/>
          <w:sz w:val="28"/>
          <w:szCs w:val="28"/>
        </w:rPr>
        <w:t>should also be determined by adding the</w:t>
      </w:r>
      <w:r w:rsidRPr="00851BE9">
        <w:rPr>
          <w:rFonts w:ascii="Times New Roman" w:hAnsi="Times New Roman" w:cs="Times New Roman"/>
          <w:sz w:val="28"/>
          <w:szCs w:val="28"/>
        </w:rPr>
        <w:t xml:space="preserve"> years of service with the three employers</w:t>
      </w:r>
      <w:r w:rsidR="002D14A5">
        <w:rPr>
          <w:rFonts w:ascii="Times New Roman" w:hAnsi="Times New Roman" w:cs="Times New Roman"/>
          <w:sz w:val="28"/>
          <w:szCs w:val="28"/>
        </w:rPr>
        <w:t xml:space="preserve"> included in the definition of Continuous Service</w:t>
      </w:r>
      <w:r w:rsidRPr="00851BE9">
        <w:rPr>
          <w:rFonts w:ascii="Times New Roman" w:hAnsi="Times New Roman" w:cs="Times New Roman"/>
          <w:sz w:val="28"/>
          <w:szCs w:val="28"/>
        </w:rPr>
        <w:t>.  He concluded that the words "with the Government of the Northwest Territories" at Article 42.02(a</w:t>
      </w:r>
      <w:r w:rsidR="00A84B99" w:rsidRPr="00851BE9">
        <w:rPr>
          <w:rFonts w:ascii="Times New Roman" w:hAnsi="Times New Roman" w:cs="Times New Roman"/>
          <w:sz w:val="28"/>
          <w:szCs w:val="28"/>
        </w:rPr>
        <w:t>) (</w:t>
      </w:r>
      <w:r w:rsidRPr="00851BE9">
        <w:rPr>
          <w:rFonts w:ascii="Times New Roman" w:hAnsi="Times New Roman" w:cs="Times New Roman"/>
          <w:sz w:val="28"/>
          <w:szCs w:val="28"/>
        </w:rPr>
        <w:t>i) are superfluous</w:t>
      </w:r>
      <w:r w:rsidR="002D14A5">
        <w:rPr>
          <w:rFonts w:ascii="Times New Roman" w:hAnsi="Times New Roman" w:cs="Times New Roman"/>
          <w:sz w:val="28"/>
          <w:szCs w:val="28"/>
        </w:rPr>
        <w:t xml:space="preserve"> and do not restrict that broad definition</w:t>
      </w:r>
      <w:r w:rsidRPr="00851BE9">
        <w:rPr>
          <w:rFonts w:ascii="Times New Roman" w:hAnsi="Times New Roman" w:cs="Times New Roman"/>
          <w:sz w:val="28"/>
          <w:szCs w:val="28"/>
        </w:rPr>
        <w:t>.</w:t>
      </w:r>
    </w:p>
    <w:p w14:paraId="4CD416E9" w14:textId="77777777" w:rsidR="00851BE9" w:rsidRPr="00851BE9" w:rsidRDefault="00851BE9" w:rsidP="00FE1751">
      <w:pPr>
        <w:pStyle w:val="ListParagraph"/>
        <w:spacing w:line="240" w:lineRule="auto"/>
        <w:rPr>
          <w:rFonts w:ascii="Times New Roman" w:hAnsi="Times New Roman" w:cs="Times New Roman"/>
          <w:sz w:val="28"/>
          <w:szCs w:val="28"/>
        </w:rPr>
      </w:pPr>
    </w:p>
    <w:p w14:paraId="7F7FD6C9" w14:textId="77777777" w:rsidR="00DE4E95" w:rsidRPr="00851BE9" w:rsidRDefault="00FE2B62" w:rsidP="00FE1751">
      <w:pPr>
        <w:pStyle w:val="ListParagraph"/>
        <w:numPr>
          <w:ilvl w:val="0"/>
          <w:numId w:val="22"/>
        </w:numPr>
        <w:tabs>
          <w:tab w:val="left" w:pos="0"/>
        </w:tabs>
        <w:spacing w:line="240" w:lineRule="auto"/>
        <w:ind w:left="0" w:firstLine="0"/>
        <w:jc w:val="both"/>
        <w:rPr>
          <w:rFonts w:ascii="Times New Roman" w:hAnsi="Times New Roman" w:cs="Times New Roman"/>
          <w:sz w:val="28"/>
          <w:szCs w:val="28"/>
        </w:rPr>
      </w:pPr>
      <w:r w:rsidRPr="00851BE9">
        <w:rPr>
          <w:rFonts w:ascii="Times New Roman" w:hAnsi="Times New Roman" w:cs="Times New Roman"/>
          <w:sz w:val="28"/>
          <w:szCs w:val="28"/>
        </w:rPr>
        <w:t xml:space="preserve">On review, I concluded that this interpretation was unreasonable.  For ease of reference, I reproduce here the </w:t>
      </w:r>
      <w:r w:rsidR="002D14A5">
        <w:rPr>
          <w:rFonts w:ascii="Times New Roman" w:hAnsi="Times New Roman" w:cs="Times New Roman"/>
          <w:sz w:val="28"/>
          <w:szCs w:val="28"/>
        </w:rPr>
        <w:t>part</w:t>
      </w:r>
      <w:r w:rsidRPr="00851BE9">
        <w:rPr>
          <w:rFonts w:ascii="Times New Roman" w:hAnsi="Times New Roman" w:cs="Times New Roman"/>
          <w:sz w:val="28"/>
          <w:szCs w:val="28"/>
        </w:rPr>
        <w:t xml:space="preserve"> of my Ruling </w:t>
      </w:r>
      <w:r w:rsidR="002D14A5">
        <w:rPr>
          <w:rFonts w:ascii="Times New Roman" w:hAnsi="Times New Roman" w:cs="Times New Roman"/>
          <w:sz w:val="28"/>
          <w:szCs w:val="28"/>
        </w:rPr>
        <w:t>that deals with</w:t>
      </w:r>
      <w:r w:rsidRPr="00851BE9">
        <w:rPr>
          <w:rFonts w:ascii="Times New Roman" w:hAnsi="Times New Roman" w:cs="Times New Roman"/>
          <w:sz w:val="28"/>
          <w:szCs w:val="28"/>
        </w:rPr>
        <w:t xml:space="preserve"> that issue: </w:t>
      </w:r>
    </w:p>
    <w:p w14:paraId="665FDDAB" w14:textId="77777777" w:rsidR="00DE4E95" w:rsidRDefault="00DE4E95" w:rsidP="00FE1751">
      <w:pPr>
        <w:pStyle w:val="ListParagraph"/>
        <w:tabs>
          <w:tab w:val="left" w:pos="360"/>
        </w:tabs>
        <w:spacing w:line="240" w:lineRule="auto"/>
        <w:ind w:left="0"/>
        <w:jc w:val="both"/>
        <w:rPr>
          <w:rFonts w:ascii="Times New Roman" w:hAnsi="Times New Roman" w:cs="Times New Roman"/>
          <w:sz w:val="28"/>
          <w:szCs w:val="28"/>
        </w:rPr>
      </w:pPr>
    </w:p>
    <w:p w14:paraId="06C7E4AF"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r w:rsidRPr="00DE4E95">
        <w:rPr>
          <w:rFonts w:ascii="Times New Roman" w:hAnsi="Times New Roman" w:cs="Times New Roman"/>
          <w:sz w:val="24"/>
          <w:szCs w:val="24"/>
        </w:rPr>
        <w:t>[39] The Arbitrator noted that where parties to an agreement, through a definition, augment the ordinary meaning of a word, that intent must be respected.</w:t>
      </w:r>
      <w:r w:rsidR="00851BE9">
        <w:rPr>
          <w:rFonts w:ascii="Times New Roman" w:hAnsi="Times New Roman" w:cs="Times New Roman"/>
          <w:sz w:val="24"/>
          <w:szCs w:val="24"/>
        </w:rPr>
        <w:t xml:space="preserve"> </w:t>
      </w:r>
      <w:r w:rsidRPr="00DE4E95">
        <w:rPr>
          <w:rFonts w:ascii="Times New Roman" w:hAnsi="Times New Roman" w:cs="Times New Roman"/>
          <w:sz w:val="24"/>
          <w:szCs w:val="24"/>
        </w:rPr>
        <w:t xml:space="preserve"> He opined that when parties intend a definition to be presumptive and subject to a more specific intent, they customarily include in the definition words such as "unless the context requires otherwise".  He noted that those words do not appear in the definition of "Continuous Service".</w:t>
      </w:r>
      <w:r w:rsidR="00851BE9">
        <w:rPr>
          <w:rFonts w:ascii="Times New Roman" w:hAnsi="Times New Roman" w:cs="Times New Roman"/>
          <w:sz w:val="24"/>
          <w:szCs w:val="24"/>
        </w:rPr>
        <w:t xml:space="preserve"> </w:t>
      </w:r>
      <w:r w:rsidRPr="00DE4E95">
        <w:rPr>
          <w:rFonts w:ascii="Times New Roman" w:hAnsi="Times New Roman" w:cs="Times New Roman"/>
          <w:sz w:val="24"/>
          <w:szCs w:val="24"/>
        </w:rPr>
        <w:t xml:space="preserve"> He also referred to a text on the interpretation of contracts and quoted an excerpt that emphasizes the importance of giving effect to clear language used by the parties.</w:t>
      </w:r>
    </w:p>
    <w:p w14:paraId="3D9CAED8"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p>
    <w:p w14:paraId="3EEC60D2"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r w:rsidRPr="00DE4E95">
        <w:rPr>
          <w:rFonts w:ascii="Times New Roman" w:hAnsi="Times New Roman" w:cs="Times New Roman"/>
          <w:sz w:val="24"/>
          <w:szCs w:val="24"/>
        </w:rPr>
        <w:t>[40] The Arbitrator concluded:</w:t>
      </w:r>
    </w:p>
    <w:p w14:paraId="0D4B35A7"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p>
    <w:p w14:paraId="19560796" w14:textId="7B2AA871" w:rsidR="00FE2B62" w:rsidRDefault="00FE2B62" w:rsidP="00FE1751">
      <w:pPr>
        <w:pStyle w:val="ListParagraph"/>
        <w:tabs>
          <w:tab w:val="left" w:pos="360"/>
        </w:tabs>
        <w:spacing w:line="240" w:lineRule="auto"/>
        <w:ind w:left="1440" w:right="720"/>
        <w:jc w:val="both"/>
        <w:rPr>
          <w:rFonts w:ascii="Times New Roman" w:hAnsi="Times New Roman" w:cs="Times New Roman"/>
          <w:sz w:val="24"/>
          <w:szCs w:val="24"/>
        </w:rPr>
      </w:pPr>
      <w:r w:rsidRPr="00DE4E95">
        <w:rPr>
          <w:rFonts w:ascii="Times New Roman" w:hAnsi="Times New Roman" w:cs="Times New Roman"/>
          <w:sz w:val="24"/>
          <w:szCs w:val="24"/>
        </w:rPr>
        <w:lastRenderedPageBreak/>
        <w:t xml:space="preserve">'I find that the words of the definition are clear.  Ms. Maquire's (sic) prior service with the Government of Canada is included within that definition of continuous service, except to the extent of the earlier period of her service before interruption, which is conceded to be ineligible.  The argument that section 42.02 indicates a contrary intention or leaves words redundant is not persuasive. </w:t>
      </w:r>
      <w:r w:rsidR="00AB0C30">
        <w:rPr>
          <w:rFonts w:ascii="Times New Roman" w:hAnsi="Times New Roman" w:cs="Times New Roman"/>
          <w:sz w:val="24"/>
          <w:szCs w:val="24"/>
        </w:rPr>
        <w:t xml:space="preserve"> </w:t>
      </w:r>
      <w:r w:rsidRPr="00DE4E95">
        <w:rPr>
          <w:rFonts w:ascii="Times New Roman" w:hAnsi="Times New Roman" w:cs="Times New Roman"/>
          <w:sz w:val="24"/>
          <w:szCs w:val="24"/>
        </w:rPr>
        <w:t>The parties have by definition added to the ordinary meaning of continuous service, which without the definition would be limited to service with the Employer.</w:t>
      </w:r>
      <w:r w:rsidR="00851BE9">
        <w:rPr>
          <w:rFonts w:ascii="Times New Roman" w:hAnsi="Times New Roman" w:cs="Times New Roman"/>
          <w:sz w:val="24"/>
          <w:szCs w:val="24"/>
        </w:rPr>
        <w:t xml:space="preserve"> </w:t>
      </w:r>
      <w:r w:rsidRPr="00DE4E95">
        <w:rPr>
          <w:rFonts w:ascii="Times New Roman" w:hAnsi="Times New Roman" w:cs="Times New Roman"/>
          <w:sz w:val="24"/>
          <w:szCs w:val="24"/>
        </w:rPr>
        <w:t xml:space="preserve"> I do not find an intention in 42.02(a)(i) to reduce that agreed upon definition's scope. </w:t>
      </w:r>
      <w:r w:rsidR="00851BE9">
        <w:rPr>
          <w:rFonts w:ascii="Times New Roman" w:hAnsi="Times New Roman" w:cs="Times New Roman"/>
          <w:sz w:val="24"/>
          <w:szCs w:val="24"/>
        </w:rPr>
        <w:t xml:space="preserve"> </w:t>
      </w:r>
      <w:r w:rsidRPr="00DE4E95">
        <w:rPr>
          <w:rFonts w:ascii="Times New Roman" w:hAnsi="Times New Roman" w:cs="Times New Roman"/>
          <w:sz w:val="24"/>
          <w:szCs w:val="24"/>
        </w:rPr>
        <w:t>I do not view the definition clause as one of those "general clauses" to be overridden by the more specific words in 42.02.'</w:t>
      </w:r>
    </w:p>
    <w:p w14:paraId="146DB6A6" w14:textId="77777777" w:rsidR="00D502D7" w:rsidRPr="00DE4E95" w:rsidRDefault="00D502D7" w:rsidP="00FE1751">
      <w:pPr>
        <w:pStyle w:val="ListParagraph"/>
        <w:tabs>
          <w:tab w:val="left" w:pos="360"/>
        </w:tabs>
        <w:spacing w:line="240" w:lineRule="auto"/>
        <w:ind w:left="1440" w:right="720"/>
        <w:jc w:val="both"/>
        <w:rPr>
          <w:rFonts w:ascii="Times New Roman" w:hAnsi="Times New Roman" w:cs="Times New Roman"/>
          <w:sz w:val="24"/>
          <w:szCs w:val="24"/>
        </w:rPr>
      </w:pPr>
    </w:p>
    <w:p w14:paraId="5004B7C6"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r w:rsidRPr="00B87070">
        <w:rPr>
          <w:rFonts w:ascii="Times New Roman" w:hAnsi="Times New Roman" w:cs="Times New Roman"/>
          <w:i/>
          <w:sz w:val="24"/>
          <w:szCs w:val="24"/>
        </w:rPr>
        <w:t>Arbitrator's Award</w:t>
      </w:r>
      <w:r w:rsidRPr="00DE4E95">
        <w:rPr>
          <w:rFonts w:ascii="Times New Roman" w:hAnsi="Times New Roman" w:cs="Times New Roman"/>
          <w:sz w:val="24"/>
          <w:szCs w:val="24"/>
        </w:rPr>
        <w:t>, Record, Tab 2, p.6.</w:t>
      </w:r>
    </w:p>
    <w:p w14:paraId="600B0CFB"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p>
    <w:p w14:paraId="22FDE229"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r w:rsidRPr="00DE4E95">
        <w:rPr>
          <w:rFonts w:ascii="Times New Roman" w:hAnsi="Times New Roman" w:cs="Times New Roman"/>
          <w:sz w:val="24"/>
          <w:szCs w:val="24"/>
        </w:rPr>
        <w:t>[41] The Arbitrator noted that the definition of "Continuous Service" did not include any words that would indicate an intent by the parties to have that definition subject to other provisions of the Agreement.</w:t>
      </w:r>
      <w:r w:rsidR="007B7A3E">
        <w:rPr>
          <w:rFonts w:ascii="Times New Roman" w:hAnsi="Times New Roman" w:cs="Times New Roman"/>
          <w:sz w:val="24"/>
          <w:szCs w:val="24"/>
        </w:rPr>
        <w:t xml:space="preserve"> </w:t>
      </w:r>
      <w:r w:rsidRPr="00DE4E95">
        <w:rPr>
          <w:rFonts w:ascii="Times New Roman" w:hAnsi="Times New Roman" w:cs="Times New Roman"/>
          <w:sz w:val="24"/>
          <w:szCs w:val="24"/>
        </w:rPr>
        <w:t xml:space="preserve"> He does not appear to have considered the possibility that such an intent could equally be expressed elsewhere in the Agreement.</w:t>
      </w:r>
    </w:p>
    <w:p w14:paraId="6DD1045E" w14:textId="77777777" w:rsidR="00FE1751" w:rsidRPr="00DE4E95" w:rsidRDefault="00FE1751" w:rsidP="00FE1751">
      <w:pPr>
        <w:pStyle w:val="ListParagraph"/>
        <w:tabs>
          <w:tab w:val="left" w:pos="360"/>
        </w:tabs>
        <w:spacing w:line="240" w:lineRule="auto"/>
        <w:ind w:right="720"/>
        <w:jc w:val="both"/>
        <w:rPr>
          <w:rFonts w:ascii="Times New Roman" w:hAnsi="Times New Roman" w:cs="Times New Roman"/>
          <w:sz w:val="24"/>
          <w:szCs w:val="24"/>
        </w:rPr>
      </w:pPr>
    </w:p>
    <w:p w14:paraId="46F43880"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r w:rsidRPr="00DE4E95">
        <w:rPr>
          <w:rFonts w:ascii="Times New Roman" w:hAnsi="Times New Roman" w:cs="Times New Roman"/>
          <w:sz w:val="24"/>
          <w:szCs w:val="24"/>
        </w:rPr>
        <w:t>[42] When he considered Article 2.01, the Arbitrator emphasized the importance of giving effect to the words chosen by the parties in the Agreement and of upholding their intent.  In my view, he did the opposite in his consideration of Article 42.02, because he effectively disregarded the words used by the parties in that provision.</w:t>
      </w:r>
    </w:p>
    <w:p w14:paraId="222853AE"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p>
    <w:p w14:paraId="001EFC9A"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r w:rsidRPr="00DE4E95">
        <w:rPr>
          <w:rFonts w:ascii="Times New Roman" w:hAnsi="Times New Roman" w:cs="Times New Roman"/>
          <w:sz w:val="24"/>
          <w:szCs w:val="24"/>
        </w:rPr>
        <w:t xml:space="preserve">[43] Article 42.02 is of central importance because it is the provision of the Agreement that creates the benefit at issue. </w:t>
      </w:r>
      <w:r w:rsidR="007B7A3E">
        <w:rPr>
          <w:rFonts w:ascii="Times New Roman" w:hAnsi="Times New Roman" w:cs="Times New Roman"/>
          <w:sz w:val="24"/>
          <w:szCs w:val="24"/>
        </w:rPr>
        <w:t xml:space="preserve"> </w:t>
      </w:r>
      <w:r w:rsidRPr="00DE4E95">
        <w:rPr>
          <w:rFonts w:ascii="Times New Roman" w:hAnsi="Times New Roman" w:cs="Times New Roman"/>
          <w:sz w:val="24"/>
          <w:szCs w:val="24"/>
        </w:rPr>
        <w:t>It states that "an employee's entitlement to Ultimate Removal Assistance is based on continuous service with the Government of the Northwest Territories".  These words, on their face, are unambiguous: they make the years of service with only one employer, the GNWT, relevant for the purposes of entitlement to this particular benefit.</w:t>
      </w:r>
    </w:p>
    <w:p w14:paraId="3FCD50E0"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p>
    <w:p w14:paraId="42A46C4E"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r w:rsidRPr="00DE4E95">
        <w:rPr>
          <w:rFonts w:ascii="Times New Roman" w:hAnsi="Times New Roman" w:cs="Times New Roman"/>
          <w:sz w:val="24"/>
          <w:szCs w:val="24"/>
        </w:rPr>
        <w:t>[44] The Arbitrator did not explain why he did not think that this language was clear or why he did not think it indicated a clear intention by the parties to restrict the broad scope of "Continuous Service" for the purposes of entitlement to Ultimate Removal Assistance.</w:t>
      </w:r>
    </w:p>
    <w:p w14:paraId="38DBC6C6"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p>
    <w:p w14:paraId="62657CFC"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r w:rsidRPr="00DE4E95">
        <w:rPr>
          <w:rFonts w:ascii="Times New Roman" w:hAnsi="Times New Roman" w:cs="Times New Roman"/>
          <w:sz w:val="24"/>
          <w:szCs w:val="24"/>
        </w:rPr>
        <w:t xml:space="preserve">[45] Effectively, the Arbitrator concluded that these words mean nothing at all, and are redundant and superfluous.  That conclusion, which flies in the face of the wording of Article 42.02, required an explanation. </w:t>
      </w:r>
      <w:r w:rsidR="007B7A3E">
        <w:rPr>
          <w:rFonts w:ascii="Times New Roman" w:hAnsi="Times New Roman" w:cs="Times New Roman"/>
          <w:sz w:val="24"/>
          <w:szCs w:val="24"/>
        </w:rPr>
        <w:t xml:space="preserve"> </w:t>
      </w:r>
      <w:r w:rsidRPr="00DE4E95">
        <w:rPr>
          <w:rFonts w:ascii="Times New Roman" w:hAnsi="Times New Roman" w:cs="Times New Roman"/>
          <w:sz w:val="24"/>
          <w:szCs w:val="24"/>
        </w:rPr>
        <w:t xml:space="preserve">But the Arbitrator did not give one.  He did not explain why, having emphasized the importance of giving effect to the intention of the parties shown by the words they use, he nonetheless concluded that the specific words in </w:t>
      </w:r>
      <w:r w:rsidRPr="00DE4E95">
        <w:rPr>
          <w:rFonts w:ascii="Times New Roman" w:hAnsi="Times New Roman" w:cs="Times New Roman"/>
          <w:sz w:val="24"/>
          <w:szCs w:val="24"/>
        </w:rPr>
        <w:lastRenderedPageBreak/>
        <w:t>Article 42.02 could be disregarded.</w:t>
      </w:r>
      <w:r w:rsidR="007B7A3E">
        <w:rPr>
          <w:rFonts w:ascii="Times New Roman" w:hAnsi="Times New Roman" w:cs="Times New Roman"/>
          <w:sz w:val="24"/>
          <w:szCs w:val="24"/>
        </w:rPr>
        <w:t xml:space="preserve"> </w:t>
      </w:r>
      <w:r w:rsidRPr="00DE4E95">
        <w:rPr>
          <w:rFonts w:ascii="Times New Roman" w:hAnsi="Times New Roman" w:cs="Times New Roman"/>
          <w:sz w:val="24"/>
          <w:szCs w:val="24"/>
        </w:rPr>
        <w:t xml:space="preserve"> He merely stated that he found the GNWT's argument unpersuasive.</w:t>
      </w:r>
    </w:p>
    <w:p w14:paraId="6A78AE54"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p>
    <w:p w14:paraId="32C4C41A"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r w:rsidRPr="00DE4E95">
        <w:rPr>
          <w:rFonts w:ascii="Times New Roman" w:hAnsi="Times New Roman" w:cs="Times New Roman"/>
          <w:sz w:val="24"/>
          <w:szCs w:val="24"/>
        </w:rPr>
        <w:t>[46] I find, with the greatest of respect, that the Arbitrator's approach to the interpretation of the Agreement was internally inconsistent, and that he failed to give effect to the principles that he himself had identified as fundamentally important in the earlier part of his analysis.</w:t>
      </w:r>
    </w:p>
    <w:p w14:paraId="41A3EF63"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p>
    <w:p w14:paraId="49238FEB" w14:textId="77777777" w:rsidR="00FE2B62" w:rsidRPr="00DE4E95" w:rsidRDefault="00FE2B62" w:rsidP="00FE1751">
      <w:pPr>
        <w:pStyle w:val="ListParagraph"/>
        <w:tabs>
          <w:tab w:val="left" w:pos="360"/>
        </w:tabs>
        <w:spacing w:line="240" w:lineRule="auto"/>
        <w:ind w:right="720"/>
        <w:jc w:val="both"/>
        <w:rPr>
          <w:rFonts w:ascii="Times New Roman" w:hAnsi="Times New Roman" w:cs="Times New Roman"/>
          <w:sz w:val="24"/>
          <w:szCs w:val="24"/>
        </w:rPr>
      </w:pPr>
      <w:r w:rsidRPr="00DE4E95">
        <w:rPr>
          <w:rFonts w:ascii="Times New Roman" w:hAnsi="Times New Roman" w:cs="Times New Roman"/>
          <w:sz w:val="24"/>
          <w:szCs w:val="24"/>
        </w:rPr>
        <w:t xml:space="preserve">[47] As noted in the excerpt of </w:t>
      </w:r>
      <w:r w:rsidRPr="00BE2C3B">
        <w:rPr>
          <w:rFonts w:ascii="Times New Roman" w:hAnsi="Times New Roman" w:cs="Times New Roman"/>
          <w:i/>
          <w:sz w:val="24"/>
          <w:szCs w:val="24"/>
        </w:rPr>
        <w:t>Dunsmuir v New Brunswick</w:t>
      </w:r>
      <w:r w:rsidRPr="00DE4E95">
        <w:rPr>
          <w:rFonts w:ascii="Times New Roman" w:hAnsi="Times New Roman" w:cs="Times New Roman"/>
          <w:sz w:val="24"/>
          <w:szCs w:val="24"/>
        </w:rPr>
        <w:t xml:space="preserve"> quoted above at Paragraph 27, the reasonableness standard is concerned with the existence of justification, transparency and intelligibility within the decision-making process as well as whether the decision falls within a range of possible, acceptable outcomes.  In my respectful view, the Arbitrator's decision is contrary to the clear language of Article 42.02 and is not within the range of acceptable outcomes. </w:t>
      </w:r>
      <w:r w:rsidR="007B7A3E">
        <w:rPr>
          <w:rFonts w:ascii="Times New Roman" w:hAnsi="Times New Roman" w:cs="Times New Roman"/>
          <w:sz w:val="24"/>
          <w:szCs w:val="24"/>
        </w:rPr>
        <w:t xml:space="preserve"> </w:t>
      </w:r>
      <w:r w:rsidRPr="00DE4E95">
        <w:rPr>
          <w:rFonts w:ascii="Times New Roman" w:hAnsi="Times New Roman" w:cs="Times New Roman"/>
          <w:sz w:val="24"/>
          <w:szCs w:val="24"/>
        </w:rPr>
        <w:t>Moreover, the reasons given for his interpretation of Article 42.02 lack the justification and transparency required to meet the standard of reasonableness.  His decision on that point cannot stand.</w:t>
      </w:r>
    </w:p>
    <w:p w14:paraId="7454F3DF" w14:textId="77777777" w:rsidR="00FE2B62" w:rsidRPr="00FE2B62" w:rsidRDefault="00FE2B62" w:rsidP="00FE1751">
      <w:pPr>
        <w:pStyle w:val="ListParagraph"/>
        <w:tabs>
          <w:tab w:val="left" w:pos="360"/>
        </w:tabs>
        <w:spacing w:line="240" w:lineRule="auto"/>
        <w:ind w:left="0"/>
        <w:jc w:val="both"/>
        <w:rPr>
          <w:rFonts w:ascii="Times New Roman" w:hAnsi="Times New Roman" w:cs="Times New Roman"/>
          <w:sz w:val="28"/>
          <w:szCs w:val="28"/>
        </w:rPr>
      </w:pPr>
    </w:p>
    <w:p w14:paraId="7A1CB97B" w14:textId="77777777" w:rsidR="00FE2B62" w:rsidRPr="00FE2B62" w:rsidRDefault="00FE2B62" w:rsidP="00FE1751">
      <w:pPr>
        <w:pStyle w:val="ListParagraph"/>
        <w:tabs>
          <w:tab w:val="left" w:pos="360"/>
        </w:tabs>
        <w:spacing w:line="240" w:lineRule="auto"/>
        <w:ind w:left="0"/>
        <w:jc w:val="both"/>
        <w:rPr>
          <w:rFonts w:ascii="Times New Roman" w:hAnsi="Times New Roman" w:cs="Times New Roman"/>
          <w:sz w:val="28"/>
          <w:szCs w:val="28"/>
        </w:rPr>
      </w:pPr>
      <w:r w:rsidRPr="002C67B3">
        <w:rPr>
          <w:rFonts w:ascii="Times New Roman" w:hAnsi="Times New Roman" w:cs="Times New Roman"/>
          <w:i/>
          <w:sz w:val="28"/>
          <w:szCs w:val="28"/>
        </w:rPr>
        <w:t>GNWT v Union of Northern Workers</w:t>
      </w:r>
      <w:r w:rsidRPr="00FE2B62">
        <w:rPr>
          <w:rFonts w:ascii="Times New Roman" w:hAnsi="Times New Roman" w:cs="Times New Roman"/>
          <w:sz w:val="28"/>
          <w:szCs w:val="28"/>
        </w:rPr>
        <w:t>, paras 39 to 47.</w:t>
      </w:r>
    </w:p>
    <w:p w14:paraId="3B048D1C" w14:textId="77777777" w:rsidR="00FE2B62" w:rsidRDefault="00FE2B62" w:rsidP="00FE1751">
      <w:pPr>
        <w:pStyle w:val="ListParagraph"/>
        <w:tabs>
          <w:tab w:val="left" w:pos="360"/>
        </w:tabs>
        <w:spacing w:line="240" w:lineRule="auto"/>
        <w:ind w:left="0"/>
        <w:jc w:val="both"/>
        <w:rPr>
          <w:rFonts w:ascii="Times New Roman" w:hAnsi="Times New Roman" w:cs="Times New Roman"/>
          <w:sz w:val="28"/>
          <w:szCs w:val="28"/>
        </w:rPr>
      </w:pPr>
    </w:p>
    <w:p w14:paraId="4DB71A0A" w14:textId="77777777" w:rsidR="00FE1751" w:rsidRDefault="00FE1751" w:rsidP="00FE1751">
      <w:pPr>
        <w:pStyle w:val="ListParagraph"/>
        <w:tabs>
          <w:tab w:val="left" w:pos="360"/>
        </w:tabs>
        <w:spacing w:line="240" w:lineRule="auto"/>
        <w:ind w:left="0"/>
        <w:jc w:val="both"/>
        <w:rPr>
          <w:rFonts w:ascii="Times New Roman" w:hAnsi="Times New Roman" w:cs="Times New Roman"/>
          <w:sz w:val="28"/>
          <w:szCs w:val="28"/>
        </w:rPr>
      </w:pPr>
    </w:p>
    <w:p w14:paraId="046ED8AA" w14:textId="77777777" w:rsidR="00FE1751" w:rsidRPr="00FE2B62" w:rsidRDefault="00FE1751" w:rsidP="00FE1751">
      <w:pPr>
        <w:pStyle w:val="ListParagraph"/>
        <w:tabs>
          <w:tab w:val="left" w:pos="360"/>
        </w:tabs>
        <w:spacing w:line="240" w:lineRule="auto"/>
        <w:ind w:left="0"/>
        <w:jc w:val="both"/>
        <w:rPr>
          <w:rFonts w:ascii="Times New Roman" w:hAnsi="Times New Roman" w:cs="Times New Roman"/>
          <w:sz w:val="28"/>
          <w:szCs w:val="28"/>
        </w:rPr>
      </w:pPr>
    </w:p>
    <w:p w14:paraId="38A63487" w14:textId="77777777" w:rsidR="00FE2B62" w:rsidRPr="007B7A3E" w:rsidRDefault="002D14A5" w:rsidP="00FE1751">
      <w:pPr>
        <w:pStyle w:val="ListParagraph"/>
        <w:numPr>
          <w:ilvl w:val="0"/>
          <w:numId w:val="22"/>
        </w:numPr>
        <w:tabs>
          <w:tab w:val="left" w:pos="0"/>
        </w:tabs>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As I noted at the outset, t</w:t>
      </w:r>
      <w:r w:rsidR="00FE2B62" w:rsidRPr="007B7A3E">
        <w:rPr>
          <w:rFonts w:ascii="Times New Roman" w:hAnsi="Times New Roman" w:cs="Times New Roman"/>
          <w:sz w:val="28"/>
          <w:szCs w:val="28"/>
        </w:rPr>
        <w:t>he issue that now arises is that of remedy.  The GNWT argues that I should quash the Award, substitute my view for that of the Arbitrator, and dismiss the grievance.  The UNW a</w:t>
      </w:r>
      <w:r>
        <w:rPr>
          <w:rFonts w:ascii="Times New Roman" w:hAnsi="Times New Roman" w:cs="Times New Roman"/>
          <w:sz w:val="28"/>
          <w:szCs w:val="28"/>
        </w:rPr>
        <w:t>grees that, in light of my Ruling, the Award should be quashed, but it a</w:t>
      </w:r>
      <w:r w:rsidR="00FE2B62" w:rsidRPr="007B7A3E">
        <w:rPr>
          <w:rFonts w:ascii="Times New Roman" w:hAnsi="Times New Roman" w:cs="Times New Roman"/>
          <w:sz w:val="28"/>
          <w:szCs w:val="28"/>
        </w:rPr>
        <w:t xml:space="preserve">rgues that </w:t>
      </w:r>
      <w:r>
        <w:rPr>
          <w:rFonts w:ascii="Times New Roman" w:hAnsi="Times New Roman" w:cs="Times New Roman"/>
          <w:sz w:val="28"/>
          <w:szCs w:val="28"/>
        </w:rPr>
        <w:t>I should</w:t>
      </w:r>
      <w:r w:rsidR="00FE2B62" w:rsidRPr="007B7A3E">
        <w:rPr>
          <w:rFonts w:ascii="Times New Roman" w:hAnsi="Times New Roman" w:cs="Times New Roman"/>
          <w:sz w:val="28"/>
          <w:szCs w:val="28"/>
        </w:rPr>
        <w:t xml:space="preserve"> remit the matter to the Arbitrator for further consideration.</w:t>
      </w:r>
    </w:p>
    <w:p w14:paraId="5B39F236" w14:textId="77777777" w:rsidR="00FD0512" w:rsidRPr="00FE2B62" w:rsidRDefault="00FD0512" w:rsidP="00FE1751">
      <w:pPr>
        <w:pStyle w:val="ListParagraph"/>
        <w:tabs>
          <w:tab w:val="left" w:pos="360"/>
        </w:tabs>
        <w:spacing w:line="240" w:lineRule="auto"/>
        <w:ind w:left="0"/>
        <w:jc w:val="both"/>
        <w:rPr>
          <w:rFonts w:ascii="Times New Roman" w:hAnsi="Times New Roman" w:cs="Times New Roman"/>
          <w:sz w:val="28"/>
          <w:szCs w:val="28"/>
        </w:rPr>
      </w:pPr>
    </w:p>
    <w:p w14:paraId="590DF348" w14:textId="77777777" w:rsidR="00FE2B62" w:rsidRPr="00FE2B62" w:rsidRDefault="00FE2B62" w:rsidP="00FE1751">
      <w:pPr>
        <w:pStyle w:val="ListParagraph"/>
        <w:tabs>
          <w:tab w:val="left" w:pos="360"/>
        </w:tabs>
        <w:spacing w:line="240" w:lineRule="auto"/>
        <w:ind w:left="0"/>
        <w:jc w:val="both"/>
        <w:rPr>
          <w:rFonts w:ascii="Times New Roman" w:hAnsi="Times New Roman" w:cs="Times New Roman"/>
          <w:sz w:val="28"/>
          <w:szCs w:val="28"/>
        </w:rPr>
      </w:pPr>
      <w:r w:rsidRPr="00FE2B62">
        <w:rPr>
          <w:rFonts w:ascii="Times New Roman" w:hAnsi="Times New Roman" w:cs="Times New Roman"/>
          <w:sz w:val="28"/>
          <w:szCs w:val="28"/>
        </w:rPr>
        <w:t>II) ANALYSIS</w:t>
      </w:r>
    </w:p>
    <w:p w14:paraId="073B000E" w14:textId="77777777" w:rsidR="00FE2B62" w:rsidRPr="00FE2B62" w:rsidRDefault="00FE2B62" w:rsidP="00FE1751">
      <w:pPr>
        <w:pStyle w:val="ListParagraph"/>
        <w:tabs>
          <w:tab w:val="left" w:pos="360"/>
        </w:tabs>
        <w:spacing w:line="240" w:lineRule="auto"/>
        <w:ind w:left="0"/>
        <w:jc w:val="both"/>
        <w:rPr>
          <w:rFonts w:ascii="Times New Roman" w:hAnsi="Times New Roman" w:cs="Times New Roman"/>
          <w:sz w:val="28"/>
          <w:szCs w:val="28"/>
        </w:rPr>
      </w:pPr>
      <w:r w:rsidRPr="00FE2B62">
        <w:rPr>
          <w:rFonts w:ascii="Times New Roman" w:hAnsi="Times New Roman" w:cs="Times New Roman"/>
          <w:sz w:val="28"/>
          <w:szCs w:val="28"/>
        </w:rPr>
        <w:t xml:space="preserve">  </w:t>
      </w:r>
    </w:p>
    <w:p w14:paraId="7D7DC5F7" w14:textId="77777777" w:rsidR="00FE2B62" w:rsidRPr="00FE2B62" w:rsidRDefault="00FE2B62" w:rsidP="00FE1751">
      <w:pPr>
        <w:pStyle w:val="ListParagraph"/>
        <w:tabs>
          <w:tab w:val="left" w:pos="360"/>
        </w:tabs>
        <w:spacing w:line="240" w:lineRule="auto"/>
        <w:ind w:left="0"/>
        <w:jc w:val="both"/>
        <w:rPr>
          <w:rFonts w:ascii="Times New Roman" w:hAnsi="Times New Roman" w:cs="Times New Roman"/>
          <w:sz w:val="28"/>
          <w:szCs w:val="28"/>
        </w:rPr>
      </w:pPr>
      <w:r w:rsidRPr="00FE2B62">
        <w:rPr>
          <w:rFonts w:ascii="Times New Roman" w:hAnsi="Times New Roman" w:cs="Times New Roman"/>
          <w:sz w:val="28"/>
          <w:szCs w:val="28"/>
        </w:rPr>
        <w:t>1. Governing principles</w:t>
      </w:r>
    </w:p>
    <w:p w14:paraId="5D208D5D" w14:textId="77777777" w:rsidR="00FE2B62" w:rsidRPr="00FE2B62" w:rsidRDefault="00FE2B62" w:rsidP="00FE1751">
      <w:pPr>
        <w:pStyle w:val="ListParagraph"/>
        <w:tabs>
          <w:tab w:val="left" w:pos="360"/>
        </w:tabs>
        <w:spacing w:line="240" w:lineRule="auto"/>
        <w:ind w:left="0"/>
        <w:jc w:val="both"/>
        <w:rPr>
          <w:rFonts w:ascii="Times New Roman" w:hAnsi="Times New Roman" w:cs="Times New Roman"/>
          <w:sz w:val="28"/>
          <w:szCs w:val="28"/>
        </w:rPr>
      </w:pPr>
    </w:p>
    <w:p w14:paraId="44DC13B5" w14:textId="77777777" w:rsidR="00FE2B62" w:rsidRPr="002D14A5" w:rsidRDefault="00FE2B62" w:rsidP="00FE1751">
      <w:pPr>
        <w:pStyle w:val="ListParagraph"/>
        <w:numPr>
          <w:ilvl w:val="0"/>
          <w:numId w:val="22"/>
        </w:numPr>
        <w:tabs>
          <w:tab w:val="left" w:pos="0"/>
        </w:tabs>
        <w:spacing w:line="240" w:lineRule="auto"/>
        <w:ind w:left="0" w:firstLine="0"/>
        <w:jc w:val="both"/>
        <w:rPr>
          <w:rFonts w:ascii="Times New Roman" w:hAnsi="Times New Roman" w:cs="Times New Roman"/>
          <w:sz w:val="28"/>
          <w:szCs w:val="28"/>
        </w:rPr>
      </w:pPr>
      <w:r w:rsidRPr="00FE2B62">
        <w:rPr>
          <w:rFonts w:ascii="Times New Roman" w:hAnsi="Times New Roman" w:cs="Times New Roman"/>
          <w:sz w:val="28"/>
          <w:szCs w:val="28"/>
        </w:rPr>
        <w:t xml:space="preserve">There is no dispute about the applicable legal principles.  In judicial review, when a court concludes that </w:t>
      </w:r>
      <w:r w:rsidR="002D14A5">
        <w:rPr>
          <w:rFonts w:ascii="Times New Roman" w:hAnsi="Times New Roman" w:cs="Times New Roman"/>
          <w:sz w:val="28"/>
          <w:szCs w:val="28"/>
        </w:rPr>
        <w:t>a decision should be</w:t>
      </w:r>
      <w:r w:rsidRPr="00FE2B62">
        <w:rPr>
          <w:rFonts w:ascii="Times New Roman" w:hAnsi="Times New Roman" w:cs="Times New Roman"/>
          <w:sz w:val="28"/>
          <w:szCs w:val="28"/>
        </w:rPr>
        <w:t xml:space="preserve"> quashed, the proper remedy is generally to remit the</w:t>
      </w:r>
      <w:r w:rsidR="002D14A5">
        <w:rPr>
          <w:rFonts w:ascii="Times New Roman" w:hAnsi="Times New Roman" w:cs="Times New Roman"/>
          <w:sz w:val="28"/>
          <w:szCs w:val="28"/>
        </w:rPr>
        <w:t xml:space="preserve"> matter to the decision-maker.  </w:t>
      </w:r>
      <w:r w:rsidRPr="002D14A5">
        <w:rPr>
          <w:rFonts w:ascii="Times New Roman" w:hAnsi="Times New Roman" w:cs="Times New Roman"/>
          <w:sz w:val="28"/>
          <w:szCs w:val="28"/>
        </w:rPr>
        <w:t>There are, however, exceptions to that general rule:</w:t>
      </w:r>
    </w:p>
    <w:p w14:paraId="49ECE84F" w14:textId="77777777" w:rsidR="00FE2B62" w:rsidRPr="00FE2B62" w:rsidRDefault="00FE2B62" w:rsidP="00FE1751">
      <w:pPr>
        <w:pStyle w:val="ListParagraph"/>
        <w:tabs>
          <w:tab w:val="left" w:pos="360"/>
        </w:tabs>
        <w:spacing w:line="240" w:lineRule="auto"/>
        <w:ind w:left="0"/>
        <w:jc w:val="both"/>
        <w:rPr>
          <w:rFonts w:ascii="Times New Roman" w:hAnsi="Times New Roman" w:cs="Times New Roman"/>
          <w:sz w:val="28"/>
          <w:szCs w:val="28"/>
        </w:rPr>
      </w:pPr>
    </w:p>
    <w:p w14:paraId="20990B93" w14:textId="77777777" w:rsidR="00FE2B62" w:rsidRPr="00F02557" w:rsidRDefault="00F02557" w:rsidP="00FE1751">
      <w:pPr>
        <w:pStyle w:val="ListParagraph"/>
        <w:tabs>
          <w:tab w:val="left" w:pos="360"/>
        </w:tabs>
        <w:spacing w:line="240" w:lineRule="auto"/>
        <w:ind w:righ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E2B62" w:rsidRPr="00F02557">
        <w:rPr>
          <w:rFonts w:ascii="Times New Roman" w:hAnsi="Times New Roman" w:cs="Times New Roman"/>
          <w:sz w:val="24"/>
          <w:szCs w:val="24"/>
        </w:rPr>
        <w:t>(...) once it has been determined that an administrative tribunal has exceeded its jurisdiction by rendering an unreasonable decision on a matter within its jurisdiction, the case must, in theory, be sent back to it.</w:t>
      </w:r>
    </w:p>
    <w:p w14:paraId="2A5DB6F5" w14:textId="77777777" w:rsidR="00FE2B62" w:rsidRPr="00F02557" w:rsidRDefault="00FE2B62" w:rsidP="00FE1751">
      <w:pPr>
        <w:pStyle w:val="ListParagraph"/>
        <w:tabs>
          <w:tab w:val="left" w:pos="360"/>
        </w:tabs>
        <w:spacing w:line="240" w:lineRule="auto"/>
        <w:ind w:right="720" w:hanging="720"/>
        <w:jc w:val="both"/>
        <w:rPr>
          <w:rFonts w:ascii="Times New Roman" w:hAnsi="Times New Roman" w:cs="Times New Roman"/>
          <w:sz w:val="24"/>
          <w:szCs w:val="24"/>
        </w:rPr>
      </w:pPr>
    </w:p>
    <w:p w14:paraId="6840A374" w14:textId="7C03E04F" w:rsidR="00FE2B62" w:rsidRPr="00F02557" w:rsidRDefault="00F02557" w:rsidP="00FE1751">
      <w:pPr>
        <w:pStyle w:val="ListParagraph"/>
        <w:spacing w:line="240" w:lineRule="auto"/>
        <w:ind w:right="720" w:hanging="720"/>
        <w:jc w:val="both"/>
        <w:rPr>
          <w:rFonts w:ascii="Times New Roman" w:hAnsi="Times New Roman" w:cs="Times New Roman"/>
          <w:sz w:val="24"/>
          <w:szCs w:val="24"/>
        </w:rPr>
      </w:pPr>
      <w:r>
        <w:rPr>
          <w:rFonts w:ascii="Times New Roman" w:hAnsi="Times New Roman" w:cs="Times New Roman"/>
          <w:sz w:val="24"/>
          <w:szCs w:val="24"/>
        </w:rPr>
        <w:lastRenderedPageBreak/>
        <w:tab/>
      </w:r>
      <w:r w:rsidR="00FE2B62" w:rsidRPr="00F02557">
        <w:rPr>
          <w:rFonts w:ascii="Times New Roman" w:hAnsi="Times New Roman" w:cs="Times New Roman"/>
          <w:sz w:val="24"/>
          <w:szCs w:val="24"/>
        </w:rPr>
        <w:t xml:space="preserve">A court of law may not substitute its decision for that of an administrative decision-maker lightly or arbitrarily. </w:t>
      </w:r>
      <w:r w:rsidR="00BA6FFB">
        <w:rPr>
          <w:rFonts w:ascii="Times New Roman" w:hAnsi="Times New Roman" w:cs="Times New Roman"/>
          <w:sz w:val="24"/>
          <w:szCs w:val="24"/>
        </w:rPr>
        <w:t xml:space="preserve"> </w:t>
      </w:r>
      <w:r w:rsidR="00FE2B62" w:rsidRPr="00F02557">
        <w:rPr>
          <w:rFonts w:ascii="Times New Roman" w:hAnsi="Times New Roman" w:cs="Times New Roman"/>
          <w:sz w:val="24"/>
          <w:szCs w:val="24"/>
        </w:rPr>
        <w:t>It must have serious grounds for doing so.</w:t>
      </w:r>
      <w:r w:rsidR="00D37FEA">
        <w:rPr>
          <w:rFonts w:ascii="Times New Roman" w:hAnsi="Times New Roman" w:cs="Times New Roman"/>
          <w:sz w:val="24"/>
          <w:szCs w:val="24"/>
        </w:rPr>
        <w:t xml:space="preserve"> </w:t>
      </w:r>
      <w:r w:rsidR="00FE2B62" w:rsidRPr="00F02557">
        <w:rPr>
          <w:rFonts w:ascii="Times New Roman" w:hAnsi="Times New Roman" w:cs="Times New Roman"/>
          <w:sz w:val="24"/>
          <w:szCs w:val="24"/>
        </w:rPr>
        <w:t xml:space="preserve"> A court of law may render a decision on the merits if returning the case to the administrative tribunal would be pointless (…).  Such is also the case when, once an illegality has been corrected, the administrative decision-maker's jurisdiction has no foundation in law (…).  The courts may also intervene in cases where, in light of the circumstances and the evidence in the record, only one interpretation or solution is possible, that is, where any other interpretation or solution would be unreasonable (...) </w:t>
      </w:r>
    </w:p>
    <w:p w14:paraId="12CB79CD" w14:textId="77777777" w:rsidR="00FE2B62" w:rsidRPr="00F02557" w:rsidRDefault="00FE2B62" w:rsidP="00FE1751">
      <w:pPr>
        <w:pStyle w:val="ListParagraph"/>
        <w:tabs>
          <w:tab w:val="left" w:pos="360"/>
        </w:tabs>
        <w:spacing w:line="240" w:lineRule="auto"/>
        <w:ind w:right="720" w:hanging="720"/>
        <w:jc w:val="both"/>
        <w:rPr>
          <w:rFonts w:ascii="Times New Roman" w:hAnsi="Times New Roman" w:cs="Times New Roman"/>
          <w:sz w:val="24"/>
          <w:szCs w:val="24"/>
        </w:rPr>
      </w:pPr>
    </w:p>
    <w:p w14:paraId="230C6D17" w14:textId="77777777" w:rsidR="00FE2B62" w:rsidRPr="00A371DB" w:rsidRDefault="00FE2B62" w:rsidP="00FE1751">
      <w:pPr>
        <w:pStyle w:val="ListParagraph"/>
        <w:tabs>
          <w:tab w:val="left" w:pos="360"/>
        </w:tabs>
        <w:spacing w:line="240" w:lineRule="auto"/>
        <w:ind w:left="0"/>
        <w:jc w:val="both"/>
        <w:rPr>
          <w:rFonts w:ascii="Times New Roman" w:hAnsi="Times New Roman" w:cs="Times New Roman"/>
          <w:sz w:val="28"/>
          <w:szCs w:val="28"/>
          <w:lang w:val="fr-CA"/>
        </w:rPr>
      </w:pPr>
      <w:r w:rsidRPr="00A371DB">
        <w:rPr>
          <w:rFonts w:ascii="Times New Roman" w:hAnsi="Times New Roman" w:cs="Times New Roman"/>
          <w:i/>
          <w:sz w:val="28"/>
          <w:szCs w:val="28"/>
          <w:lang w:val="fr-CA"/>
        </w:rPr>
        <w:t>Giguère v Chambre des notaires du Québec</w:t>
      </w:r>
      <w:r w:rsidRPr="00A371DB">
        <w:rPr>
          <w:rFonts w:ascii="Times New Roman" w:hAnsi="Times New Roman" w:cs="Times New Roman"/>
          <w:sz w:val="28"/>
          <w:szCs w:val="28"/>
          <w:lang w:val="fr-CA"/>
        </w:rPr>
        <w:t>, 2004 SCC 1, para 66 (citations omitted).</w:t>
      </w:r>
    </w:p>
    <w:p w14:paraId="2EC1C700" w14:textId="77777777" w:rsidR="00FE2B62" w:rsidRPr="00A371DB" w:rsidRDefault="00FE2B62" w:rsidP="00FE1751">
      <w:pPr>
        <w:pStyle w:val="ListParagraph"/>
        <w:tabs>
          <w:tab w:val="left" w:pos="0"/>
        </w:tabs>
        <w:spacing w:line="240" w:lineRule="auto"/>
        <w:ind w:left="0"/>
        <w:jc w:val="both"/>
        <w:rPr>
          <w:rFonts w:ascii="Times New Roman" w:hAnsi="Times New Roman" w:cs="Times New Roman"/>
          <w:sz w:val="28"/>
          <w:szCs w:val="28"/>
          <w:lang w:val="fr-CA"/>
        </w:rPr>
      </w:pPr>
    </w:p>
    <w:p w14:paraId="5AFC14F4" w14:textId="77777777" w:rsidR="00FE2B62" w:rsidRPr="00FE2B62" w:rsidRDefault="00FE2B62" w:rsidP="00FE1751">
      <w:pPr>
        <w:pStyle w:val="ListParagraph"/>
        <w:tabs>
          <w:tab w:val="left" w:pos="360"/>
        </w:tabs>
        <w:spacing w:line="240" w:lineRule="auto"/>
        <w:ind w:left="0"/>
        <w:jc w:val="both"/>
        <w:rPr>
          <w:rFonts w:ascii="Times New Roman" w:hAnsi="Times New Roman" w:cs="Times New Roman"/>
          <w:sz w:val="28"/>
          <w:szCs w:val="28"/>
        </w:rPr>
      </w:pPr>
      <w:r w:rsidRPr="00FE2B62">
        <w:rPr>
          <w:rFonts w:ascii="Times New Roman" w:hAnsi="Times New Roman" w:cs="Times New Roman"/>
          <w:sz w:val="28"/>
          <w:szCs w:val="28"/>
        </w:rPr>
        <w:t xml:space="preserve">2. </w:t>
      </w:r>
      <w:r w:rsidR="002D14A5">
        <w:rPr>
          <w:rFonts w:ascii="Times New Roman" w:hAnsi="Times New Roman" w:cs="Times New Roman"/>
          <w:sz w:val="28"/>
          <w:szCs w:val="28"/>
        </w:rPr>
        <w:t>The proper remedy</w:t>
      </w:r>
    </w:p>
    <w:p w14:paraId="13BCB933" w14:textId="77777777" w:rsidR="00FE2B62" w:rsidRPr="00FE2B62" w:rsidRDefault="00FE2B62" w:rsidP="00FE1751">
      <w:pPr>
        <w:pStyle w:val="ListParagraph"/>
        <w:tabs>
          <w:tab w:val="left" w:pos="360"/>
        </w:tabs>
        <w:spacing w:line="240" w:lineRule="auto"/>
        <w:ind w:left="0"/>
        <w:jc w:val="both"/>
        <w:rPr>
          <w:rFonts w:ascii="Times New Roman" w:hAnsi="Times New Roman" w:cs="Times New Roman"/>
          <w:sz w:val="28"/>
          <w:szCs w:val="28"/>
        </w:rPr>
      </w:pPr>
    </w:p>
    <w:p w14:paraId="4A1983DD" w14:textId="77777777" w:rsidR="00FE2B62" w:rsidRPr="00FE2B62" w:rsidRDefault="00FE2B62" w:rsidP="00FE1751">
      <w:pPr>
        <w:pStyle w:val="ListParagraph"/>
        <w:numPr>
          <w:ilvl w:val="0"/>
          <w:numId w:val="22"/>
        </w:numPr>
        <w:spacing w:line="240" w:lineRule="auto"/>
        <w:ind w:left="0" w:firstLine="0"/>
        <w:jc w:val="both"/>
        <w:rPr>
          <w:rFonts w:ascii="Times New Roman" w:hAnsi="Times New Roman" w:cs="Times New Roman"/>
          <w:sz w:val="28"/>
          <w:szCs w:val="28"/>
        </w:rPr>
      </w:pPr>
      <w:r w:rsidRPr="00FE2B62">
        <w:rPr>
          <w:rFonts w:ascii="Times New Roman" w:hAnsi="Times New Roman" w:cs="Times New Roman"/>
          <w:sz w:val="28"/>
          <w:szCs w:val="28"/>
        </w:rPr>
        <w:t xml:space="preserve">The GNWT argues that it would be pointless to remit the matter to the Arbitrator because there are only two possible interpretations of Article 42.02: the </w:t>
      </w:r>
      <w:r w:rsidR="007D4DB5">
        <w:rPr>
          <w:rFonts w:ascii="Times New Roman" w:hAnsi="Times New Roman" w:cs="Times New Roman"/>
          <w:sz w:val="28"/>
          <w:szCs w:val="28"/>
        </w:rPr>
        <w:t>one that the Arbitrator adopted</w:t>
      </w:r>
      <w:r w:rsidRPr="00FE2B62">
        <w:rPr>
          <w:rFonts w:ascii="Times New Roman" w:hAnsi="Times New Roman" w:cs="Times New Roman"/>
          <w:sz w:val="28"/>
          <w:szCs w:val="28"/>
        </w:rPr>
        <w:t xml:space="preserve"> and has now been overturned, and the one that the GNWT had advocated.  Th</w:t>
      </w:r>
      <w:r w:rsidR="002D14A5">
        <w:rPr>
          <w:rFonts w:ascii="Times New Roman" w:hAnsi="Times New Roman" w:cs="Times New Roman"/>
          <w:sz w:val="28"/>
          <w:szCs w:val="28"/>
        </w:rPr>
        <w:t>is is why the</w:t>
      </w:r>
      <w:r w:rsidRPr="00FE2B62">
        <w:rPr>
          <w:rFonts w:ascii="Times New Roman" w:hAnsi="Times New Roman" w:cs="Times New Roman"/>
          <w:sz w:val="28"/>
          <w:szCs w:val="28"/>
        </w:rPr>
        <w:t xml:space="preserve"> GNWT argues </w:t>
      </w:r>
      <w:r w:rsidR="007D4DB5">
        <w:rPr>
          <w:rFonts w:ascii="Times New Roman" w:hAnsi="Times New Roman" w:cs="Times New Roman"/>
          <w:sz w:val="28"/>
          <w:szCs w:val="28"/>
        </w:rPr>
        <w:t xml:space="preserve">that </w:t>
      </w:r>
      <w:r w:rsidR="002D14A5">
        <w:rPr>
          <w:rFonts w:ascii="Times New Roman" w:hAnsi="Times New Roman" w:cs="Times New Roman"/>
          <w:sz w:val="28"/>
          <w:szCs w:val="28"/>
        </w:rPr>
        <w:t xml:space="preserve">there is nothing left </w:t>
      </w:r>
      <w:r w:rsidR="00407193">
        <w:rPr>
          <w:rFonts w:ascii="Times New Roman" w:hAnsi="Times New Roman" w:cs="Times New Roman"/>
          <w:sz w:val="28"/>
          <w:szCs w:val="28"/>
        </w:rPr>
        <w:t xml:space="preserve">for the Arbitrator to decide and </w:t>
      </w:r>
      <w:r w:rsidR="007D4DB5">
        <w:rPr>
          <w:rFonts w:ascii="Times New Roman" w:hAnsi="Times New Roman" w:cs="Times New Roman"/>
          <w:sz w:val="28"/>
          <w:szCs w:val="28"/>
        </w:rPr>
        <w:t xml:space="preserve">that </w:t>
      </w:r>
      <w:r w:rsidR="00407193">
        <w:rPr>
          <w:rFonts w:ascii="Times New Roman" w:hAnsi="Times New Roman" w:cs="Times New Roman"/>
          <w:sz w:val="28"/>
          <w:szCs w:val="28"/>
        </w:rPr>
        <w:t>it would be pointless to remit the matter to him.</w:t>
      </w:r>
    </w:p>
    <w:p w14:paraId="4FE480D0" w14:textId="77777777" w:rsidR="00FE2B62" w:rsidRDefault="00FE2B62" w:rsidP="00FE1751">
      <w:pPr>
        <w:pStyle w:val="ListParagraph"/>
        <w:tabs>
          <w:tab w:val="left" w:pos="360"/>
        </w:tabs>
        <w:spacing w:line="240" w:lineRule="auto"/>
        <w:ind w:left="0"/>
        <w:jc w:val="both"/>
        <w:rPr>
          <w:rFonts w:ascii="Times New Roman" w:hAnsi="Times New Roman" w:cs="Times New Roman"/>
          <w:sz w:val="28"/>
          <w:szCs w:val="28"/>
        </w:rPr>
      </w:pPr>
    </w:p>
    <w:p w14:paraId="2B7A9BDE" w14:textId="77777777" w:rsidR="00FE1751" w:rsidRDefault="00FE1751" w:rsidP="00FE1751">
      <w:pPr>
        <w:pStyle w:val="ListParagraph"/>
        <w:tabs>
          <w:tab w:val="left" w:pos="360"/>
        </w:tabs>
        <w:spacing w:line="240" w:lineRule="auto"/>
        <w:ind w:left="0"/>
        <w:jc w:val="both"/>
        <w:rPr>
          <w:rFonts w:ascii="Times New Roman" w:hAnsi="Times New Roman" w:cs="Times New Roman"/>
          <w:sz w:val="28"/>
          <w:szCs w:val="28"/>
        </w:rPr>
      </w:pPr>
    </w:p>
    <w:p w14:paraId="0C2E8900" w14:textId="0CAA5835" w:rsidR="00FE2B62" w:rsidRPr="00407193" w:rsidRDefault="00FE2B62" w:rsidP="00FE1751">
      <w:pPr>
        <w:pStyle w:val="ListParagraph"/>
        <w:numPr>
          <w:ilvl w:val="0"/>
          <w:numId w:val="22"/>
        </w:numPr>
        <w:tabs>
          <w:tab w:val="left" w:pos="360"/>
        </w:tabs>
        <w:spacing w:line="240" w:lineRule="auto"/>
        <w:ind w:left="0" w:firstLine="0"/>
        <w:jc w:val="both"/>
        <w:rPr>
          <w:rFonts w:ascii="Times New Roman" w:hAnsi="Times New Roman" w:cs="Times New Roman"/>
          <w:sz w:val="28"/>
          <w:szCs w:val="28"/>
        </w:rPr>
      </w:pPr>
      <w:r w:rsidRPr="00F02557">
        <w:rPr>
          <w:rFonts w:ascii="Times New Roman" w:hAnsi="Times New Roman" w:cs="Times New Roman"/>
          <w:sz w:val="28"/>
          <w:szCs w:val="28"/>
        </w:rPr>
        <w:t xml:space="preserve">The UNW disagrees for a number of reasons.  </w:t>
      </w:r>
      <w:r w:rsidR="00407193">
        <w:rPr>
          <w:rFonts w:ascii="Times New Roman" w:hAnsi="Times New Roman" w:cs="Times New Roman"/>
          <w:sz w:val="28"/>
          <w:szCs w:val="28"/>
        </w:rPr>
        <w:t>It</w:t>
      </w:r>
      <w:r w:rsidR="00407193" w:rsidRPr="00407193">
        <w:rPr>
          <w:rFonts w:ascii="Times New Roman" w:hAnsi="Times New Roman" w:cs="Times New Roman"/>
          <w:sz w:val="28"/>
          <w:szCs w:val="28"/>
        </w:rPr>
        <w:t xml:space="preserve"> argues that the matter should </w:t>
      </w:r>
      <w:r w:rsidR="00407193">
        <w:rPr>
          <w:rFonts w:ascii="Times New Roman" w:hAnsi="Times New Roman" w:cs="Times New Roman"/>
          <w:sz w:val="28"/>
          <w:szCs w:val="28"/>
        </w:rPr>
        <w:t xml:space="preserve">be </w:t>
      </w:r>
      <w:r w:rsidR="00407193" w:rsidRPr="00407193">
        <w:rPr>
          <w:rFonts w:ascii="Times New Roman" w:hAnsi="Times New Roman" w:cs="Times New Roman"/>
          <w:sz w:val="28"/>
          <w:szCs w:val="28"/>
        </w:rPr>
        <w:t>remitted to the Arbitrator to give him an opportunity to better articulate the reasons for his conclusions.</w:t>
      </w:r>
      <w:r w:rsidR="00407193">
        <w:rPr>
          <w:rFonts w:ascii="Times New Roman" w:hAnsi="Times New Roman" w:cs="Times New Roman"/>
          <w:sz w:val="28"/>
          <w:szCs w:val="28"/>
        </w:rPr>
        <w:t xml:space="preserve">  </w:t>
      </w:r>
      <w:r w:rsidR="007D4DB5">
        <w:rPr>
          <w:rFonts w:ascii="Times New Roman" w:hAnsi="Times New Roman" w:cs="Times New Roman"/>
          <w:sz w:val="28"/>
          <w:szCs w:val="28"/>
        </w:rPr>
        <w:t>Moreover, i</w:t>
      </w:r>
      <w:r w:rsidR="00407193">
        <w:rPr>
          <w:rFonts w:ascii="Times New Roman" w:hAnsi="Times New Roman" w:cs="Times New Roman"/>
          <w:sz w:val="28"/>
          <w:szCs w:val="28"/>
        </w:rPr>
        <w:t xml:space="preserve">t disagrees that my Ruling leaves open only </w:t>
      </w:r>
      <w:r w:rsidR="00784011">
        <w:rPr>
          <w:rFonts w:ascii="Times New Roman" w:hAnsi="Times New Roman" w:cs="Times New Roman"/>
          <w:sz w:val="28"/>
          <w:szCs w:val="28"/>
        </w:rPr>
        <w:t xml:space="preserve">one </w:t>
      </w:r>
      <w:r w:rsidR="00407193">
        <w:rPr>
          <w:rFonts w:ascii="Times New Roman" w:hAnsi="Times New Roman" w:cs="Times New Roman"/>
          <w:sz w:val="28"/>
          <w:szCs w:val="28"/>
        </w:rPr>
        <w:t xml:space="preserve">possible interpretation of </w:t>
      </w:r>
      <w:r w:rsidRPr="00407193">
        <w:rPr>
          <w:rFonts w:ascii="Times New Roman" w:hAnsi="Times New Roman" w:cs="Times New Roman"/>
          <w:sz w:val="28"/>
          <w:szCs w:val="28"/>
        </w:rPr>
        <w:t xml:space="preserve">Article 42.02. </w:t>
      </w:r>
      <w:r w:rsidR="00BA6FFB">
        <w:rPr>
          <w:rFonts w:ascii="Times New Roman" w:hAnsi="Times New Roman" w:cs="Times New Roman"/>
          <w:sz w:val="28"/>
          <w:szCs w:val="28"/>
        </w:rPr>
        <w:t xml:space="preserve"> </w:t>
      </w:r>
      <w:r w:rsidRPr="00407193">
        <w:rPr>
          <w:rFonts w:ascii="Times New Roman" w:hAnsi="Times New Roman" w:cs="Times New Roman"/>
          <w:sz w:val="28"/>
          <w:szCs w:val="28"/>
        </w:rPr>
        <w:t xml:space="preserve">Finally, </w:t>
      </w:r>
      <w:r w:rsidR="00407193">
        <w:rPr>
          <w:rFonts w:ascii="Times New Roman" w:hAnsi="Times New Roman" w:cs="Times New Roman"/>
          <w:sz w:val="28"/>
          <w:szCs w:val="28"/>
        </w:rPr>
        <w:t>it</w:t>
      </w:r>
      <w:r w:rsidRPr="00407193">
        <w:rPr>
          <w:rFonts w:ascii="Times New Roman" w:hAnsi="Times New Roman" w:cs="Times New Roman"/>
          <w:sz w:val="28"/>
          <w:szCs w:val="28"/>
        </w:rPr>
        <w:t xml:space="preserve"> </w:t>
      </w:r>
      <w:r w:rsidR="00BE2C3B" w:rsidRPr="00407193">
        <w:rPr>
          <w:rFonts w:ascii="Times New Roman" w:hAnsi="Times New Roman" w:cs="Times New Roman"/>
          <w:sz w:val="28"/>
          <w:szCs w:val="28"/>
        </w:rPr>
        <w:t xml:space="preserve">argues that </w:t>
      </w:r>
      <w:r w:rsidR="00407193">
        <w:rPr>
          <w:rFonts w:ascii="Times New Roman" w:hAnsi="Times New Roman" w:cs="Times New Roman"/>
          <w:sz w:val="28"/>
          <w:szCs w:val="28"/>
        </w:rPr>
        <w:t>the matter should be remitted to maintain the parties' access to the Arbitrator to help resolve issues be</w:t>
      </w:r>
      <w:r w:rsidR="007D4DB5">
        <w:rPr>
          <w:rFonts w:ascii="Times New Roman" w:hAnsi="Times New Roman" w:cs="Times New Roman"/>
          <w:sz w:val="28"/>
          <w:szCs w:val="28"/>
        </w:rPr>
        <w:t>tween them as to other employee</w:t>
      </w:r>
      <w:r w:rsidR="00407193">
        <w:rPr>
          <w:rFonts w:ascii="Times New Roman" w:hAnsi="Times New Roman" w:cs="Times New Roman"/>
          <w:sz w:val="28"/>
          <w:szCs w:val="28"/>
        </w:rPr>
        <w:t>s</w:t>
      </w:r>
      <w:r w:rsidR="007D4DB5">
        <w:rPr>
          <w:rFonts w:ascii="Times New Roman" w:hAnsi="Times New Roman" w:cs="Times New Roman"/>
          <w:sz w:val="28"/>
          <w:szCs w:val="28"/>
        </w:rPr>
        <w:t>'</w:t>
      </w:r>
      <w:r w:rsidR="00407193">
        <w:rPr>
          <w:rFonts w:ascii="Times New Roman" w:hAnsi="Times New Roman" w:cs="Times New Roman"/>
          <w:sz w:val="28"/>
          <w:szCs w:val="28"/>
        </w:rPr>
        <w:t xml:space="preserve"> entitlement to Ultimate Removal Assistance.  </w:t>
      </w:r>
      <w:r w:rsidR="00A371DB">
        <w:rPr>
          <w:rFonts w:ascii="Times New Roman" w:hAnsi="Times New Roman" w:cs="Times New Roman"/>
          <w:sz w:val="28"/>
          <w:szCs w:val="28"/>
        </w:rPr>
        <w:t>T</w:t>
      </w:r>
      <w:r w:rsidR="00407193">
        <w:rPr>
          <w:rFonts w:ascii="Times New Roman" w:hAnsi="Times New Roman" w:cs="Times New Roman"/>
          <w:sz w:val="28"/>
          <w:szCs w:val="28"/>
        </w:rPr>
        <w:t>he UNW point</w:t>
      </w:r>
      <w:r w:rsidR="007D4DB5">
        <w:rPr>
          <w:rFonts w:ascii="Times New Roman" w:hAnsi="Times New Roman" w:cs="Times New Roman"/>
          <w:sz w:val="28"/>
          <w:szCs w:val="28"/>
        </w:rPr>
        <w:t>s</w:t>
      </w:r>
      <w:r w:rsidR="00407193">
        <w:rPr>
          <w:rFonts w:ascii="Times New Roman" w:hAnsi="Times New Roman" w:cs="Times New Roman"/>
          <w:sz w:val="28"/>
          <w:szCs w:val="28"/>
        </w:rPr>
        <w:t xml:space="preserve"> out that at the conclusion of the Award</w:t>
      </w:r>
      <w:r w:rsidR="00784011">
        <w:rPr>
          <w:rFonts w:ascii="Times New Roman" w:hAnsi="Times New Roman" w:cs="Times New Roman"/>
          <w:sz w:val="28"/>
          <w:szCs w:val="28"/>
        </w:rPr>
        <w:t>,</w:t>
      </w:r>
      <w:r w:rsidR="00407193">
        <w:rPr>
          <w:rFonts w:ascii="Times New Roman" w:hAnsi="Times New Roman" w:cs="Times New Roman"/>
          <w:sz w:val="28"/>
          <w:szCs w:val="28"/>
        </w:rPr>
        <w:t xml:space="preserve"> </w:t>
      </w:r>
      <w:r w:rsidR="00BE2C3B" w:rsidRPr="00407193">
        <w:rPr>
          <w:rFonts w:ascii="Times New Roman" w:hAnsi="Times New Roman" w:cs="Times New Roman"/>
          <w:sz w:val="28"/>
          <w:szCs w:val="28"/>
        </w:rPr>
        <w:t>the Arbitrator</w:t>
      </w:r>
      <w:r w:rsidR="00A371DB">
        <w:rPr>
          <w:rFonts w:ascii="Times New Roman" w:hAnsi="Times New Roman" w:cs="Times New Roman"/>
          <w:sz w:val="28"/>
          <w:szCs w:val="28"/>
        </w:rPr>
        <w:t>, at the request of the parties,</w:t>
      </w:r>
      <w:r w:rsidR="00BE2C3B" w:rsidRPr="00407193">
        <w:rPr>
          <w:rFonts w:ascii="Times New Roman" w:hAnsi="Times New Roman" w:cs="Times New Roman"/>
          <w:sz w:val="28"/>
          <w:szCs w:val="28"/>
        </w:rPr>
        <w:t xml:space="preserve"> re</w:t>
      </w:r>
      <w:r w:rsidR="00A371DB">
        <w:rPr>
          <w:rFonts w:ascii="Times New Roman" w:hAnsi="Times New Roman" w:cs="Times New Roman"/>
          <w:sz w:val="28"/>
          <w:szCs w:val="28"/>
        </w:rPr>
        <w:t>served his remedial jurisdiction to address other cases captured by this grievance</w:t>
      </w:r>
      <w:r w:rsidR="00BE2C3B" w:rsidRPr="00407193">
        <w:rPr>
          <w:rFonts w:ascii="Times New Roman" w:hAnsi="Times New Roman" w:cs="Times New Roman"/>
          <w:sz w:val="28"/>
          <w:szCs w:val="28"/>
        </w:rPr>
        <w:t xml:space="preserve">.  </w:t>
      </w:r>
    </w:p>
    <w:p w14:paraId="704A8BE1" w14:textId="77777777" w:rsidR="00FE2B62" w:rsidRPr="00FE2B62" w:rsidRDefault="00FE2B62" w:rsidP="00FE1751">
      <w:pPr>
        <w:pStyle w:val="ListParagraph"/>
        <w:tabs>
          <w:tab w:val="left" w:pos="360"/>
        </w:tabs>
        <w:spacing w:line="240" w:lineRule="auto"/>
        <w:ind w:left="0"/>
        <w:jc w:val="both"/>
        <w:rPr>
          <w:rFonts w:ascii="Times New Roman" w:hAnsi="Times New Roman" w:cs="Times New Roman"/>
          <w:sz w:val="28"/>
          <w:szCs w:val="28"/>
        </w:rPr>
      </w:pPr>
    </w:p>
    <w:p w14:paraId="76E5307E" w14:textId="77777777" w:rsidR="00BA6FFB" w:rsidRDefault="00407193" w:rsidP="00FE1751">
      <w:pPr>
        <w:pStyle w:val="ListParagraph"/>
        <w:numPr>
          <w:ilvl w:val="0"/>
          <w:numId w:val="22"/>
        </w:numPr>
        <w:tabs>
          <w:tab w:val="left" w:pos="360"/>
        </w:tabs>
        <w:spacing w:line="240" w:lineRule="auto"/>
        <w:ind w:left="0" w:firstLine="0"/>
        <w:jc w:val="both"/>
        <w:rPr>
          <w:rFonts w:ascii="Times New Roman" w:hAnsi="Times New Roman" w:cs="Times New Roman"/>
          <w:sz w:val="28"/>
          <w:szCs w:val="28"/>
        </w:rPr>
      </w:pPr>
      <w:r w:rsidRPr="00BA6FFB">
        <w:rPr>
          <w:rFonts w:ascii="Times New Roman" w:hAnsi="Times New Roman" w:cs="Times New Roman"/>
          <w:sz w:val="28"/>
          <w:szCs w:val="28"/>
        </w:rPr>
        <w:t xml:space="preserve">I disagree that the matter should be remitted for the purpose of allowing the Arbitrator </w:t>
      </w:r>
      <w:r w:rsidR="00C039C0" w:rsidRPr="00BA6FFB">
        <w:rPr>
          <w:rFonts w:ascii="Times New Roman" w:hAnsi="Times New Roman" w:cs="Times New Roman"/>
          <w:sz w:val="28"/>
          <w:szCs w:val="28"/>
        </w:rPr>
        <w:t xml:space="preserve">to </w:t>
      </w:r>
      <w:r w:rsidRPr="00BA6FFB">
        <w:rPr>
          <w:rFonts w:ascii="Times New Roman" w:hAnsi="Times New Roman" w:cs="Times New Roman"/>
          <w:sz w:val="28"/>
          <w:szCs w:val="28"/>
        </w:rPr>
        <w:t>provid</w:t>
      </w:r>
      <w:r w:rsidR="007D4DB5">
        <w:rPr>
          <w:rFonts w:ascii="Times New Roman" w:hAnsi="Times New Roman" w:cs="Times New Roman"/>
          <w:sz w:val="28"/>
          <w:szCs w:val="28"/>
        </w:rPr>
        <w:t>e</w:t>
      </w:r>
      <w:r w:rsidRPr="00BA6FFB">
        <w:rPr>
          <w:rFonts w:ascii="Times New Roman" w:hAnsi="Times New Roman" w:cs="Times New Roman"/>
          <w:sz w:val="28"/>
          <w:szCs w:val="28"/>
        </w:rPr>
        <w:t xml:space="preserve"> additional reasons for his conclusions.  </w:t>
      </w:r>
    </w:p>
    <w:p w14:paraId="5182586B" w14:textId="77777777" w:rsidR="00BA6FFB" w:rsidRPr="00BA6FFB" w:rsidRDefault="00BA6FFB" w:rsidP="00FE1751">
      <w:pPr>
        <w:pStyle w:val="ListParagraph"/>
        <w:tabs>
          <w:tab w:val="left" w:pos="360"/>
        </w:tabs>
        <w:spacing w:line="240" w:lineRule="auto"/>
        <w:ind w:left="0"/>
        <w:jc w:val="both"/>
        <w:rPr>
          <w:rFonts w:ascii="Times New Roman" w:hAnsi="Times New Roman" w:cs="Times New Roman"/>
          <w:sz w:val="28"/>
          <w:szCs w:val="28"/>
        </w:rPr>
      </w:pPr>
    </w:p>
    <w:p w14:paraId="1086EA73" w14:textId="77777777" w:rsidR="00F02557" w:rsidRDefault="00FE2B62" w:rsidP="00FE1751">
      <w:pPr>
        <w:pStyle w:val="ListParagraph"/>
        <w:numPr>
          <w:ilvl w:val="0"/>
          <w:numId w:val="22"/>
        </w:numPr>
        <w:tabs>
          <w:tab w:val="left" w:pos="360"/>
        </w:tabs>
        <w:spacing w:line="240" w:lineRule="auto"/>
        <w:ind w:left="0" w:firstLine="0"/>
        <w:jc w:val="both"/>
        <w:rPr>
          <w:rFonts w:ascii="Times New Roman" w:hAnsi="Times New Roman" w:cs="Times New Roman"/>
          <w:sz w:val="28"/>
          <w:szCs w:val="28"/>
        </w:rPr>
      </w:pPr>
      <w:r w:rsidRPr="00F02557">
        <w:rPr>
          <w:rFonts w:ascii="Times New Roman" w:hAnsi="Times New Roman" w:cs="Times New Roman"/>
          <w:sz w:val="28"/>
          <w:szCs w:val="28"/>
        </w:rPr>
        <w:t xml:space="preserve">As I mentioned in my Ruling, in the context of judicial review, the standard of reasonableness is concerned with the existence of justification, transparency and intelligibility within the decision-making process, and also with whether the decision falls within a range of possible, acceptable outcomes.  </w:t>
      </w:r>
      <w:r w:rsidRPr="007B7A3E">
        <w:rPr>
          <w:rFonts w:ascii="Times New Roman" w:hAnsi="Times New Roman" w:cs="Times New Roman"/>
          <w:i/>
          <w:sz w:val="28"/>
          <w:szCs w:val="28"/>
        </w:rPr>
        <w:t>GNWT v Union of Northern</w:t>
      </w:r>
      <w:r w:rsidRPr="00F02557">
        <w:rPr>
          <w:rFonts w:ascii="Times New Roman" w:hAnsi="Times New Roman" w:cs="Times New Roman"/>
          <w:sz w:val="28"/>
          <w:szCs w:val="28"/>
        </w:rPr>
        <w:t xml:space="preserve"> </w:t>
      </w:r>
      <w:r w:rsidRPr="007B7A3E">
        <w:rPr>
          <w:rFonts w:ascii="Times New Roman" w:hAnsi="Times New Roman" w:cs="Times New Roman"/>
          <w:i/>
          <w:sz w:val="28"/>
          <w:szCs w:val="28"/>
        </w:rPr>
        <w:t>Workers</w:t>
      </w:r>
      <w:r w:rsidRPr="00F02557">
        <w:rPr>
          <w:rFonts w:ascii="Times New Roman" w:hAnsi="Times New Roman" w:cs="Times New Roman"/>
          <w:sz w:val="28"/>
          <w:szCs w:val="28"/>
        </w:rPr>
        <w:t>, paras 27 and 47.</w:t>
      </w:r>
    </w:p>
    <w:p w14:paraId="22DCEEA2" w14:textId="77777777" w:rsidR="00E911B9" w:rsidRDefault="00E911B9" w:rsidP="00FE1751">
      <w:pPr>
        <w:pStyle w:val="ListParagraph"/>
        <w:tabs>
          <w:tab w:val="left" w:pos="360"/>
        </w:tabs>
        <w:spacing w:line="240" w:lineRule="auto"/>
        <w:ind w:left="0"/>
        <w:jc w:val="both"/>
        <w:rPr>
          <w:rFonts w:ascii="Times New Roman" w:hAnsi="Times New Roman" w:cs="Times New Roman"/>
          <w:sz w:val="28"/>
          <w:szCs w:val="28"/>
        </w:rPr>
      </w:pPr>
    </w:p>
    <w:p w14:paraId="10BB80D1" w14:textId="77777777" w:rsidR="00E911B9" w:rsidRDefault="00DD4ED5" w:rsidP="00FE1751">
      <w:pPr>
        <w:pStyle w:val="ListParagraph"/>
        <w:numPr>
          <w:ilvl w:val="0"/>
          <w:numId w:val="22"/>
        </w:numPr>
        <w:tabs>
          <w:tab w:val="left" w:pos="360"/>
        </w:tabs>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In m</w:t>
      </w:r>
      <w:r w:rsidR="00407193">
        <w:rPr>
          <w:rFonts w:ascii="Times New Roman" w:hAnsi="Times New Roman" w:cs="Times New Roman"/>
          <w:sz w:val="28"/>
          <w:szCs w:val="28"/>
        </w:rPr>
        <w:t>y Ruling</w:t>
      </w:r>
      <w:r>
        <w:rPr>
          <w:rFonts w:ascii="Times New Roman" w:hAnsi="Times New Roman" w:cs="Times New Roman"/>
          <w:sz w:val="28"/>
          <w:szCs w:val="28"/>
        </w:rPr>
        <w:t>, I found, among other things, that</w:t>
      </w:r>
      <w:r w:rsidR="00FE2B62" w:rsidRPr="00F02557">
        <w:rPr>
          <w:rFonts w:ascii="Times New Roman" w:hAnsi="Times New Roman" w:cs="Times New Roman"/>
          <w:sz w:val="28"/>
          <w:szCs w:val="28"/>
        </w:rPr>
        <w:t xml:space="preserve">: </w:t>
      </w:r>
    </w:p>
    <w:p w14:paraId="04497BBD" w14:textId="77777777" w:rsidR="00BA6FFB" w:rsidRDefault="00BA6FFB" w:rsidP="00FE1751">
      <w:pPr>
        <w:pStyle w:val="ListParagraph"/>
        <w:tabs>
          <w:tab w:val="left" w:pos="360"/>
        </w:tabs>
        <w:spacing w:line="240" w:lineRule="auto"/>
        <w:ind w:left="0"/>
        <w:jc w:val="both"/>
        <w:rPr>
          <w:rFonts w:ascii="Times New Roman" w:hAnsi="Times New Roman" w:cs="Times New Roman"/>
          <w:sz w:val="28"/>
          <w:szCs w:val="28"/>
        </w:rPr>
      </w:pPr>
    </w:p>
    <w:p w14:paraId="121CC2C7" w14:textId="77777777" w:rsidR="00FE2B62" w:rsidRPr="00E911B9" w:rsidRDefault="00FE2B62" w:rsidP="00FE1751">
      <w:pPr>
        <w:pStyle w:val="ListParagraph"/>
        <w:tabs>
          <w:tab w:val="left" w:pos="360"/>
        </w:tabs>
        <w:spacing w:line="240" w:lineRule="auto"/>
        <w:jc w:val="both"/>
        <w:rPr>
          <w:rFonts w:ascii="Times New Roman" w:hAnsi="Times New Roman" w:cs="Times New Roman"/>
          <w:sz w:val="28"/>
          <w:szCs w:val="28"/>
        </w:rPr>
      </w:pPr>
      <w:r w:rsidRPr="00E911B9">
        <w:rPr>
          <w:rFonts w:ascii="Times New Roman" w:hAnsi="Times New Roman" w:cs="Times New Roman"/>
          <w:sz w:val="28"/>
          <w:szCs w:val="28"/>
        </w:rPr>
        <w:t>a) the wording of Article 42.02(a)(i)</w:t>
      </w:r>
      <w:r w:rsidR="007D4DB5">
        <w:rPr>
          <w:rFonts w:ascii="Times New Roman" w:hAnsi="Times New Roman" w:cs="Times New Roman"/>
          <w:sz w:val="28"/>
          <w:szCs w:val="28"/>
        </w:rPr>
        <w:t>,</w:t>
      </w:r>
      <w:r w:rsidRPr="00E911B9">
        <w:rPr>
          <w:rFonts w:ascii="Times New Roman" w:hAnsi="Times New Roman" w:cs="Times New Roman"/>
          <w:sz w:val="28"/>
          <w:szCs w:val="28"/>
        </w:rPr>
        <w:t xml:space="preserve"> </w:t>
      </w:r>
      <w:r w:rsidR="007D4DB5" w:rsidRPr="00E911B9">
        <w:rPr>
          <w:rFonts w:ascii="Times New Roman" w:hAnsi="Times New Roman" w:cs="Times New Roman"/>
          <w:sz w:val="28"/>
          <w:szCs w:val="28"/>
        </w:rPr>
        <w:t>as opposed to the general definition of "Continuou</w:t>
      </w:r>
      <w:r w:rsidR="007D4DB5">
        <w:rPr>
          <w:rFonts w:ascii="Times New Roman" w:hAnsi="Times New Roman" w:cs="Times New Roman"/>
          <w:sz w:val="28"/>
          <w:szCs w:val="28"/>
        </w:rPr>
        <w:t xml:space="preserve">s Service", </w:t>
      </w:r>
      <w:r w:rsidRPr="00E911B9">
        <w:rPr>
          <w:rFonts w:ascii="Times New Roman" w:hAnsi="Times New Roman" w:cs="Times New Roman"/>
          <w:sz w:val="28"/>
          <w:szCs w:val="28"/>
        </w:rPr>
        <w:t>is of central importance to the scope of Ultimate Removal Assistan</w:t>
      </w:r>
      <w:r w:rsidR="007D4DB5">
        <w:rPr>
          <w:rFonts w:ascii="Times New Roman" w:hAnsi="Times New Roman" w:cs="Times New Roman"/>
          <w:sz w:val="28"/>
          <w:szCs w:val="28"/>
        </w:rPr>
        <w:t xml:space="preserve">ce </w:t>
      </w:r>
      <w:r w:rsidR="00407193">
        <w:rPr>
          <w:rFonts w:ascii="Times New Roman" w:hAnsi="Times New Roman" w:cs="Times New Roman"/>
          <w:sz w:val="28"/>
          <w:szCs w:val="28"/>
        </w:rPr>
        <w:t xml:space="preserve">because </w:t>
      </w:r>
      <w:r w:rsidRPr="00E911B9">
        <w:rPr>
          <w:rFonts w:ascii="Times New Roman" w:hAnsi="Times New Roman" w:cs="Times New Roman"/>
          <w:sz w:val="28"/>
          <w:szCs w:val="28"/>
        </w:rPr>
        <w:t xml:space="preserve">Article </w:t>
      </w:r>
      <w:r w:rsidR="00407193">
        <w:rPr>
          <w:rFonts w:ascii="Times New Roman" w:hAnsi="Times New Roman" w:cs="Times New Roman"/>
          <w:sz w:val="28"/>
          <w:szCs w:val="28"/>
        </w:rPr>
        <w:t xml:space="preserve">42.02 </w:t>
      </w:r>
      <w:r w:rsidRPr="00E911B9">
        <w:rPr>
          <w:rFonts w:ascii="Times New Roman" w:hAnsi="Times New Roman" w:cs="Times New Roman"/>
          <w:sz w:val="28"/>
          <w:szCs w:val="28"/>
        </w:rPr>
        <w:t>creates the entitlement to that benefit;</w:t>
      </w:r>
    </w:p>
    <w:p w14:paraId="7468F9D9" w14:textId="77777777" w:rsidR="00FE2B62" w:rsidRPr="00FE2B62" w:rsidRDefault="00FE2B62" w:rsidP="00FE1751">
      <w:pPr>
        <w:pStyle w:val="ListParagraph"/>
        <w:tabs>
          <w:tab w:val="left" w:pos="360"/>
        </w:tabs>
        <w:spacing w:line="240" w:lineRule="auto"/>
        <w:jc w:val="both"/>
        <w:rPr>
          <w:rFonts w:ascii="Times New Roman" w:hAnsi="Times New Roman" w:cs="Times New Roman"/>
          <w:sz w:val="28"/>
          <w:szCs w:val="28"/>
        </w:rPr>
      </w:pPr>
      <w:r w:rsidRPr="00FE2B62">
        <w:rPr>
          <w:rFonts w:ascii="Times New Roman" w:hAnsi="Times New Roman" w:cs="Times New Roman"/>
          <w:sz w:val="28"/>
          <w:szCs w:val="28"/>
        </w:rPr>
        <w:t>b) the words "with the Government of the Northwest Terr</w:t>
      </w:r>
      <w:r w:rsidR="00407193">
        <w:rPr>
          <w:rFonts w:ascii="Times New Roman" w:hAnsi="Times New Roman" w:cs="Times New Roman"/>
          <w:sz w:val="28"/>
          <w:szCs w:val="28"/>
        </w:rPr>
        <w:t xml:space="preserve">itories" in Article 42.02 </w:t>
      </w:r>
      <w:r w:rsidRPr="00FE2B62">
        <w:rPr>
          <w:rFonts w:ascii="Times New Roman" w:hAnsi="Times New Roman" w:cs="Times New Roman"/>
          <w:sz w:val="28"/>
          <w:szCs w:val="28"/>
        </w:rPr>
        <w:t>are unambiguous;</w:t>
      </w:r>
    </w:p>
    <w:p w14:paraId="7A45E474" w14:textId="77777777" w:rsidR="00FE2B62" w:rsidRPr="00FE2B62" w:rsidRDefault="00FE2B62" w:rsidP="00FE1751">
      <w:pPr>
        <w:pStyle w:val="ListParagraph"/>
        <w:tabs>
          <w:tab w:val="left" w:pos="360"/>
        </w:tabs>
        <w:spacing w:line="240" w:lineRule="auto"/>
        <w:jc w:val="both"/>
        <w:rPr>
          <w:rFonts w:ascii="Times New Roman" w:hAnsi="Times New Roman" w:cs="Times New Roman"/>
          <w:sz w:val="28"/>
          <w:szCs w:val="28"/>
        </w:rPr>
      </w:pPr>
      <w:r w:rsidRPr="00FE2B62">
        <w:rPr>
          <w:rFonts w:ascii="Times New Roman" w:hAnsi="Times New Roman" w:cs="Times New Roman"/>
          <w:sz w:val="28"/>
          <w:szCs w:val="28"/>
        </w:rPr>
        <w:t>c) the Arbitrator's interpretation of the Agreement was internally inconsistent, in that he emphasized the importance of giving effect to the intentions of the parties when interpreting the definition of “Continuous Servic</w:t>
      </w:r>
      <w:r w:rsidR="007D4DB5">
        <w:rPr>
          <w:rFonts w:ascii="Times New Roman" w:hAnsi="Times New Roman" w:cs="Times New Roman"/>
          <w:sz w:val="28"/>
          <w:szCs w:val="28"/>
        </w:rPr>
        <w:t xml:space="preserve">e” at Article 2.02 but </w:t>
      </w:r>
      <w:r w:rsidRPr="00FE2B62">
        <w:rPr>
          <w:rFonts w:ascii="Times New Roman" w:hAnsi="Times New Roman" w:cs="Times New Roman"/>
          <w:sz w:val="28"/>
          <w:szCs w:val="28"/>
        </w:rPr>
        <w:t>disregarded the words used by the parties when he</w:t>
      </w:r>
      <w:r w:rsidR="00407193">
        <w:rPr>
          <w:rFonts w:ascii="Times New Roman" w:hAnsi="Times New Roman" w:cs="Times New Roman"/>
          <w:sz w:val="28"/>
          <w:szCs w:val="28"/>
        </w:rPr>
        <w:t xml:space="preserve"> interpreted Article 42.02</w:t>
      </w:r>
      <w:r w:rsidRPr="00FE2B62">
        <w:rPr>
          <w:rFonts w:ascii="Times New Roman" w:hAnsi="Times New Roman" w:cs="Times New Roman"/>
          <w:sz w:val="28"/>
          <w:szCs w:val="28"/>
        </w:rPr>
        <w:t xml:space="preserve">. </w:t>
      </w:r>
    </w:p>
    <w:p w14:paraId="665A2243" w14:textId="77777777" w:rsidR="00FE2B62" w:rsidRPr="00FE2B62" w:rsidRDefault="00FE2B62" w:rsidP="00FE1751">
      <w:pPr>
        <w:pStyle w:val="ListParagraph"/>
        <w:tabs>
          <w:tab w:val="left" w:pos="360"/>
        </w:tabs>
        <w:spacing w:line="240" w:lineRule="auto"/>
        <w:ind w:left="0"/>
        <w:jc w:val="both"/>
        <w:rPr>
          <w:rFonts w:ascii="Times New Roman" w:hAnsi="Times New Roman" w:cs="Times New Roman"/>
          <w:sz w:val="28"/>
          <w:szCs w:val="28"/>
        </w:rPr>
      </w:pPr>
    </w:p>
    <w:p w14:paraId="2AE14260" w14:textId="77777777" w:rsidR="00FE2B62" w:rsidRPr="00FE2B62" w:rsidRDefault="00FE2B62" w:rsidP="00FE1751">
      <w:pPr>
        <w:pStyle w:val="ListParagraph"/>
        <w:numPr>
          <w:ilvl w:val="0"/>
          <w:numId w:val="22"/>
        </w:numPr>
        <w:tabs>
          <w:tab w:val="left" w:pos="360"/>
        </w:tabs>
        <w:spacing w:line="240" w:lineRule="auto"/>
        <w:ind w:left="0" w:firstLine="0"/>
        <w:jc w:val="both"/>
        <w:rPr>
          <w:rFonts w:ascii="Times New Roman" w:hAnsi="Times New Roman" w:cs="Times New Roman"/>
          <w:sz w:val="28"/>
          <w:szCs w:val="28"/>
        </w:rPr>
      </w:pPr>
      <w:r w:rsidRPr="00FE2B62">
        <w:rPr>
          <w:rFonts w:ascii="Times New Roman" w:hAnsi="Times New Roman" w:cs="Times New Roman"/>
          <w:sz w:val="28"/>
          <w:szCs w:val="28"/>
        </w:rPr>
        <w:t>I concluded that:</w:t>
      </w:r>
    </w:p>
    <w:p w14:paraId="1EBC3525" w14:textId="77777777" w:rsidR="00FE2B62" w:rsidRPr="00FE2B62" w:rsidRDefault="00FE2B62" w:rsidP="00FE1751">
      <w:pPr>
        <w:pStyle w:val="ListParagraph"/>
        <w:tabs>
          <w:tab w:val="left" w:pos="360"/>
        </w:tabs>
        <w:spacing w:line="240" w:lineRule="auto"/>
        <w:ind w:left="0"/>
        <w:jc w:val="both"/>
        <w:rPr>
          <w:rFonts w:ascii="Times New Roman" w:hAnsi="Times New Roman" w:cs="Times New Roman"/>
          <w:sz w:val="28"/>
          <w:szCs w:val="28"/>
        </w:rPr>
      </w:pPr>
    </w:p>
    <w:p w14:paraId="354F7EDE" w14:textId="77777777" w:rsidR="00FE2B62" w:rsidRDefault="00FE2B62" w:rsidP="00FE1751">
      <w:pPr>
        <w:pStyle w:val="ListParagraph"/>
        <w:tabs>
          <w:tab w:val="left" w:pos="360"/>
          <w:tab w:val="left" w:pos="8640"/>
        </w:tabs>
        <w:spacing w:line="240" w:lineRule="auto"/>
        <w:ind w:right="720"/>
        <w:jc w:val="both"/>
        <w:rPr>
          <w:rFonts w:ascii="Times New Roman" w:hAnsi="Times New Roman" w:cs="Times New Roman"/>
          <w:sz w:val="24"/>
          <w:szCs w:val="24"/>
        </w:rPr>
      </w:pPr>
      <w:r w:rsidRPr="00E911B9">
        <w:rPr>
          <w:rFonts w:ascii="Times New Roman" w:hAnsi="Times New Roman" w:cs="Times New Roman"/>
          <w:sz w:val="24"/>
          <w:szCs w:val="24"/>
        </w:rPr>
        <w:t>(...) the Arbitrator's decision is contrary to the clear language of Article 42.02 and is not within the range of acceptable outcomes.  Moreover, the reasons given for his interpretation of Article 42.02(a)(i) lack the justification and transparency required to meet the standard of reasonableness. (...)</w:t>
      </w:r>
    </w:p>
    <w:p w14:paraId="45C2EDDA" w14:textId="77777777" w:rsidR="00E911B9" w:rsidRPr="00E911B9" w:rsidRDefault="00E911B9" w:rsidP="00FE1751">
      <w:pPr>
        <w:pStyle w:val="ListParagraph"/>
        <w:tabs>
          <w:tab w:val="left" w:pos="360"/>
          <w:tab w:val="left" w:pos="8640"/>
        </w:tabs>
        <w:spacing w:line="240" w:lineRule="auto"/>
        <w:ind w:right="720"/>
        <w:jc w:val="both"/>
        <w:rPr>
          <w:rFonts w:ascii="Times New Roman" w:hAnsi="Times New Roman" w:cs="Times New Roman"/>
          <w:sz w:val="24"/>
          <w:szCs w:val="24"/>
        </w:rPr>
      </w:pPr>
    </w:p>
    <w:p w14:paraId="622BB0EA" w14:textId="77777777" w:rsidR="00FE2B62" w:rsidRPr="00FE2B62" w:rsidRDefault="00FE2B62" w:rsidP="00FE1751">
      <w:pPr>
        <w:pStyle w:val="ListParagraph"/>
        <w:tabs>
          <w:tab w:val="left" w:pos="360"/>
        </w:tabs>
        <w:spacing w:line="240" w:lineRule="auto"/>
        <w:ind w:left="0"/>
        <w:jc w:val="both"/>
        <w:rPr>
          <w:rFonts w:ascii="Times New Roman" w:hAnsi="Times New Roman" w:cs="Times New Roman"/>
          <w:sz w:val="28"/>
          <w:szCs w:val="28"/>
        </w:rPr>
      </w:pPr>
      <w:r w:rsidRPr="007B7A3E">
        <w:rPr>
          <w:rFonts w:ascii="Times New Roman" w:hAnsi="Times New Roman" w:cs="Times New Roman"/>
          <w:i/>
          <w:sz w:val="28"/>
          <w:szCs w:val="28"/>
        </w:rPr>
        <w:t>GNWT v UNW</w:t>
      </w:r>
      <w:r w:rsidRPr="00FE2B62">
        <w:rPr>
          <w:rFonts w:ascii="Times New Roman" w:hAnsi="Times New Roman" w:cs="Times New Roman"/>
          <w:sz w:val="28"/>
          <w:szCs w:val="28"/>
        </w:rPr>
        <w:t>, para 47.</w:t>
      </w:r>
    </w:p>
    <w:p w14:paraId="412EF05A" w14:textId="77777777" w:rsidR="00FE2B62" w:rsidRPr="00FE2B62" w:rsidRDefault="00FE2B62" w:rsidP="00FE1751">
      <w:pPr>
        <w:pStyle w:val="ListParagraph"/>
        <w:tabs>
          <w:tab w:val="left" w:pos="360"/>
        </w:tabs>
        <w:spacing w:line="240" w:lineRule="auto"/>
        <w:ind w:left="0"/>
        <w:jc w:val="both"/>
        <w:rPr>
          <w:rFonts w:ascii="Times New Roman" w:hAnsi="Times New Roman" w:cs="Times New Roman"/>
          <w:sz w:val="28"/>
          <w:szCs w:val="28"/>
        </w:rPr>
      </w:pPr>
    </w:p>
    <w:p w14:paraId="41084CE0" w14:textId="78D94E1F" w:rsidR="00E911B9" w:rsidRPr="00211416" w:rsidRDefault="00FE2B62" w:rsidP="00F449BD">
      <w:pPr>
        <w:pStyle w:val="ListParagraph"/>
        <w:numPr>
          <w:ilvl w:val="0"/>
          <w:numId w:val="22"/>
        </w:numPr>
        <w:tabs>
          <w:tab w:val="left" w:pos="360"/>
        </w:tabs>
        <w:spacing w:line="240" w:lineRule="auto"/>
        <w:ind w:left="0" w:firstLine="0"/>
        <w:jc w:val="both"/>
        <w:rPr>
          <w:rFonts w:ascii="Times New Roman" w:hAnsi="Times New Roman" w:cs="Times New Roman"/>
          <w:sz w:val="28"/>
          <w:szCs w:val="28"/>
        </w:rPr>
      </w:pPr>
      <w:r w:rsidRPr="00211416">
        <w:rPr>
          <w:rFonts w:ascii="Times New Roman" w:hAnsi="Times New Roman" w:cs="Times New Roman"/>
          <w:sz w:val="28"/>
          <w:szCs w:val="28"/>
        </w:rPr>
        <w:t xml:space="preserve">With respect, the UNW's assertion that insufficiency </w:t>
      </w:r>
      <w:r w:rsidR="007D4DB5" w:rsidRPr="00211416">
        <w:rPr>
          <w:rFonts w:ascii="Times New Roman" w:hAnsi="Times New Roman" w:cs="Times New Roman"/>
          <w:sz w:val="28"/>
          <w:szCs w:val="28"/>
        </w:rPr>
        <w:t>of</w:t>
      </w:r>
      <w:r w:rsidRPr="00211416">
        <w:rPr>
          <w:rFonts w:ascii="Times New Roman" w:hAnsi="Times New Roman" w:cs="Times New Roman"/>
          <w:sz w:val="28"/>
          <w:szCs w:val="28"/>
        </w:rPr>
        <w:t xml:space="preserve"> the Arbitrator’s reasons was the "primary" or "central" reason why I concluded that his decision was unreasonable is not accurate.  I concluded that the Arbitrator’s interpretation did not fall within the range of possible outcomes </w:t>
      </w:r>
      <w:r w:rsidRPr="00211416">
        <w:rPr>
          <w:rFonts w:ascii="Times New Roman" w:hAnsi="Times New Roman" w:cs="Times New Roman"/>
          <w:i/>
          <w:sz w:val="28"/>
          <w:szCs w:val="28"/>
        </w:rPr>
        <w:t>and</w:t>
      </w:r>
      <w:r w:rsidRPr="00211416">
        <w:rPr>
          <w:rFonts w:ascii="Times New Roman" w:hAnsi="Times New Roman" w:cs="Times New Roman"/>
          <w:sz w:val="28"/>
          <w:szCs w:val="28"/>
        </w:rPr>
        <w:t xml:space="preserve"> that h</w:t>
      </w:r>
      <w:r w:rsidR="00771D1F" w:rsidRPr="00211416">
        <w:rPr>
          <w:rFonts w:ascii="Times New Roman" w:hAnsi="Times New Roman" w:cs="Times New Roman"/>
          <w:sz w:val="28"/>
          <w:szCs w:val="28"/>
        </w:rPr>
        <w:t xml:space="preserve">is </w:t>
      </w:r>
      <w:r w:rsidRPr="00211416">
        <w:rPr>
          <w:rFonts w:ascii="Times New Roman" w:hAnsi="Times New Roman" w:cs="Times New Roman"/>
          <w:sz w:val="28"/>
          <w:szCs w:val="28"/>
        </w:rPr>
        <w:t>reasons for n</w:t>
      </w:r>
      <w:r w:rsidR="00784011" w:rsidRPr="00211416">
        <w:rPr>
          <w:rFonts w:ascii="Times New Roman" w:hAnsi="Times New Roman" w:cs="Times New Roman"/>
          <w:sz w:val="28"/>
          <w:szCs w:val="28"/>
        </w:rPr>
        <w:t>ot giving effect to the words</w:t>
      </w:r>
      <w:r w:rsidRPr="00211416">
        <w:rPr>
          <w:rFonts w:ascii="Times New Roman" w:hAnsi="Times New Roman" w:cs="Times New Roman"/>
          <w:sz w:val="28"/>
          <w:szCs w:val="28"/>
        </w:rPr>
        <w:t xml:space="preserve"> used by the parties in Article 42.02 were deficient.  Since I have concluded that the Arbitrator's interpretation does not fall within a range of acceptable outcomes, it would be pointless to remit the matter to him to provide him an opportunity to elaborate on his reasons. </w:t>
      </w:r>
    </w:p>
    <w:p w14:paraId="7679F408" w14:textId="77777777" w:rsidR="007B7A3E" w:rsidRDefault="007B7A3E" w:rsidP="00FE1751">
      <w:pPr>
        <w:pStyle w:val="ListParagraph"/>
        <w:tabs>
          <w:tab w:val="left" w:pos="360"/>
        </w:tabs>
        <w:spacing w:line="240" w:lineRule="auto"/>
        <w:ind w:left="0"/>
        <w:jc w:val="both"/>
        <w:rPr>
          <w:rFonts w:ascii="Times New Roman" w:hAnsi="Times New Roman" w:cs="Times New Roman"/>
          <w:sz w:val="28"/>
          <w:szCs w:val="28"/>
        </w:rPr>
      </w:pPr>
    </w:p>
    <w:p w14:paraId="3F93BBC3" w14:textId="77777777" w:rsidR="00E911B9" w:rsidRDefault="00FE2B62" w:rsidP="00FE1751">
      <w:pPr>
        <w:pStyle w:val="ListParagraph"/>
        <w:numPr>
          <w:ilvl w:val="0"/>
          <w:numId w:val="22"/>
        </w:numPr>
        <w:tabs>
          <w:tab w:val="left" w:pos="360"/>
        </w:tabs>
        <w:spacing w:line="240" w:lineRule="auto"/>
        <w:ind w:left="0" w:firstLine="0"/>
        <w:jc w:val="both"/>
        <w:rPr>
          <w:rFonts w:ascii="Times New Roman" w:hAnsi="Times New Roman" w:cs="Times New Roman"/>
          <w:sz w:val="28"/>
          <w:szCs w:val="28"/>
        </w:rPr>
      </w:pPr>
      <w:r w:rsidRPr="00E911B9">
        <w:rPr>
          <w:rFonts w:ascii="Times New Roman" w:hAnsi="Times New Roman" w:cs="Times New Roman"/>
          <w:sz w:val="28"/>
          <w:szCs w:val="28"/>
        </w:rPr>
        <w:t xml:space="preserve">The next </w:t>
      </w:r>
      <w:r w:rsidR="00BE2C3B">
        <w:rPr>
          <w:rFonts w:ascii="Times New Roman" w:hAnsi="Times New Roman" w:cs="Times New Roman"/>
          <w:sz w:val="28"/>
          <w:szCs w:val="28"/>
        </w:rPr>
        <w:t>question is</w:t>
      </w:r>
      <w:r w:rsidRPr="00E911B9">
        <w:rPr>
          <w:rFonts w:ascii="Times New Roman" w:hAnsi="Times New Roman" w:cs="Times New Roman"/>
          <w:sz w:val="28"/>
          <w:szCs w:val="28"/>
        </w:rPr>
        <w:t xml:space="preserve"> whether, in light of </w:t>
      </w:r>
      <w:r w:rsidR="00771D1F">
        <w:rPr>
          <w:rFonts w:ascii="Times New Roman" w:hAnsi="Times New Roman" w:cs="Times New Roman"/>
          <w:sz w:val="28"/>
          <w:szCs w:val="28"/>
        </w:rPr>
        <w:t>my decision, there remain</w:t>
      </w:r>
      <w:r w:rsidR="00784011">
        <w:rPr>
          <w:rFonts w:ascii="Times New Roman" w:hAnsi="Times New Roman" w:cs="Times New Roman"/>
          <w:sz w:val="28"/>
          <w:szCs w:val="28"/>
        </w:rPr>
        <w:t>s</w:t>
      </w:r>
      <w:r w:rsidR="00771D1F">
        <w:rPr>
          <w:rFonts w:ascii="Times New Roman" w:hAnsi="Times New Roman" w:cs="Times New Roman"/>
          <w:sz w:val="28"/>
          <w:szCs w:val="28"/>
        </w:rPr>
        <w:t xml:space="preserve"> more than one possible interpretation of Article 42.02</w:t>
      </w:r>
      <w:r w:rsidRPr="00E911B9">
        <w:rPr>
          <w:rFonts w:ascii="Times New Roman" w:hAnsi="Times New Roman" w:cs="Times New Roman"/>
          <w:sz w:val="28"/>
          <w:szCs w:val="28"/>
        </w:rPr>
        <w:t>.  The UNW says that there are and offers two examples.</w:t>
      </w:r>
    </w:p>
    <w:p w14:paraId="2196EE33" w14:textId="77777777" w:rsidR="00E911B9" w:rsidRDefault="00E911B9" w:rsidP="00FE1751">
      <w:pPr>
        <w:pStyle w:val="ListParagraph"/>
        <w:tabs>
          <w:tab w:val="left" w:pos="360"/>
        </w:tabs>
        <w:spacing w:line="240" w:lineRule="auto"/>
        <w:ind w:left="0"/>
        <w:jc w:val="both"/>
        <w:rPr>
          <w:rFonts w:ascii="Times New Roman" w:hAnsi="Times New Roman" w:cs="Times New Roman"/>
          <w:sz w:val="28"/>
          <w:szCs w:val="28"/>
        </w:rPr>
      </w:pPr>
    </w:p>
    <w:p w14:paraId="363CE382" w14:textId="3BC13E78" w:rsidR="00E911B9" w:rsidRDefault="00FE2B62" w:rsidP="00FE1751">
      <w:pPr>
        <w:pStyle w:val="ListParagraph"/>
        <w:numPr>
          <w:ilvl w:val="0"/>
          <w:numId w:val="22"/>
        </w:numPr>
        <w:tabs>
          <w:tab w:val="left" w:pos="360"/>
        </w:tabs>
        <w:spacing w:line="240" w:lineRule="auto"/>
        <w:ind w:left="0" w:firstLine="0"/>
        <w:jc w:val="both"/>
        <w:rPr>
          <w:rFonts w:ascii="Times New Roman" w:hAnsi="Times New Roman" w:cs="Times New Roman"/>
          <w:sz w:val="28"/>
          <w:szCs w:val="28"/>
        </w:rPr>
      </w:pPr>
      <w:r w:rsidRPr="00E911B9">
        <w:rPr>
          <w:rFonts w:ascii="Times New Roman" w:hAnsi="Times New Roman" w:cs="Times New Roman"/>
          <w:sz w:val="28"/>
          <w:szCs w:val="28"/>
        </w:rPr>
        <w:lastRenderedPageBreak/>
        <w:t xml:space="preserve">The first is that employment with municipalities and hamlets could qualify as service “with the Government of the Northwest Territories”, for the purposes of Article 42.02, because local governments are statutory extensions of the GNWT.    </w:t>
      </w:r>
      <w:r w:rsidR="007D4DB5">
        <w:rPr>
          <w:rFonts w:ascii="Times New Roman" w:hAnsi="Times New Roman" w:cs="Times New Roman"/>
          <w:sz w:val="28"/>
          <w:szCs w:val="28"/>
        </w:rPr>
        <w:t>That</w:t>
      </w:r>
      <w:r w:rsidRPr="00E911B9">
        <w:rPr>
          <w:rFonts w:ascii="Times New Roman" w:hAnsi="Times New Roman" w:cs="Times New Roman"/>
          <w:sz w:val="28"/>
          <w:szCs w:val="28"/>
        </w:rPr>
        <w:t xml:space="preserve"> interpretation </w:t>
      </w:r>
      <w:r w:rsidR="008174DA">
        <w:rPr>
          <w:rFonts w:ascii="Times New Roman" w:hAnsi="Times New Roman" w:cs="Times New Roman"/>
          <w:sz w:val="28"/>
          <w:szCs w:val="28"/>
        </w:rPr>
        <w:t>is</w:t>
      </w:r>
      <w:r w:rsidRPr="00E911B9">
        <w:rPr>
          <w:rFonts w:ascii="Times New Roman" w:hAnsi="Times New Roman" w:cs="Times New Roman"/>
          <w:sz w:val="28"/>
          <w:szCs w:val="28"/>
        </w:rPr>
        <w:t xml:space="preserve"> </w:t>
      </w:r>
      <w:r w:rsidR="00771D1F">
        <w:rPr>
          <w:rFonts w:ascii="Times New Roman" w:hAnsi="Times New Roman" w:cs="Times New Roman"/>
          <w:sz w:val="28"/>
          <w:szCs w:val="28"/>
        </w:rPr>
        <w:t>inconsistent with</w:t>
      </w:r>
      <w:r w:rsidRPr="00E911B9">
        <w:rPr>
          <w:rFonts w:ascii="Times New Roman" w:hAnsi="Times New Roman" w:cs="Times New Roman"/>
          <w:sz w:val="28"/>
          <w:szCs w:val="28"/>
        </w:rPr>
        <w:t xml:space="preserve"> my </w:t>
      </w:r>
      <w:r w:rsidRPr="007D4DB5">
        <w:rPr>
          <w:rFonts w:ascii="Times New Roman" w:hAnsi="Times New Roman" w:cs="Times New Roman"/>
          <w:sz w:val="28"/>
          <w:szCs w:val="28"/>
        </w:rPr>
        <w:t>Ruling</w:t>
      </w:r>
      <w:r w:rsidR="007D4DB5" w:rsidRPr="007D4DB5">
        <w:rPr>
          <w:rFonts w:ascii="Times New Roman" w:hAnsi="Times New Roman" w:cs="Times New Roman"/>
          <w:sz w:val="28"/>
          <w:szCs w:val="28"/>
        </w:rPr>
        <w:t>.</w:t>
      </w:r>
      <w:r w:rsidR="00D37FEA">
        <w:rPr>
          <w:rFonts w:ascii="Times New Roman" w:hAnsi="Times New Roman" w:cs="Times New Roman"/>
          <w:sz w:val="28"/>
          <w:szCs w:val="28"/>
        </w:rPr>
        <w:t xml:space="preserve"> </w:t>
      </w:r>
      <w:r w:rsidRPr="00E911B9">
        <w:rPr>
          <w:rFonts w:ascii="Times New Roman" w:hAnsi="Times New Roman" w:cs="Times New Roman"/>
          <w:sz w:val="28"/>
          <w:szCs w:val="28"/>
        </w:rPr>
        <w:t xml:space="preserve"> I have concluded that </w:t>
      </w:r>
      <w:r w:rsidR="00771D1F">
        <w:rPr>
          <w:rFonts w:ascii="Times New Roman" w:hAnsi="Times New Roman" w:cs="Times New Roman"/>
          <w:sz w:val="28"/>
          <w:szCs w:val="28"/>
        </w:rPr>
        <w:t xml:space="preserve">the </w:t>
      </w:r>
      <w:r w:rsidRPr="00E911B9">
        <w:rPr>
          <w:rFonts w:ascii="Times New Roman" w:hAnsi="Times New Roman" w:cs="Times New Roman"/>
          <w:sz w:val="28"/>
          <w:szCs w:val="28"/>
        </w:rPr>
        <w:t xml:space="preserve">words “with the Government of the Northwest Territories” </w:t>
      </w:r>
      <w:r w:rsidR="00771D1F">
        <w:rPr>
          <w:rFonts w:ascii="Times New Roman" w:hAnsi="Times New Roman" w:cs="Times New Roman"/>
          <w:sz w:val="28"/>
          <w:szCs w:val="28"/>
        </w:rPr>
        <w:t>have precedence over the broad definition of "Continuous Service" and that their effect is to</w:t>
      </w:r>
      <w:r w:rsidRPr="00E911B9">
        <w:rPr>
          <w:rFonts w:ascii="Times New Roman" w:hAnsi="Times New Roman" w:cs="Times New Roman"/>
          <w:sz w:val="28"/>
          <w:szCs w:val="28"/>
        </w:rPr>
        <w:t xml:space="preserve"> restrict th</w:t>
      </w:r>
      <w:r w:rsidR="00771D1F">
        <w:rPr>
          <w:rFonts w:ascii="Times New Roman" w:hAnsi="Times New Roman" w:cs="Times New Roman"/>
          <w:sz w:val="28"/>
          <w:szCs w:val="28"/>
        </w:rPr>
        <w:t>at</w:t>
      </w:r>
      <w:r w:rsidRPr="00E911B9">
        <w:rPr>
          <w:rFonts w:ascii="Times New Roman" w:hAnsi="Times New Roman" w:cs="Times New Roman"/>
          <w:sz w:val="28"/>
          <w:szCs w:val="28"/>
        </w:rPr>
        <w:t xml:space="preserve"> definition</w:t>
      </w:r>
      <w:r w:rsidR="00771D1F">
        <w:rPr>
          <w:rFonts w:ascii="Times New Roman" w:hAnsi="Times New Roman" w:cs="Times New Roman"/>
          <w:sz w:val="28"/>
          <w:szCs w:val="28"/>
        </w:rPr>
        <w:t>.</w:t>
      </w:r>
      <w:r w:rsidRPr="00E911B9">
        <w:rPr>
          <w:rFonts w:ascii="Times New Roman" w:hAnsi="Times New Roman" w:cs="Times New Roman"/>
          <w:sz w:val="28"/>
          <w:szCs w:val="28"/>
        </w:rPr>
        <w:t xml:space="preserve"> </w:t>
      </w:r>
      <w:r w:rsidR="00771D1F">
        <w:rPr>
          <w:rFonts w:ascii="Times New Roman" w:hAnsi="Times New Roman" w:cs="Times New Roman"/>
          <w:sz w:val="28"/>
          <w:szCs w:val="28"/>
        </w:rPr>
        <w:t xml:space="preserve"> </w:t>
      </w:r>
      <w:r w:rsidRPr="00E911B9">
        <w:rPr>
          <w:rFonts w:ascii="Times New Roman" w:hAnsi="Times New Roman" w:cs="Times New Roman"/>
          <w:sz w:val="28"/>
          <w:szCs w:val="28"/>
        </w:rPr>
        <w:t>If the intent of the parties was</w:t>
      </w:r>
      <w:r w:rsidR="00771D1F">
        <w:rPr>
          <w:rFonts w:ascii="Times New Roman" w:hAnsi="Times New Roman" w:cs="Times New Roman"/>
          <w:sz w:val="28"/>
          <w:szCs w:val="28"/>
        </w:rPr>
        <w:t xml:space="preserve"> to include</w:t>
      </w:r>
      <w:r w:rsidRPr="00E911B9">
        <w:rPr>
          <w:rFonts w:ascii="Times New Roman" w:hAnsi="Times New Roman" w:cs="Times New Roman"/>
          <w:sz w:val="28"/>
          <w:szCs w:val="28"/>
        </w:rPr>
        <w:t xml:space="preserve"> years of service with </w:t>
      </w:r>
      <w:r w:rsidR="00771D1F">
        <w:rPr>
          <w:rFonts w:ascii="Times New Roman" w:hAnsi="Times New Roman" w:cs="Times New Roman"/>
          <w:sz w:val="28"/>
          <w:szCs w:val="28"/>
        </w:rPr>
        <w:t>hamlets and municipalities</w:t>
      </w:r>
      <w:r w:rsidRPr="00E911B9">
        <w:rPr>
          <w:rFonts w:ascii="Times New Roman" w:hAnsi="Times New Roman" w:cs="Times New Roman"/>
          <w:sz w:val="28"/>
          <w:szCs w:val="28"/>
        </w:rPr>
        <w:t xml:space="preserve"> for the purposes of </w:t>
      </w:r>
      <w:r w:rsidR="00771D1F">
        <w:rPr>
          <w:rFonts w:ascii="Times New Roman" w:hAnsi="Times New Roman" w:cs="Times New Roman"/>
          <w:sz w:val="28"/>
          <w:szCs w:val="28"/>
        </w:rPr>
        <w:t xml:space="preserve">the calculation of </w:t>
      </w:r>
      <w:r w:rsidRPr="00E911B9">
        <w:rPr>
          <w:rFonts w:ascii="Times New Roman" w:hAnsi="Times New Roman" w:cs="Times New Roman"/>
          <w:sz w:val="28"/>
          <w:szCs w:val="28"/>
        </w:rPr>
        <w:t xml:space="preserve">entitlement to Ultimate Removal Assistance, hamlets and municipalities would have also been </w:t>
      </w:r>
      <w:r w:rsidR="00771D1F">
        <w:rPr>
          <w:rFonts w:ascii="Times New Roman" w:hAnsi="Times New Roman" w:cs="Times New Roman"/>
          <w:sz w:val="28"/>
          <w:szCs w:val="28"/>
        </w:rPr>
        <w:t>specifically included</w:t>
      </w:r>
      <w:r w:rsidRPr="00E911B9">
        <w:rPr>
          <w:rFonts w:ascii="Times New Roman" w:hAnsi="Times New Roman" w:cs="Times New Roman"/>
          <w:sz w:val="28"/>
          <w:szCs w:val="28"/>
        </w:rPr>
        <w:t xml:space="preserve"> at Article 42.02.</w:t>
      </w:r>
      <w:r w:rsidR="008174DA">
        <w:rPr>
          <w:rFonts w:ascii="Times New Roman" w:hAnsi="Times New Roman" w:cs="Times New Roman"/>
          <w:sz w:val="28"/>
          <w:szCs w:val="28"/>
        </w:rPr>
        <w:t xml:space="preserve">  </w:t>
      </w:r>
    </w:p>
    <w:p w14:paraId="58F0C8EB" w14:textId="77777777" w:rsidR="00E911B9" w:rsidRPr="00E911B9" w:rsidRDefault="00E911B9" w:rsidP="00FE1751">
      <w:pPr>
        <w:pStyle w:val="ListParagraph"/>
        <w:spacing w:line="240" w:lineRule="auto"/>
        <w:rPr>
          <w:rFonts w:ascii="Times New Roman" w:hAnsi="Times New Roman" w:cs="Times New Roman"/>
          <w:sz w:val="28"/>
          <w:szCs w:val="28"/>
        </w:rPr>
      </w:pPr>
    </w:p>
    <w:p w14:paraId="2858BF48" w14:textId="77777777" w:rsidR="00E911B9" w:rsidRDefault="00FE2B62" w:rsidP="00FE1751">
      <w:pPr>
        <w:pStyle w:val="ListParagraph"/>
        <w:numPr>
          <w:ilvl w:val="0"/>
          <w:numId w:val="22"/>
        </w:numPr>
        <w:tabs>
          <w:tab w:val="left" w:pos="360"/>
        </w:tabs>
        <w:spacing w:line="240" w:lineRule="auto"/>
        <w:ind w:left="0" w:firstLine="0"/>
        <w:jc w:val="both"/>
        <w:rPr>
          <w:rFonts w:ascii="Times New Roman" w:hAnsi="Times New Roman" w:cs="Times New Roman"/>
          <w:sz w:val="28"/>
          <w:szCs w:val="28"/>
        </w:rPr>
      </w:pPr>
      <w:r w:rsidRPr="00E911B9">
        <w:rPr>
          <w:rFonts w:ascii="Times New Roman" w:hAnsi="Times New Roman" w:cs="Times New Roman"/>
          <w:sz w:val="28"/>
          <w:szCs w:val="28"/>
        </w:rPr>
        <w:t xml:space="preserve">The second example that the UNW offers is that </w:t>
      </w:r>
      <w:r w:rsidR="00771D1F">
        <w:rPr>
          <w:rFonts w:ascii="Times New Roman" w:hAnsi="Times New Roman" w:cs="Times New Roman"/>
          <w:sz w:val="28"/>
          <w:szCs w:val="28"/>
        </w:rPr>
        <w:t xml:space="preserve">Article 42.02 may be interpreted as including years of service </w:t>
      </w:r>
      <w:r w:rsidR="00771D1F" w:rsidRPr="00E911B9">
        <w:rPr>
          <w:rFonts w:ascii="Times New Roman" w:hAnsi="Times New Roman" w:cs="Times New Roman"/>
          <w:sz w:val="28"/>
          <w:szCs w:val="28"/>
        </w:rPr>
        <w:t xml:space="preserve">with a function of the federal government that has </w:t>
      </w:r>
      <w:r w:rsidR="00771D1F">
        <w:rPr>
          <w:rFonts w:ascii="Times New Roman" w:hAnsi="Times New Roman" w:cs="Times New Roman"/>
          <w:sz w:val="28"/>
          <w:szCs w:val="28"/>
        </w:rPr>
        <w:t xml:space="preserve">since </w:t>
      </w:r>
      <w:r w:rsidR="00771D1F" w:rsidRPr="00E911B9">
        <w:rPr>
          <w:rFonts w:ascii="Times New Roman" w:hAnsi="Times New Roman" w:cs="Times New Roman"/>
          <w:sz w:val="28"/>
          <w:szCs w:val="28"/>
        </w:rPr>
        <w:t>been transferred to the GNWT</w:t>
      </w:r>
      <w:r w:rsidR="00771D1F">
        <w:rPr>
          <w:rFonts w:ascii="Times New Roman" w:hAnsi="Times New Roman" w:cs="Times New Roman"/>
          <w:sz w:val="28"/>
          <w:szCs w:val="28"/>
        </w:rPr>
        <w:t>.</w:t>
      </w:r>
      <w:r w:rsidR="00BA6FFB">
        <w:rPr>
          <w:rFonts w:ascii="Times New Roman" w:hAnsi="Times New Roman" w:cs="Times New Roman"/>
          <w:sz w:val="28"/>
          <w:szCs w:val="28"/>
        </w:rPr>
        <w:t xml:space="preserve"> </w:t>
      </w:r>
      <w:r w:rsidR="00771D1F" w:rsidRPr="00E911B9">
        <w:rPr>
          <w:rFonts w:ascii="Times New Roman" w:hAnsi="Times New Roman" w:cs="Times New Roman"/>
          <w:sz w:val="28"/>
          <w:szCs w:val="28"/>
        </w:rPr>
        <w:t xml:space="preserve"> </w:t>
      </w:r>
      <w:r w:rsidRPr="00E911B9">
        <w:rPr>
          <w:rFonts w:ascii="Times New Roman" w:hAnsi="Times New Roman" w:cs="Times New Roman"/>
          <w:sz w:val="28"/>
          <w:szCs w:val="28"/>
        </w:rPr>
        <w:t xml:space="preserve">I do not have the benefit of </w:t>
      </w:r>
      <w:r w:rsidR="00771D1F">
        <w:rPr>
          <w:rFonts w:ascii="Times New Roman" w:hAnsi="Times New Roman" w:cs="Times New Roman"/>
          <w:sz w:val="28"/>
          <w:szCs w:val="28"/>
        </w:rPr>
        <w:t xml:space="preserve">full </w:t>
      </w:r>
      <w:r w:rsidRPr="00E911B9">
        <w:rPr>
          <w:rFonts w:ascii="Times New Roman" w:hAnsi="Times New Roman" w:cs="Times New Roman"/>
          <w:sz w:val="28"/>
          <w:szCs w:val="28"/>
        </w:rPr>
        <w:t>submissions on that topic</w:t>
      </w:r>
      <w:r w:rsidR="00771D1F">
        <w:rPr>
          <w:rFonts w:ascii="Times New Roman" w:hAnsi="Times New Roman" w:cs="Times New Roman"/>
          <w:sz w:val="28"/>
          <w:szCs w:val="28"/>
        </w:rPr>
        <w:t>.</w:t>
      </w:r>
      <w:r w:rsidR="00431296">
        <w:rPr>
          <w:rFonts w:ascii="Times New Roman" w:hAnsi="Times New Roman" w:cs="Times New Roman"/>
          <w:sz w:val="28"/>
          <w:szCs w:val="28"/>
        </w:rPr>
        <w:t xml:space="preserve"> </w:t>
      </w:r>
      <w:r w:rsidR="00771D1F">
        <w:rPr>
          <w:rFonts w:ascii="Times New Roman" w:hAnsi="Times New Roman" w:cs="Times New Roman"/>
          <w:sz w:val="28"/>
          <w:szCs w:val="28"/>
        </w:rPr>
        <w:t xml:space="preserve"> I cannot say that it does not warrant consideration because in recent years,</w:t>
      </w:r>
      <w:r w:rsidRPr="00E911B9">
        <w:rPr>
          <w:rFonts w:ascii="Times New Roman" w:hAnsi="Times New Roman" w:cs="Times New Roman"/>
          <w:sz w:val="28"/>
          <w:szCs w:val="28"/>
        </w:rPr>
        <w:t xml:space="preserve"> several functions of the federal government have been devolved to the GNWT.  </w:t>
      </w:r>
      <w:r w:rsidR="00771D1F">
        <w:rPr>
          <w:rFonts w:ascii="Times New Roman" w:hAnsi="Times New Roman" w:cs="Times New Roman"/>
          <w:sz w:val="28"/>
          <w:szCs w:val="28"/>
        </w:rPr>
        <w:t xml:space="preserve">In the context of the interpretation of Article 42.02, it creates a unique situation.  </w:t>
      </w:r>
      <w:r w:rsidR="007D4DB5">
        <w:rPr>
          <w:rFonts w:ascii="Times New Roman" w:hAnsi="Times New Roman" w:cs="Times New Roman"/>
          <w:sz w:val="28"/>
          <w:szCs w:val="28"/>
        </w:rPr>
        <w:t>T</w:t>
      </w:r>
      <w:r w:rsidR="00771D1F">
        <w:rPr>
          <w:rFonts w:ascii="Times New Roman" w:hAnsi="Times New Roman" w:cs="Times New Roman"/>
          <w:sz w:val="28"/>
          <w:szCs w:val="28"/>
        </w:rPr>
        <w:t xml:space="preserve">he examination of </w:t>
      </w:r>
      <w:r w:rsidRPr="00E911B9">
        <w:rPr>
          <w:rFonts w:ascii="Times New Roman" w:hAnsi="Times New Roman" w:cs="Times New Roman"/>
          <w:sz w:val="28"/>
          <w:szCs w:val="28"/>
        </w:rPr>
        <w:t xml:space="preserve">this </w:t>
      </w:r>
      <w:r w:rsidR="00771D1F">
        <w:rPr>
          <w:rFonts w:ascii="Times New Roman" w:hAnsi="Times New Roman" w:cs="Times New Roman"/>
          <w:sz w:val="28"/>
          <w:szCs w:val="28"/>
        </w:rPr>
        <w:t>issue</w:t>
      </w:r>
      <w:r w:rsidRPr="00E911B9">
        <w:rPr>
          <w:rFonts w:ascii="Times New Roman" w:hAnsi="Times New Roman" w:cs="Times New Roman"/>
          <w:sz w:val="28"/>
          <w:szCs w:val="28"/>
        </w:rPr>
        <w:t xml:space="preserve"> falls squarely within the area of expertise of the Arbitrator.</w:t>
      </w:r>
    </w:p>
    <w:p w14:paraId="6FAEF3D0" w14:textId="77777777" w:rsidR="00E911B9" w:rsidRPr="00E911B9" w:rsidRDefault="00E911B9" w:rsidP="00FE1751">
      <w:pPr>
        <w:pStyle w:val="ListParagraph"/>
        <w:spacing w:line="240" w:lineRule="auto"/>
        <w:rPr>
          <w:rFonts w:ascii="Times New Roman" w:hAnsi="Times New Roman" w:cs="Times New Roman"/>
          <w:sz w:val="28"/>
          <w:szCs w:val="28"/>
        </w:rPr>
      </w:pPr>
    </w:p>
    <w:p w14:paraId="25CC576B" w14:textId="77777777" w:rsidR="00E911B9" w:rsidRDefault="00771D1F" w:rsidP="00FE1751">
      <w:pPr>
        <w:pStyle w:val="ListParagraph"/>
        <w:numPr>
          <w:ilvl w:val="0"/>
          <w:numId w:val="22"/>
        </w:numPr>
        <w:tabs>
          <w:tab w:val="left" w:pos="360"/>
        </w:tabs>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Having so concluded, I do not need to consider whether the fact that the parties proceeded by way of policy grievance</w:t>
      </w:r>
      <w:r w:rsidR="007D4DB5">
        <w:rPr>
          <w:rFonts w:ascii="Times New Roman" w:hAnsi="Times New Roman" w:cs="Times New Roman"/>
          <w:sz w:val="28"/>
          <w:szCs w:val="28"/>
        </w:rPr>
        <w:t xml:space="preserve"> and</w:t>
      </w:r>
      <w:r>
        <w:rPr>
          <w:rFonts w:ascii="Times New Roman" w:hAnsi="Times New Roman" w:cs="Times New Roman"/>
          <w:sz w:val="28"/>
          <w:szCs w:val="28"/>
        </w:rPr>
        <w:t xml:space="preserve"> the fact that the Arbitrato</w:t>
      </w:r>
      <w:r w:rsidR="007D4DB5">
        <w:rPr>
          <w:rFonts w:ascii="Times New Roman" w:hAnsi="Times New Roman" w:cs="Times New Roman"/>
          <w:sz w:val="28"/>
          <w:szCs w:val="28"/>
        </w:rPr>
        <w:t>r remained seized of the matter</w:t>
      </w:r>
      <w:r>
        <w:rPr>
          <w:rFonts w:ascii="Times New Roman" w:hAnsi="Times New Roman" w:cs="Times New Roman"/>
          <w:sz w:val="28"/>
          <w:szCs w:val="28"/>
        </w:rPr>
        <w:t xml:space="preserve"> make any difference </w:t>
      </w:r>
      <w:r w:rsidR="00B7485A">
        <w:rPr>
          <w:rFonts w:ascii="Times New Roman" w:hAnsi="Times New Roman" w:cs="Times New Roman"/>
          <w:sz w:val="28"/>
          <w:szCs w:val="28"/>
        </w:rPr>
        <w:t>to</w:t>
      </w:r>
      <w:r>
        <w:rPr>
          <w:rFonts w:ascii="Times New Roman" w:hAnsi="Times New Roman" w:cs="Times New Roman"/>
          <w:sz w:val="28"/>
          <w:szCs w:val="28"/>
        </w:rPr>
        <w:t xml:space="preserve"> whether the matter should be remitted</w:t>
      </w:r>
      <w:r w:rsidR="00FE2B62" w:rsidRPr="00E911B9">
        <w:rPr>
          <w:rFonts w:ascii="Times New Roman" w:hAnsi="Times New Roman" w:cs="Times New Roman"/>
          <w:sz w:val="28"/>
          <w:szCs w:val="28"/>
        </w:rPr>
        <w:t>.</w:t>
      </w:r>
    </w:p>
    <w:p w14:paraId="5755CFF0" w14:textId="77777777" w:rsidR="00FE1751" w:rsidRPr="00FE1751" w:rsidRDefault="00FE1751" w:rsidP="00FE1751">
      <w:pPr>
        <w:pStyle w:val="ListParagraph"/>
        <w:rPr>
          <w:rFonts w:ascii="Times New Roman" w:hAnsi="Times New Roman" w:cs="Times New Roman"/>
          <w:sz w:val="28"/>
          <w:szCs w:val="28"/>
        </w:rPr>
      </w:pPr>
    </w:p>
    <w:p w14:paraId="201817CD" w14:textId="77777777" w:rsidR="00FE1751" w:rsidRDefault="00FE1751" w:rsidP="00FE1751">
      <w:pPr>
        <w:pStyle w:val="ListParagraph"/>
        <w:tabs>
          <w:tab w:val="left" w:pos="360"/>
        </w:tabs>
        <w:spacing w:line="240" w:lineRule="auto"/>
        <w:ind w:left="0"/>
        <w:jc w:val="both"/>
        <w:rPr>
          <w:rFonts w:ascii="Times New Roman" w:hAnsi="Times New Roman" w:cs="Times New Roman"/>
          <w:sz w:val="28"/>
          <w:szCs w:val="28"/>
        </w:rPr>
      </w:pPr>
    </w:p>
    <w:p w14:paraId="2B426A3B" w14:textId="77777777" w:rsidR="00E911B9" w:rsidRPr="00E911B9" w:rsidRDefault="00E911B9" w:rsidP="00FE1751">
      <w:pPr>
        <w:pStyle w:val="ListParagraph"/>
        <w:spacing w:line="240" w:lineRule="auto"/>
        <w:rPr>
          <w:rFonts w:ascii="Times New Roman" w:hAnsi="Times New Roman" w:cs="Times New Roman"/>
          <w:sz w:val="28"/>
          <w:szCs w:val="28"/>
        </w:rPr>
      </w:pPr>
    </w:p>
    <w:p w14:paraId="2DF2226A" w14:textId="77777777" w:rsidR="00E911B9" w:rsidRPr="00755D45" w:rsidRDefault="00755D45" w:rsidP="00FE1751">
      <w:pPr>
        <w:pStyle w:val="ListParagraph"/>
        <w:numPr>
          <w:ilvl w:val="0"/>
          <w:numId w:val="22"/>
        </w:numPr>
        <w:tabs>
          <w:tab w:val="left" w:pos="360"/>
        </w:tabs>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The</w:t>
      </w:r>
      <w:r w:rsidR="00FE2B62" w:rsidRPr="00E911B9">
        <w:rPr>
          <w:rFonts w:ascii="Times New Roman" w:hAnsi="Times New Roman" w:cs="Times New Roman"/>
          <w:sz w:val="28"/>
          <w:szCs w:val="28"/>
        </w:rPr>
        <w:t xml:space="preserve"> cases </w:t>
      </w:r>
      <w:r>
        <w:rPr>
          <w:rFonts w:ascii="Times New Roman" w:hAnsi="Times New Roman" w:cs="Times New Roman"/>
          <w:sz w:val="28"/>
          <w:szCs w:val="28"/>
        </w:rPr>
        <w:t xml:space="preserve">relied on by </w:t>
      </w:r>
      <w:r w:rsidR="00FE2B62" w:rsidRPr="00E911B9">
        <w:rPr>
          <w:rFonts w:ascii="Times New Roman" w:hAnsi="Times New Roman" w:cs="Times New Roman"/>
          <w:sz w:val="28"/>
          <w:szCs w:val="28"/>
        </w:rPr>
        <w:t xml:space="preserve">the GNWT </w:t>
      </w:r>
      <w:r>
        <w:rPr>
          <w:rFonts w:ascii="Times New Roman" w:hAnsi="Times New Roman" w:cs="Times New Roman"/>
          <w:sz w:val="28"/>
          <w:szCs w:val="28"/>
        </w:rPr>
        <w:t>in support of its position</w:t>
      </w:r>
      <w:r w:rsidR="00FE2B62" w:rsidRPr="00E911B9">
        <w:rPr>
          <w:rFonts w:ascii="Times New Roman" w:hAnsi="Times New Roman" w:cs="Times New Roman"/>
          <w:sz w:val="28"/>
          <w:szCs w:val="28"/>
        </w:rPr>
        <w:t xml:space="preserve"> involved situations where the administrative decisions were overturned because the reviewing court found that the tribunal’s concl</w:t>
      </w:r>
      <w:r w:rsidR="007D4DB5">
        <w:rPr>
          <w:rFonts w:ascii="Times New Roman" w:hAnsi="Times New Roman" w:cs="Times New Roman"/>
          <w:sz w:val="28"/>
          <w:szCs w:val="28"/>
        </w:rPr>
        <w:t>usions were unreasonable in light of the evidence</w:t>
      </w:r>
      <w:r w:rsidR="00FE2B62" w:rsidRPr="00E911B9">
        <w:rPr>
          <w:rFonts w:ascii="Times New Roman" w:hAnsi="Times New Roman" w:cs="Times New Roman"/>
          <w:sz w:val="28"/>
          <w:szCs w:val="28"/>
        </w:rPr>
        <w:t xml:space="preserve">.  </w:t>
      </w:r>
      <w:r w:rsidRPr="007B7A3E">
        <w:rPr>
          <w:rFonts w:ascii="Times New Roman" w:hAnsi="Times New Roman" w:cs="Times New Roman"/>
          <w:i/>
          <w:sz w:val="28"/>
          <w:szCs w:val="28"/>
        </w:rPr>
        <w:t>Canadian Airlines International Ltd v C.A.L.P.A.</w:t>
      </w:r>
      <w:r w:rsidRPr="00E911B9">
        <w:rPr>
          <w:rFonts w:ascii="Times New Roman" w:hAnsi="Times New Roman" w:cs="Times New Roman"/>
          <w:sz w:val="28"/>
          <w:szCs w:val="28"/>
        </w:rPr>
        <w:t xml:space="preserve"> 1997 CarswellBC 1516</w:t>
      </w:r>
      <w:r>
        <w:rPr>
          <w:rFonts w:ascii="Times New Roman" w:hAnsi="Times New Roman" w:cs="Times New Roman"/>
          <w:sz w:val="28"/>
          <w:szCs w:val="28"/>
        </w:rPr>
        <w:t xml:space="preserve">; </w:t>
      </w:r>
      <w:r w:rsidRPr="007B7A3E">
        <w:rPr>
          <w:rFonts w:ascii="Times New Roman" w:hAnsi="Times New Roman" w:cs="Times New Roman"/>
          <w:i/>
          <w:sz w:val="28"/>
          <w:szCs w:val="28"/>
        </w:rPr>
        <w:t>Telus Communications Inc. and TWU (Underwood) Re</w:t>
      </w:r>
      <w:r w:rsidRPr="00E911B9">
        <w:rPr>
          <w:rFonts w:ascii="Times New Roman" w:hAnsi="Times New Roman" w:cs="Times New Roman"/>
          <w:sz w:val="28"/>
          <w:szCs w:val="28"/>
        </w:rPr>
        <w:t>, 2014 ABCA 199</w:t>
      </w:r>
      <w:r>
        <w:rPr>
          <w:rFonts w:ascii="Times New Roman" w:hAnsi="Times New Roman" w:cs="Times New Roman"/>
          <w:sz w:val="28"/>
          <w:szCs w:val="28"/>
        </w:rPr>
        <w:t>.  Once such a conclusion is reached about factual matters, there truly is little point</w:t>
      </w:r>
      <w:r w:rsidR="00FE2B62" w:rsidRPr="00E911B9">
        <w:rPr>
          <w:rFonts w:ascii="Times New Roman" w:hAnsi="Times New Roman" w:cs="Times New Roman"/>
          <w:sz w:val="28"/>
          <w:szCs w:val="28"/>
        </w:rPr>
        <w:t xml:space="preserve"> in remitting the matter to the administrative tribunal.  </w:t>
      </w:r>
      <w:r w:rsidR="00FE2B62" w:rsidRPr="00755D45">
        <w:rPr>
          <w:rFonts w:ascii="Times New Roman" w:hAnsi="Times New Roman" w:cs="Times New Roman"/>
          <w:sz w:val="28"/>
          <w:szCs w:val="28"/>
        </w:rPr>
        <w:t xml:space="preserve"> </w:t>
      </w:r>
    </w:p>
    <w:p w14:paraId="3D1F1333" w14:textId="77777777" w:rsidR="00E911B9" w:rsidRPr="00E911B9" w:rsidRDefault="00E911B9" w:rsidP="00FE1751">
      <w:pPr>
        <w:pStyle w:val="ListParagraph"/>
        <w:spacing w:line="240" w:lineRule="auto"/>
        <w:rPr>
          <w:rFonts w:ascii="Times New Roman" w:hAnsi="Times New Roman" w:cs="Times New Roman"/>
          <w:sz w:val="28"/>
          <w:szCs w:val="28"/>
        </w:rPr>
      </w:pPr>
    </w:p>
    <w:p w14:paraId="6C306B6F" w14:textId="77777777" w:rsidR="00755D45" w:rsidRDefault="00FE2B62" w:rsidP="00FE1751">
      <w:pPr>
        <w:pStyle w:val="ListParagraph"/>
        <w:numPr>
          <w:ilvl w:val="0"/>
          <w:numId w:val="22"/>
        </w:numPr>
        <w:tabs>
          <w:tab w:val="left" w:pos="360"/>
        </w:tabs>
        <w:spacing w:line="240" w:lineRule="auto"/>
        <w:ind w:left="0" w:firstLine="0"/>
        <w:jc w:val="both"/>
        <w:rPr>
          <w:rFonts w:ascii="Times New Roman" w:hAnsi="Times New Roman" w:cs="Times New Roman"/>
          <w:sz w:val="28"/>
          <w:szCs w:val="28"/>
        </w:rPr>
      </w:pPr>
      <w:r w:rsidRPr="00E911B9">
        <w:rPr>
          <w:rFonts w:ascii="Times New Roman" w:hAnsi="Times New Roman" w:cs="Times New Roman"/>
          <w:sz w:val="28"/>
          <w:szCs w:val="28"/>
        </w:rPr>
        <w:t>The situation here is very different</w:t>
      </w:r>
      <w:r w:rsidR="00755D45">
        <w:rPr>
          <w:rFonts w:ascii="Times New Roman" w:hAnsi="Times New Roman" w:cs="Times New Roman"/>
          <w:sz w:val="28"/>
          <w:szCs w:val="28"/>
        </w:rPr>
        <w:t>, because the Arbitrator's Award was not based on factual findings</w:t>
      </w:r>
      <w:r w:rsidRPr="00E911B9">
        <w:rPr>
          <w:rFonts w:ascii="Times New Roman" w:hAnsi="Times New Roman" w:cs="Times New Roman"/>
          <w:sz w:val="28"/>
          <w:szCs w:val="28"/>
        </w:rPr>
        <w:t>.</w:t>
      </w:r>
      <w:r w:rsidR="00755D45">
        <w:rPr>
          <w:rFonts w:ascii="Times New Roman" w:hAnsi="Times New Roman" w:cs="Times New Roman"/>
          <w:sz w:val="28"/>
          <w:szCs w:val="28"/>
        </w:rPr>
        <w:t xml:space="preserve">  It was purely a matter of interpretation of the relevant Articles of the Collective Agreement.</w:t>
      </w:r>
      <w:r w:rsidRPr="00E911B9">
        <w:rPr>
          <w:rFonts w:ascii="Times New Roman" w:hAnsi="Times New Roman" w:cs="Times New Roman"/>
          <w:sz w:val="28"/>
          <w:szCs w:val="28"/>
        </w:rPr>
        <w:t xml:space="preserve"> </w:t>
      </w:r>
      <w:r w:rsidR="007D5688">
        <w:rPr>
          <w:rFonts w:ascii="Times New Roman" w:hAnsi="Times New Roman" w:cs="Times New Roman"/>
          <w:sz w:val="28"/>
          <w:szCs w:val="28"/>
        </w:rPr>
        <w:t xml:space="preserve"> </w:t>
      </w:r>
      <w:r w:rsidR="00755D45">
        <w:rPr>
          <w:rFonts w:ascii="Times New Roman" w:hAnsi="Times New Roman" w:cs="Times New Roman"/>
          <w:sz w:val="28"/>
          <w:szCs w:val="28"/>
        </w:rPr>
        <w:t>My Ruling on the merits has considerab</w:t>
      </w:r>
      <w:r w:rsidR="007D4DB5">
        <w:rPr>
          <w:rFonts w:ascii="Times New Roman" w:hAnsi="Times New Roman" w:cs="Times New Roman"/>
          <w:sz w:val="28"/>
          <w:szCs w:val="28"/>
        </w:rPr>
        <w:t>ly narrowed the range of possib</w:t>
      </w:r>
      <w:r w:rsidR="00755D45">
        <w:rPr>
          <w:rFonts w:ascii="Times New Roman" w:hAnsi="Times New Roman" w:cs="Times New Roman"/>
          <w:sz w:val="28"/>
          <w:szCs w:val="28"/>
        </w:rPr>
        <w:t>l</w:t>
      </w:r>
      <w:r w:rsidR="007D4DB5">
        <w:rPr>
          <w:rFonts w:ascii="Times New Roman" w:hAnsi="Times New Roman" w:cs="Times New Roman"/>
          <w:sz w:val="28"/>
          <w:szCs w:val="28"/>
        </w:rPr>
        <w:t>e</w:t>
      </w:r>
      <w:r w:rsidR="00755D45">
        <w:rPr>
          <w:rFonts w:ascii="Times New Roman" w:hAnsi="Times New Roman" w:cs="Times New Roman"/>
          <w:sz w:val="28"/>
          <w:szCs w:val="28"/>
        </w:rPr>
        <w:t xml:space="preserve"> </w:t>
      </w:r>
      <w:r w:rsidRPr="00E911B9">
        <w:rPr>
          <w:rFonts w:ascii="Times New Roman" w:hAnsi="Times New Roman" w:cs="Times New Roman"/>
          <w:sz w:val="28"/>
          <w:szCs w:val="28"/>
        </w:rPr>
        <w:t>interpretation</w:t>
      </w:r>
      <w:r w:rsidR="007D4DB5">
        <w:rPr>
          <w:rFonts w:ascii="Times New Roman" w:hAnsi="Times New Roman" w:cs="Times New Roman"/>
          <w:sz w:val="28"/>
          <w:szCs w:val="28"/>
        </w:rPr>
        <w:t>s</w:t>
      </w:r>
      <w:r w:rsidRPr="00E911B9">
        <w:rPr>
          <w:rFonts w:ascii="Times New Roman" w:hAnsi="Times New Roman" w:cs="Times New Roman"/>
          <w:sz w:val="28"/>
          <w:szCs w:val="28"/>
        </w:rPr>
        <w:t xml:space="preserve"> of Article 42.02</w:t>
      </w:r>
      <w:r w:rsidR="007D4DB5">
        <w:rPr>
          <w:rFonts w:ascii="Times New Roman" w:hAnsi="Times New Roman" w:cs="Times New Roman"/>
          <w:sz w:val="28"/>
          <w:szCs w:val="28"/>
        </w:rPr>
        <w:t>, but</w:t>
      </w:r>
      <w:r w:rsidR="00755D45">
        <w:rPr>
          <w:rFonts w:ascii="Times New Roman" w:hAnsi="Times New Roman" w:cs="Times New Roman"/>
          <w:sz w:val="28"/>
          <w:szCs w:val="28"/>
        </w:rPr>
        <w:t xml:space="preserve"> there remain areas that have not been the subject of submissions by the parties</w:t>
      </w:r>
      <w:r w:rsidR="007D4DB5">
        <w:rPr>
          <w:rFonts w:ascii="Times New Roman" w:hAnsi="Times New Roman" w:cs="Times New Roman"/>
          <w:sz w:val="28"/>
          <w:szCs w:val="28"/>
        </w:rPr>
        <w:t>, such as the one evoked at Paragraph 20</w:t>
      </w:r>
      <w:r w:rsidR="00755D45">
        <w:rPr>
          <w:rFonts w:ascii="Times New Roman" w:hAnsi="Times New Roman" w:cs="Times New Roman"/>
          <w:sz w:val="28"/>
          <w:szCs w:val="28"/>
        </w:rPr>
        <w:t xml:space="preserve">.  </w:t>
      </w:r>
    </w:p>
    <w:p w14:paraId="18966E59" w14:textId="77777777" w:rsidR="00431296" w:rsidRDefault="00431296" w:rsidP="00FE1751">
      <w:pPr>
        <w:pStyle w:val="ListParagraph"/>
        <w:tabs>
          <w:tab w:val="left" w:pos="360"/>
        </w:tabs>
        <w:spacing w:line="240" w:lineRule="auto"/>
        <w:ind w:left="0"/>
        <w:jc w:val="both"/>
        <w:rPr>
          <w:rFonts w:ascii="Times New Roman" w:hAnsi="Times New Roman" w:cs="Times New Roman"/>
          <w:sz w:val="28"/>
          <w:szCs w:val="28"/>
        </w:rPr>
      </w:pPr>
    </w:p>
    <w:p w14:paraId="5E140AE5" w14:textId="43010869" w:rsidR="00E911B9" w:rsidRPr="00A15FAB" w:rsidRDefault="00755D45" w:rsidP="00FE1751">
      <w:pPr>
        <w:pStyle w:val="ListParagraph"/>
        <w:numPr>
          <w:ilvl w:val="0"/>
          <w:numId w:val="22"/>
        </w:numPr>
        <w:tabs>
          <w:tab w:val="left" w:pos="360"/>
        </w:tabs>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T</w:t>
      </w:r>
      <w:r w:rsidR="00A15FAB">
        <w:rPr>
          <w:rFonts w:ascii="Times New Roman" w:hAnsi="Times New Roman" w:cs="Times New Roman"/>
          <w:sz w:val="28"/>
          <w:szCs w:val="28"/>
        </w:rPr>
        <w:t>he cardinal principle that must govern</w:t>
      </w:r>
      <w:r w:rsidRPr="00E911B9">
        <w:rPr>
          <w:rFonts w:ascii="Times New Roman" w:hAnsi="Times New Roman" w:cs="Times New Roman"/>
          <w:sz w:val="28"/>
          <w:szCs w:val="28"/>
        </w:rPr>
        <w:t xml:space="preserve"> this Court's approach in judicial review is restraint.  Any doubt about the appropriate remedy should be resolved in favo</w:t>
      </w:r>
      <w:r w:rsidR="00C039C0">
        <w:rPr>
          <w:rFonts w:ascii="Times New Roman" w:hAnsi="Times New Roman" w:cs="Times New Roman"/>
          <w:sz w:val="28"/>
          <w:szCs w:val="28"/>
        </w:rPr>
        <w:t>u</w:t>
      </w:r>
      <w:r w:rsidRPr="00E911B9">
        <w:rPr>
          <w:rFonts w:ascii="Times New Roman" w:hAnsi="Times New Roman" w:cs="Times New Roman"/>
          <w:sz w:val="28"/>
          <w:szCs w:val="28"/>
        </w:rPr>
        <w:t xml:space="preserve">r of quashing the decision and remitting the matter back for reconsideration by the administrative decision-maker.  D. Brown and J. Evans, </w:t>
      </w:r>
      <w:r w:rsidRPr="007D5688">
        <w:rPr>
          <w:rFonts w:ascii="Times New Roman" w:hAnsi="Times New Roman" w:cs="Times New Roman"/>
          <w:i/>
          <w:sz w:val="28"/>
          <w:szCs w:val="28"/>
        </w:rPr>
        <w:t>Judicial Review of Administrative Action in Canada</w:t>
      </w:r>
      <w:r w:rsidRPr="00E911B9">
        <w:rPr>
          <w:rFonts w:ascii="Times New Roman" w:hAnsi="Times New Roman" w:cs="Times New Roman"/>
          <w:sz w:val="28"/>
          <w:szCs w:val="28"/>
        </w:rPr>
        <w:t xml:space="preserve"> (Thomson: Toronto, 2017), 5:2200</w:t>
      </w:r>
      <w:r w:rsidR="00A15FAB">
        <w:rPr>
          <w:rFonts w:ascii="Times New Roman" w:hAnsi="Times New Roman" w:cs="Times New Roman"/>
          <w:sz w:val="28"/>
          <w:szCs w:val="28"/>
        </w:rPr>
        <w:t>.</w:t>
      </w:r>
      <w:r w:rsidR="00FE2B62" w:rsidRPr="00A15FAB">
        <w:rPr>
          <w:rFonts w:ascii="Times New Roman" w:hAnsi="Times New Roman" w:cs="Times New Roman"/>
          <w:sz w:val="28"/>
          <w:szCs w:val="28"/>
        </w:rPr>
        <w:t xml:space="preserve"> </w:t>
      </w:r>
    </w:p>
    <w:p w14:paraId="41F2E6BB" w14:textId="77777777" w:rsidR="00E911B9" w:rsidRPr="00E911B9" w:rsidRDefault="00E911B9" w:rsidP="00FE1751">
      <w:pPr>
        <w:pStyle w:val="ListParagraph"/>
        <w:spacing w:line="240" w:lineRule="auto"/>
        <w:rPr>
          <w:rFonts w:ascii="Times New Roman" w:hAnsi="Times New Roman" w:cs="Times New Roman"/>
          <w:sz w:val="28"/>
          <w:szCs w:val="28"/>
        </w:rPr>
      </w:pPr>
    </w:p>
    <w:p w14:paraId="1E8A7139" w14:textId="77777777" w:rsidR="00FE2B62" w:rsidRPr="00E911B9" w:rsidRDefault="00FE2B62" w:rsidP="00FE1751">
      <w:pPr>
        <w:pStyle w:val="ListParagraph"/>
        <w:numPr>
          <w:ilvl w:val="0"/>
          <w:numId w:val="22"/>
        </w:numPr>
        <w:tabs>
          <w:tab w:val="left" w:pos="360"/>
        </w:tabs>
        <w:spacing w:line="240" w:lineRule="auto"/>
        <w:ind w:left="0" w:firstLine="0"/>
        <w:jc w:val="both"/>
        <w:rPr>
          <w:rFonts w:ascii="Times New Roman" w:hAnsi="Times New Roman" w:cs="Times New Roman"/>
          <w:sz w:val="28"/>
          <w:szCs w:val="28"/>
        </w:rPr>
      </w:pPr>
      <w:r w:rsidRPr="00E911B9">
        <w:rPr>
          <w:rFonts w:ascii="Times New Roman" w:hAnsi="Times New Roman" w:cs="Times New Roman"/>
          <w:sz w:val="28"/>
          <w:szCs w:val="28"/>
        </w:rPr>
        <w:t xml:space="preserve">I conclude that </w:t>
      </w:r>
      <w:r w:rsidR="00A15FAB">
        <w:rPr>
          <w:rFonts w:ascii="Times New Roman" w:hAnsi="Times New Roman" w:cs="Times New Roman"/>
          <w:sz w:val="28"/>
          <w:szCs w:val="28"/>
        </w:rPr>
        <w:t>this is not a case where this Court should take the unusual step of rendering its own decision on the matter.  The matter should be remitted back to the Arbitrator.</w:t>
      </w:r>
      <w:r w:rsidRPr="00E911B9">
        <w:rPr>
          <w:rFonts w:ascii="Times New Roman" w:hAnsi="Times New Roman" w:cs="Times New Roman"/>
          <w:sz w:val="28"/>
          <w:szCs w:val="28"/>
        </w:rPr>
        <w:t xml:space="preserve">  It goes without saying</w:t>
      </w:r>
      <w:r w:rsidR="007D4DB5">
        <w:rPr>
          <w:rFonts w:ascii="Times New Roman" w:hAnsi="Times New Roman" w:cs="Times New Roman"/>
          <w:sz w:val="28"/>
          <w:szCs w:val="28"/>
        </w:rPr>
        <w:t xml:space="preserve"> </w:t>
      </w:r>
      <w:r w:rsidRPr="00E911B9">
        <w:rPr>
          <w:rFonts w:ascii="Times New Roman" w:hAnsi="Times New Roman" w:cs="Times New Roman"/>
          <w:sz w:val="28"/>
          <w:szCs w:val="28"/>
        </w:rPr>
        <w:t>that it is not open to him to adopt an inter</w:t>
      </w:r>
      <w:r w:rsidR="00A15FAB">
        <w:rPr>
          <w:rFonts w:ascii="Times New Roman" w:hAnsi="Times New Roman" w:cs="Times New Roman"/>
          <w:sz w:val="28"/>
          <w:szCs w:val="28"/>
        </w:rPr>
        <w:t>pretation of Article 42.02</w:t>
      </w:r>
      <w:r w:rsidRPr="00E911B9">
        <w:rPr>
          <w:rFonts w:ascii="Times New Roman" w:hAnsi="Times New Roman" w:cs="Times New Roman"/>
          <w:sz w:val="28"/>
          <w:szCs w:val="28"/>
        </w:rPr>
        <w:t xml:space="preserve"> that cannot be reconciled with my </w:t>
      </w:r>
      <w:r w:rsidR="007D4DB5">
        <w:rPr>
          <w:rFonts w:ascii="Times New Roman" w:hAnsi="Times New Roman" w:cs="Times New Roman"/>
          <w:sz w:val="28"/>
          <w:szCs w:val="28"/>
        </w:rPr>
        <w:t>November 2017 Ruling or this one</w:t>
      </w:r>
      <w:r w:rsidRPr="00E911B9">
        <w:rPr>
          <w:rFonts w:ascii="Times New Roman" w:hAnsi="Times New Roman" w:cs="Times New Roman"/>
          <w:sz w:val="28"/>
          <w:szCs w:val="28"/>
        </w:rPr>
        <w:t xml:space="preserve">.   </w:t>
      </w:r>
    </w:p>
    <w:p w14:paraId="402650A7" w14:textId="77777777" w:rsidR="00FE2B62" w:rsidRPr="00FE2B62" w:rsidRDefault="00FE2B62" w:rsidP="00FE1751">
      <w:pPr>
        <w:pStyle w:val="ListParagraph"/>
        <w:tabs>
          <w:tab w:val="left" w:pos="360"/>
        </w:tabs>
        <w:spacing w:line="240" w:lineRule="auto"/>
        <w:ind w:left="0"/>
        <w:jc w:val="both"/>
        <w:rPr>
          <w:rFonts w:ascii="Times New Roman" w:hAnsi="Times New Roman" w:cs="Times New Roman"/>
          <w:sz w:val="28"/>
          <w:szCs w:val="28"/>
        </w:rPr>
      </w:pPr>
    </w:p>
    <w:p w14:paraId="18F0F24F" w14:textId="77777777" w:rsidR="00FE2B62" w:rsidRPr="00FE2B62" w:rsidRDefault="00FE2B62" w:rsidP="00FE1751">
      <w:pPr>
        <w:pStyle w:val="ListParagraph"/>
        <w:tabs>
          <w:tab w:val="left" w:pos="360"/>
        </w:tabs>
        <w:spacing w:line="240" w:lineRule="auto"/>
        <w:ind w:left="0"/>
        <w:jc w:val="both"/>
        <w:rPr>
          <w:rFonts w:ascii="Times New Roman" w:hAnsi="Times New Roman" w:cs="Times New Roman"/>
          <w:sz w:val="28"/>
          <w:szCs w:val="28"/>
        </w:rPr>
      </w:pPr>
      <w:r w:rsidRPr="00FE2B62">
        <w:rPr>
          <w:rFonts w:ascii="Times New Roman" w:hAnsi="Times New Roman" w:cs="Times New Roman"/>
          <w:sz w:val="28"/>
          <w:szCs w:val="28"/>
        </w:rPr>
        <w:t>4. Costs</w:t>
      </w:r>
    </w:p>
    <w:p w14:paraId="6E8C79CB" w14:textId="77777777" w:rsidR="00FE2B62" w:rsidRPr="00FE2B62" w:rsidRDefault="00FE2B62" w:rsidP="00FE1751">
      <w:pPr>
        <w:pStyle w:val="ListParagraph"/>
        <w:tabs>
          <w:tab w:val="left" w:pos="360"/>
        </w:tabs>
        <w:spacing w:line="240" w:lineRule="auto"/>
        <w:ind w:left="0"/>
        <w:jc w:val="both"/>
        <w:rPr>
          <w:rFonts w:ascii="Times New Roman" w:hAnsi="Times New Roman" w:cs="Times New Roman"/>
          <w:sz w:val="28"/>
          <w:szCs w:val="28"/>
        </w:rPr>
      </w:pPr>
    </w:p>
    <w:p w14:paraId="1E294A53" w14:textId="19AC8CAC" w:rsidR="00E911B9" w:rsidRDefault="00FE2B62" w:rsidP="00FE1751">
      <w:pPr>
        <w:pStyle w:val="ListParagraph"/>
        <w:numPr>
          <w:ilvl w:val="0"/>
          <w:numId w:val="22"/>
        </w:numPr>
        <w:tabs>
          <w:tab w:val="left" w:pos="360"/>
        </w:tabs>
        <w:spacing w:line="240" w:lineRule="auto"/>
        <w:ind w:left="0" w:firstLine="0"/>
        <w:jc w:val="both"/>
        <w:rPr>
          <w:rFonts w:ascii="Times New Roman" w:hAnsi="Times New Roman" w:cs="Times New Roman"/>
          <w:sz w:val="28"/>
          <w:szCs w:val="28"/>
        </w:rPr>
      </w:pPr>
      <w:r w:rsidRPr="00E911B9">
        <w:rPr>
          <w:rFonts w:ascii="Times New Roman" w:hAnsi="Times New Roman" w:cs="Times New Roman"/>
          <w:sz w:val="28"/>
          <w:szCs w:val="28"/>
        </w:rPr>
        <w:t>The parties were given an opportunity to make submissions on costs.  The GNWT has not made any submissions on that issue</w:t>
      </w:r>
      <w:r w:rsidR="007D4DB5">
        <w:rPr>
          <w:rFonts w:ascii="Times New Roman" w:hAnsi="Times New Roman" w:cs="Times New Roman"/>
          <w:sz w:val="28"/>
          <w:szCs w:val="28"/>
        </w:rPr>
        <w:t>.</w:t>
      </w:r>
      <w:r w:rsidRPr="00E911B9">
        <w:rPr>
          <w:rFonts w:ascii="Times New Roman" w:hAnsi="Times New Roman" w:cs="Times New Roman"/>
          <w:sz w:val="28"/>
          <w:szCs w:val="28"/>
        </w:rPr>
        <w:t xml:space="preserve"> </w:t>
      </w:r>
      <w:r w:rsidR="007D4DB5">
        <w:rPr>
          <w:rFonts w:ascii="Times New Roman" w:hAnsi="Times New Roman" w:cs="Times New Roman"/>
          <w:sz w:val="28"/>
          <w:szCs w:val="28"/>
        </w:rPr>
        <w:t xml:space="preserve"> T</w:t>
      </w:r>
      <w:r w:rsidRPr="00E911B9">
        <w:rPr>
          <w:rFonts w:ascii="Times New Roman" w:hAnsi="Times New Roman" w:cs="Times New Roman"/>
          <w:sz w:val="28"/>
          <w:szCs w:val="28"/>
        </w:rPr>
        <w:t>he UNW argues that each party should bear its own costs given that success was divided on the Application.</w:t>
      </w:r>
    </w:p>
    <w:p w14:paraId="31150315" w14:textId="77777777" w:rsidR="00E911B9" w:rsidRDefault="00E911B9" w:rsidP="00FE1751">
      <w:pPr>
        <w:pStyle w:val="ListParagraph"/>
        <w:tabs>
          <w:tab w:val="left" w:pos="360"/>
        </w:tabs>
        <w:spacing w:line="240" w:lineRule="auto"/>
        <w:ind w:left="0"/>
        <w:jc w:val="both"/>
        <w:rPr>
          <w:rFonts w:ascii="Times New Roman" w:hAnsi="Times New Roman" w:cs="Times New Roman"/>
          <w:sz w:val="28"/>
          <w:szCs w:val="28"/>
        </w:rPr>
      </w:pPr>
    </w:p>
    <w:p w14:paraId="0E240790" w14:textId="77777777" w:rsidR="00FE2B62" w:rsidRPr="00E911B9" w:rsidRDefault="00FE2B62" w:rsidP="00FE1751">
      <w:pPr>
        <w:pStyle w:val="ListParagraph"/>
        <w:numPr>
          <w:ilvl w:val="0"/>
          <w:numId w:val="22"/>
        </w:numPr>
        <w:tabs>
          <w:tab w:val="left" w:pos="360"/>
        </w:tabs>
        <w:spacing w:line="240" w:lineRule="auto"/>
        <w:ind w:left="0" w:firstLine="0"/>
        <w:jc w:val="both"/>
        <w:rPr>
          <w:rFonts w:ascii="Times New Roman" w:hAnsi="Times New Roman" w:cs="Times New Roman"/>
          <w:sz w:val="28"/>
          <w:szCs w:val="28"/>
        </w:rPr>
      </w:pPr>
      <w:r w:rsidRPr="00E911B9">
        <w:rPr>
          <w:rFonts w:ascii="Times New Roman" w:hAnsi="Times New Roman" w:cs="Times New Roman"/>
          <w:sz w:val="28"/>
          <w:szCs w:val="28"/>
        </w:rPr>
        <w:t xml:space="preserve">While the GNWT was ultimately successful on its Application, its position on the standard of review did not prevail, nor did its position as to the interpretation of the definition of "Continuous Service".  Under the circumstances, there will be no order as to costs.  </w:t>
      </w:r>
    </w:p>
    <w:p w14:paraId="4970A653" w14:textId="77777777" w:rsidR="00147232" w:rsidRDefault="00147232" w:rsidP="00FE1751">
      <w:pPr>
        <w:pStyle w:val="ListParagraph"/>
        <w:tabs>
          <w:tab w:val="left" w:pos="360"/>
        </w:tabs>
        <w:spacing w:line="240" w:lineRule="auto"/>
        <w:ind w:left="0"/>
        <w:jc w:val="both"/>
        <w:rPr>
          <w:rFonts w:ascii="Times New Roman" w:hAnsi="Times New Roman" w:cs="Times New Roman"/>
          <w:sz w:val="28"/>
          <w:szCs w:val="28"/>
        </w:rPr>
      </w:pPr>
    </w:p>
    <w:p w14:paraId="207FE0A7" w14:textId="77777777" w:rsidR="00FE1751" w:rsidRDefault="00FE1751" w:rsidP="00FE1751">
      <w:pPr>
        <w:pStyle w:val="ListParagraph"/>
        <w:tabs>
          <w:tab w:val="left" w:pos="360"/>
        </w:tabs>
        <w:spacing w:line="240" w:lineRule="auto"/>
        <w:ind w:left="0"/>
        <w:jc w:val="both"/>
        <w:rPr>
          <w:rFonts w:ascii="Times New Roman" w:hAnsi="Times New Roman" w:cs="Times New Roman"/>
          <w:sz w:val="28"/>
          <w:szCs w:val="28"/>
        </w:rPr>
      </w:pPr>
    </w:p>
    <w:p w14:paraId="64DA2C6D" w14:textId="77777777" w:rsidR="00FE1751" w:rsidRDefault="00FE1751" w:rsidP="00FE1751">
      <w:pPr>
        <w:pStyle w:val="ListParagraph"/>
        <w:tabs>
          <w:tab w:val="left" w:pos="360"/>
        </w:tabs>
        <w:spacing w:line="240" w:lineRule="auto"/>
        <w:ind w:left="0"/>
        <w:jc w:val="both"/>
        <w:rPr>
          <w:rFonts w:ascii="Times New Roman" w:hAnsi="Times New Roman" w:cs="Times New Roman"/>
          <w:sz w:val="28"/>
          <w:szCs w:val="28"/>
        </w:rPr>
      </w:pPr>
    </w:p>
    <w:p w14:paraId="6018523F" w14:textId="77777777" w:rsidR="00FE1751" w:rsidRDefault="00FE1751" w:rsidP="00FE1751">
      <w:pPr>
        <w:pStyle w:val="ListParagraph"/>
        <w:tabs>
          <w:tab w:val="left" w:pos="360"/>
        </w:tabs>
        <w:spacing w:line="240" w:lineRule="auto"/>
        <w:ind w:left="0"/>
        <w:jc w:val="both"/>
        <w:rPr>
          <w:rFonts w:ascii="Times New Roman" w:hAnsi="Times New Roman" w:cs="Times New Roman"/>
          <w:sz w:val="28"/>
          <w:szCs w:val="28"/>
        </w:rPr>
      </w:pPr>
    </w:p>
    <w:p w14:paraId="63051397" w14:textId="77777777" w:rsidR="00FE2B62" w:rsidRDefault="00FE2B62" w:rsidP="00FE1751">
      <w:pPr>
        <w:pStyle w:val="ListParagraph"/>
        <w:tabs>
          <w:tab w:val="left" w:pos="360"/>
        </w:tabs>
        <w:spacing w:line="240" w:lineRule="auto"/>
        <w:ind w:left="0"/>
        <w:jc w:val="both"/>
        <w:rPr>
          <w:rFonts w:ascii="Times New Roman" w:hAnsi="Times New Roman" w:cs="Times New Roman"/>
          <w:sz w:val="28"/>
          <w:szCs w:val="28"/>
        </w:rPr>
      </w:pPr>
      <w:r w:rsidRPr="00FE2B62">
        <w:rPr>
          <w:rFonts w:ascii="Times New Roman" w:hAnsi="Times New Roman" w:cs="Times New Roman"/>
          <w:sz w:val="28"/>
          <w:szCs w:val="28"/>
        </w:rPr>
        <w:t>III) CONCLUSION</w:t>
      </w:r>
    </w:p>
    <w:p w14:paraId="54CD844F" w14:textId="77777777" w:rsidR="00FE2B62" w:rsidRPr="00FE2B62" w:rsidRDefault="00FE2B62" w:rsidP="00FE1751">
      <w:pPr>
        <w:pStyle w:val="ListParagraph"/>
        <w:tabs>
          <w:tab w:val="left" w:pos="360"/>
        </w:tabs>
        <w:spacing w:line="240" w:lineRule="auto"/>
        <w:ind w:left="0"/>
        <w:jc w:val="both"/>
        <w:rPr>
          <w:rFonts w:ascii="Times New Roman" w:hAnsi="Times New Roman" w:cs="Times New Roman"/>
          <w:sz w:val="28"/>
          <w:szCs w:val="28"/>
        </w:rPr>
      </w:pPr>
    </w:p>
    <w:p w14:paraId="6B59BF96" w14:textId="77777777" w:rsidR="00036F73" w:rsidRPr="00E911B9" w:rsidRDefault="00FE2B62" w:rsidP="00FE1751">
      <w:pPr>
        <w:pStyle w:val="ListParagraph"/>
        <w:numPr>
          <w:ilvl w:val="0"/>
          <w:numId w:val="22"/>
        </w:numPr>
        <w:tabs>
          <w:tab w:val="left" w:pos="360"/>
        </w:tabs>
        <w:spacing w:line="240" w:lineRule="auto"/>
        <w:ind w:left="0" w:firstLine="0"/>
        <w:jc w:val="both"/>
        <w:rPr>
          <w:rFonts w:ascii="Times New Roman" w:hAnsi="Times New Roman" w:cs="Times New Roman"/>
          <w:sz w:val="28"/>
          <w:szCs w:val="28"/>
        </w:rPr>
      </w:pPr>
      <w:r w:rsidRPr="00FE2B62">
        <w:rPr>
          <w:rFonts w:ascii="Times New Roman" w:hAnsi="Times New Roman" w:cs="Times New Roman"/>
          <w:sz w:val="28"/>
          <w:szCs w:val="28"/>
        </w:rPr>
        <w:t>For these reasons, the Arbitrator's Award is quashed and I direct that the matter be remitted back to him for reconsideration.  Each party shall bear its own costs.</w:t>
      </w:r>
    </w:p>
    <w:p w14:paraId="6D17C51E" w14:textId="77777777" w:rsidR="00CD3B7F" w:rsidRDefault="00CD3B7F" w:rsidP="00FE1751">
      <w:pPr>
        <w:tabs>
          <w:tab w:val="left" w:pos="720"/>
        </w:tabs>
        <w:jc w:val="both"/>
        <w:rPr>
          <w:rFonts w:eastAsiaTheme="minorHAnsi"/>
          <w:sz w:val="28"/>
          <w:szCs w:val="28"/>
          <w:lang w:eastAsia="en-US"/>
        </w:rPr>
      </w:pPr>
    </w:p>
    <w:p w14:paraId="43F1F1D4" w14:textId="77777777" w:rsidR="00431296" w:rsidRDefault="00431296" w:rsidP="00FE1751">
      <w:pPr>
        <w:tabs>
          <w:tab w:val="left" w:pos="720"/>
        </w:tabs>
        <w:jc w:val="both"/>
        <w:rPr>
          <w:rFonts w:eastAsiaTheme="minorHAnsi"/>
          <w:sz w:val="28"/>
          <w:szCs w:val="28"/>
          <w:lang w:eastAsia="en-US"/>
        </w:rPr>
      </w:pPr>
    </w:p>
    <w:p w14:paraId="33D73B71" w14:textId="77777777" w:rsidR="00431296" w:rsidRPr="003D034C" w:rsidRDefault="00431296" w:rsidP="00FE1751">
      <w:pPr>
        <w:tabs>
          <w:tab w:val="left" w:pos="720"/>
        </w:tabs>
        <w:jc w:val="both"/>
        <w:rPr>
          <w:rFonts w:eastAsiaTheme="minorHAnsi"/>
          <w:sz w:val="28"/>
          <w:szCs w:val="28"/>
          <w:lang w:eastAsia="en-US"/>
        </w:rPr>
      </w:pPr>
    </w:p>
    <w:p w14:paraId="63102754" w14:textId="77777777" w:rsidR="00950408" w:rsidRPr="00D75F3C" w:rsidRDefault="00B42759" w:rsidP="00FE1751">
      <w:pPr>
        <w:tabs>
          <w:tab w:val="left" w:pos="720"/>
        </w:tabs>
        <w:jc w:val="both"/>
        <w:rPr>
          <w:sz w:val="28"/>
          <w:szCs w:val="28"/>
          <w:lang w:val="fr-CA"/>
        </w:rPr>
      </w:pPr>
      <w:r w:rsidRPr="003D034C">
        <w:rPr>
          <w:rFonts w:eastAsiaTheme="minorHAnsi"/>
          <w:sz w:val="28"/>
          <w:szCs w:val="28"/>
          <w:lang w:eastAsia="en-US"/>
        </w:rPr>
        <w:tab/>
      </w:r>
      <w:r w:rsidR="009016E9">
        <w:rPr>
          <w:rFonts w:eastAsiaTheme="minorHAnsi"/>
          <w:sz w:val="28"/>
          <w:szCs w:val="28"/>
          <w:lang w:eastAsia="en-US"/>
        </w:rPr>
        <w:tab/>
      </w:r>
      <w:r w:rsidR="009016E9">
        <w:rPr>
          <w:rFonts w:eastAsiaTheme="minorHAnsi"/>
          <w:sz w:val="28"/>
          <w:szCs w:val="28"/>
          <w:lang w:eastAsia="en-US"/>
        </w:rPr>
        <w:tab/>
      </w:r>
      <w:r w:rsidR="009016E9">
        <w:rPr>
          <w:rFonts w:eastAsiaTheme="minorHAnsi"/>
          <w:sz w:val="28"/>
          <w:szCs w:val="28"/>
          <w:lang w:eastAsia="en-US"/>
        </w:rPr>
        <w:tab/>
      </w:r>
      <w:r w:rsidR="009016E9">
        <w:rPr>
          <w:rFonts w:eastAsiaTheme="minorHAnsi"/>
          <w:sz w:val="28"/>
          <w:szCs w:val="28"/>
          <w:lang w:eastAsia="en-US"/>
        </w:rPr>
        <w:tab/>
      </w:r>
      <w:r w:rsidR="009016E9">
        <w:rPr>
          <w:rFonts w:eastAsiaTheme="minorHAnsi"/>
          <w:sz w:val="28"/>
          <w:szCs w:val="28"/>
          <w:lang w:eastAsia="en-US"/>
        </w:rPr>
        <w:tab/>
      </w:r>
      <w:r w:rsidR="009016E9">
        <w:rPr>
          <w:rFonts w:eastAsiaTheme="minorHAnsi"/>
          <w:sz w:val="28"/>
          <w:szCs w:val="28"/>
          <w:lang w:eastAsia="en-US"/>
        </w:rPr>
        <w:tab/>
      </w:r>
      <w:r w:rsidR="009016E9">
        <w:rPr>
          <w:rFonts w:eastAsiaTheme="minorHAnsi"/>
          <w:sz w:val="28"/>
          <w:szCs w:val="28"/>
          <w:lang w:eastAsia="en-US"/>
        </w:rPr>
        <w:tab/>
      </w:r>
      <w:r w:rsidR="009016E9">
        <w:rPr>
          <w:rFonts w:eastAsiaTheme="minorHAnsi"/>
          <w:sz w:val="28"/>
          <w:szCs w:val="28"/>
          <w:lang w:eastAsia="en-US"/>
        </w:rPr>
        <w:tab/>
      </w:r>
      <w:r w:rsidR="00476553" w:rsidRPr="00D75F3C">
        <w:rPr>
          <w:sz w:val="28"/>
          <w:szCs w:val="28"/>
          <w:lang w:val="fr-CA"/>
        </w:rPr>
        <w:t>L.A. Charbonneau</w:t>
      </w:r>
    </w:p>
    <w:p w14:paraId="7DC1B414" w14:textId="77777777" w:rsidR="00A07B94" w:rsidRPr="00D75F3C" w:rsidRDefault="009016E9" w:rsidP="00FE1751">
      <w:pPr>
        <w:widowControl/>
        <w:tabs>
          <w:tab w:val="left" w:pos="720"/>
        </w:tabs>
        <w:ind w:left="5760" w:right="-36"/>
        <w:jc w:val="both"/>
        <w:rPr>
          <w:sz w:val="28"/>
          <w:szCs w:val="28"/>
          <w:lang w:val="fr-CA"/>
        </w:rPr>
      </w:pPr>
      <w:r w:rsidRPr="00D75F3C">
        <w:rPr>
          <w:sz w:val="28"/>
          <w:szCs w:val="28"/>
          <w:lang w:val="fr-CA"/>
        </w:rPr>
        <w:tab/>
      </w:r>
      <w:r w:rsidR="000A2BCA" w:rsidRPr="00D75F3C">
        <w:rPr>
          <w:sz w:val="28"/>
          <w:szCs w:val="28"/>
          <w:lang w:val="fr-CA"/>
        </w:rPr>
        <w:t xml:space="preserve">    J.S.C.</w:t>
      </w:r>
    </w:p>
    <w:p w14:paraId="0B26590E" w14:textId="77777777" w:rsidR="00977115" w:rsidRPr="000C45EB" w:rsidRDefault="00977115" w:rsidP="00FE1751">
      <w:pPr>
        <w:widowControl/>
        <w:tabs>
          <w:tab w:val="left" w:pos="720"/>
        </w:tabs>
        <w:ind w:right="-36"/>
        <w:jc w:val="both"/>
        <w:rPr>
          <w:sz w:val="28"/>
          <w:szCs w:val="28"/>
          <w:lang w:val="fr-CA"/>
        </w:rPr>
      </w:pPr>
    </w:p>
    <w:p w14:paraId="5933363E" w14:textId="77777777" w:rsidR="000A2BCA" w:rsidRPr="003D034C" w:rsidRDefault="000A2BCA" w:rsidP="00FE1751">
      <w:pPr>
        <w:widowControl/>
        <w:tabs>
          <w:tab w:val="left" w:pos="720"/>
        </w:tabs>
        <w:ind w:right="-36"/>
        <w:jc w:val="both"/>
        <w:rPr>
          <w:sz w:val="28"/>
          <w:szCs w:val="28"/>
          <w:lang w:val="en-CA"/>
        </w:rPr>
      </w:pPr>
      <w:r w:rsidRPr="003D034C">
        <w:rPr>
          <w:sz w:val="28"/>
          <w:szCs w:val="28"/>
          <w:lang w:val="en-CA"/>
        </w:rPr>
        <w:t xml:space="preserve">Dated at Yellowknife, NT, this </w:t>
      </w:r>
    </w:p>
    <w:p w14:paraId="1CB4BF4B" w14:textId="77777777" w:rsidR="000A2BCA" w:rsidRDefault="00E01BD8" w:rsidP="00FE1751">
      <w:pPr>
        <w:widowControl/>
        <w:tabs>
          <w:tab w:val="left" w:pos="720"/>
        </w:tabs>
        <w:ind w:right="-36"/>
        <w:jc w:val="both"/>
        <w:rPr>
          <w:sz w:val="28"/>
          <w:szCs w:val="28"/>
          <w:lang w:val="en-CA"/>
        </w:rPr>
      </w:pPr>
      <w:r>
        <w:rPr>
          <w:sz w:val="28"/>
          <w:szCs w:val="28"/>
          <w:lang w:val="en-CA"/>
        </w:rPr>
        <w:t>19</w:t>
      </w:r>
      <w:r w:rsidR="00FF0200">
        <w:rPr>
          <w:sz w:val="28"/>
          <w:szCs w:val="28"/>
          <w:lang w:val="en-CA"/>
        </w:rPr>
        <w:t>th</w:t>
      </w:r>
      <w:r w:rsidR="002C7C17" w:rsidRPr="003D034C">
        <w:rPr>
          <w:sz w:val="28"/>
          <w:szCs w:val="28"/>
          <w:lang w:val="en-CA"/>
        </w:rPr>
        <w:t xml:space="preserve"> </w:t>
      </w:r>
      <w:r w:rsidR="000A2BCA" w:rsidRPr="003D034C">
        <w:rPr>
          <w:sz w:val="28"/>
          <w:szCs w:val="28"/>
          <w:lang w:val="en-CA"/>
        </w:rPr>
        <w:t xml:space="preserve">day of </w:t>
      </w:r>
      <w:r w:rsidR="00FE2B62">
        <w:rPr>
          <w:sz w:val="28"/>
          <w:szCs w:val="28"/>
          <w:lang w:val="en-CA"/>
        </w:rPr>
        <w:t>March, 2018</w:t>
      </w:r>
    </w:p>
    <w:p w14:paraId="5D1B60C2" w14:textId="77777777" w:rsidR="00F577DC" w:rsidRPr="003D034C" w:rsidRDefault="00F577DC" w:rsidP="00FE1751">
      <w:pPr>
        <w:widowControl/>
        <w:tabs>
          <w:tab w:val="left" w:pos="720"/>
        </w:tabs>
        <w:ind w:right="-36"/>
        <w:jc w:val="both"/>
        <w:rPr>
          <w:sz w:val="28"/>
          <w:szCs w:val="28"/>
          <w:lang w:val="en-CA"/>
        </w:rPr>
      </w:pPr>
    </w:p>
    <w:p w14:paraId="7E5BDB5F" w14:textId="77777777" w:rsidR="0050539F" w:rsidRPr="00B245BA" w:rsidRDefault="0050539F" w:rsidP="00FE1751">
      <w:pPr>
        <w:widowControl/>
        <w:tabs>
          <w:tab w:val="left" w:pos="720"/>
        </w:tabs>
        <w:ind w:left="5760" w:right="-36"/>
        <w:jc w:val="both"/>
      </w:pPr>
    </w:p>
    <w:p w14:paraId="24FBD71B" w14:textId="77777777" w:rsidR="00A07B94" w:rsidRPr="0077250F" w:rsidRDefault="00F577DC" w:rsidP="00FE1751">
      <w:pPr>
        <w:widowControl/>
        <w:tabs>
          <w:tab w:val="left" w:pos="720"/>
        </w:tabs>
        <w:ind w:right="-36"/>
        <w:jc w:val="both"/>
        <w:rPr>
          <w:sz w:val="28"/>
          <w:szCs w:val="28"/>
        </w:rPr>
      </w:pPr>
      <w:r>
        <w:rPr>
          <w:sz w:val="28"/>
          <w:szCs w:val="28"/>
        </w:rPr>
        <w:t>Counsel for the Applicant:</w:t>
      </w:r>
      <w:r>
        <w:rPr>
          <w:sz w:val="28"/>
          <w:szCs w:val="28"/>
        </w:rPr>
        <w:tab/>
      </w:r>
      <w:r w:rsidR="00A071CF">
        <w:rPr>
          <w:sz w:val="28"/>
          <w:szCs w:val="28"/>
        </w:rPr>
        <w:t>Sandra S. Jungles</w:t>
      </w:r>
    </w:p>
    <w:p w14:paraId="6C77E991" w14:textId="77777777" w:rsidR="00AE2625" w:rsidRPr="0077250F" w:rsidRDefault="00F577DC" w:rsidP="00FE1751">
      <w:pPr>
        <w:widowControl/>
        <w:tabs>
          <w:tab w:val="left" w:pos="720"/>
        </w:tabs>
        <w:ind w:right="-36"/>
        <w:jc w:val="both"/>
        <w:rPr>
          <w:sz w:val="28"/>
          <w:szCs w:val="28"/>
        </w:rPr>
        <w:sectPr w:rsidR="00AE2625" w:rsidRPr="0077250F" w:rsidSect="00BF05B1">
          <w:headerReference w:type="default" r:id="rId8"/>
          <w:pgSz w:w="12240" w:h="15840"/>
          <w:pgMar w:top="1170" w:right="1440" w:bottom="1080" w:left="1440" w:header="1170" w:footer="1440" w:gutter="0"/>
          <w:cols w:space="720"/>
          <w:noEndnote/>
          <w:titlePg/>
          <w:docGrid w:linePitch="326"/>
        </w:sectPr>
      </w:pPr>
      <w:r>
        <w:rPr>
          <w:sz w:val="28"/>
          <w:szCs w:val="28"/>
        </w:rPr>
        <w:t>Counsel for the Respondent:</w:t>
      </w:r>
      <w:r w:rsidR="00A071CF">
        <w:rPr>
          <w:sz w:val="28"/>
          <w:szCs w:val="28"/>
        </w:rPr>
        <w:tab/>
        <w:t>Morgan Rowe</w:t>
      </w:r>
    </w:p>
    <w:tbl>
      <w:tblPr>
        <w:tblStyle w:val="TableGrid"/>
        <w:tblW w:w="6300" w:type="dxa"/>
        <w:jc w:val="right"/>
        <w:tblBorders>
          <w:top w:val="none" w:sz="0" w:space="0" w:color="auto"/>
          <w:left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6300"/>
      </w:tblGrid>
      <w:tr w:rsidR="00950408" w:rsidRPr="00B26326" w14:paraId="0E0E3023" w14:textId="77777777" w:rsidTr="00C951BC">
        <w:trPr>
          <w:jc w:val="right"/>
        </w:trPr>
        <w:tc>
          <w:tcPr>
            <w:tcW w:w="6300" w:type="dxa"/>
          </w:tcPr>
          <w:p w14:paraId="4F4859CF" w14:textId="6E5283E5" w:rsidR="00950408" w:rsidRPr="00B26326" w:rsidRDefault="00950408" w:rsidP="00FE1751">
            <w:pPr>
              <w:widowControl/>
              <w:jc w:val="right"/>
              <w:rPr>
                <w:bCs/>
                <w:sz w:val="28"/>
                <w:szCs w:val="28"/>
                <w:lang w:val="en-CA"/>
              </w:rPr>
            </w:pPr>
            <w:r w:rsidRPr="00B26326">
              <w:rPr>
                <w:bCs/>
                <w:sz w:val="28"/>
                <w:szCs w:val="28"/>
                <w:lang w:val="en-CA"/>
              </w:rPr>
              <w:lastRenderedPageBreak/>
              <w:t xml:space="preserve">S 1 </w:t>
            </w:r>
            <w:r w:rsidR="009040DA" w:rsidRPr="00B26326">
              <w:rPr>
                <w:bCs/>
                <w:sz w:val="28"/>
                <w:szCs w:val="28"/>
                <w:lang w:val="en-CA"/>
              </w:rPr>
              <w:t>CV</w:t>
            </w:r>
            <w:r w:rsidRPr="00B26326">
              <w:rPr>
                <w:bCs/>
                <w:sz w:val="28"/>
                <w:szCs w:val="28"/>
                <w:lang w:val="en-CA"/>
              </w:rPr>
              <w:t xml:space="preserve"> </w:t>
            </w:r>
            <w:r w:rsidR="00C951BC" w:rsidRPr="00B26326">
              <w:rPr>
                <w:bCs/>
                <w:sz w:val="28"/>
                <w:szCs w:val="28"/>
                <w:lang w:val="en-CA"/>
              </w:rPr>
              <w:t>2016-000</w:t>
            </w:r>
            <w:r w:rsidR="00B26326" w:rsidRPr="00B26326">
              <w:rPr>
                <w:bCs/>
                <w:sz w:val="28"/>
                <w:szCs w:val="28"/>
                <w:lang w:val="en-CA"/>
              </w:rPr>
              <w:t xml:space="preserve"> </w:t>
            </w:r>
            <w:r w:rsidR="00C951BC" w:rsidRPr="00B26326">
              <w:rPr>
                <w:bCs/>
                <w:sz w:val="28"/>
                <w:szCs w:val="28"/>
                <w:lang w:val="en-CA"/>
              </w:rPr>
              <w:t>352</w:t>
            </w:r>
          </w:p>
          <w:p w14:paraId="25AA370A" w14:textId="77777777" w:rsidR="00950408" w:rsidRPr="00B26326" w:rsidRDefault="00950408" w:rsidP="00FE1751">
            <w:pPr>
              <w:widowControl/>
              <w:jc w:val="both"/>
              <w:rPr>
                <w:sz w:val="28"/>
                <w:szCs w:val="28"/>
              </w:rPr>
            </w:pPr>
          </w:p>
        </w:tc>
      </w:tr>
      <w:tr w:rsidR="00950408" w:rsidRPr="00E911B9" w14:paraId="602D2345" w14:textId="77777777" w:rsidTr="00C951BC">
        <w:trPr>
          <w:jc w:val="right"/>
        </w:trPr>
        <w:tc>
          <w:tcPr>
            <w:tcW w:w="6300" w:type="dxa"/>
            <w:tcBorders>
              <w:bottom w:val="single" w:sz="4" w:space="0" w:color="000000" w:themeColor="text1"/>
            </w:tcBorders>
          </w:tcPr>
          <w:p w14:paraId="5159565A" w14:textId="77777777" w:rsidR="00950408" w:rsidRPr="00E911B9" w:rsidRDefault="00950408" w:rsidP="00FE1751">
            <w:pPr>
              <w:widowControl/>
              <w:jc w:val="center"/>
              <w:rPr>
                <w:b/>
                <w:bCs/>
                <w:lang w:val="en-GB"/>
              </w:rPr>
            </w:pPr>
          </w:p>
          <w:p w14:paraId="6B5297E7" w14:textId="77777777" w:rsidR="00950408" w:rsidRPr="00E911B9" w:rsidRDefault="00950408" w:rsidP="00FE1751">
            <w:pPr>
              <w:widowControl/>
              <w:jc w:val="center"/>
              <w:rPr>
                <w:b/>
                <w:bCs/>
                <w:sz w:val="28"/>
                <w:szCs w:val="28"/>
                <w:lang w:val="en-GB"/>
              </w:rPr>
            </w:pPr>
            <w:r w:rsidRPr="00E911B9">
              <w:rPr>
                <w:b/>
                <w:bCs/>
                <w:sz w:val="28"/>
                <w:szCs w:val="28"/>
                <w:lang w:val="en-GB"/>
              </w:rPr>
              <w:t>IN THE SUPREME COURT OF THE</w:t>
            </w:r>
          </w:p>
          <w:p w14:paraId="5A9A779F" w14:textId="77777777" w:rsidR="00950408" w:rsidRPr="00E911B9" w:rsidRDefault="00950408" w:rsidP="00FE1751">
            <w:pPr>
              <w:widowControl/>
              <w:jc w:val="center"/>
              <w:rPr>
                <w:b/>
                <w:bCs/>
                <w:sz w:val="28"/>
                <w:szCs w:val="28"/>
                <w:lang w:val="en-GB"/>
              </w:rPr>
            </w:pPr>
            <w:r w:rsidRPr="00E911B9">
              <w:rPr>
                <w:b/>
                <w:bCs/>
                <w:sz w:val="28"/>
                <w:szCs w:val="28"/>
                <w:lang w:val="en-GB"/>
              </w:rPr>
              <w:t>NORTHWEST TERRITORIES</w:t>
            </w:r>
          </w:p>
          <w:p w14:paraId="72EBEE98" w14:textId="77777777" w:rsidR="00950408" w:rsidRPr="00E911B9" w:rsidRDefault="00950408" w:rsidP="00FE1751">
            <w:pPr>
              <w:pStyle w:val="NoSpacing"/>
              <w:rPr>
                <w:rFonts w:ascii="Times New Roman" w:hAnsi="Times New Roman" w:cs="Times New Roman"/>
                <w:sz w:val="24"/>
                <w:szCs w:val="24"/>
                <w:lang w:val="en-GB"/>
              </w:rPr>
            </w:pPr>
          </w:p>
        </w:tc>
      </w:tr>
      <w:tr w:rsidR="00950408" w:rsidRPr="00E911B9" w14:paraId="5170F85B" w14:textId="77777777" w:rsidTr="00C951BC">
        <w:trPr>
          <w:jc w:val="right"/>
        </w:trPr>
        <w:tc>
          <w:tcPr>
            <w:tcW w:w="6300" w:type="dxa"/>
            <w:tcBorders>
              <w:top w:val="single" w:sz="4" w:space="0" w:color="000000" w:themeColor="text1"/>
              <w:bottom w:val="nil"/>
            </w:tcBorders>
          </w:tcPr>
          <w:p w14:paraId="3EAEF731" w14:textId="77777777" w:rsidR="00950408" w:rsidRPr="00E911B9" w:rsidRDefault="00950408" w:rsidP="00FE1751">
            <w:pPr>
              <w:widowControl/>
              <w:jc w:val="both"/>
              <w:rPr>
                <w:b/>
                <w:bCs/>
                <w:lang w:val="en-GB"/>
              </w:rPr>
            </w:pPr>
            <w:bookmarkStart w:id="1" w:name="_GoBack"/>
          </w:p>
          <w:p w14:paraId="594DE692" w14:textId="77777777" w:rsidR="00950408" w:rsidRPr="00E911B9" w:rsidRDefault="00950408" w:rsidP="00FE1751">
            <w:pPr>
              <w:widowControl/>
              <w:jc w:val="both"/>
              <w:rPr>
                <w:sz w:val="28"/>
                <w:szCs w:val="28"/>
                <w:lang w:val="en-GB"/>
              </w:rPr>
            </w:pPr>
            <w:r w:rsidRPr="00E911B9">
              <w:rPr>
                <w:sz w:val="28"/>
                <w:szCs w:val="28"/>
                <w:lang w:val="en-GB"/>
              </w:rPr>
              <w:t>BETWEEN:</w:t>
            </w:r>
          </w:p>
          <w:p w14:paraId="1C934BBA" w14:textId="77777777" w:rsidR="00C951BC" w:rsidRPr="00E911B9" w:rsidRDefault="00C951BC" w:rsidP="00FE1751">
            <w:pPr>
              <w:widowControl/>
              <w:jc w:val="both"/>
              <w:rPr>
                <w:sz w:val="28"/>
                <w:szCs w:val="28"/>
                <w:lang w:val="en-GB"/>
              </w:rPr>
            </w:pPr>
          </w:p>
          <w:p w14:paraId="59CCEC7F" w14:textId="77777777" w:rsidR="00C951BC" w:rsidRPr="00E911B9" w:rsidRDefault="00C951BC" w:rsidP="00FE1751">
            <w:pPr>
              <w:widowControl/>
              <w:jc w:val="center"/>
              <w:rPr>
                <w:sz w:val="28"/>
                <w:szCs w:val="28"/>
                <w:lang w:val="en-CA"/>
              </w:rPr>
            </w:pPr>
            <w:r w:rsidRPr="00E911B9">
              <w:rPr>
                <w:sz w:val="28"/>
                <w:szCs w:val="28"/>
                <w:lang w:val="en-CA"/>
              </w:rPr>
              <w:fldChar w:fldCharType="begin"/>
            </w:r>
            <w:r w:rsidRPr="00E911B9">
              <w:rPr>
                <w:sz w:val="28"/>
                <w:szCs w:val="28"/>
                <w:lang w:val="en-CA"/>
              </w:rPr>
              <w:instrText xml:space="preserve"> SEQ CHAPTER \h \r 1</w:instrText>
            </w:r>
            <w:r w:rsidRPr="00E911B9">
              <w:rPr>
                <w:sz w:val="28"/>
                <w:szCs w:val="28"/>
                <w:lang w:val="en-CA"/>
              </w:rPr>
              <w:fldChar w:fldCharType="end"/>
            </w:r>
            <w:r w:rsidRPr="00E911B9">
              <w:rPr>
                <w:sz w:val="28"/>
                <w:szCs w:val="28"/>
                <w:lang w:val="en-CA"/>
              </w:rPr>
              <w:t>THE GOVERNMENT OF THE NORTHWEST TERRITORIES</w:t>
            </w:r>
          </w:p>
          <w:p w14:paraId="25999A62" w14:textId="77777777" w:rsidR="00C951BC" w:rsidRPr="00E911B9" w:rsidRDefault="00C951BC" w:rsidP="00FE1751">
            <w:pPr>
              <w:widowControl/>
              <w:jc w:val="center"/>
              <w:rPr>
                <w:sz w:val="28"/>
                <w:szCs w:val="28"/>
                <w:lang w:val="en-CA"/>
              </w:rPr>
            </w:pPr>
          </w:p>
          <w:p w14:paraId="10C457B4" w14:textId="77777777" w:rsidR="00C951BC" w:rsidRPr="00E911B9" w:rsidRDefault="00C951BC" w:rsidP="00FE1751">
            <w:pPr>
              <w:widowControl/>
              <w:tabs>
                <w:tab w:val="right" w:pos="9360"/>
              </w:tabs>
              <w:rPr>
                <w:sz w:val="28"/>
                <w:szCs w:val="28"/>
                <w:lang w:val="en-CA"/>
              </w:rPr>
            </w:pPr>
            <w:r w:rsidRPr="00E911B9">
              <w:rPr>
                <w:sz w:val="28"/>
                <w:szCs w:val="28"/>
                <w:lang w:val="en-CA"/>
              </w:rPr>
              <w:tab/>
              <w:t>Applicant</w:t>
            </w:r>
          </w:p>
          <w:p w14:paraId="57654D69" w14:textId="77777777" w:rsidR="00C951BC" w:rsidRPr="00E911B9" w:rsidRDefault="00C951BC" w:rsidP="00FE1751">
            <w:pPr>
              <w:widowControl/>
              <w:jc w:val="center"/>
              <w:rPr>
                <w:sz w:val="28"/>
                <w:szCs w:val="28"/>
                <w:lang w:val="en-CA"/>
              </w:rPr>
            </w:pPr>
            <w:r w:rsidRPr="00E911B9">
              <w:rPr>
                <w:sz w:val="28"/>
                <w:szCs w:val="28"/>
                <w:lang w:val="en-CA"/>
              </w:rPr>
              <w:t>- and -</w:t>
            </w:r>
          </w:p>
          <w:p w14:paraId="645797C0" w14:textId="77777777" w:rsidR="00C951BC" w:rsidRPr="00E911B9" w:rsidRDefault="00C951BC" w:rsidP="00FE1751">
            <w:pPr>
              <w:widowControl/>
              <w:rPr>
                <w:sz w:val="28"/>
                <w:szCs w:val="28"/>
                <w:lang w:val="en-CA"/>
              </w:rPr>
            </w:pPr>
          </w:p>
          <w:p w14:paraId="0F657C17" w14:textId="77777777" w:rsidR="00C951BC" w:rsidRPr="00E911B9" w:rsidRDefault="00C951BC" w:rsidP="00FE1751">
            <w:pPr>
              <w:widowControl/>
              <w:jc w:val="center"/>
              <w:rPr>
                <w:sz w:val="28"/>
                <w:szCs w:val="28"/>
                <w:lang w:val="en-CA"/>
              </w:rPr>
            </w:pPr>
            <w:r w:rsidRPr="00E911B9">
              <w:rPr>
                <w:sz w:val="28"/>
                <w:szCs w:val="28"/>
                <w:lang w:val="en-CA"/>
              </w:rPr>
              <w:t>THE UNION OF NORTHERN WORKERS</w:t>
            </w:r>
          </w:p>
          <w:p w14:paraId="435641F1" w14:textId="77777777" w:rsidR="00C951BC" w:rsidRPr="00E911B9" w:rsidRDefault="00C951BC" w:rsidP="00FE1751">
            <w:pPr>
              <w:widowControl/>
              <w:jc w:val="center"/>
              <w:rPr>
                <w:sz w:val="28"/>
                <w:szCs w:val="28"/>
                <w:lang w:val="en-CA"/>
              </w:rPr>
            </w:pPr>
          </w:p>
          <w:p w14:paraId="5F2C8E3E" w14:textId="77777777" w:rsidR="00C951BC" w:rsidRPr="00E911B9" w:rsidRDefault="00C951BC" w:rsidP="00FE1751">
            <w:pPr>
              <w:widowControl/>
              <w:tabs>
                <w:tab w:val="right" w:pos="9360"/>
              </w:tabs>
              <w:rPr>
                <w:sz w:val="28"/>
                <w:szCs w:val="28"/>
                <w:lang w:val="en-CA"/>
              </w:rPr>
            </w:pPr>
            <w:r w:rsidRPr="00E911B9">
              <w:rPr>
                <w:sz w:val="28"/>
                <w:szCs w:val="28"/>
                <w:lang w:val="en-CA"/>
              </w:rPr>
              <w:tab/>
              <w:t>Respondent</w:t>
            </w:r>
          </w:p>
          <w:p w14:paraId="4B59DC9B" w14:textId="77777777" w:rsidR="00950408" w:rsidRPr="00E911B9" w:rsidRDefault="00950408" w:rsidP="00FE1751">
            <w:pPr>
              <w:widowControl/>
              <w:jc w:val="both"/>
            </w:pPr>
          </w:p>
        </w:tc>
      </w:tr>
      <w:bookmarkEnd w:id="1"/>
      <w:tr w:rsidR="00950408" w:rsidRPr="00E911B9" w14:paraId="03A43BCF" w14:textId="77777777" w:rsidTr="00C951BC">
        <w:trPr>
          <w:jc w:val="right"/>
        </w:trPr>
        <w:tc>
          <w:tcPr>
            <w:tcW w:w="6300" w:type="dxa"/>
          </w:tcPr>
          <w:p w14:paraId="75F490EC" w14:textId="77777777" w:rsidR="00950408" w:rsidRPr="00E911B9" w:rsidRDefault="00950408" w:rsidP="00FE1751">
            <w:pPr>
              <w:widowControl/>
              <w:jc w:val="both"/>
              <w:rPr>
                <w:lang w:val="en-GB"/>
              </w:rPr>
            </w:pPr>
          </w:p>
          <w:p w14:paraId="4268B415" w14:textId="350A192F" w:rsidR="00AE2625" w:rsidRPr="00E911B9" w:rsidRDefault="00147232" w:rsidP="00FE1751">
            <w:pPr>
              <w:widowControl/>
              <w:jc w:val="center"/>
              <w:rPr>
                <w:sz w:val="28"/>
                <w:szCs w:val="28"/>
                <w:lang w:val="en-GB"/>
              </w:rPr>
            </w:pPr>
            <w:r>
              <w:rPr>
                <w:sz w:val="28"/>
                <w:szCs w:val="28"/>
                <w:lang w:val="en-GB"/>
              </w:rPr>
              <w:t>RULING AS TO REMEDY</w:t>
            </w:r>
            <w:r w:rsidR="00AE2625" w:rsidRPr="00E911B9">
              <w:rPr>
                <w:sz w:val="28"/>
                <w:szCs w:val="28"/>
                <w:lang w:val="en-GB"/>
              </w:rPr>
              <w:t xml:space="preserve"> OF </w:t>
            </w:r>
          </w:p>
          <w:p w14:paraId="45D15754" w14:textId="77777777" w:rsidR="00950408" w:rsidRPr="00E911B9" w:rsidRDefault="00AE2625" w:rsidP="00FE1751">
            <w:pPr>
              <w:widowControl/>
              <w:jc w:val="center"/>
              <w:rPr>
                <w:sz w:val="28"/>
                <w:szCs w:val="28"/>
                <w:lang w:val="en-GB"/>
              </w:rPr>
            </w:pPr>
            <w:r w:rsidRPr="00E911B9">
              <w:rPr>
                <w:sz w:val="28"/>
                <w:szCs w:val="28"/>
                <w:lang w:val="en-GB"/>
              </w:rPr>
              <w:t>THE HONOURABLE JUSTICE L.A. CHARBONNEAU</w:t>
            </w:r>
          </w:p>
          <w:p w14:paraId="0B101938" w14:textId="77777777" w:rsidR="00C951BC" w:rsidRPr="00E911B9" w:rsidRDefault="00C951BC" w:rsidP="00FE1751">
            <w:pPr>
              <w:widowControl/>
              <w:jc w:val="center"/>
              <w:rPr>
                <w:lang w:val="en-GB"/>
              </w:rPr>
            </w:pPr>
          </w:p>
        </w:tc>
      </w:tr>
    </w:tbl>
    <w:p w14:paraId="4E972C18" w14:textId="77777777" w:rsidR="00A07B94" w:rsidRPr="00E911B9" w:rsidRDefault="00A07B94" w:rsidP="00FE1751">
      <w:pPr>
        <w:widowControl/>
        <w:autoSpaceDE/>
        <w:autoSpaceDN/>
        <w:adjustRightInd/>
        <w:jc w:val="both"/>
      </w:pPr>
    </w:p>
    <w:sectPr w:rsidR="00A07B94" w:rsidRPr="00E911B9" w:rsidSect="00AE2625">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627A5" w14:textId="77777777" w:rsidR="00CD6F7E" w:rsidRDefault="00CD6F7E" w:rsidP="00A07B94">
      <w:r>
        <w:separator/>
      </w:r>
    </w:p>
  </w:endnote>
  <w:endnote w:type="continuationSeparator" w:id="0">
    <w:p w14:paraId="49B1AC0F" w14:textId="77777777" w:rsidR="00CD6F7E" w:rsidRDefault="00CD6F7E" w:rsidP="00A0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381E4" w14:textId="77777777" w:rsidR="00CD6F7E" w:rsidRDefault="00CD6F7E" w:rsidP="00A07B94">
      <w:r>
        <w:separator/>
      </w:r>
    </w:p>
  </w:footnote>
  <w:footnote w:type="continuationSeparator" w:id="0">
    <w:p w14:paraId="084DA5F2" w14:textId="77777777" w:rsidR="00CD6F7E" w:rsidRDefault="00CD6F7E" w:rsidP="00A07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363996"/>
      <w:docPartObj>
        <w:docPartGallery w:val="Page Numbers (Top of Page)"/>
        <w:docPartUnique/>
      </w:docPartObj>
    </w:sdtPr>
    <w:sdtEndPr>
      <w:rPr>
        <w:noProof/>
      </w:rPr>
    </w:sdtEndPr>
    <w:sdtContent>
      <w:p w14:paraId="0C556C12" w14:textId="77777777" w:rsidR="00771D1F" w:rsidRDefault="00771D1F">
        <w:pPr>
          <w:pStyle w:val="Header"/>
          <w:jc w:val="right"/>
        </w:pPr>
        <w:r>
          <w:t xml:space="preserve">Page: </w:t>
        </w:r>
        <w:r>
          <w:fldChar w:fldCharType="begin"/>
        </w:r>
        <w:r>
          <w:instrText xml:space="preserve"> PAGE   \* MERGEFORMAT </w:instrText>
        </w:r>
        <w:r>
          <w:fldChar w:fldCharType="separate"/>
        </w:r>
        <w:r w:rsidR="00B26326">
          <w:rPr>
            <w:noProof/>
          </w:rPr>
          <w:t>9</w:t>
        </w:r>
        <w:r>
          <w:rPr>
            <w:noProof/>
          </w:rPr>
          <w:fldChar w:fldCharType="end"/>
        </w:r>
      </w:p>
    </w:sdtContent>
  </w:sdt>
  <w:p w14:paraId="441FB50C" w14:textId="77777777" w:rsidR="00771D1F" w:rsidRDefault="00771D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861D5"/>
    <w:multiLevelType w:val="hybridMultilevel"/>
    <w:tmpl w:val="FF841AA8"/>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D1A80"/>
    <w:multiLevelType w:val="hybridMultilevel"/>
    <w:tmpl w:val="357432D4"/>
    <w:lvl w:ilvl="0" w:tplc="C1906996">
      <w:start w:val="1"/>
      <w:numFmt w:val="decimal"/>
      <w:lvlText w:val="[%1]"/>
      <w:lvlJc w:val="left"/>
      <w:pPr>
        <w:ind w:left="1440" w:hanging="360"/>
      </w:pPr>
      <w:rPr>
        <w:rFonts w:ascii="Times New Roman" w:hAnsi="Times New Roman" w:cs="Times New Roman" w:hint="default"/>
        <w:spacing w:val="0"/>
        <w:w w:val="100"/>
        <w:position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012186"/>
    <w:multiLevelType w:val="hybridMultilevel"/>
    <w:tmpl w:val="BAD4FDD6"/>
    <w:lvl w:ilvl="0" w:tplc="C1906996">
      <w:start w:val="1"/>
      <w:numFmt w:val="decimal"/>
      <w:lvlText w:val="[%1]"/>
      <w:lvlJc w:val="left"/>
      <w:pPr>
        <w:ind w:left="540" w:hanging="360"/>
      </w:pPr>
      <w:rPr>
        <w:rFonts w:ascii="Times New Roman" w:hAnsi="Times New Roman" w:cs="Times New Roman" w:hint="default"/>
        <w:spacing w:val="0"/>
        <w:w w:val="100"/>
        <w:position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E530A"/>
    <w:multiLevelType w:val="hybridMultilevel"/>
    <w:tmpl w:val="A20041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8C2986"/>
    <w:multiLevelType w:val="hybridMultilevel"/>
    <w:tmpl w:val="E90C1AD0"/>
    <w:lvl w:ilvl="0" w:tplc="7EBC76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F38EA"/>
    <w:multiLevelType w:val="hybridMultilevel"/>
    <w:tmpl w:val="5D7CDBD0"/>
    <w:lvl w:ilvl="0" w:tplc="D584ACDE">
      <w:start w:val="1"/>
      <w:numFmt w:val="decimal"/>
      <w:lvlText w:val="[%1]"/>
      <w:lvlJc w:val="left"/>
      <w:pPr>
        <w:ind w:left="990" w:hanging="360"/>
      </w:pPr>
      <w:rPr>
        <w:rFonts w:ascii="Times New Roman" w:hAnsi="Times New Roman"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41ED9"/>
    <w:multiLevelType w:val="hybridMultilevel"/>
    <w:tmpl w:val="368E6C00"/>
    <w:lvl w:ilvl="0" w:tplc="C1906996">
      <w:start w:val="1"/>
      <w:numFmt w:val="decimal"/>
      <w:lvlText w:val="[%1]"/>
      <w:lvlJc w:val="left"/>
      <w:pPr>
        <w:ind w:left="720" w:hanging="360"/>
      </w:pPr>
      <w:rPr>
        <w:rFonts w:ascii="Times New Roman" w:hAnsi="Times New Roman" w:cs="Times New Roman"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1A03B1"/>
    <w:multiLevelType w:val="hybridMultilevel"/>
    <w:tmpl w:val="0C0A4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9C502F"/>
    <w:multiLevelType w:val="hybridMultilevel"/>
    <w:tmpl w:val="B0BCB6CC"/>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0130B"/>
    <w:multiLevelType w:val="hybridMultilevel"/>
    <w:tmpl w:val="CEA41244"/>
    <w:lvl w:ilvl="0" w:tplc="6F98AD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76383"/>
    <w:multiLevelType w:val="hybridMultilevel"/>
    <w:tmpl w:val="558AF638"/>
    <w:lvl w:ilvl="0" w:tplc="A6EE9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C249AE"/>
    <w:multiLevelType w:val="hybridMultilevel"/>
    <w:tmpl w:val="6D0606D4"/>
    <w:lvl w:ilvl="0" w:tplc="0C0C000F">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51EF76F7"/>
    <w:multiLevelType w:val="hybridMultilevel"/>
    <w:tmpl w:val="0994C1EE"/>
    <w:lvl w:ilvl="0" w:tplc="CBF294D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58A5E24"/>
    <w:multiLevelType w:val="hybridMultilevel"/>
    <w:tmpl w:val="9B603DD8"/>
    <w:lvl w:ilvl="0" w:tplc="C1906996">
      <w:start w:val="1"/>
      <w:numFmt w:val="decimal"/>
      <w:lvlText w:val="[%1]"/>
      <w:lvlJc w:val="left"/>
      <w:pPr>
        <w:ind w:left="720" w:hanging="360"/>
      </w:pPr>
      <w:rPr>
        <w:rFonts w:ascii="Times New Roman" w:hAnsi="Times New Roman" w:cs="Times New Roman"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9C768C"/>
    <w:multiLevelType w:val="hybridMultilevel"/>
    <w:tmpl w:val="FFF29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F94658"/>
    <w:multiLevelType w:val="hybridMultilevel"/>
    <w:tmpl w:val="C0EC9082"/>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C72564"/>
    <w:multiLevelType w:val="hybridMultilevel"/>
    <w:tmpl w:val="3E2A473C"/>
    <w:lvl w:ilvl="0" w:tplc="C1906996">
      <w:start w:val="1"/>
      <w:numFmt w:val="decimal"/>
      <w:lvlText w:val="[%1]"/>
      <w:lvlJc w:val="left"/>
      <w:pPr>
        <w:ind w:left="720" w:hanging="360"/>
      </w:pPr>
      <w:rPr>
        <w:rFonts w:ascii="Times New Roman" w:hAnsi="Times New Roman" w:cs="Times New Roman"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EA0EE4"/>
    <w:multiLevelType w:val="hybridMultilevel"/>
    <w:tmpl w:val="1922A492"/>
    <w:lvl w:ilvl="0" w:tplc="440030A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637C62A1"/>
    <w:multiLevelType w:val="hybridMultilevel"/>
    <w:tmpl w:val="DCBE0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996E11"/>
    <w:multiLevelType w:val="hybridMultilevel"/>
    <w:tmpl w:val="B6927AFE"/>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E02CAB"/>
    <w:multiLevelType w:val="hybridMultilevel"/>
    <w:tmpl w:val="B5F05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85E09"/>
    <w:multiLevelType w:val="hybridMultilevel"/>
    <w:tmpl w:val="0C8EF868"/>
    <w:lvl w:ilvl="0" w:tplc="61CC2EC6">
      <w:start w:val="1"/>
      <w:numFmt w:val="lowerLetter"/>
      <w:lvlText w:val="(%1)"/>
      <w:lvlJc w:val="left"/>
      <w:pPr>
        <w:ind w:left="2520" w:hanging="360"/>
      </w:pPr>
      <w:rPr>
        <w:rFonts w:ascii="Times New Roman" w:hAnsi="Times New Roman" w:cs="Times New Roman" w:hint="default"/>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E2A0647"/>
    <w:multiLevelType w:val="hybridMultilevel"/>
    <w:tmpl w:val="AEBCED4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1EE19B9"/>
    <w:multiLevelType w:val="hybridMultilevel"/>
    <w:tmpl w:val="B044B4D6"/>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53D12"/>
    <w:multiLevelType w:val="hybridMultilevel"/>
    <w:tmpl w:val="21F2C7A0"/>
    <w:lvl w:ilvl="0" w:tplc="F73666C8">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A621D7"/>
    <w:multiLevelType w:val="hybridMultilevel"/>
    <w:tmpl w:val="E384CC66"/>
    <w:lvl w:ilvl="0" w:tplc="42C4C7C8">
      <w:start w:val="1"/>
      <w:numFmt w:val="decimal"/>
      <w:lvlText w:val="(%1)"/>
      <w:lvlJc w:val="left"/>
      <w:pPr>
        <w:ind w:left="1800" w:hanging="360"/>
      </w:pPr>
      <w:rPr>
        <w:rFonts w:hint="default"/>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num w:numId="1">
    <w:abstractNumId w:val="20"/>
  </w:num>
  <w:num w:numId="2">
    <w:abstractNumId w:val="3"/>
  </w:num>
  <w:num w:numId="3">
    <w:abstractNumId w:val="14"/>
  </w:num>
  <w:num w:numId="4">
    <w:abstractNumId w:val="11"/>
  </w:num>
  <w:num w:numId="5">
    <w:abstractNumId w:val="9"/>
  </w:num>
  <w:num w:numId="6">
    <w:abstractNumId w:val="18"/>
  </w:num>
  <w:num w:numId="7">
    <w:abstractNumId w:val="10"/>
  </w:num>
  <w:num w:numId="8">
    <w:abstractNumId w:val="4"/>
  </w:num>
  <w:num w:numId="9">
    <w:abstractNumId w:val="23"/>
  </w:num>
  <w:num w:numId="10">
    <w:abstractNumId w:val="24"/>
  </w:num>
  <w:num w:numId="11">
    <w:abstractNumId w:val="2"/>
  </w:num>
  <w:num w:numId="12">
    <w:abstractNumId w:val="19"/>
  </w:num>
  <w:num w:numId="13">
    <w:abstractNumId w:val="17"/>
  </w:num>
  <w:num w:numId="14">
    <w:abstractNumId w:val="0"/>
  </w:num>
  <w:num w:numId="15">
    <w:abstractNumId w:val="5"/>
  </w:num>
  <w:num w:numId="16">
    <w:abstractNumId w:val="12"/>
  </w:num>
  <w:num w:numId="17">
    <w:abstractNumId w:val="21"/>
  </w:num>
  <w:num w:numId="18">
    <w:abstractNumId w:val="7"/>
  </w:num>
  <w:num w:numId="19">
    <w:abstractNumId w:val="25"/>
  </w:num>
  <w:num w:numId="20">
    <w:abstractNumId w:val="22"/>
  </w:num>
  <w:num w:numId="21">
    <w:abstractNumId w:val="8"/>
  </w:num>
  <w:num w:numId="22">
    <w:abstractNumId w:val="1"/>
  </w:num>
  <w:num w:numId="23">
    <w:abstractNumId w:val="16"/>
  </w:num>
  <w:num w:numId="24">
    <w:abstractNumId w:val="15"/>
  </w:num>
  <w:num w:numId="25">
    <w:abstractNumId w:val="1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94"/>
    <w:rsid w:val="00005559"/>
    <w:rsid w:val="000077D2"/>
    <w:rsid w:val="00023E09"/>
    <w:rsid w:val="00026768"/>
    <w:rsid w:val="00036F73"/>
    <w:rsid w:val="000447D5"/>
    <w:rsid w:val="00073325"/>
    <w:rsid w:val="000A2BCA"/>
    <w:rsid w:val="000B08CB"/>
    <w:rsid w:val="000B45CE"/>
    <w:rsid w:val="000C45EB"/>
    <w:rsid w:val="000D1C39"/>
    <w:rsid w:val="000E289F"/>
    <w:rsid w:val="000E4D9C"/>
    <w:rsid w:val="000E6BB6"/>
    <w:rsid w:val="000E71F2"/>
    <w:rsid w:val="00107A4A"/>
    <w:rsid w:val="001211E3"/>
    <w:rsid w:val="00123F38"/>
    <w:rsid w:val="001314F0"/>
    <w:rsid w:val="00140A65"/>
    <w:rsid w:val="00147232"/>
    <w:rsid w:val="0015449F"/>
    <w:rsid w:val="0016214F"/>
    <w:rsid w:val="0019191F"/>
    <w:rsid w:val="00192678"/>
    <w:rsid w:val="001A28FF"/>
    <w:rsid w:val="001A7230"/>
    <w:rsid w:val="001B0AAD"/>
    <w:rsid w:val="001C1965"/>
    <w:rsid w:val="001D077D"/>
    <w:rsid w:val="001E09E6"/>
    <w:rsid w:val="001E0FDD"/>
    <w:rsid w:val="001E2F1A"/>
    <w:rsid w:val="001F13FE"/>
    <w:rsid w:val="00203A1A"/>
    <w:rsid w:val="00211416"/>
    <w:rsid w:val="00216B49"/>
    <w:rsid w:val="002211DD"/>
    <w:rsid w:val="002318D3"/>
    <w:rsid w:val="00240A7D"/>
    <w:rsid w:val="0024380F"/>
    <w:rsid w:val="00281E27"/>
    <w:rsid w:val="002C1A5C"/>
    <w:rsid w:val="002C67B3"/>
    <w:rsid w:val="002C7C17"/>
    <w:rsid w:val="002D0743"/>
    <w:rsid w:val="002D14A5"/>
    <w:rsid w:val="002D6E42"/>
    <w:rsid w:val="00301D5C"/>
    <w:rsid w:val="00320685"/>
    <w:rsid w:val="0034082B"/>
    <w:rsid w:val="00355ACF"/>
    <w:rsid w:val="0036709E"/>
    <w:rsid w:val="00371EA2"/>
    <w:rsid w:val="00373AC1"/>
    <w:rsid w:val="0037484D"/>
    <w:rsid w:val="003761D1"/>
    <w:rsid w:val="00376927"/>
    <w:rsid w:val="00385F8F"/>
    <w:rsid w:val="00387E57"/>
    <w:rsid w:val="00395145"/>
    <w:rsid w:val="003A51EF"/>
    <w:rsid w:val="003B3673"/>
    <w:rsid w:val="003C11BE"/>
    <w:rsid w:val="003C1B6F"/>
    <w:rsid w:val="003C46BD"/>
    <w:rsid w:val="003C55D4"/>
    <w:rsid w:val="003C7745"/>
    <w:rsid w:val="003D034C"/>
    <w:rsid w:val="003E3BE1"/>
    <w:rsid w:val="003F1E31"/>
    <w:rsid w:val="00401B3D"/>
    <w:rsid w:val="00403BC9"/>
    <w:rsid w:val="00406AEB"/>
    <w:rsid w:val="00407193"/>
    <w:rsid w:val="004307DA"/>
    <w:rsid w:val="00431296"/>
    <w:rsid w:val="00445ED9"/>
    <w:rsid w:val="00455B75"/>
    <w:rsid w:val="00456756"/>
    <w:rsid w:val="00456EE9"/>
    <w:rsid w:val="004617AB"/>
    <w:rsid w:val="00476206"/>
    <w:rsid w:val="00476553"/>
    <w:rsid w:val="00481CC1"/>
    <w:rsid w:val="004C2FA4"/>
    <w:rsid w:val="004D04D7"/>
    <w:rsid w:val="004D5701"/>
    <w:rsid w:val="004E13B6"/>
    <w:rsid w:val="004E3714"/>
    <w:rsid w:val="004E7AA1"/>
    <w:rsid w:val="004F5566"/>
    <w:rsid w:val="0050159B"/>
    <w:rsid w:val="0050539F"/>
    <w:rsid w:val="005066F6"/>
    <w:rsid w:val="005120AC"/>
    <w:rsid w:val="00512257"/>
    <w:rsid w:val="005165D8"/>
    <w:rsid w:val="005220DE"/>
    <w:rsid w:val="0052421A"/>
    <w:rsid w:val="00550043"/>
    <w:rsid w:val="0055134E"/>
    <w:rsid w:val="00552B32"/>
    <w:rsid w:val="00563FDB"/>
    <w:rsid w:val="00572900"/>
    <w:rsid w:val="00587344"/>
    <w:rsid w:val="005878B4"/>
    <w:rsid w:val="005A0A5A"/>
    <w:rsid w:val="005A111B"/>
    <w:rsid w:val="005A277E"/>
    <w:rsid w:val="005B2F04"/>
    <w:rsid w:val="005C270A"/>
    <w:rsid w:val="005E3494"/>
    <w:rsid w:val="005E7F44"/>
    <w:rsid w:val="006143BE"/>
    <w:rsid w:val="00614F78"/>
    <w:rsid w:val="00616408"/>
    <w:rsid w:val="00627EAE"/>
    <w:rsid w:val="00630FD1"/>
    <w:rsid w:val="00634ACE"/>
    <w:rsid w:val="006363ED"/>
    <w:rsid w:val="00636661"/>
    <w:rsid w:val="006478B4"/>
    <w:rsid w:val="006609B9"/>
    <w:rsid w:val="00664036"/>
    <w:rsid w:val="006700D8"/>
    <w:rsid w:val="0067427F"/>
    <w:rsid w:val="006A5844"/>
    <w:rsid w:val="006B0870"/>
    <w:rsid w:val="006B3E24"/>
    <w:rsid w:val="006B40D1"/>
    <w:rsid w:val="006C22B8"/>
    <w:rsid w:val="006C2CCE"/>
    <w:rsid w:val="006E4CFC"/>
    <w:rsid w:val="006E68CA"/>
    <w:rsid w:val="006F69F7"/>
    <w:rsid w:val="00704438"/>
    <w:rsid w:val="00707BB1"/>
    <w:rsid w:val="00714CA5"/>
    <w:rsid w:val="00742A2D"/>
    <w:rsid w:val="0074509C"/>
    <w:rsid w:val="00755D45"/>
    <w:rsid w:val="0075731B"/>
    <w:rsid w:val="00760D88"/>
    <w:rsid w:val="00765163"/>
    <w:rsid w:val="00770185"/>
    <w:rsid w:val="00771D1F"/>
    <w:rsid w:val="0077250F"/>
    <w:rsid w:val="00776F79"/>
    <w:rsid w:val="00784011"/>
    <w:rsid w:val="0079450E"/>
    <w:rsid w:val="007A104A"/>
    <w:rsid w:val="007A19D6"/>
    <w:rsid w:val="007A22AA"/>
    <w:rsid w:val="007A65C3"/>
    <w:rsid w:val="007B31F0"/>
    <w:rsid w:val="007B7A3E"/>
    <w:rsid w:val="007C03AA"/>
    <w:rsid w:val="007D4DB5"/>
    <w:rsid w:val="007D5688"/>
    <w:rsid w:val="007D77A2"/>
    <w:rsid w:val="007E02E6"/>
    <w:rsid w:val="007E0397"/>
    <w:rsid w:val="007F4BD6"/>
    <w:rsid w:val="008037FA"/>
    <w:rsid w:val="008117CF"/>
    <w:rsid w:val="008174DA"/>
    <w:rsid w:val="008176F2"/>
    <w:rsid w:val="00843D3F"/>
    <w:rsid w:val="00844B8C"/>
    <w:rsid w:val="00844EE1"/>
    <w:rsid w:val="00851BE9"/>
    <w:rsid w:val="008608AC"/>
    <w:rsid w:val="008657EA"/>
    <w:rsid w:val="00876B31"/>
    <w:rsid w:val="0087724D"/>
    <w:rsid w:val="008946E5"/>
    <w:rsid w:val="00894C1F"/>
    <w:rsid w:val="008A2CC6"/>
    <w:rsid w:val="008A5215"/>
    <w:rsid w:val="008B7E28"/>
    <w:rsid w:val="008D2A0F"/>
    <w:rsid w:val="008D2E78"/>
    <w:rsid w:val="008D3840"/>
    <w:rsid w:val="008E3F76"/>
    <w:rsid w:val="008F1533"/>
    <w:rsid w:val="008F3713"/>
    <w:rsid w:val="008F5298"/>
    <w:rsid w:val="009016E9"/>
    <w:rsid w:val="009040DA"/>
    <w:rsid w:val="009152A4"/>
    <w:rsid w:val="00915E9C"/>
    <w:rsid w:val="00916EA8"/>
    <w:rsid w:val="009327A6"/>
    <w:rsid w:val="00940BB3"/>
    <w:rsid w:val="00943432"/>
    <w:rsid w:val="00946834"/>
    <w:rsid w:val="00950408"/>
    <w:rsid w:val="0095222E"/>
    <w:rsid w:val="00953C84"/>
    <w:rsid w:val="00962938"/>
    <w:rsid w:val="00964B46"/>
    <w:rsid w:val="00977115"/>
    <w:rsid w:val="00996A58"/>
    <w:rsid w:val="009A075B"/>
    <w:rsid w:val="009A3CF3"/>
    <w:rsid w:val="009A65B6"/>
    <w:rsid w:val="009B0A7E"/>
    <w:rsid w:val="009B22CA"/>
    <w:rsid w:val="009D10BE"/>
    <w:rsid w:val="009D771B"/>
    <w:rsid w:val="009E41C5"/>
    <w:rsid w:val="009E7409"/>
    <w:rsid w:val="009E75F2"/>
    <w:rsid w:val="009F7A45"/>
    <w:rsid w:val="00A05307"/>
    <w:rsid w:val="00A071CF"/>
    <w:rsid w:val="00A07B94"/>
    <w:rsid w:val="00A14E76"/>
    <w:rsid w:val="00A15FAB"/>
    <w:rsid w:val="00A164EA"/>
    <w:rsid w:val="00A20093"/>
    <w:rsid w:val="00A24BD9"/>
    <w:rsid w:val="00A371DB"/>
    <w:rsid w:val="00A416D2"/>
    <w:rsid w:val="00A438CF"/>
    <w:rsid w:val="00A47EE0"/>
    <w:rsid w:val="00A52E3A"/>
    <w:rsid w:val="00A62D36"/>
    <w:rsid w:val="00A67080"/>
    <w:rsid w:val="00A726E3"/>
    <w:rsid w:val="00A7455D"/>
    <w:rsid w:val="00A84B99"/>
    <w:rsid w:val="00A917D0"/>
    <w:rsid w:val="00AB0C30"/>
    <w:rsid w:val="00AB66E8"/>
    <w:rsid w:val="00AB71AC"/>
    <w:rsid w:val="00AC3806"/>
    <w:rsid w:val="00AC749E"/>
    <w:rsid w:val="00AD08DF"/>
    <w:rsid w:val="00AD201F"/>
    <w:rsid w:val="00AD7691"/>
    <w:rsid w:val="00AE039F"/>
    <w:rsid w:val="00AE2625"/>
    <w:rsid w:val="00AF39B4"/>
    <w:rsid w:val="00B05510"/>
    <w:rsid w:val="00B14B22"/>
    <w:rsid w:val="00B245BA"/>
    <w:rsid w:val="00B24FE2"/>
    <w:rsid w:val="00B26326"/>
    <w:rsid w:val="00B274E7"/>
    <w:rsid w:val="00B27A1C"/>
    <w:rsid w:val="00B30A7F"/>
    <w:rsid w:val="00B31113"/>
    <w:rsid w:val="00B34CDD"/>
    <w:rsid w:val="00B370F4"/>
    <w:rsid w:val="00B42327"/>
    <w:rsid w:val="00B42759"/>
    <w:rsid w:val="00B62AEE"/>
    <w:rsid w:val="00B62B48"/>
    <w:rsid w:val="00B6333A"/>
    <w:rsid w:val="00B67396"/>
    <w:rsid w:val="00B747B5"/>
    <w:rsid w:val="00B7485A"/>
    <w:rsid w:val="00B8658C"/>
    <w:rsid w:val="00B87070"/>
    <w:rsid w:val="00B91EAF"/>
    <w:rsid w:val="00BA6FFB"/>
    <w:rsid w:val="00BC2090"/>
    <w:rsid w:val="00BC3D54"/>
    <w:rsid w:val="00BD7577"/>
    <w:rsid w:val="00BE0DC7"/>
    <w:rsid w:val="00BE293E"/>
    <w:rsid w:val="00BE2C3B"/>
    <w:rsid w:val="00BF05B1"/>
    <w:rsid w:val="00BF6B3F"/>
    <w:rsid w:val="00BF6C81"/>
    <w:rsid w:val="00C039C0"/>
    <w:rsid w:val="00C20CAE"/>
    <w:rsid w:val="00C2718C"/>
    <w:rsid w:val="00C50FE4"/>
    <w:rsid w:val="00C60F8E"/>
    <w:rsid w:val="00C62467"/>
    <w:rsid w:val="00C63238"/>
    <w:rsid w:val="00C66D15"/>
    <w:rsid w:val="00C7413C"/>
    <w:rsid w:val="00C82BE8"/>
    <w:rsid w:val="00C83B8B"/>
    <w:rsid w:val="00C8655A"/>
    <w:rsid w:val="00C951BC"/>
    <w:rsid w:val="00CA5EBE"/>
    <w:rsid w:val="00CB2695"/>
    <w:rsid w:val="00CC1467"/>
    <w:rsid w:val="00CC3F8D"/>
    <w:rsid w:val="00CD2673"/>
    <w:rsid w:val="00CD3B7F"/>
    <w:rsid w:val="00CD6F7E"/>
    <w:rsid w:val="00CF4339"/>
    <w:rsid w:val="00D0262B"/>
    <w:rsid w:val="00D14C47"/>
    <w:rsid w:val="00D26F73"/>
    <w:rsid w:val="00D278A1"/>
    <w:rsid w:val="00D37FEA"/>
    <w:rsid w:val="00D502D7"/>
    <w:rsid w:val="00D51030"/>
    <w:rsid w:val="00D5153C"/>
    <w:rsid w:val="00D75B4C"/>
    <w:rsid w:val="00D75F3C"/>
    <w:rsid w:val="00D91087"/>
    <w:rsid w:val="00D935F7"/>
    <w:rsid w:val="00D94ACF"/>
    <w:rsid w:val="00DB7935"/>
    <w:rsid w:val="00DC207D"/>
    <w:rsid w:val="00DD4ED5"/>
    <w:rsid w:val="00DE4E95"/>
    <w:rsid w:val="00E01BD8"/>
    <w:rsid w:val="00E13323"/>
    <w:rsid w:val="00E24071"/>
    <w:rsid w:val="00E40390"/>
    <w:rsid w:val="00E42832"/>
    <w:rsid w:val="00E43965"/>
    <w:rsid w:val="00E44396"/>
    <w:rsid w:val="00E539E2"/>
    <w:rsid w:val="00E61EA3"/>
    <w:rsid w:val="00E7050A"/>
    <w:rsid w:val="00E72BF3"/>
    <w:rsid w:val="00E748C7"/>
    <w:rsid w:val="00E75B6B"/>
    <w:rsid w:val="00E86874"/>
    <w:rsid w:val="00E87932"/>
    <w:rsid w:val="00E911B9"/>
    <w:rsid w:val="00E9123C"/>
    <w:rsid w:val="00E97E45"/>
    <w:rsid w:val="00EA0288"/>
    <w:rsid w:val="00EA18A4"/>
    <w:rsid w:val="00EB66BC"/>
    <w:rsid w:val="00EC23FD"/>
    <w:rsid w:val="00ED1AB8"/>
    <w:rsid w:val="00ED5FB6"/>
    <w:rsid w:val="00ED7A12"/>
    <w:rsid w:val="00EE213A"/>
    <w:rsid w:val="00EF400D"/>
    <w:rsid w:val="00F02557"/>
    <w:rsid w:val="00F1194C"/>
    <w:rsid w:val="00F22A28"/>
    <w:rsid w:val="00F27E73"/>
    <w:rsid w:val="00F305B8"/>
    <w:rsid w:val="00F35B63"/>
    <w:rsid w:val="00F577DC"/>
    <w:rsid w:val="00F6086F"/>
    <w:rsid w:val="00F7600F"/>
    <w:rsid w:val="00F766CC"/>
    <w:rsid w:val="00F812A4"/>
    <w:rsid w:val="00F82C93"/>
    <w:rsid w:val="00F847C8"/>
    <w:rsid w:val="00F86B5F"/>
    <w:rsid w:val="00F922A7"/>
    <w:rsid w:val="00F95299"/>
    <w:rsid w:val="00FA1BCC"/>
    <w:rsid w:val="00FA4A15"/>
    <w:rsid w:val="00FC283E"/>
    <w:rsid w:val="00FC2CE9"/>
    <w:rsid w:val="00FC6D99"/>
    <w:rsid w:val="00FC7992"/>
    <w:rsid w:val="00FD0512"/>
    <w:rsid w:val="00FE1751"/>
    <w:rsid w:val="00FE2B62"/>
    <w:rsid w:val="00FE3AF4"/>
    <w:rsid w:val="00FE5A05"/>
    <w:rsid w:val="00FE5D5E"/>
    <w:rsid w:val="00FF020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E6CDFB1"/>
  <w14:defaultImageDpi w14:val="0"/>
  <w15:docId w15:val="{69DE5A5B-7A22-4E3D-B032-DABCE3B4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E9123C"/>
    <w:pPr>
      <w:tabs>
        <w:tab w:val="center" w:pos="4680"/>
        <w:tab w:val="right" w:pos="9360"/>
      </w:tabs>
    </w:pPr>
  </w:style>
  <w:style w:type="character" w:customStyle="1" w:styleId="HeaderChar">
    <w:name w:val="Header Char"/>
    <w:basedOn w:val="DefaultParagraphFont"/>
    <w:link w:val="Header"/>
    <w:uiPriority w:val="99"/>
    <w:rsid w:val="00E9123C"/>
    <w:rPr>
      <w:rFonts w:ascii="Times New Roman" w:hAnsi="Times New Roman" w:cs="Times New Roman"/>
      <w:sz w:val="24"/>
      <w:szCs w:val="24"/>
      <w:lang w:val="en-US"/>
    </w:rPr>
  </w:style>
  <w:style w:type="paragraph" w:styleId="Footer">
    <w:name w:val="footer"/>
    <w:basedOn w:val="Normal"/>
    <w:link w:val="FooterChar"/>
    <w:uiPriority w:val="99"/>
    <w:unhideWhenUsed/>
    <w:rsid w:val="00E9123C"/>
    <w:pPr>
      <w:tabs>
        <w:tab w:val="center" w:pos="4680"/>
        <w:tab w:val="right" w:pos="9360"/>
      </w:tabs>
    </w:pPr>
  </w:style>
  <w:style w:type="character" w:customStyle="1" w:styleId="FooterChar">
    <w:name w:val="Footer Char"/>
    <w:basedOn w:val="DefaultParagraphFont"/>
    <w:link w:val="Footer"/>
    <w:uiPriority w:val="99"/>
    <w:rsid w:val="00E9123C"/>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B91EAF"/>
    <w:rPr>
      <w:rFonts w:ascii="Tahoma" w:hAnsi="Tahoma" w:cs="Tahoma"/>
      <w:sz w:val="16"/>
      <w:szCs w:val="16"/>
    </w:rPr>
  </w:style>
  <w:style w:type="character" w:customStyle="1" w:styleId="BalloonTextChar">
    <w:name w:val="Balloon Text Char"/>
    <w:basedOn w:val="DefaultParagraphFont"/>
    <w:link w:val="BalloonText"/>
    <w:uiPriority w:val="99"/>
    <w:semiHidden/>
    <w:rsid w:val="00B91EAF"/>
    <w:rPr>
      <w:rFonts w:ascii="Tahoma" w:hAnsi="Tahoma" w:cs="Tahoma"/>
      <w:sz w:val="16"/>
      <w:szCs w:val="16"/>
      <w:lang w:val="en-US"/>
    </w:rPr>
  </w:style>
  <w:style w:type="paragraph" w:styleId="ListParagraph">
    <w:name w:val="List Paragraph"/>
    <w:basedOn w:val="Normal"/>
    <w:uiPriority w:val="34"/>
    <w:qFormat/>
    <w:rsid w:val="00B05510"/>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376927"/>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376927"/>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sleftalign">
    <w:name w:val="ss_leftalign"/>
    <w:basedOn w:val="DefaultParagraphFont"/>
    <w:rsid w:val="00CD2673"/>
  </w:style>
  <w:style w:type="character" w:customStyle="1" w:styleId="ssit">
    <w:name w:val="ss_it"/>
    <w:basedOn w:val="DefaultParagraphFont"/>
    <w:rsid w:val="00CD2673"/>
  </w:style>
  <w:style w:type="character" w:styleId="Hyperlink">
    <w:name w:val="Hyperlink"/>
    <w:basedOn w:val="DefaultParagraphFont"/>
    <w:uiPriority w:val="99"/>
    <w:semiHidden/>
    <w:unhideWhenUsed/>
    <w:rsid w:val="00CD26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895775">
      <w:bodyDiv w:val="1"/>
      <w:marLeft w:val="0"/>
      <w:marRight w:val="0"/>
      <w:marTop w:val="0"/>
      <w:marBottom w:val="0"/>
      <w:divBdr>
        <w:top w:val="none" w:sz="0" w:space="0" w:color="auto"/>
        <w:left w:val="none" w:sz="0" w:space="0" w:color="auto"/>
        <w:bottom w:val="none" w:sz="0" w:space="0" w:color="auto"/>
        <w:right w:val="none" w:sz="0" w:space="0" w:color="auto"/>
      </w:divBdr>
    </w:div>
    <w:div w:id="173731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873EE-03F4-4D0F-BCDB-EE15A88A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2802</Words>
  <Characters>14868</Characters>
  <Application>Microsoft Office Word</Application>
  <DocSecurity>0</DocSecurity>
  <Lines>123</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O'Rourke</dc:creator>
  <cp:lastModifiedBy>Shirley Mair</cp:lastModifiedBy>
  <cp:revision>8</cp:revision>
  <cp:lastPrinted>2018-03-19T16:07:00Z</cp:lastPrinted>
  <dcterms:created xsi:type="dcterms:W3CDTF">2018-03-19T15:19:00Z</dcterms:created>
  <dcterms:modified xsi:type="dcterms:W3CDTF">2018-03-19T16:07:00Z</dcterms:modified>
</cp:coreProperties>
</file>