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4" w:rsidRPr="00506689" w:rsidRDefault="00006982" w:rsidP="00100007">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Hewitt</w:t>
      </w:r>
      <w:r w:rsidR="00100007" w:rsidRPr="00506689">
        <w:rPr>
          <w:rFonts w:ascii="Times New Roman" w:hAnsi="Times New Roman" w:cs="Times New Roman"/>
          <w:i/>
          <w:color w:val="000000" w:themeColor="text1"/>
          <w:sz w:val="24"/>
          <w:szCs w:val="24"/>
        </w:rPr>
        <w:t xml:space="preserve"> v </w:t>
      </w:r>
      <w:r>
        <w:rPr>
          <w:rFonts w:ascii="Times New Roman" w:hAnsi="Times New Roman" w:cs="Times New Roman"/>
          <w:i/>
          <w:color w:val="000000" w:themeColor="text1"/>
          <w:sz w:val="24"/>
          <w:szCs w:val="24"/>
        </w:rPr>
        <w:t>Yatkowsky</w:t>
      </w:r>
      <w:r w:rsidR="006A55D4" w:rsidRPr="00506689">
        <w:rPr>
          <w:rFonts w:ascii="Times New Roman" w:hAnsi="Times New Roman" w:cs="Times New Roman"/>
          <w:i/>
          <w:color w:val="000000" w:themeColor="text1"/>
          <w:sz w:val="24"/>
          <w:szCs w:val="24"/>
        </w:rPr>
        <w:t xml:space="preserve">, </w:t>
      </w:r>
      <w:r w:rsidR="00100007" w:rsidRPr="0050668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r w:rsidR="00100007" w:rsidRPr="00506689">
        <w:rPr>
          <w:rFonts w:ascii="Times New Roman" w:hAnsi="Times New Roman" w:cs="Times New Roman"/>
          <w:color w:val="000000" w:themeColor="text1"/>
          <w:sz w:val="24"/>
          <w:szCs w:val="24"/>
        </w:rPr>
        <w:t xml:space="preserve"> NWTSC </w:t>
      </w:r>
      <w:r w:rsidR="00455139" w:rsidRPr="00455139">
        <w:rPr>
          <w:rFonts w:ascii="Times New Roman" w:hAnsi="Times New Roman" w:cs="Times New Roman"/>
          <w:sz w:val="24"/>
          <w:szCs w:val="24"/>
        </w:rPr>
        <w:t>9</w:t>
      </w:r>
    </w:p>
    <w:p w:rsidR="006A55D4" w:rsidRPr="00506689" w:rsidRDefault="006A55D4" w:rsidP="00100007">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0" w:name="1"/>
      <w:bookmarkEnd w:id="0"/>
      <w:r w:rsidR="00006982">
        <w:rPr>
          <w:rFonts w:ascii="Times New Roman" w:hAnsi="Times New Roman" w:cs="Times New Roman"/>
          <w:color w:val="000000" w:themeColor="text1"/>
          <w:sz w:val="28"/>
          <w:szCs w:val="28"/>
        </w:rPr>
        <w:t xml:space="preserve"> 2018</w:t>
      </w:r>
      <w:r w:rsidRPr="0050668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0</w:t>
      </w:r>
      <w:r w:rsidR="00525993">
        <w:rPr>
          <w:rFonts w:ascii="Times New Roman" w:hAnsi="Times New Roman" w:cs="Times New Roman"/>
          <w:color w:val="000000" w:themeColor="text1"/>
          <w:sz w:val="28"/>
          <w:szCs w:val="28"/>
        </w:rPr>
        <w:t>1</w:t>
      </w:r>
      <w:r w:rsidR="00100007" w:rsidRPr="00506689">
        <w:rPr>
          <w:rFonts w:ascii="Times New Roman" w:hAnsi="Times New Roman" w:cs="Times New Roman"/>
          <w:color w:val="000000" w:themeColor="text1"/>
          <w:sz w:val="28"/>
          <w:szCs w:val="28"/>
        </w:rPr>
        <w:t xml:space="preserve"> </w:t>
      </w:r>
      <w:r w:rsidR="00703B61">
        <w:rPr>
          <w:rFonts w:ascii="Times New Roman" w:hAnsi="Times New Roman" w:cs="Times New Roman"/>
          <w:color w:val="000000" w:themeColor="text1"/>
          <w:sz w:val="28"/>
          <w:szCs w:val="28"/>
        </w:rPr>
        <w:t>23</w:t>
      </w:r>
    </w:p>
    <w:p w:rsidR="006A55D4" w:rsidRPr="00506689" w:rsidRDefault="006A55D4" w:rsidP="00100007">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sidR="00100007" w:rsidRPr="00506689">
        <w:rPr>
          <w:rFonts w:ascii="Times New Roman" w:hAnsi="Times New Roman" w:cs="Times New Roman"/>
          <w:color w:val="000000" w:themeColor="text1"/>
          <w:sz w:val="28"/>
          <w:szCs w:val="28"/>
        </w:rPr>
        <w:t xml:space="preserve"> S 1 </w:t>
      </w:r>
      <w:r w:rsidR="00525993">
        <w:rPr>
          <w:rFonts w:ascii="Times New Roman" w:hAnsi="Times New Roman" w:cs="Times New Roman"/>
          <w:color w:val="000000" w:themeColor="text1"/>
          <w:sz w:val="28"/>
          <w:szCs w:val="28"/>
        </w:rPr>
        <w:t>FM</w:t>
      </w:r>
      <w:r w:rsidR="00100007" w:rsidRPr="00506689">
        <w:rPr>
          <w:rFonts w:ascii="Times New Roman" w:hAnsi="Times New Roman" w:cs="Times New Roman"/>
          <w:color w:val="000000" w:themeColor="text1"/>
          <w:sz w:val="28"/>
          <w:szCs w:val="28"/>
        </w:rPr>
        <w:t xml:space="preserve"> 201</w:t>
      </w:r>
      <w:r w:rsidR="00006982">
        <w:rPr>
          <w:rFonts w:ascii="Times New Roman" w:hAnsi="Times New Roman" w:cs="Times New Roman"/>
          <w:color w:val="000000" w:themeColor="text1"/>
          <w:sz w:val="28"/>
          <w:szCs w:val="28"/>
        </w:rPr>
        <w:t>6</w:t>
      </w:r>
      <w:r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006982">
        <w:rPr>
          <w:rFonts w:ascii="Times New Roman" w:hAnsi="Times New Roman" w:cs="Times New Roman"/>
          <w:color w:val="000000" w:themeColor="text1"/>
          <w:sz w:val="28"/>
          <w:szCs w:val="28"/>
        </w:rPr>
        <w:t>152</w:t>
      </w:r>
    </w:p>
    <w:p w:rsidR="006A55D4" w:rsidRPr="00506689" w:rsidRDefault="006A55D4" w:rsidP="00100007">
      <w:pPr>
        <w:spacing w:line="240" w:lineRule="auto"/>
        <w:rPr>
          <w:rFonts w:ascii="Times New Roman" w:hAnsi="Times New Roman" w:cs="Times New Roman"/>
          <w:color w:val="000000" w:themeColor="text1"/>
          <w:sz w:val="28"/>
          <w:szCs w:val="28"/>
        </w:rPr>
      </w:pPr>
    </w:p>
    <w:p w:rsidR="00940C79" w:rsidRDefault="00562736" w:rsidP="00100007">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IN THE SUPREME COURT OF THE NORTHWEST TERRITORIES</w:t>
      </w:r>
    </w:p>
    <w:p w:rsidR="00525993" w:rsidRDefault="00525993" w:rsidP="00525993">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IN THE MATTER OF THE </w:t>
      </w:r>
      <w:r>
        <w:rPr>
          <w:rFonts w:ascii="Times New Roman" w:hAnsi="Times New Roman" w:cs="Times New Roman"/>
          <w:i/>
          <w:color w:val="000000" w:themeColor="text1"/>
          <w:sz w:val="28"/>
          <w:szCs w:val="28"/>
        </w:rPr>
        <w:t xml:space="preserve">INTERJURISDICTIONAL SUPPORT </w:t>
      </w:r>
    </w:p>
    <w:p w:rsidR="00525993" w:rsidRPr="00525993" w:rsidRDefault="00525993" w:rsidP="005259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ORDERS ACT, </w:t>
      </w:r>
      <w:r>
        <w:rPr>
          <w:rFonts w:ascii="Times New Roman" w:hAnsi="Times New Roman" w:cs="Times New Roman"/>
          <w:color w:val="000000" w:themeColor="text1"/>
          <w:sz w:val="28"/>
          <w:szCs w:val="28"/>
        </w:rPr>
        <w:t>S.N.W.T. 2002, c. 19</w:t>
      </w:r>
    </w:p>
    <w:p w:rsidR="00525993" w:rsidRDefault="00525993" w:rsidP="00100007">
      <w:pPr>
        <w:spacing w:line="240" w:lineRule="auto"/>
        <w:rPr>
          <w:rFonts w:ascii="Times New Roman" w:hAnsi="Times New Roman" w:cs="Times New Roman"/>
          <w:color w:val="000000" w:themeColor="text1"/>
          <w:sz w:val="28"/>
          <w:szCs w:val="28"/>
        </w:rPr>
      </w:pPr>
    </w:p>
    <w:p w:rsidR="00562736" w:rsidRPr="00506689" w:rsidRDefault="00562736" w:rsidP="00100007">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BETWEEN:</w:t>
      </w:r>
    </w:p>
    <w:p w:rsidR="00562736" w:rsidRPr="00506689" w:rsidRDefault="00006982" w:rsidP="0010000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TRACEY HEWITT</w:t>
      </w: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B6CBE" w:rsidRPr="00506689" w:rsidRDefault="007B6CBE" w:rsidP="00100007">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BE330D" w:rsidRDefault="00BE330D" w:rsidP="00100007">
      <w:pPr>
        <w:spacing w:line="240" w:lineRule="auto"/>
        <w:jc w:val="center"/>
        <w:rPr>
          <w:rFonts w:ascii="Times New Roman" w:hAnsi="Times New Roman" w:cs="Times New Roman"/>
          <w:color w:val="000000" w:themeColor="text1"/>
          <w:sz w:val="28"/>
          <w:szCs w:val="28"/>
        </w:rPr>
      </w:pPr>
    </w:p>
    <w:p w:rsidR="00525993" w:rsidRPr="00506689" w:rsidRDefault="00006982" w:rsidP="0010000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ROBERT YATKOWSKY</w:t>
      </w: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7B6CBE" w:rsidRDefault="007B6CBE" w:rsidP="007B6CBE">
      <w:pPr>
        <w:jc w:val="center"/>
        <w:rPr>
          <w:rFonts w:ascii="Times New Roman" w:hAnsi="Times New Roman" w:cs="Times New Roman"/>
          <w:b/>
          <w:color w:val="000000" w:themeColor="text1"/>
          <w:sz w:val="28"/>
          <w:szCs w:val="28"/>
          <w:u w:val="single"/>
        </w:rPr>
      </w:pPr>
      <w:r w:rsidRPr="00506689">
        <w:rPr>
          <w:rFonts w:ascii="Times New Roman" w:hAnsi="Times New Roman" w:cs="Times New Roman"/>
          <w:b/>
          <w:color w:val="000000" w:themeColor="text1"/>
          <w:sz w:val="28"/>
          <w:szCs w:val="28"/>
          <w:u w:val="single"/>
        </w:rPr>
        <w:t>MEMORANDUM OF JUDGMENT</w:t>
      </w:r>
    </w:p>
    <w:p w:rsidR="00077A2E" w:rsidRPr="00506689" w:rsidRDefault="00077A2E" w:rsidP="007B6CBE">
      <w:pPr>
        <w:jc w:val="center"/>
        <w:rPr>
          <w:rFonts w:ascii="Times New Roman" w:hAnsi="Times New Roman" w:cs="Times New Roman"/>
          <w:b/>
          <w:color w:val="000000" w:themeColor="text1"/>
          <w:sz w:val="28"/>
          <w:szCs w:val="28"/>
          <w:u w:val="single"/>
        </w:rPr>
      </w:pPr>
    </w:p>
    <w:p w:rsidR="00F42936" w:rsidRDefault="00525993" w:rsidP="0010000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00006982">
        <w:rPr>
          <w:rFonts w:ascii="Times New Roman" w:hAnsi="Times New Roman" w:cs="Times New Roman"/>
          <w:color w:val="000000" w:themeColor="text1"/>
          <w:sz w:val="28"/>
          <w:szCs w:val="28"/>
        </w:rPr>
        <w:t>s. Hewitt</w:t>
      </w:r>
      <w:r>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 xml:space="preserve">seeks an order varying </w:t>
      </w:r>
      <w:r>
        <w:rPr>
          <w:rFonts w:ascii="Times New Roman" w:hAnsi="Times New Roman" w:cs="Times New Roman"/>
          <w:color w:val="000000" w:themeColor="text1"/>
          <w:sz w:val="28"/>
          <w:szCs w:val="28"/>
        </w:rPr>
        <w:t xml:space="preserve">child support using the </w:t>
      </w:r>
      <w:r>
        <w:rPr>
          <w:rFonts w:ascii="Times New Roman" w:hAnsi="Times New Roman" w:cs="Times New Roman"/>
          <w:i/>
          <w:color w:val="000000" w:themeColor="text1"/>
          <w:sz w:val="28"/>
          <w:szCs w:val="28"/>
        </w:rPr>
        <w:t xml:space="preserve">Interjurisdictional Support Orders Act, </w:t>
      </w:r>
      <w:r>
        <w:rPr>
          <w:rFonts w:ascii="Times New Roman" w:hAnsi="Times New Roman" w:cs="Times New Roman"/>
          <w:color w:val="000000" w:themeColor="text1"/>
          <w:sz w:val="28"/>
          <w:szCs w:val="28"/>
        </w:rPr>
        <w:t>S.N.W.T. 2002, c. 19.</w:t>
      </w:r>
      <w:r w:rsidR="0045513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 xml:space="preserve"> Specifically, she asks the Court to </w:t>
      </w:r>
      <w:r w:rsidR="00F42936">
        <w:rPr>
          <w:rFonts w:ascii="Times New Roman" w:hAnsi="Times New Roman" w:cs="Times New Roman"/>
          <w:color w:val="000000" w:themeColor="text1"/>
          <w:sz w:val="28"/>
          <w:szCs w:val="28"/>
        </w:rPr>
        <w:t xml:space="preserve">make an order varying the amount of support retroactively and for an order directing Mr. Yatkowsky to pay a proportionate share of the child’s extraordinary expenses.  </w:t>
      </w:r>
    </w:p>
    <w:p w:rsidR="00734699" w:rsidRDefault="00F42936" w:rsidP="0010000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By way of procedural history, Ms. Hewitt appears to have filed her application in Ontario in January of 2016.  It was then transmitted to this jurisdiction and filed in this Court on October 27, 2016.  It did not reach the hearing stage until August 29, 2017.  The delay in having it heard is not due to any action or inaction by either party.  Rather, it appears to be a function of the processes necessary to bring the application before the Court in accordance with the </w:t>
      </w:r>
      <w:r>
        <w:rPr>
          <w:rFonts w:ascii="Times New Roman" w:hAnsi="Times New Roman" w:cs="Times New Roman"/>
          <w:i/>
          <w:color w:val="000000" w:themeColor="text1"/>
          <w:sz w:val="28"/>
          <w:szCs w:val="28"/>
        </w:rPr>
        <w:t xml:space="preserve">Interjurisdictional Support Orders Act. </w:t>
      </w:r>
    </w:p>
    <w:p w:rsidR="00A07D48" w:rsidRDefault="00006982" w:rsidP="000F1CFC">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A07D48">
        <w:rPr>
          <w:rFonts w:ascii="Times New Roman" w:hAnsi="Times New Roman" w:cs="Times New Roman"/>
          <w:color w:val="000000" w:themeColor="text1"/>
          <w:sz w:val="28"/>
          <w:szCs w:val="28"/>
        </w:rPr>
        <w:t xml:space="preserve">Mr. Yatkowsky </w:t>
      </w:r>
      <w:r w:rsidR="001B3F7F">
        <w:rPr>
          <w:rFonts w:ascii="Times New Roman" w:hAnsi="Times New Roman" w:cs="Times New Roman"/>
          <w:color w:val="000000" w:themeColor="text1"/>
          <w:sz w:val="28"/>
          <w:szCs w:val="28"/>
        </w:rPr>
        <w:t xml:space="preserve">brings his own motion </w:t>
      </w:r>
      <w:r w:rsidR="00A07D48" w:rsidRPr="00A07D48">
        <w:rPr>
          <w:rFonts w:ascii="Times New Roman" w:hAnsi="Times New Roman" w:cs="Times New Roman"/>
          <w:color w:val="000000" w:themeColor="text1"/>
          <w:sz w:val="28"/>
          <w:szCs w:val="28"/>
        </w:rPr>
        <w:t xml:space="preserve">for an order directing that </w:t>
      </w:r>
      <w:r w:rsidRPr="00A07D48">
        <w:rPr>
          <w:rFonts w:ascii="Times New Roman" w:hAnsi="Times New Roman" w:cs="Times New Roman"/>
          <w:color w:val="000000" w:themeColor="text1"/>
          <w:sz w:val="28"/>
          <w:szCs w:val="28"/>
        </w:rPr>
        <w:t xml:space="preserve">child support be terminated </w:t>
      </w:r>
      <w:r w:rsidR="00A07D48" w:rsidRPr="00A07D48">
        <w:rPr>
          <w:rFonts w:ascii="Times New Roman" w:hAnsi="Times New Roman" w:cs="Times New Roman"/>
          <w:color w:val="000000" w:themeColor="text1"/>
          <w:sz w:val="28"/>
          <w:szCs w:val="28"/>
        </w:rPr>
        <w:t xml:space="preserve">as at July 1, 2016 as well as an order dismissing Ms. Hewitt’s application. </w:t>
      </w:r>
    </w:p>
    <w:p w:rsidR="00100007" w:rsidRPr="00506689" w:rsidRDefault="00100007" w:rsidP="00100007">
      <w:pPr>
        <w:pStyle w:val="ListParagraph"/>
        <w:spacing w:after="240" w:line="240" w:lineRule="auto"/>
        <w:ind w:left="0"/>
        <w:contextualSpacing w:val="0"/>
        <w:jc w:val="both"/>
        <w:rPr>
          <w:rFonts w:ascii="Times New Roman" w:hAnsi="Times New Roman" w:cs="Times New Roman"/>
          <w:b/>
          <w:color w:val="000000" w:themeColor="text1"/>
          <w:sz w:val="28"/>
          <w:szCs w:val="28"/>
        </w:rPr>
      </w:pPr>
      <w:r w:rsidRPr="00506689">
        <w:rPr>
          <w:rFonts w:ascii="Times New Roman" w:hAnsi="Times New Roman" w:cs="Times New Roman"/>
          <w:b/>
          <w:color w:val="000000" w:themeColor="text1"/>
          <w:sz w:val="28"/>
          <w:szCs w:val="28"/>
        </w:rPr>
        <w:t>FACTS</w:t>
      </w:r>
    </w:p>
    <w:p w:rsidR="00E026DD" w:rsidRDefault="00E026DD" w:rsidP="007B0AD0">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factual findings are based on the affidavits submitted by both parties.  For the most part</w:t>
      </w:r>
      <w:r w:rsidR="00DE04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B3F7F">
        <w:rPr>
          <w:rFonts w:ascii="Times New Roman" w:hAnsi="Times New Roman" w:cs="Times New Roman"/>
          <w:color w:val="000000" w:themeColor="text1"/>
          <w:sz w:val="28"/>
          <w:szCs w:val="28"/>
        </w:rPr>
        <w:t xml:space="preserve">the facts </w:t>
      </w:r>
      <w:r>
        <w:rPr>
          <w:rFonts w:ascii="Times New Roman" w:hAnsi="Times New Roman" w:cs="Times New Roman"/>
          <w:color w:val="000000" w:themeColor="text1"/>
          <w:sz w:val="28"/>
          <w:szCs w:val="28"/>
        </w:rPr>
        <w:t xml:space="preserve">are not in dispute. </w:t>
      </w:r>
    </w:p>
    <w:p w:rsidR="00A07D48" w:rsidRPr="00ED2546" w:rsidRDefault="00A07D48" w:rsidP="00076A69">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ED2546">
        <w:rPr>
          <w:rFonts w:ascii="Times New Roman" w:hAnsi="Times New Roman" w:cs="Times New Roman"/>
          <w:color w:val="000000" w:themeColor="text1"/>
          <w:sz w:val="28"/>
          <w:szCs w:val="28"/>
        </w:rPr>
        <w:t>The parties were in a common law relationship and they have one child</w:t>
      </w:r>
      <w:r w:rsidR="00703B61" w:rsidRPr="00ED2546">
        <w:rPr>
          <w:rFonts w:ascii="Times New Roman" w:hAnsi="Times New Roman" w:cs="Times New Roman"/>
          <w:color w:val="000000" w:themeColor="text1"/>
          <w:sz w:val="28"/>
          <w:szCs w:val="28"/>
        </w:rPr>
        <w:t>, L</w:t>
      </w:r>
      <w:r w:rsidRPr="00ED2546">
        <w:rPr>
          <w:rFonts w:ascii="Times New Roman" w:hAnsi="Times New Roman" w:cs="Times New Roman"/>
          <w:color w:val="000000" w:themeColor="text1"/>
          <w:sz w:val="28"/>
          <w:szCs w:val="28"/>
        </w:rPr>
        <w:t>.</w:t>
      </w:r>
      <w:r w:rsidR="00DE04ED">
        <w:rPr>
          <w:rFonts w:ascii="Times New Roman" w:hAnsi="Times New Roman" w:cs="Times New Roman"/>
          <w:color w:val="000000" w:themeColor="text1"/>
          <w:sz w:val="28"/>
          <w:szCs w:val="28"/>
        </w:rPr>
        <w:t xml:space="preserve">, who is now </w:t>
      </w:r>
      <w:r w:rsidRPr="00ED2546">
        <w:rPr>
          <w:rFonts w:ascii="Times New Roman" w:hAnsi="Times New Roman" w:cs="Times New Roman"/>
          <w:color w:val="000000" w:themeColor="text1"/>
          <w:sz w:val="28"/>
          <w:szCs w:val="28"/>
        </w:rPr>
        <w:t xml:space="preserve">19 years old.  </w:t>
      </w:r>
      <w:r w:rsidR="00D5694A" w:rsidRPr="00ED2546">
        <w:rPr>
          <w:rFonts w:ascii="Times New Roman" w:hAnsi="Times New Roman" w:cs="Times New Roman"/>
          <w:color w:val="000000" w:themeColor="text1"/>
          <w:sz w:val="28"/>
          <w:szCs w:val="28"/>
        </w:rPr>
        <w:t xml:space="preserve">On December </w:t>
      </w:r>
      <w:r w:rsidRPr="00ED2546">
        <w:rPr>
          <w:rFonts w:ascii="Times New Roman" w:hAnsi="Times New Roman" w:cs="Times New Roman"/>
          <w:color w:val="000000" w:themeColor="text1"/>
          <w:sz w:val="28"/>
          <w:szCs w:val="28"/>
        </w:rPr>
        <w:t xml:space="preserve">13, 2005 the parties entered into an agreement </w:t>
      </w:r>
      <w:r w:rsidR="001D01C1" w:rsidRPr="00ED2546">
        <w:rPr>
          <w:rFonts w:ascii="Times New Roman" w:hAnsi="Times New Roman" w:cs="Times New Roman"/>
          <w:color w:val="000000" w:themeColor="text1"/>
          <w:sz w:val="28"/>
          <w:szCs w:val="28"/>
        </w:rPr>
        <w:t xml:space="preserve">respecting, </w:t>
      </w:r>
      <w:r w:rsidR="001D01C1" w:rsidRPr="00ED2546">
        <w:rPr>
          <w:rFonts w:ascii="Times New Roman" w:hAnsi="Times New Roman" w:cs="Times New Roman"/>
          <w:i/>
          <w:color w:val="000000" w:themeColor="text1"/>
          <w:sz w:val="28"/>
          <w:szCs w:val="28"/>
        </w:rPr>
        <w:t>inter alia,</w:t>
      </w:r>
      <w:r w:rsidRPr="00ED2546">
        <w:rPr>
          <w:rFonts w:ascii="Times New Roman" w:hAnsi="Times New Roman" w:cs="Times New Roman"/>
          <w:color w:val="000000" w:themeColor="text1"/>
          <w:sz w:val="28"/>
          <w:szCs w:val="28"/>
        </w:rPr>
        <w:t xml:space="preserve"> custody, access and child support.</w:t>
      </w:r>
      <w:r w:rsidR="00455139">
        <w:rPr>
          <w:rFonts w:ascii="Times New Roman" w:hAnsi="Times New Roman" w:cs="Times New Roman"/>
          <w:color w:val="000000" w:themeColor="text1"/>
          <w:sz w:val="28"/>
          <w:szCs w:val="28"/>
        </w:rPr>
        <w:t xml:space="preserve"> </w:t>
      </w:r>
      <w:r w:rsidRPr="00ED2546">
        <w:rPr>
          <w:rFonts w:ascii="Times New Roman" w:hAnsi="Times New Roman" w:cs="Times New Roman"/>
          <w:color w:val="000000" w:themeColor="text1"/>
          <w:sz w:val="28"/>
          <w:szCs w:val="28"/>
        </w:rPr>
        <w:t xml:space="preserve"> </w:t>
      </w:r>
      <w:r w:rsidR="001D01C1" w:rsidRPr="00ED2546">
        <w:rPr>
          <w:rFonts w:ascii="Times New Roman" w:hAnsi="Times New Roman" w:cs="Times New Roman"/>
          <w:color w:val="000000" w:themeColor="text1"/>
          <w:sz w:val="28"/>
          <w:szCs w:val="28"/>
        </w:rPr>
        <w:t>Both received independent legal advice.</w:t>
      </w:r>
      <w:r w:rsidR="00455139">
        <w:rPr>
          <w:rFonts w:ascii="Times New Roman" w:hAnsi="Times New Roman" w:cs="Times New Roman"/>
          <w:color w:val="000000" w:themeColor="text1"/>
          <w:sz w:val="28"/>
          <w:szCs w:val="28"/>
        </w:rPr>
        <w:t xml:space="preserve"> </w:t>
      </w:r>
      <w:r w:rsidR="001D01C1" w:rsidRPr="00ED2546">
        <w:rPr>
          <w:rFonts w:ascii="Times New Roman" w:hAnsi="Times New Roman" w:cs="Times New Roman"/>
          <w:color w:val="000000" w:themeColor="text1"/>
          <w:sz w:val="28"/>
          <w:szCs w:val="28"/>
        </w:rPr>
        <w:t xml:space="preserve"> </w:t>
      </w:r>
      <w:r w:rsidRPr="00ED2546">
        <w:rPr>
          <w:rFonts w:ascii="Times New Roman" w:hAnsi="Times New Roman" w:cs="Times New Roman"/>
          <w:color w:val="000000" w:themeColor="text1"/>
          <w:sz w:val="28"/>
          <w:szCs w:val="28"/>
        </w:rPr>
        <w:t>The relevant provisions of that agreement are as follows:</w:t>
      </w:r>
    </w:p>
    <w:p w:rsidR="001B1CFB" w:rsidRPr="001D01C1" w:rsidRDefault="0002280A" w:rsidP="00455139">
      <w:pPr>
        <w:pStyle w:val="ListParagraph"/>
        <w:spacing w:after="240" w:line="240" w:lineRule="auto"/>
        <w:ind w:right="720"/>
        <w:contextualSpacing w:val="0"/>
        <w:jc w:val="both"/>
        <w:rPr>
          <w:rFonts w:ascii="Times New Roman" w:hAnsi="Times New Roman" w:cs="Times New Roman"/>
          <w:color w:val="000000" w:themeColor="text1"/>
          <w:sz w:val="24"/>
          <w:szCs w:val="24"/>
        </w:rPr>
      </w:pPr>
      <w:r w:rsidRPr="001D01C1">
        <w:rPr>
          <w:rFonts w:ascii="Times New Roman" w:hAnsi="Times New Roman" w:cs="Times New Roman"/>
          <w:color w:val="000000" w:themeColor="text1"/>
          <w:sz w:val="24"/>
          <w:szCs w:val="24"/>
        </w:rPr>
        <w:t>24.</w:t>
      </w:r>
      <w:r w:rsidRPr="001D01C1">
        <w:rPr>
          <w:rFonts w:ascii="Times New Roman" w:hAnsi="Times New Roman" w:cs="Times New Roman"/>
          <w:color w:val="000000" w:themeColor="text1"/>
          <w:sz w:val="24"/>
          <w:szCs w:val="24"/>
        </w:rPr>
        <w:tab/>
        <w:t>The Father will pay to the Mother child support in accordance with the Child Support Guidelines.  The Father’s annual income for 2004 is $35,987.00.  The Mother’s income for 2004 is $47,000.00.  The child support payable by the Father to the Mother is $312.00 per month.</w:t>
      </w:r>
      <w:r w:rsidR="001B1CFB" w:rsidRPr="001D01C1">
        <w:rPr>
          <w:rFonts w:ascii="Times New Roman" w:hAnsi="Times New Roman" w:cs="Times New Roman"/>
          <w:color w:val="000000" w:themeColor="text1"/>
          <w:sz w:val="24"/>
          <w:szCs w:val="24"/>
        </w:rPr>
        <w:t xml:space="preserve"> . .</w:t>
      </w:r>
      <w:r w:rsidRPr="001D01C1">
        <w:rPr>
          <w:rFonts w:ascii="Times New Roman" w:hAnsi="Times New Roman" w:cs="Times New Roman"/>
          <w:color w:val="000000" w:themeColor="text1"/>
          <w:sz w:val="24"/>
          <w:szCs w:val="24"/>
        </w:rPr>
        <w:t xml:space="preserve">  </w:t>
      </w:r>
    </w:p>
    <w:p w:rsidR="001B1CFB" w:rsidRDefault="001B1CFB" w:rsidP="00455139">
      <w:pPr>
        <w:pStyle w:val="ListParagraph"/>
        <w:spacing w:after="240" w:line="240" w:lineRule="auto"/>
        <w:ind w:right="720"/>
        <w:contextualSpacing w:val="0"/>
        <w:jc w:val="both"/>
        <w:rPr>
          <w:rFonts w:ascii="Times New Roman" w:hAnsi="Times New Roman" w:cs="Times New Roman"/>
          <w:color w:val="000000" w:themeColor="text1"/>
          <w:sz w:val="24"/>
          <w:szCs w:val="24"/>
        </w:rPr>
      </w:pPr>
      <w:r w:rsidRPr="001D01C1">
        <w:rPr>
          <w:rFonts w:ascii="Times New Roman" w:hAnsi="Times New Roman" w:cs="Times New Roman"/>
          <w:color w:val="000000" w:themeColor="text1"/>
          <w:sz w:val="24"/>
          <w:szCs w:val="24"/>
        </w:rPr>
        <w:t>25.</w:t>
      </w:r>
      <w:r w:rsidRPr="001D01C1">
        <w:rPr>
          <w:rFonts w:ascii="Times New Roman" w:hAnsi="Times New Roman" w:cs="Times New Roman"/>
          <w:color w:val="000000" w:themeColor="text1"/>
          <w:sz w:val="24"/>
          <w:szCs w:val="24"/>
        </w:rPr>
        <w:tab/>
        <w:t xml:space="preserve">The child support shall continue for so long as the child is an unmarried child who is a minor or is enrolled in a full-time program of education. </w:t>
      </w:r>
    </w:p>
    <w:p w:rsidR="00DE04ED" w:rsidRPr="001D01C1" w:rsidRDefault="00DE04ED" w:rsidP="00455139">
      <w:pPr>
        <w:pStyle w:val="ListParagraph"/>
        <w:spacing w:after="240" w:line="240" w:lineRule="auto"/>
        <w:ind w:right="7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1B1CFB" w:rsidRPr="001D01C1" w:rsidRDefault="001B1CFB" w:rsidP="00455139">
      <w:pPr>
        <w:pStyle w:val="ListParagraph"/>
        <w:spacing w:after="240" w:line="240" w:lineRule="auto"/>
        <w:ind w:right="720"/>
        <w:contextualSpacing w:val="0"/>
        <w:jc w:val="both"/>
        <w:rPr>
          <w:rFonts w:ascii="Times New Roman" w:hAnsi="Times New Roman" w:cs="Times New Roman"/>
          <w:b/>
          <w:color w:val="000000" w:themeColor="text1"/>
          <w:sz w:val="24"/>
          <w:szCs w:val="24"/>
          <w:u w:val="single"/>
        </w:rPr>
      </w:pPr>
      <w:r w:rsidRPr="001D01C1">
        <w:rPr>
          <w:rFonts w:ascii="Times New Roman" w:hAnsi="Times New Roman" w:cs="Times New Roman"/>
          <w:b/>
          <w:color w:val="000000" w:themeColor="text1"/>
          <w:sz w:val="24"/>
          <w:szCs w:val="24"/>
          <w:u w:val="single"/>
        </w:rPr>
        <w:t>SPECIAL OR EXTRA-ORDINARY EXPENSES</w:t>
      </w:r>
    </w:p>
    <w:p w:rsidR="00A07D48" w:rsidRPr="001D01C1" w:rsidRDefault="001B1CFB" w:rsidP="00455139">
      <w:pPr>
        <w:pStyle w:val="ListParagraph"/>
        <w:spacing w:after="240" w:line="240" w:lineRule="auto"/>
        <w:ind w:right="720"/>
        <w:contextualSpacing w:val="0"/>
        <w:jc w:val="both"/>
        <w:rPr>
          <w:rFonts w:ascii="Times New Roman" w:hAnsi="Times New Roman" w:cs="Times New Roman"/>
          <w:color w:val="000000" w:themeColor="text1"/>
          <w:sz w:val="24"/>
          <w:szCs w:val="24"/>
        </w:rPr>
      </w:pPr>
      <w:r w:rsidRPr="001D01C1">
        <w:rPr>
          <w:rFonts w:ascii="Times New Roman" w:hAnsi="Times New Roman" w:cs="Times New Roman"/>
          <w:color w:val="000000" w:themeColor="text1"/>
          <w:sz w:val="24"/>
          <w:szCs w:val="24"/>
        </w:rPr>
        <w:t>26.</w:t>
      </w:r>
      <w:r w:rsidRPr="001D01C1">
        <w:rPr>
          <w:rFonts w:ascii="Times New Roman" w:hAnsi="Times New Roman" w:cs="Times New Roman"/>
          <w:color w:val="000000" w:themeColor="text1"/>
          <w:sz w:val="24"/>
          <w:szCs w:val="24"/>
        </w:rPr>
        <w:tab/>
        <w:t>The parties acknowledge and agree to discuss any special o</w:t>
      </w:r>
      <w:r w:rsidR="004C1C8A" w:rsidRPr="001D01C1">
        <w:rPr>
          <w:rFonts w:ascii="Times New Roman" w:hAnsi="Times New Roman" w:cs="Times New Roman"/>
          <w:color w:val="000000" w:themeColor="text1"/>
          <w:sz w:val="24"/>
          <w:szCs w:val="24"/>
        </w:rPr>
        <w:t>r extraordinary expenses as def</w:t>
      </w:r>
      <w:r w:rsidRPr="001D01C1">
        <w:rPr>
          <w:rFonts w:ascii="Times New Roman" w:hAnsi="Times New Roman" w:cs="Times New Roman"/>
          <w:color w:val="000000" w:themeColor="text1"/>
          <w:sz w:val="24"/>
          <w:szCs w:val="24"/>
        </w:rPr>
        <w:t>ine</w:t>
      </w:r>
      <w:r w:rsidR="004C1C8A" w:rsidRPr="001D01C1">
        <w:rPr>
          <w:rFonts w:ascii="Times New Roman" w:hAnsi="Times New Roman" w:cs="Times New Roman"/>
          <w:color w:val="000000" w:themeColor="text1"/>
          <w:sz w:val="24"/>
          <w:szCs w:val="24"/>
        </w:rPr>
        <w:t>d</w:t>
      </w:r>
      <w:r w:rsidRPr="001D01C1">
        <w:rPr>
          <w:rFonts w:ascii="Times New Roman" w:hAnsi="Times New Roman" w:cs="Times New Roman"/>
          <w:color w:val="000000" w:themeColor="text1"/>
          <w:sz w:val="24"/>
          <w:szCs w:val="24"/>
        </w:rPr>
        <w:t xml:space="preserve"> in s. 7 of the Federal Child Support Guide</w:t>
      </w:r>
      <w:r w:rsidR="004C1C8A" w:rsidRPr="001D01C1">
        <w:rPr>
          <w:rFonts w:ascii="Times New Roman" w:hAnsi="Times New Roman" w:cs="Times New Roman"/>
          <w:color w:val="000000" w:themeColor="text1"/>
          <w:sz w:val="24"/>
          <w:szCs w:val="24"/>
        </w:rPr>
        <w:t>l</w:t>
      </w:r>
      <w:r w:rsidRPr="001D01C1">
        <w:rPr>
          <w:rFonts w:ascii="Times New Roman" w:hAnsi="Times New Roman" w:cs="Times New Roman"/>
          <w:color w:val="000000" w:themeColor="text1"/>
          <w:sz w:val="24"/>
          <w:szCs w:val="24"/>
        </w:rPr>
        <w:t>ines</w:t>
      </w:r>
      <w:r w:rsidR="0002280A" w:rsidRPr="001D01C1">
        <w:rPr>
          <w:rFonts w:ascii="Times New Roman" w:hAnsi="Times New Roman" w:cs="Times New Roman"/>
          <w:color w:val="000000" w:themeColor="text1"/>
          <w:sz w:val="24"/>
          <w:szCs w:val="24"/>
        </w:rPr>
        <w:t xml:space="preserve"> </w:t>
      </w:r>
      <w:r w:rsidR="004C1C8A" w:rsidRPr="001D01C1">
        <w:rPr>
          <w:rFonts w:ascii="Times New Roman" w:hAnsi="Times New Roman" w:cs="Times New Roman"/>
          <w:color w:val="000000" w:themeColor="text1"/>
          <w:sz w:val="24"/>
          <w:szCs w:val="24"/>
        </w:rPr>
        <w:t>for the children before incurring same, to determine if they are reasonable and necessary.  If the expense is reasonable and necessary, the parties will each contribute proportionately . . .toward the cost of special or extraordinary expenses</w:t>
      </w:r>
      <w:r w:rsidR="00DE04ED">
        <w:rPr>
          <w:rFonts w:ascii="Times New Roman" w:hAnsi="Times New Roman" w:cs="Times New Roman"/>
          <w:color w:val="000000" w:themeColor="text1"/>
          <w:sz w:val="24"/>
          <w:szCs w:val="24"/>
        </w:rPr>
        <w:t xml:space="preserve"> . . .</w:t>
      </w:r>
    </w:p>
    <w:p w:rsidR="00BD1079" w:rsidRPr="001D01C1" w:rsidRDefault="00DE04ED" w:rsidP="00455139">
      <w:pPr>
        <w:spacing w:after="240" w:line="240" w:lineRule="auto"/>
        <w:ind w:left="720" w:right="720"/>
        <w:jc w:val="both"/>
        <w:rPr>
          <w:rFonts w:ascii="Times New Roman" w:hAnsi="Times New Roman" w:cs="Times New Roman"/>
          <w:color w:val="000000" w:themeColor="text1"/>
          <w:sz w:val="24"/>
          <w:szCs w:val="24"/>
        </w:rPr>
      </w:pPr>
      <w:r w:rsidRPr="001D01C1">
        <w:rPr>
          <w:rFonts w:ascii="Times New Roman" w:hAnsi="Times New Roman" w:cs="Times New Roman"/>
          <w:color w:val="000000" w:themeColor="text1"/>
          <w:sz w:val="24"/>
          <w:szCs w:val="24"/>
        </w:rPr>
        <w:t xml:space="preserve"> </w:t>
      </w:r>
      <w:r w:rsidR="00BD1079" w:rsidRPr="001D01C1">
        <w:rPr>
          <w:rFonts w:ascii="Times New Roman" w:hAnsi="Times New Roman" w:cs="Times New Roman"/>
          <w:color w:val="000000" w:themeColor="text1"/>
          <w:sz w:val="24"/>
          <w:szCs w:val="24"/>
        </w:rPr>
        <w:t>[…]</w:t>
      </w:r>
    </w:p>
    <w:p w:rsidR="00BD1079" w:rsidRPr="001D01C1" w:rsidRDefault="00BD1079" w:rsidP="00455139">
      <w:pPr>
        <w:spacing w:after="240" w:line="240" w:lineRule="auto"/>
        <w:ind w:left="720" w:right="720"/>
        <w:jc w:val="both"/>
        <w:rPr>
          <w:rFonts w:ascii="Times New Roman" w:hAnsi="Times New Roman" w:cs="Times New Roman"/>
          <w:b/>
          <w:color w:val="000000" w:themeColor="text1"/>
          <w:sz w:val="24"/>
          <w:szCs w:val="24"/>
          <w:u w:val="single"/>
        </w:rPr>
      </w:pPr>
      <w:r w:rsidRPr="001D01C1">
        <w:rPr>
          <w:rFonts w:ascii="Times New Roman" w:hAnsi="Times New Roman" w:cs="Times New Roman"/>
          <w:b/>
          <w:color w:val="000000" w:themeColor="text1"/>
          <w:sz w:val="24"/>
          <w:szCs w:val="24"/>
          <w:u w:val="single"/>
        </w:rPr>
        <w:t>ANNUAL REVIEW:</w:t>
      </w:r>
    </w:p>
    <w:p w:rsidR="00BD1079" w:rsidRPr="001D01C1" w:rsidRDefault="00BD1079" w:rsidP="00455139">
      <w:pPr>
        <w:spacing w:after="240" w:line="240" w:lineRule="auto"/>
        <w:ind w:left="720" w:right="720"/>
        <w:jc w:val="both"/>
        <w:rPr>
          <w:rFonts w:ascii="Times New Roman" w:hAnsi="Times New Roman" w:cs="Times New Roman"/>
          <w:color w:val="000000" w:themeColor="text1"/>
          <w:sz w:val="24"/>
          <w:szCs w:val="24"/>
        </w:rPr>
      </w:pPr>
      <w:r w:rsidRPr="001D01C1">
        <w:rPr>
          <w:rFonts w:ascii="Times New Roman" w:hAnsi="Times New Roman" w:cs="Times New Roman"/>
          <w:color w:val="000000" w:themeColor="text1"/>
          <w:sz w:val="24"/>
          <w:szCs w:val="24"/>
        </w:rPr>
        <w:t>28.</w:t>
      </w:r>
      <w:r w:rsidRPr="001D01C1">
        <w:rPr>
          <w:rFonts w:ascii="Times New Roman" w:hAnsi="Times New Roman" w:cs="Times New Roman"/>
          <w:color w:val="000000" w:themeColor="text1"/>
          <w:sz w:val="24"/>
          <w:szCs w:val="24"/>
        </w:rPr>
        <w:tab/>
        <w:t>For so long as the father is obligated to provide support for the child, the child support and special or extra-ordinary expenses payable pursuant to Paragraphs 24 and 25 will be adjusted annually on July 1</w:t>
      </w:r>
      <w:r w:rsidRPr="001D01C1">
        <w:rPr>
          <w:rFonts w:ascii="Times New Roman" w:hAnsi="Times New Roman" w:cs="Times New Roman"/>
          <w:color w:val="000000" w:themeColor="text1"/>
          <w:sz w:val="24"/>
          <w:szCs w:val="24"/>
          <w:vertAlign w:val="superscript"/>
        </w:rPr>
        <w:t>st</w:t>
      </w:r>
      <w:r w:rsidRPr="001D01C1">
        <w:rPr>
          <w:rFonts w:ascii="Times New Roman" w:hAnsi="Times New Roman" w:cs="Times New Roman"/>
          <w:color w:val="000000" w:themeColor="text1"/>
          <w:sz w:val="24"/>
          <w:szCs w:val="24"/>
        </w:rPr>
        <w:t xml:space="preserve"> in accordance with the Ontario Child Support Guidelines.  Commencing on J</w:t>
      </w:r>
      <w:r w:rsidR="00E026DD">
        <w:rPr>
          <w:rFonts w:ascii="Times New Roman" w:hAnsi="Times New Roman" w:cs="Times New Roman"/>
          <w:color w:val="000000" w:themeColor="text1"/>
          <w:sz w:val="24"/>
          <w:szCs w:val="24"/>
        </w:rPr>
        <w:t>u</w:t>
      </w:r>
      <w:r w:rsidRPr="001D01C1">
        <w:rPr>
          <w:rFonts w:ascii="Times New Roman" w:hAnsi="Times New Roman" w:cs="Times New Roman"/>
          <w:color w:val="000000" w:themeColor="text1"/>
          <w:sz w:val="24"/>
          <w:szCs w:val="24"/>
        </w:rPr>
        <w:t>ne 1, 2006 and on June 1</w:t>
      </w:r>
      <w:r w:rsidRPr="001D01C1">
        <w:rPr>
          <w:rFonts w:ascii="Times New Roman" w:hAnsi="Times New Roman" w:cs="Times New Roman"/>
          <w:color w:val="000000" w:themeColor="text1"/>
          <w:sz w:val="24"/>
          <w:szCs w:val="24"/>
          <w:vertAlign w:val="superscript"/>
        </w:rPr>
        <w:t>st</w:t>
      </w:r>
      <w:r w:rsidRPr="001D01C1">
        <w:rPr>
          <w:rFonts w:ascii="Times New Roman" w:hAnsi="Times New Roman" w:cs="Times New Roman"/>
          <w:color w:val="000000" w:themeColor="text1"/>
          <w:sz w:val="24"/>
          <w:szCs w:val="24"/>
        </w:rPr>
        <w:t xml:space="preserve"> of each subsequent year, each party will deliver to the other a copy of their income tax return and notice of assessment . . .</w:t>
      </w:r>
    </w:p>
    <w:p w:rsidR="00C068F3" w:rsidRDefault="00ED2546"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Neither party has ever complied with the requirement to ex</w:t>
      </w:r>
      <w:r w:rsidR="001B3F7F">
        <w:rPr>
          <w:rFonts w:ascii="Times New Roman" w:hAnsi="Times New Roman" w:cs="Times New Roman"/>
          <w:color w:val="000000" w:themeColor="text1"/>
          <w:sz w:val="28"/>
          <w:szCs w:val="28"/>
        </w:rPr>
        <w:t xml:space="preserve">change income tax information, nor does it appear either demanded it from the other. </w:t>
      </w:r>
    </w:p>
    <w:p w:rsidR="00216F4A" w:rsidRDefault="00216F4A"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 Yatkowsky’s income has increased in the time since the agreement was signed. </w:t>
      </w:r>
      <w:r w:rsidR="00455139">
        <w:rPr>
          <w:rFonts w:ascii="Times New Roman" w:hAnsi="Times New Roman" w:cs="Times New Roman"/>
          <w:color w:val="000000" w:themeColor="text1"/>
          <w:sz w:val="28"/>
          <w:szCs w:val="28"/>
        </w:rPr>
        <w:t xml:space="preserve"> </w:t>
      </w:r>
      <w:r w:rsidR="00DE04ED">
        <w:rPr>
          <w:rFonts w:ascii="Times New Roman" w:hAnsi="Times New Roman" w:cs="Times New Roman"/>
          <w:color w:val="000000" w:themeColor="text1"/>
          <w:sz w:val="28"/>
          <w:szCs w:val="28"/>
        </w:rPr>
        <w:t>The most significant increase came in 2014.</w:t>
      </w:r>
      <w:r w:rsidR="00703B61">
        <w:rPr>
          <w:rFonts w:ascii="Times New Roman" w:hAnsi="Times New Roman" w:cs="Times New Roman"/>
          <w:color w:val="000000" w:themeColor="text1"/>
          <w:sz w:val="28"/>
          <w:szCs w:val="28"/>
        </w:rPr>
        <w:t xml:space="preserve"> </w:t>
      </w:r>
      <w:r w:rsidR="00DE04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That information is set out below:</w:t>
      </w:r>
    </w:p>
    <w:tbl>
      <w:tblPr>
        <w:tblStyle w:val="TableGrid"/>
        <w:tblW w:w="0" w:type="auto"/>
        <w:tblInd w:w="1345" w:type="dxa"/>
        <w:tblLook w:val="04A0" w:firstRow="1" w:lastRow="0" w:firstColumn="1" w:lastColumn="0" w:noHBand="0" w:noVBand="1"/>
      </w:tblPr>
      <w:tblGrid>
        <w:gridCol w:w="2160"/>
        <w:gridCol w:w="4860"/>
      </w:tblGrid>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b/>
                <w:color w:val="000000" w:themeColor="text1"/>
                <w:sz w:val="24"/>
                <w:szCs w:val="24"/>
              </w:rPr>
            </w:pPr>
            <w:r w:rsidRPr="001E3975">
              <w:rPr>
                <w:rFonts w:ascii="Times New Roman" w:hAnsi="Times New Roman" w:cs="Times New Roman"/>
                <w:b/>
                <w:color w:val="000000" w:themeColor="text1"/>
                <w:sz w:val="24"/>
                <w:szCs w:val="24"/>
              </w:rPr>
              <w:t>Year</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b/>
                <w:color w:val="000000" w:themeColor="text1"/>
                <w:sz w:val="24"/>
                <w:szCs w:val="24"/>
              </w:rPr>
            </w:pPr>
            <w:r w:rsidRPr="001E3975">
              <w:rPr>
                <w:rFonts w:ascii="Times New Roman" w:hAnsi="Times New Roman" w:cs="Times New Roman"/>
                <w:b/>
                <w:color w:val="000000" w:themeColor="text1"/>
                <w:sz w:val="24"/>
                <w:szCs w:val="24"/>
              </w:rPr>
              <w:t>Income</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2005</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$40,471.00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2006</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$41,288.00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lastRenderedPageBreak/>
              <w:t>2007</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$15,781.00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2008</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$12,144.00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2009</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$50,210.00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2010</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$44,763.00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2011</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$36,439.00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2012</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$45,635.00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2013</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$51,533.00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2014</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$97,655.00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2015</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$92,314.00</w:t>
            </w:r>
          </w:p>
        </w:tc>
      </w:tr>
      <w:tr w:rsidR="00216F4A" w:rsidTr="00216F4A">
        <w:tc>
          <w:tcPr>
            <w:tcW w:w="21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2016</w:t>
            </w:r>
          </w:p>
        </w:tc>
        <w:tc>
          <w:tcPr>
            <w:tcW w:w="4860" w:type="dxa"/>
          </w:tcPr>
          <w:p w:rsidR="00216F4A" w:rsidRPr="001E3975" w:rsidRDefault="00216F4A" w:rsidP="00216F4A">
            <w:pPr>
              <w:pStyle w:val="ListParagraph"/>
              <w:spacing w:after="240"/>
              <w:ind w:left="0"/>
              <w:contextualSpacing w:val="0"/>
              <w:jc w:val="center"/>
              <w:rPr>
                <w:rFonts w:ascii="Times New Roman" w:hAnsi="Times New Roman" w:cs="Times New Roman"/>
                <w:color w:val="000000" w:themeColor="text1"/>
                <w:sz w:val="24"/>
                <w:szCs w:val="24"/>
              </w:rPr>
            </w:pPr>
            <w:r w:rsidRPr="001E3975">
              <w:rPr>
                <w:rFonts w:ascii="Times New Roman" w:hAnsi="Times New Roman" w:cs="Times New Roman"/>
                <w:color w:val="000000" w:themeColor="text1"/>
                <w:sz w:val="24"/>
                <w:szCs w:val="24"/>
              </w:rPr>
              <w:t>$93,650.00</w:t>
            </w:r>
          </w:p>
        </w:tc>
      </w:tr>
    </w:tbl>
    <w:p w:rsidR="00216F4A" w:rsidRDefault="00216F4A" w:rsidP="00216F4A">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DE04ED" w:rsidRDefault="00DE04ED" w:rsidP="00D149C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income information does not </w:t>
      </w:r>
      <w:r w:rsidR="00216F4A">
        <w:rPr>
          <w:rFonts w:ascii="Times New Roman" w:hAnsi="Times New Roman" w:cs="Times New Roman"/>
          <w:color w:val="000000" w:themeColor="text1"/>
          <w:sz w:val="28"/>
          <w:szCs w:val="28"/>
        </w:rPr>
        <w:t>include RRSP income</w:t>
      </w:r>
      <w:r>
        <w:rPr>
          <w:rFonts w:ascii="Times New Roman" w:hAnsi="Times New Roman" w:cs="Times New Roman"/>
          <w:color w:val="000000" w:themeColor="text1"/>
          <w:sz w:val="28"/>
          <w:szCs w:val="28"/>
        </w:rPr>
        <w:t>.</w:t>
      </w:r>
      <w:r w:rsidR="00216F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16F4A">
        <w:rPr>
          <w:rFonts w:ascii="Times New Roman" w:hAnsi="Times New Roman" w:cs="Times New Roman"/>
          <w:color w:val="000000" w:themeColor="text1"/>
          <w:sz w:val="28"/>
          <w:szCs w:val="28"/>
        </w:rPr>
        <w:t xml:space="preserve">Mr. Yatkowsky </w:t>
      </w:r>
      <w:r>
        <w:rPr>
          <w:rFonts w:ascii="Times New Roman" w:hAnsi="Times New Roman" w:cs="Times New Roman"/>
          <w:color w:val="000000" w:themeColor="text1"/>
          <w:sz w:val="28"/>
          <w:szCs w:val="28"/>
        </w:rPr>
        <w:t xml:space="preserve">accessed his </w:t>
      </w:r>
      <w:r w:rsidRPr="00A151AA">
        <w:rPr>
          <w:rFonts w:ascii="Times New Roman" w:hAnsi="Times New Roman" w:cs="Times New Roman"/>
          <w:color w:val="000000" w:themeColor="text1"/>
          <w:sz w:val="28"/>
          <w:szCs w:val="28"/>
        </w:rPr>
        <w:t>RRSPs</w:t>
      </w:r>
      <w:r>
        <w:rPr>
          <w:rFonts w:ascii="Times New Roman" w:hAnsi="Times New Roman" w:cs="Times New Roman"/>
          <w:color w:val="000000" w:themeColor="text1"/>
          <w:sz w:val="28"/>
          <w:szCs w:val="28"/>
        </w:rPr>
        <w:t xml:space="preserve"> while attending school so he could meet</w:t>
      </w:r>
      <w:r w:rsidR="00216F4A">
        <w:rPr>
          <w:rFonts w:ascii="Times New Roman" w:hAnsi="Times New Roman" w:cs="Times New Roman"/>
          <w:color w:val="000000" w:themeColor="text1"/>
          <w:sz w:val="28"/>
          <w:szCs w:val="28"/>
        </w:rPr>
        <w:t xml:space="preserve"> living expenses and other obligations</w:t>
      </w:r>
      <w:r>
        <w:rPr>
          <w:rFonts w:ascii="Times New Roman" w:hAnsi="Times New Roman" w:cs="Times New Roman"/>
          <w:color w:val="000000" w:themeColor="text1"/>
          <w:sz w:val="28"/>
          <w:szCs w:val="28"/>
        </w:rPr>
        <w:t xml:space="preserve">, including child support. </w:t>
      </w:r>
      <w:r w:rsidR="004B73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RRSP income has not formed a regular part of Mr. Yatkowsky’s </w:t>
      </w:r>
      <w:r w:rsidR="00B928A8">
        <w:rPr>
          <w:rFonts w:ascii="Times New Roman" w:hAnsi="Times New Roman" w:cs="Times New Roman"/>
          <w:color w:val="000000" w:themeColor="text1"/>
          <w:sz w:val="28"/>
          <w:szCs w:val="28"/>
        </w:rPr>
        <w:t xml:space="preserve">income </w:t>
      </w:r>
      <w:r>
        <w:rPr>
          <w:rFonts w:ascii="Times New Roman" w:hAnsi="Times New Roman" w:cs="Times New Roman"/>
          <w:color w:val="000000" w:themeColor="text1"/>
          <w:sz w:val="28"/>
          <w:szCs w:val="28"/>
        </w:rPr>
        <w:t>over the years and accordingly, it should not be included</w:t>
      </w:r>
      <w:r w:rsidR="00B928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D149CB" w:rsidRPr="00D149CB" w:rsidRDefault="00ED2546" w:rsidP="00D149C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D149CB">
        <w:rPr>
          <w:rFonts w:ascii="Times New Roman" w:hAnsi="Times New Roman" w:cs="Times New Roman"/>
          <w:color w:val="000000" w:themeColor="text1"/>
          <w:sz w:val="28"/>
          <w:szCs w:val="28"/>
        </w:rPr>
        <w:t xml:space="preserve">Mr. Yatkowsky adjusted child support twice </w:t>
      </w:r>
      <w:r w:rsidR="00DE04ED">
        <w:rPr>
          <w:rFonts w:ascii="Times New Roman" w:hAnsi="Times New Roman" w:cs="Times New Roman"/>
          <w:color w:val="000000" w:themeColor="text1"/>
          <w:sz w:val="28"/>
          <w:szCs w:val="28"/>
        </w:rPr>
        <w:t>on his own accord</w:t>
      </w:r>
      <w:r w:rsidRPr="00D149CB">
        <w:rPr>
          <w:rFonts w:ascii="Times New Roman" w:hAnsi="Times New Roman" w:cs="Times New Roman"/>
          <w:color w:val="000000" w:themeColor="text1"/>
          <w:sz w:val="28"/>
          <w:szCs w:val="28"/>
        </w:rPr>
        <w:t xml:space="preserve">, once in 2006 when he started paying $349.00 per month and again in January of 2015, when he started paying $400.00 per month.  He paid </w:t>
      </w:r>
      <w:r w:rsidR="00DE04ED">
        <w:rPr>
          <w:rFonts w:ascii="Times New Roman" w:hAnsi="Times New Roman" w:cs="Times New Roman"/>
          <w:color w:val="000000" w:themeColor="text1"/>
          <w:sz w:val="28"/>
          <w:szCs w:val="28"/>
        </w:rPr>
        <w:t xml:space="preserve">$400.00 per month </w:t>
      </w:r>
      <w:r w:rsidRPr="00D149CB">
        <w:rPr>
          <w:rFonts w:ascii="Times New Roman" w:hAnsi="Times New Roman" w:cs="Times New Roman"/>
          <w:color w:val="000000" w:themeColor="text1"/>
          <w:sz w:val="28"/>
          <w:szCs w:val="28"/>
        </w:rPr>
        <w:t>until July of 2016</w:t>
      </w:r>
      <w:r w:rsidR="00DE04ED">
        <w:rPr>
          <w:rFonts w:ascii="Times New Roman" w:hAnsi="Times New Roman" w:cs="Times New Roman"/>
          <w:color w:val="000000" w:themeColor="text1"/>
          <w:sz w:val="28"/>
          <w:szCs w:val="28"/>
        </w:rPr>
        <w:t xml:space="preserve">. At that time, </w:t>
      </w:r>
      <w:r w:rsidRPr="00D149CB">
        <w:rPr>
          <w:rFonts w:ascii="Times New Roman" w:hAnsi="Times New Roman" w:cs="Times New Roman"/>
          <w:color w:val="000000" w:themeColor="text1"/>
          <w:sz w:val="28"/>
          <w:szCs w:val="28"/>
        </w:rPr>
        <w:t xml:space="preserve">he ceased paying support altogether.  </w:t>
      </w:r>
    </w:p>
    <w:p w:rsidR="002C69CA" w:rsidRDefault="00D149CB" w:rsidP="002C69CA">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reasons Mr. Yatkowsky stopped paying support in July of 2016 are </w:t>
      </w:r>
      <w:r w:rsidR="00C068F3">
        <w:rPr>
          <w:rFonts w:ascii="Times New Roman" w:hAnsi="Times New Roman" w:cs="Times New Roman"/>
          <w:color w:val="000000" w:themeColor="text1"/>
          <w:sz w:val="28"/>
          <w:szCs w:val="28"/>
        </w:rPr>
        <w:t>first,</w:t>
      </w:r>
      <w:r w:rsidR="00ED2546">
        <w:rPr>
          <w:rFonts w:ascii="Times New Roman" w:hAnsi="Times New Roman" w:cs="Times New Roman"/>
          <w:color w:val="000000" w:themeColor="text1"/>
          <w:sz w:val="28"/>
          <w:szCs w:val="28"/>
        </w:rPr>
        <w:t xml:space="preserve"> that L. had </w:t>
      </w:r>
      <w:r w:rsidR="007C5DA4">
        <w:rPr>
          <w:rFonts w:ascii="Times New Roman" w:hAnsi="Times New Roman" w:cs="Times New Roman"/>
          <w:color w:val="000000" w:themeColor="text1"/>
          <w:sz w:val="28"/>
          <w:szCs w:val="28"/>
        </w:rPr>
        <w:t xml:space="preserve">turned 18 and thus </w:t>
      </w:r>
      <w:r w:rsidR="00ED2546">
        <w:rPr>
          <w:rFonts w:ascii="Times New Roman" w:hAnsi="Times New Roman" w:cs="Times New Roman"/>
          <w:color w:val="000000" w:themeColor="text1"/>
          <w:sz w:val="28"/>
          <w:szCs w:val="28"/>
        </w:rPr>
        <w:t>reached the age of majority in Ontario</w:t>
      </w:r>
      <w:r w:rsidR="00C068F3">
        <w:rPr>
          <w:rFonts w:ascii="Times New Roman" w:hAnsi="Times New Roman" w:cs="Times New Roman"/>
          <w:color w:val="000000" w:themeColor="text1"/>
          <w:sz w:val="28"/>
          <w:szCs w:val="28"/>
        </w:rPr>
        <w:t xml:space="preserve"> and second, </w:t>
      </w:r>
      <w:r w:rsidR="007C5DA4">
        <w:rPr>
          <w:rFonts w:ascii="Times New Roman" w:hAnsi="Times New Roman" w:cs="Times New Roman"/>
          <w:color w:val="000000" w:themeColor="text1"/>
          <w:sz w:val="28"/>
          <w:szCs w:val="28"/>
        </w:rPr>
        <w:t xml:space="preserve">L. </w:t>
      </w:r>
      <w:r w:rsidR="00C068F3">
        <w:rPr>
          <w:rFonts w:ascii="Times New Roman" w:hAnsi="Times New Roman" w:cs="Times New Roman"/>
          <w:color w:val="000000" w:themeColor="text1"/>
          <w:sz w:val="28"/>
          <w:szCs w:val="28"/>
        </w:rPr>
        <w:t>had completed high school and was not attending a</w:t>
      </w:r>
      <w:r w:rsidR="00DE04ED">
        <w:rPr>
          <w:rFonts w:ascii="Times New Roman" w:hAnsi="Times New Roman" w:cs="Times New Roman"/>
          <w:color w:val="000000" w:themeColor="text1"/>
          <w:sz w:val="28"/>
          <w:szCs w:val="28"/>
        </w:rPr>
        <w:t xml:space="preserve">n educational program on a full-time basis. </w:t>
      </w:r>
      <w:r w:rsidR="00FF7480">
        <w:rPr>
          <w:rFonts w:ascii="Times New Roman" w:hAnsi="Times New Roman" w:cs="Times New Roman"/>
          <w:color w:val="000000" w:themeColor="text1"/>
          <w:sz w:val="28"/>
          <w:szCs w:val="28"/>
        </w:rPr>
        <w:t xml:space="preserve"> </w:t>
      </w:r>
      <w:r w:rsidR="003A2D8F">
        <w:rPr>
          <w:rFonts w:ascii="Times New Roman" w:hAnsi="Times New Roman" w:cs="Times New Roman"/>
          <w:color w:val="000000" w:themeColor="text1"/>
          <w:sz w:val="28"/>
          <w:szCs w:val="28"/>
        </w:rPr>
        <w:t>He deposes that L. told him in the fall of 2016 that he was en</w:t>
      </w:r>
      <w:r w:rsidR="002C69CA">
        <w:rPr>
          <w:rFonts w:ascii="Times New Roman" w:hAnsi="Times New Roman" w:cs="Times New Roman"/>
          <w:color w:val="000000" w:themeColor="text1"/>
          <w:sz w:val="28"/>
          <w:szCs w:val="28"/>
        </w:rPr>
        <w:t xml:space="preserve">rolled in two </w:t>
      </w:r>
      <w:r w:rsidR="002C69CA">
        <w:rPr>
          <w:rFonts w:ascii="Times New Roman" w:hAnsi="Times New Roman" w:cs="Times New Roman"/>
          <w:color w:val="000000" w:themeColor="text1"/>
          <w:sz w:val="28"/>
          <w:szCs w:val="28"/>
        </w:rPr>
        <w:lastRenderedPageBreak/>
        <w:t xml:space="preserve">high school courses. </w:t>
      </w:r>
      <w:r w:rsidR="00455139">
        <w:rPr>
          <w:rFonts w:ascii="Times New Roman" w:hAnsi="Times New Roman" w:cs="Times New Roman"/>
          <w:color w:val="000000" w:themeColor="text1"/>
          <w:sz w:val="28"/>
          <w:szCs w:val="28"/>
        </w:rPr>
        <w:t xml:space="preserve"> </w:t>
      </w:r>
      <w:r w:rsidR="002C69CA">
        <w:rPr>
          <w:rFonts w:ascii="Times New Roman" w:hAnsi="Times New Roman" w:cs="Times New Roman"/>
          <w:color w:val="000000" w:themeColor="text1"/>
          <w:sz w:val="28"/>
          <w:szCs w:val="28"/>
        </w:rPr>
        <w:t>Mr. Yatkowsky says that he subsequently received a telephone call from L. in January of 2017 during which L.</w:t>
      </w:r>
      <w:r w:rsidR="00DE04ED">
        <w:rPr>
          <w:rFonts w:ascii="Times New Roman" w:hAnsi="Times New Roman" w:cs="Times New Roman"/>
          <w:color w:val="000000" w:themeColor="text1"/>
          <w:sz w:val="28"/>
          <w:szCs w:val="28"/>
        </w:rPr>
        <w:t xml:space="preserve"> advised him he had left school entirely.</w:t>
      </w:r>
    </w:p>
    <w:p w:rsidR="00D149CB" w:rsidRPr="002C69CA" w:rsidRDefault="00D149CB" w:rsidP="002C69CA">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is no evidence that Ms. Hewitt sought increased child support from Mr. Yatkowsky at any time prior to bringing this application.</w:t>
      </w:r>
    </w:p>
    <w:p w:rsidR="004C44F4" w:rsidRDefault="00D154CA"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special expenses for which Ms. Hewitt seeks contribution are hockey fees</w:t>
      </w:r>
      <w:r w:rsidR="00DE04ED">
        <w:rPr>
          <w:rFonts w:ascii="Times New Roman" w:hAnsi="Times New Roman" w:cs="Times New Roman"/>
          <w:color w:val="000000" w:themeColor="text1"/>
          <w:sz w:val="28"/>
          <w:szCs w:val="28"/>
        </w:rPr>
        <w:t xml:space="preserve"> and associate costs, which she has already incurred, </w:t>
      </w:r>
      <w:r>
        <w:rPr>
          <w:rFonts w:ascii="Times New Roman" w:hAnsi="Times New Roman" w:cs="Times New Roman"/>
          <w:color w:val="000000" w:themeColor="text1"/>
          <w:sz w:val="28"/>
          <w:szCs w:val="28"/>
        </w:rPr>
        <w:t xml:space="preserve">and </w:t>
      </w:r>
      <w:r w:rsidR="00883497">
        <w:rPr>
          <w:rFonts w:ascii="Times New Roman" w:hAnsi="Times New Roman" w:cs="Times New Roman"/>
          <w:color w:val="000000" w:themeColor="text1"/>
          <w:sz w:val="28"/>
          <w:szCs w:val="28"/>
        </w:rPr>
        <w:t xml:space="preserve">the </w:t>
      </w:r>
      <w:r w:rsidR="00DE04ED">
        <w:rPr>
          <w:rFonts w:ascii="Times New Roman" w:hAnsi="Times New Roman" w:cs="Times New Roman"/>
          <w:color w:val="000000" w:themeColor="text1"/>
          <w:sz w:val="28"/>
          <w:szCs w:val="28"/>
        </w:rPr>
        <w:t xml:space="preserve">anticipated </w:t>
      </w:r>
      <w:r w:rsidR="00883497">
        <w:rPr>
          <w:rFonts w:ascii="Times New Roman" w:hAnsi="Times New Roman" w:cs="Times New Roman"/>
          <w:color w:val="000000" w:themeColor="text1"/>
          <w:sz w:val="28"/>
          <w:szCs w:val="28"/>
        </w:rPr>
        <w:t xml:space="preserve">out-of-pocket costs of </w:t>
      </w:r>
      <w:r>
        <w:rPr>
          <w:rFonts w:ascii="Times New Roman" w:hAnsi="Times New Roman" w:cs="Times New Roman"/>
          <w:color w:val="000000" w:themeColor="text1"/>
          <w:sz w:val="28"/>
          <w:szCs w:val="28"/>
        </w:rPr>
        <w:t xml:space="preserve">orthodontic work. </w:t>
      </w:r>
      <w:r w:rsidR="006D462C">
        <w:rPr>
          <w:rFonts w:ascii="Times New Roman" w:hAnsi="Times New Roman" w:cs="Times New Roman"/>
          <w:color w:val="000000" w:themeColor="text1"/>
          <w:sz w:val="28"/>
          <w:szCs w:val="28"/>
        </w:rPr>
        <w:t xml:space="preserve"> </w:t>
      </w:r>
      <w:r w:rsidR="00DE04ED">
        <w:rPr>
          <w:rFonts w:ascii="Times New Roman" w:hAnsi="Times New Roman" w:cs="Times New Roman"/>
          <w:color w:val="000000" w:themeColor="text1"/>
          <w:sz w:val="28"/>
          <w:szCs w:val="28"/>
        </w:rPr>
        <w:t>According to Ms. Hewitt, t</w:t>
      </w:r>
      <w:r w:rsidR="00D149CB">
        <w:rPr>
          <w:rFonts w:ascii="Times New Roman" w:hAnsi="Times New Roman" w:cs="Times New Roman"/>
          <w:color w:val="000000" w:themeColor="text1"/>
          <w:sz w:val="28"/>
          <w:szCs w:val="28"/>
        </w:rPr>
        <w:t>he estimated cost o</w:t>
      </w:r>
      <w:r w:rsidR="004C44F4">
        <w:rPr>
          <w:rFonts w:ascii="Times New Roman" w:hAnsi="Times New Roman" w:cs="Times New Roman"/>
          <w:color w:val="000000" w:themeColor="text1"/>
          <w:sz w:val="28"/>
          <w:szCs w:val="28"/>
        </w:rPr>
        <w:t xml:space="preserve">f orthodontic work is $6,000.00 but </w:t>
      </w:r>
      <w:r w:rsidR="00DE04ED">
        <w:rPr>
          <w:rFonts w:ascii="Times New Roman" w:hAnsi="Times New Roman" w:cs="Times New Roman"/>
          <w:color w:val="000000" w:themeColor="text1"/>
          <w:sz w:val="28"/>
          <w:szCs w:val="28"/>
        </w:rPr>
        <w:t>this is based</w:t>
      </w:r>
      <w:r w:rsidR="004C44F4">
        <w:rPr>
          <w:rFonts w:ascii="Times New Roman" w:hAnsi="Times New Roman" w:cs="Times New Roman"/>
          <w:color w:val="000000" w:themeColor="text1"/>
          <w:sz w:val="28"/>
          <w:szCs w:val="28"/>
        </w:rPr>
        <w:t xml:space="preserve"> on an assessment she received when L. was </w:t>
      </w:r>
      <w:r w:rsidR="00354071">
        <w:rPr>
          <w:rFonts w:ascii="Times New Roman" w:hAnsi="Times New Roman" w:cs="Times New Roman"/>
          <w:color w:val="000000" w:themeColor="text1"/>
          <w:sz w:val="28"/>
          <w:szCs w:val="28"/>
        </w:rPr>
        <w:t>10</w:t>
      </w:r>
      <w:r w:rsidR="004C44F4">
        <w:rPr>
          <w:rFonts w:ascii="Times New Roman" w:hAnsi="Times New Roman" w:cs="Times New Roman"/>
          <w:color w:val="000000" w:themeColor="text1"/>
          <w:sz w:val="28"/>
          <w:szCs w:val="28"/>
        </w:rPr>
        <w:t xml:space="preserve"> years old. </w:t>
      </w:r>
      <w:r w:rsidR="00455139">
        <w:rPr>
          <w:rFonts w:ascii="Times New Roman" w:hAnsi="Times New Roman" w:cs="Times New Roman"/>
          <w:color w:val="000000" w:themeColor="text1"/>
          <w:sz w:val="28"/>
          <w:szCs w:val="28"/>
        </w:rPr>
        <w:t xml:space="preserve"> </w:t>
      </w:r>
      <w:r w:rsidR="004C44F4">
        <w:rPr>
          <w:rFonts w:ascii="Times New Roman" w:hAnsi="Times New Roman" w:cs="Times New Roman"/>
          <w:color w:val="000000" w:themeColor="text1"/>
          <w:sz w:val="28"/>
          <w:szCs w:val="28"/>
        </w:rPr>
        <w:t>There is no evidence from a dental professional regarding the</w:t>
      </w:r>
      <w:r w:rsidR="00D34C3A">
        <w:rPr>
          <w:rFonts w:ascii="Times New Roman" w:hAnsi="Times New Roman" w:cs="Times New Roman"/>
          <w:color w:val="000000" w:themeColor="text1"/>
          <w:sz w:val="28"/>
          <w:szCs w:val="28"/>
        </w:rPr>
        <w:t xml:space="preserve"> need for orthodontic treatment, nor the cost.</w:t>
      </w:r>
      <w:r w:rsidR="006D462C">
        <w:rPr>
          <w:rFonts w:ascii="Times New Roman" w:hAnsi="Times New Roman" w:cs="Times New Roman"/>
          <w:color w:val="000000" w:themeColor="text1"/>
          <w:sz w:val="28"/>
          <w:szCs w:val="28"/>
        </w:rPr>
        <w:t xml:space="preserve"> </w:t>
      </w:r>
      <w:r w:rsidR="00D149CB">
        <w:rPr>
          <w:rFonts w:ascii="Times New Roman" w:hAnsi="Times New Roman" w:cs="Times New Roman"/>
          <w:color w:val="000000" w:themeColor="text1"/>
          <w:sz w:val="28"/>
          <w:szCs w:val="28"/>
        </w:rPr>
        <w:t xml:space="preserve"> </w:t>
      </w:r>
      <w:r w:rsidR="007B0693">
        <w:rPr>
          <w:rFonts w:ascii="Times New Roman" w:hAnsi="Times New Roman" w:cs="Times New Roman"/>
          <w:color w:val="000000" w:themeColor="text1"/>
          <w:sz w:val="28"/>
          <w:szCs w:val="28"/>
        </w:rPr>
        <w:t>O</w:t>
      </w:r>
      <w:r w:rsidR="00354071">
        <w:rPr>
          <w:rFonts w:ascii="Times New Roman" w:hAnsi="Times New Roman" w:cs="Times New Roman"/>
          <w:color w:val="000000" w:themeColor="text1"/>
          <w:sz w:val="28"/>
          <w:szCs w:val="28"/>
        </w:rPr>
        <w:t>ther than Ms. Hewitt’s statement that Mr. Yatkowsky was present when L.’s orthodontic needs were assessed, there is no evidence of the issue having been raised with Mr. Yatkowsky.</w:t>
      </w:r>
    </w:p>
    <w:p w:rsidR="00883497" w:rsidRDefault="00D149CB"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 Yatkowsky says L. </w:t>
      </w:r>
      <w:r w:rsidR="00883497">
        <w:rPr>
          <w:rFonts w:ascii="Times New Roman" w:hAnsi="Times New Roman" w:cs="Times New Roman"/>
          <w:color w:val="000000" w:themeColor="text1"/>
          <w:sz w:val="28"/>
          <w:szCs w:val="28"/>
        </w:rPr>
        <w:t>is a beneficiary on his extended health insurance benefits, which includes necessary orthodontic treatment.</w:t>
      </w:r>
      <w:r w:rsidR="00455139">
        <w:rPr>
          <w:rFonts w:ascii="Times New Roman" w:hAnsi="Times New Roman" w:cs="Times New Roman"/>
          <w:color w:val="000000" w:themeColor="text1"/>
          <w:sz w:val="28"/>
          <w:szCs w:val="28"/>
        </w:rPr>
        <w:t xml:space="preserve"> </w:t>
      </w:r>
      <w:r w:rsidR="00883497">
        <w:rPr>
          <w:rFonts w:ascii="Times New Roman" w:hAnsi="Times New Roman" w:cs="Times New Roman"/>
          <w:color w:val="000000" w:themeColor="text1"/>
          <w:sz w:val="28"/>
          <w:szCs w:val="28"/>
        </w:rPr>
        <w:t xml:space="preserve"> L. is able to apply for coverage under the plan until he is 21 years old or 25 years old if enrolled full-time in a post-secondary institution.  Mr. Yatkowsky says the maximum amount available to L. for orthodontic treatm</w:t>
      </w:r>
      <w:r w:rsidR="00D34C3A">
        <w:rPr>
          <w:rFonts w:ascii="Times New Roman" w:hAnsi="Times New Roman" w:cs="Times New Roman"/>
          <w:color w:val="000000" w:themeColor="text1"/>
          <w:sz w:val="28"/>
          <w:szCs w:val="28"/>
        </w:rPr>
        <w:t xml:space="preserve">ent under the plan is $3,000.00 and although he is not willing to pay anything above this coverage for L., he is prepared to assist L. in accessing the coverage that is available for him. </w:t>
      </w:r>
    </w:p>
    <w:p w:rsidR="00D34C3A" w:rsidRDefault="00ED2546" w:rsidP="007B58B2">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D34C3A">
        <w:rPr>
          <w:rFonts w:ascii="Times New Roman" w:hAnsi="Times New Roman" w:cs="Times New Roman"/>
          <w:color w:val="000000" w:themeColor="text1"/>
          <w:sz w:val="28"/>
          <w:szCs w:val="28"/>
        </w:rPr>
        <w:t>Ms. Hewitt</w:t>
      </w:r>
      <w:r w:rsidR="00D154CA" w:rsidRPr="00D34C3A">
        <w:rPr>
          <w:rFonts w:ascii="Times New Roman" w:hAnsi="Times New Roman" w:cs="Times New Roman"/>
          <w:color w:val="000000" w:themeColor="text1"/>
          <w:sz w:val="28"/>
          <w:szCs w:val="28"/>
        </w:rPr>
        <w:t xml:space="preserve"> </w:t>
      </w:r>
      <w:r w:rsidR="006671BF" w:rsidRPr="00D34C3A">
        <w:rPr>
          <w:rFonts w:ascii="Times New Roman" w:hAnsi="Times New Roman" w:cs="Times New Roman"/>
          <w:color w:val="000000" w:themeColor="text1"/>
          <w:sz w:val="28"/>
          <w:szCs w:val="28"/>
        </w:rPr>
        <w:t>feels L. is a gifted hockey player and i</w:t>
      </w:r>
      <w:r w:rsidR="00D154CA" w:rsidRPr="00D34C3A">
        <w:rPr>
          <w:rFonts w:ascii="Times New Roman" w:hAnsi="Times New Roman" w:cs="Times New Roman"/>
          <w:color w:val="000000" w:themeColor="text1"/>
          <w:sz w:val="28"/>
          <w:szCs w:val="28"/>
        </w:rPr>
        <w:t xml:space="preserve">ndicates </w:t>
      </w:r>
      <w:r w:rsidRPr="00D34C3A">
        <w:rPr>
          <w:rFonts w:ascii="Times New Roman" w:hAnsi="Times New Roman" w:cs="Times New Roman"/>
          <w:color w:val="000000" w:themeColor="text1"/>
          <w:sz w:val="28"/>
          <w:szCs w:val="28"/>
        </w:rPr>
        <w:t xml:space="preserve">he was boarding in other communities for the past </w:t>
      </w:r>
      <w:r w:rsidRPr="00D34C3A">
        <w:rPr>
          <w:rFonts w:ascii="Times New Roman" w:hAnsi="Times New Roman" w:cs="Times New Roman"/>
          <w:color w:val="000000" w:themeColor="text1"/>
          <w:sz w:val="28"/>
          <w:szCs w:val="28"/>
        </w:rPr>
        <w:lastRenderedPageBreak/>
        <w:t>few years so he could play</w:t>
      </w:r>
      <w:r w:rsidR="00D149CB" w:rsidRPr="00D34C3A">
        <w:rPr>
          <w:rFonts w:ascii="Times New Roman" w:hAnsi="Times New Roman" w:cs="Times New Roman"/>
          <w:color w:val="000000" w:themeColor="text1"/>
          <w:sz w:val="28"/>
          <w:szCs w:val="28"/>
        </w:rPr>
        <w:t xml:space="preserve"> at a more competitive level.  She provided </w:t>
      </w:r>
      <w:r w:rsidR="008A2856" w:rsidRPr="00D34C3A">
        <w:rPr>
          <w:rFonts w:ascii="Times New Roman" w:hAnsi="Times New Roman" w:cs="Times New Roman"/>
          <w:color w:val="000000" w:themeColor="text1"/>
          <w:sz w:val="28"/>
          <w:szCs w:val="28"/>
        </w:rPr>
        <w:t xml:space="preserve">some </w:t>
      </w:r>
      <w:r w:rsidR="00D149CB" w:rsidRPr="00D34C3A">
        <w:rPr>
          <w:rFonts w:ascii="Times New Roman" w:hAnsi="Times New Roman" w:cs="Times New Roman"/>
          <w:color w:val="000000" w:themeColor="text1"/>
          <w:sz w:val="28"/>
          <w:szCs w:val="28"/>
        </w:rPr>
        <w:t xml:space="preserve">information </w:t>
      </w:r>
      <w:r w:rsidR="008A2856" w:rsidRPr="00D34C3A">
        <w:rPr>
          <w:rFonts w:ascii="Times New Roman" w:hAnsi="Times New Roman" w:cs="Times New Roman"/>
          <w:color w:val="000000" w:themeColor="text1"/>
          <w:sz w:val="28"/>
          <w:szCs w:val="28"/>
        </w:rPr>
        <w:t>about the costs associated with boarding.  The hockey seasons ran from September to June.  For the 2014-2015 season the room and board was $250.00 per month</w:t>
      </w:r>
      <w:r w:rsidR="007B0693">
        <w:rPr>
          <w:rFonts w:ascii="Times New Roman" w:hAnsi="Times New Roman" w:cs="Times New Roman"/>
          <w:color w:val="000000" w:themeColor="text1"/>
          <w:sz w:val="28"/>
          <w:szCs w:val="28"/>
        </w:rPr>
        <w:t>.</w:t>
      </w:r>
      <w:r w:rsidR="004B7333">
        <w:rPr>
          <w:rFonts w:ascii="Times New Roman" w:hAnsi="Times New Roman" w:cs="Times New Roman"/>
          <w:color w:val="000000" w:themeColor="text1"/>
          <w:sz w:val="28"/>
          <w:szCs w:val="28"/>
        </w:rPr>
        <w:t xml:space="preserve"> </w:t>
      </w:r>
      <w:r w:rsidR="008A2856" w:rsidRPr="00D34C3A">
        <w:rPr>
          <w:rFonts w:ascii="Times New Roman" w:hAnsi="Times New Roman" w:cs="Times New Roman"/>
          <w:color w:val="000000" w:themeColor="text1"/>
          <w:sz w:val="28"/>
          <w:szCs w:val="28"/>
        </w:rPr>
        <w:t xml:space="preserve"> Ms. Hewitt said she also paid $250.00 for out of town trips and she provided spending money to L.</w:t>
      </w:r>
      <w:r w:rsidR="00D34C3A" w:rsidRPr="00D34C3A">
        <w:rPr>
          <w:rFonts w:ascii="Times New Roman" w:hAnsi="Times New Roman" w:cs="Times New Roman"/>
          <w:color w:val="000000" w:themeColor="text1"/>
          <w:sz w:val="28"/>
          <w:szCs w:val="28"/>
        </w:rPr>
        <w:t xml:space="preserve"> in an unspecified amount. </w:t>
      </w:r>
      <w:r w:rsidR="00990B56" w:rsidRPr="00D34C3A">
        <w:rPr>
          <w:rFonts w:ascii="Times New Roman" w:hAnsi="Times New Roman" w:cs="Times New Roman"/>
          <w:color w:val="000000" w:themeColor="text1"/>
          <w:sz w:val="28"/>
          <w:szCs w:val="28"/>
        </w:rPr>
        <w:t xml:space="preserve">Accordingly, the </w:t>
      </w:r>
      <w:r w:rsidR="00D34C3A" w:rsidRPr="00D34C3A">
        <w:rPr>
          <w:rFonts w:ascii="Times New Roman" w:hAnsi="Times New Roman" w:cs="Times New Roman"/>
          <w:color w:val="000000" w:themeColor="text1"/>
          <w:sz w:val="28"/>
          <w:szCs w:val="28"/>
        </w:rPr>
        <w:t xml:space="preserve">boarding </w:t>
      </w:r>
      <w:r w:rsidR="00990B56" w:rsidRPr="00D34C3A">
        <w:rPr>
          <w:rFonts w:ascii="Times New Roman" w:hAnsi="Times New Roman" w:cs="Times New Roman"/>
          <w:color w:val="000000" w:themeColor="text1"/>
          <w:sz w:val="28"/>
          <w:szCs w:val="28"/>
        </w:rPr>
        <w:t>costs were approximately $2,750.00.</w:t>
      </w:r>
      <w:r w:rsidR="00D34C3A" w:rsidRPr="00D34C3A">
        <w:rPr>
          <w:rFonts w:ascii="Times New Roman" w:hAnsi="Times New Roman" w:cs="Times New Roman"/>
          <w:color w:val="000000" w:themeColor="text1"/>
          <w:sz w:val="28"/>
          <w:szCs w:val="28"/>
        </w:rPr>
        <w:t xml:space="preserve">  </w:t>
      </w:r>
    </w:p>
    <w:p w:rsidR="00990B56" w:rsidRPr="00D34C3A" w:rsidRDefault="00990B56" w:rsidP="007B58B2">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D34C3A">
        <w:rPr>
          <w:rFonts w:ascii="Times New Roman" w:hAnsi="Times New Roman" w:cs="Times New Roman"/>
          <w:color w:val="000000" w:themeColor="text1"/>
          <w:sz w:val="28"/>
          <w:szCs w:val="28"/>
        </w:rPr>
        <w:t xml:space="preserve">The approximate cost for </w:t>
      </w:r>
      <w:r w:rsidR="00D34C3A">
        <w:rPr>
          <w:rFonts w:ascii="Times New Roman" w:hAnsi="Times New Roman" w:cs="Times New Roman"/>
          <w:color w:val="000000" w:themeColor="text1"/>
          <w:sz w:val="28"/>
          <w:szCs w:val="28"/>
        </w:rPr>
        <w:t xml:space="preserve">boarding </w:t>
      </w:r>
      <w:r w:rsidR="007B0693">
        <w:rPr>
          <w:rFonts w:ascii="Times New Roman" w:hAnsi="Times New Roman" w:cs="Times New Roman"/>
          <w:color w:val="000000" w:themeColor="text1"/>
          <w:sz w:val="28"/>
          <w:szCs w:val="28"/>
        </w:rPr>
        <w:t xml:space="preserve">during </w:t>
      </w:r>
      <w:r w:rsidR="008A2856" w:rsidRPr="00D34C3A">
        <w:rPr>
          <w:rFonts w:ascii="Times New Roman" w:hAnsi="Times New Roman" w:cs="Times New Roman"/>
          <w:color w:val="000000" w:themeColor="text1"/>
          <w:sz w:val="28"/>
          <w:szCs w:val="28"/>
        </w:rPr>
        <w:t>the 2015-2016 season</w:t>
      </w:r>
      <w:r w:rsidRPr="00D34C3A">
        <w:rPr>
          <w:rFonts w:ascii="Times New Roman" w:hAnsi="Times New Roman" w:cs="Times New Roman"/>
          <w:color w:val="000000" w:themeColor="text1"/>
          <w:sz w:val="28"/>
          <w:szCs w:val="28"/>
        </w:rPr>
        <w:t xml:space="preserve"> was $8342.00.  </w:t>
      </w:r>
      <w:r w:rsidR="007B0693">
        <w:rPr>
          <w:rFonts w:ascii="Times New Roman" w:hAnsi="Times New Roman" w:cs="Times New Roman"/>
          <w:color w:val="000000" w:themeColor="text1"/>
          <w:sz w:val="28"/>
          <w:szCs w:val="28"/>
        </w:rPr>
        <w:t>This is made up of r</w:t>
      </w:r>
      <w:r w:rsidR="008A2856" w:rsidRPr="00D34C3A">
        <w:rPr>
          <w:rFonts w:ascii="Times New Roman" w:hAnsi="Times New Roman" w:cs="Times New Roman"/>
          <w:color w:val="000000" w:themeColor="text1"/>
          <w:sz w:val="28"/>
          <w:szCs w:val="28"/>
        </w:rPr>
        <w:t>oom and board was $400.00 per month</w:t>
      </w:r>
      <w:r w:rsidR="006671BF" w:rsidRPr="00D34C3A">
        <w:rPr>
          <w:rFonts w:ascii="Times New Roman" w:hAnsi="Times New Roman" w:cs="Times New Roman"/>
          <w:color w:val="000000" w:themeColor="text1"/>
          <w:sz w:val="28"/>
          <w:szCs w:val="28"/>
        </w:rPr>
        <w:t xml:space="preserve">, $100.00 per week for L.’s school lunches, personal </w:t>
      </w:r>
      <w:r w:rsidR="00D34C3A">
        <w:rPr>
          <w:rFonts w:ascii="Times New Roman" w:hAnsi="Times New Roman" w:cs="Times New Roman"/>
          <w:color w:val="000000" w:themeColor="text1"/>
          <w:sz w:val="28"/>
          <w:szCs w:val="28"/>
        </w:rPr>
        <w:t>care</w:t>
      </w:r>
      <w:r w:rsidR="006671BF" w:rsidRPr="00D34C3A">
        <w:rPr>
          <w:rFonts w:ascii="Times New Roman" w:hAnsi="Times New Roman" w:cs="Times New Roman"/>
          <w:color w:val="000000" w:themeColor="text1"/>
          <w:sz w:val="28"/>
          <w:szCs w:val="28"/>
        </w:rPr>
        <w:t xml:space="preserve"> and school supplies</w:t>
      </w:r>
      <w:r w:rsidR="007B0693">
        <w:rPr>
          <w:rFonts w:ascii="Times New Roman" w:hAnsi="Times New Roman" w:cs="Times New Roman"/>
          <w:color w:val="000000" w:themeColor="text1"/>
          <w:sz w:val="28"/>
          <w:szCs w:val="28"/>
        </w:rPr>
        <w:t>,</w:t>
      </w:r>
      <w:r w:rsidR="006671BF" w:rsidRPr="00D34C3A">
        <w:rPr>
          <w:rFonts w:ascii="Times New Roman" w:hAnsi="Times New Roman" w:cs="Times New Roman"/>
          <w:color w:val="000000" w:themeColor="text1"/>
          <w:sz w:val="28"/>
          <w:szCs w:val="28"/>
        </w:rPr>
        <w:t xml:space="preserve"> $250.00 for out of town trips and tournaments and $92.00 for a bus ticket to bring L. home for holidays. </w:t>
      </w:r>
    </w:p>
    <w:p w:rsidR="006671BF" w:rsidRDefault="006671BF"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Finally, </w:t>
      </w:r>
      <w:r w:rsidR="007B0693">
        <w:rPr>
          <w:rFonts w:ascii="Times New Roman" w:hAnsi="Times New Roman" w:cs="Times New Roman"/>
          <w:color w:val="000000" w:themeColor="text1"/>
          <w:sz w:val="28"/>
          <w:szCs w:val="28"/>
        </w:rPr>
        <w:t>Ms. Hewitt</w:t>
      </w:r>
      <w:r w:rsidR="00D154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has paid the costs of registration and equipment</w:t>
      </w:r>
      <w:r w:rsidR="002C69CA">
        <w:rPr>
          <w:rFonts w:ascii="Times New Roman" w:hAnsi="Times New Roman" w:cs="Times New Roman"/>
          <w:color w:val="000000" w:themeColor="text1"/>
          <w:sz w:val="28"/>
          <w:szCs w:val="28"/>
        </w:rPr>
        <w:t xml:space="preserve"> </w:t>
      </w:r>
      <w:r w:rsidR="00D34C3A">
        <w:rPr>
          <w:rFonts w:ascii="Times New Roman" w:hAnsi="Times New Roman" w:cs="Times New Roman"/>
          <w:color w:val="000000" w:themeColor="text1"/>
          <w:sz w:val="28"/>
          <w:szCs w:val="28"/>
        </w:rPr>
        <w:t xml:space="preserve">since </w:t>
      </w:r>
      <w:r w:rsidR="002C69CA">
        <w:rPr>
          <w:rFonts w:ascii="Times New Roman" w:hAnsi="Times New Roman" w:cs="Times New Roman"/>
          <w:color w:val="000000" w:themeColor="text1"/>
          <w:sz w:val="28"/>
          <w:szCs w:val="28"/>
        </w:rPr>
        <w:t xml:space="preserve">2011.  </w:t>
      </w:r>
      <w:r>
        <w:rPr>
          <w:rFonts w:ascii="Times New Roman" w:hAnsi="Times New Roman" w:cs="Times New Roman"/>
          <w:color w:val="000000" w:themeColor="text1"/>
          <w:sz w:val="28"/>
          <w:szCs w:val="28"/>
        </w:rPr>
        <w:t>The receipts she provided indicate the following amounts were paid:</w:t>
      </w:r>
    </w:p>
    <w:tbl>
      <w:tblPr>
        <w:tblStyle w:val="TableGrid"/>
        <w:tblW w:w="0" w:type="auto"/>
        <w:tblInd w:w="895" w:type="dxa"/>
        <w:tblLook w:val="04A0" w:firstRow="1" w:lastRow="0" w:firstColumn="1" w:lastColumn="0" w:noHBand="0" w:noVBand="1"/>
      </w:tblPr>
      <w:tblGrid>
        <w:gridCol w:w="2700"/>
        <w:gridCol w:w="4680"/>
      </w:tblGrid>
      <w:tr w:rsidR="00990B56" w:rsidTr="003C6B49">
        <w:tc>
          <w:tcPr>
            <w:tcW w:w="2700" w:type="dxa"/>
          </w:tcPr>
          <w:p w:rsidR="00990B56" w:rsidRPr="00DD51CF" w:rsidRDefault="00990B56" w:rsidP="003C6B49">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Year</w:t>
            </w:r>
          </w:p>
        </w:tc>
        <w:tc>
          <w:tcPr>
            <w:tcW w:w="4680" w:type="dxa"/>
          </w:tcPr>
          <w:p w:rsidR="00990B56" w:rsidRPr="00DD51CF" w:rsidRDefault="00990B56" w:rsidP="003C6B49">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Amount</w:t>
            </w:r>
          </w:p>
        </w:tc>
      </w:tr>
      <w:tr w:rsidR="00990B56" w:rsidTr="003C6B49">
        <w:tc>
          <w:tcPr>
            <w:tcW w:w="2700" w:type="dxa"/>
          </w:tcPr>
          <w:p w:rsidR="00990B56" w:rsidRPr="003C6B49" w:rsidRDefault="00990B56"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2011</w:t>
            </w:r>
          </w:p>
        </w:tc>
        <w:tc>
          <w:tcPr>
            <w:tcW w:w="4680" w:type="dxa"/>
          </w:tcPr>
          <w:p w:rsidR="00990B56" w:rsidRPr="003C6B49" w:rsidRDefault="00990B56"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$546.77</w:t>
            </w:r>
          </w:p>
        </w:tc>
      </w:tr>
      <w:tr w:rsidR="00990B56" w:rsidTr="003C6B49">
        <w:tc>
          <w:tcPr>
            <w:tcW w:w="2700" w:type="dxa"/>
          </w:tcPr>
          <w:p w:rsidR="00990B56" w:rsidRPr="003C6B49" w:rsidRDefault="00990B56"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2012</w:t>
            </w:r>
          </w:p>
        </w:tc>
        <w:tc>
          <w:tcPr>
            <w:tcW w:w="4680" w:type="dxa"/>
          </w:tcPr>
          <w:p w:rsidR="00990B56" w:rsidRPr="003C6B49" w:rsidRDefault="00990B56"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w:t>
            </w:r>
            <w:r w:rsidR="003C6B49" w:rsidRPr="003C6B49">
              <w:rPr>
                <w:rFonts w:ascii="Times New Roman" w:hAnsi="Times New Roman" w:cs="Times New Roman"/>
                <w:color w:val="000000" w:themeColor="text1"/>
                <w:sz w:val="24"/>
                <w:szCs w:val="24"/>
              </w:rPr>
              <w:t>1923.67</w:t>
            </w:r>
          </w:p>
        </w:tc>
      </w:tr>
      <w:tr w:rsidR="00990B56" w:rsidTr="003C6B49">
        <w:tc>
          <w:tcPr>
            <w:tcW w:w="270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2013</w:t>
            </w:r>
          </w:p>
        </w:tc>
        <w:tc>
          <w:tcPr>
            <w:tcW w:w="468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$826.79</w:t>
            </w:r>
          </w:p>
        </w:tc>
      </w:tr>
      <w:tr w:rsidR="00990B56" w:rsidTr="003C6B49">
        <w:tc>
          <w:tcPr>
            <w:tcW w:w="270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2014</w:t>
            </w:r>
          </w:p>
        </w:tc>
        <w:tc>
          <w:tcPr>
            <w:tcW w:w="468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$2,547.38</w:t>
            </w:r>
          </w:p>
        </w:tc>
      </w:tr>
      <w:tr w:rsidR="00990B56" w:rsidTr="003C6B49">
        <w:tc>
          <w:tcPr>
            <w:tcW w:w="270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2015</w:t>
            </w:r>
          </w:p>
        </w:tc>
        <w:tc>
          <w:tcPr>
            <w:tcW w:w="4680" w:type="dxa"/>
          </w:tcPr>
          <w:p w:rsidR="00990B56" w:rsidRPr="003C6B49" w:rsidRDefault="003C6B49" w:rsidP="003C6B49">
            <w:pPr>
              <w:pStyle w:val="ListParagraph"/>
              <w:spacing w:after="240"/>
              <w:ind w:left="0"/>
              <w:contextualSpacing w:val="0"/>
              <w:jc w:val="center"/>
              <w:rPr>
                <w:rFonts w:ascii="Times New Roman" w:hAnsi="Times New Roman" w:cs="Times New Roman"/>
                <w:color w:val="000000" w:themeColor="text1"/>
                <w:sz w:val="24"/>
                <w:szCs w:val="24"/>
              </w:rPr>
            </w:pPr>
            <w:r w:rsidRPr="003C6B49">
              <w:rPr>
                <w:rFonts w:ascii="Times New Roman" w:hAnsi="Times New Roman" w:cs="Times New Roman"/>
                <w:color w:val="000000" w:themeColor="text1"/>
                <w:sz w:val="24"/>
                <w:szCs w:val="24"/>
              </w:rPr>
              <w:t>$3,642.94</w:t>
            </w:r>
          </w:p>
        </w:tc>
      </w:tr>
    </w:tbl>
    <w:p w:rsidR="00990B56" w:rsidRDefault="00990B56" w:rsidP="00990B56">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ED2546" w:rsidRDefault="002C69CA"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0B56">
        <w:rPr>
          <w:rFonts w:ascii="Times New Roman" w:hAnsi="Times New Roman" w:cs="Times New Roman"/>
          <w:color w:val="000000" w:themeColor="text1"/>
          <w:sz w:val="28"/>
          <w:szCs w:val="28"/>
        </w:rPr>
        <w:t xml:space="preserve">Mr. Yatkowsky </w:t>
      </w:r>
      <w:r w:rsidR="003C6B49">
        <w:rPr>
          <w:rFonts w:ascii="Times New Roman" w:hAnsi="Times New Roman" w:cs="Times New Roman"/>
          <w:color w:val="000000" w:themeColor="text1"/>
          <w:sz w:val="28"/>
          <w:szCs w:val="28"/>
        </w:rPr>
        <w:t xml:space="preserve">says he was aware L. was playing hockey at a competitive level and that Ms. Hewitt raised the issue with him in 2011.  He says Ms. Hewitt did not “fully discuss the cost of this activity” with him, nor did </w:t>
      </w:r>
      <w:r w:rsidR="0074660A">
        <w:rPr>
          <w:rFonts w:ascii="Times New Roman" w:hAnsi="Times New Roman" w:cs="Times New Roman"/>
          <w:color w:val="000000" w:themeColor="text1"/>
          <w:sz w:val="28"/>
          <w:szCs w:val="28"/>
        </w:rPr>
        <w:lastRenderedPageBreak/>
        <w:t xml:space="preserve">she discuss with him </w:t>
      </w:r>
      <w:r w:rsidR="003C6B49">
        <w:rPr>
          <w:rFonts w:ascii="Times New Roman" w:hAnsi="Times New Roman" w:cs="Times New Roman"/>
          <w:color w:val="000000" w:themeColor="text1"/>
          <w:sz w:val="28"/>
          <w:szCs w:val="28"/>
        </w:rPr>
        <w:t xml:space="preserve">the possibility of L. participating in something less costly.  </w:t>
      </w:r>
    </w:p>
    <w:p w:rsidR="0074660A" w:rsidRDefault="0074660A"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Attached to Mr. Yatkowsky’s affidavit is an e-mail exchange between him and Ms. Hewitt from April of 2011.  In his e-mail to Ms. Hewitt he states:</w:t>
      </w:r>
    </w:p>
    <w:p w:rsidR="0074660A" w:rsidRPr="0074660A" w:rsidRDefault="0074660A" w:rsidP="006344C6">
      <w:pPr>
        <w:pStyle w:val="ListParagraph"/>
        <w:spacing w:after="240" w:line="240" w:lineRule="auto"/>
        <w:ind w:right="720"/>
        <w:contextualSpacing w:val="0"/>
        <w:jc w:val="both"/>
        <w:rPr>
          <w:rFonts w:ascii="Times New Roman" w:hAnsi="Times New Roman" w:cs="Times New Roman"/>
          <w:color w:val="000000" w:themeColor="text1"/>
          <w:sz w:val="24"/>
          <w:szCs w:val="24"/>
        </w:rPr>
      </w:pPr>
      <w:r w:rsidRPr="0074660A">
        <w:rPr>
          <w:rFonts w:ascii="Times New Roman" w:hAnsi="Times New Roman" w:cs="Times New Roman"/>
          <w:color w:val="000000" w:themeColor="text1"/>
          <w:sz w:val="24"/>
          <w:szCs w:val="24"/>
        </w:rPr>
        <w:t xml:space="preserve">Tracey, I have been thinking about your request to help fund </w:t>
      </w:r>
      <w:r w:rsidR="00D34C3A">
        <w:rPr>
          <w:rFonts w:ascii="Times New Roman" w:hAnsi="Times New Roman" w:cs="Times New Roman"/>
          <w:color w:val="000000" w:themeColor="text1"/>
          <w:sz w:val="24"/>
          <w:szCs w:val="24"/>
        </w:rPr>
        <w:t>[</w:t>
      </w:r>
      <w:r w:rsidRPr="0074660A">
        <w:rPr>
          <w:rFonts w:ascii="Times New Roman" w:hAnsi="Times New Roman" w:cs="Times New Roman"/>
          <w:color w:val="000000" w:themeColor="text1"/>
          <w:sz w:val="24"/>
          <w:szCs w:val="24"/>
        </w:rPr>
        <w:t>L</w:t>
      </w:r>
      <w:r w:rsidR="00D34C3A">
        <w:rPr>
          <w:rFonts w:ascii="Times New Roman" w:hAnsi="Times New Roman" w:cs="Times New Roman"/>
          <w:color w:val="000000" w:themeColor="text1"/>
          <w:sz w:val="24"/>
          <w:szCs w:val="24"/>
        </w:rPr>
        <w:t>]’s</w:t>
      </w:r>
      <w:r w:rsidRPr="0074660A">
        <w:rPr>
          <w:rFonts w:ascii="Times New Roman" w:hAnsi="Times New Roman" w:cs="Times New Roman"/>
          <w:color w:val="000000" w:themeColor="text1"/>
          <w:sz w:val="24"/>
          <w:szCs w:val="24"/>
        </w:rPr>
        <w:t xml:space="preserve"> hockey.  As you are aware all decisions pertaining to extra curricular activities are to be discussed among both parties prior to the decisions that are to be made.</w:t>
      </w:r>
    </w:p>
    <w:p w:rsidR="0074660A" w:rsidRPr="0074660A" w:rsidRDefault="0074660A" w:rsidP="006344C6">
      <w:pPr>
        <w:pStyle w:val="ListParagraph"/>
        <w:spacing w:after="240" w:line="240" w:lineRule="auto"/>
        <w:ind w:right="720"/>
        <w:contextualSpacing w:val="0"/>
        <w:jc w:val="both"/>
        <w:rPr>
          <w:rFonts w:ascii="Times New Roman" w:hAnsi="Times New Roman" w:cs="Times New Roman"/>
          <w:color w:val="000000" w:themeColor="text1"/>
          <w:sz w:val="24"/>
          <w:szCs w:val="24"/>
        </w:rPr>
      </w:pPr>
      <w:r w:rsidRPr="0074660A">
        <w:rPr>
          <w:rFonts w:ascii="Times New Roman" w:hAnsi="Times New Roman" w:cs="Times New Roman"/>
          <w:color w:val="000000" w:themeColor="text1"/>
          <w:sz w:val="24"/>
          <w:szCs w:val="24"/>
        </w:rPr>
        <w:t xml:space="preserve">Typically, I would have no issues helping and I have never denied my son of anything . . . however; as you are aware [L] has chosen to have no further contact with me.  Therefore, I no longer feel obliged to help him with anything other than what our agreement has outlined.  Should [L] have a change in heart and decide to rekindle his relationship with me then I have no issues rethinking further assistance to his extracurricular activities as long as decisions are made and discussed civilly. </w:t>
      </w:r>
    </w:p>
    <w:p w:rsidR="001E3975" w:rsidRDefault="001E3975"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Ms. Hewitt replied, indicating she felt Mr. Yatkowsky remained responsible for contributing to L.’s extracurricular activities</w:t>
      </w:r>
      <w:r w:rsidR="00B928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but that she would “manage” and she would seek assistance from her own family.  She also said she would no longer have any contact with Mr. Yatkowsky regarding L.’s sports. </w:t>
      </w:r>
    </w:p>
    <w:p w:rsidR="001E3975" w:rsidRDefault="001E3975" w:rsidP="00ED2546">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Mr. Yatkowsky says that after this exchange he thought the issue</w:t>
      </w:r>
      <w:r w:rsidR="00D34C3A">
        <w:rPr>
          <w:rFonts w:ascii="Times New Roman" w:hAnsi="Times New Roman" w:cs="Times New Roman"/>
          <w:color w:val="000000" w:themeColor="text1"/>
          <w:sz w:val="28"/>
          <w:szCs w:val="28"/>
        </w:rPr>
        <w:t xml:space="preserve"> of hockey expenses</w:t>
      </w:r>
      <w:r>
        <w:rPr>
          <w:rFonts w:ascii="Times New Roman" w:hAnsi="Times New Roman" w:cs="Times New Roman"/>
          <w:color w:val="000000" w:themeColor="text1"/>
          <w:sz w:val="28"/>
          <w:szCs w:val="28"/>
        </w:rPr>
        <w:t xml:space="preserve"> was </w:t>
      </w:r>
      <w:r w:rsidR="00D34C3A">
        <w:rPr>
          <w:rFonts w:ascii="Times New Roman" w:hAnsi="Times New Roman" w:cs="Times New Roman"/>
          <w:color w:val="000000" w:themeColor="text1"/>
          <w:sz w:val="28"/>
          <w:szCs w:val="28"/>
        </w:rPr>
        <w:t>finished</w:t>
      </w:r>
      <w:r w:rsidR="007B0693">
        <w:rPr>
          <w:rFonts w:ascii="Times New Roman" w:hAnsi="Times New Roman" w:cs="Times New Roman"/>
          <w:color w:val="000000" w:themeColor="text1"/>
          <w:sz w:val="28"/>
          <w:szCs w:val="28"/>
        </w:rPr>
        <w:t>.</w:t>
      </w:r>
      <w:r w:rsidR="004B7333">
        <w:rPr>
          <w:rFonts w:ascii="Times New Roman" w:hAnsi="Times New Roman" w:cs="Times New Roman"/>
          <w:color w:val="000000" w:themeColor="text1"/>
          <w:sz w:val="28"/>
          <w:szCs w:val="28"/>
        </w:rPr>
        <w:t xml:space="preserve"> </w:t>
      </w:r>
      <w:r w:rsidR="007B0693">
        <w:rPr>
          <w:rFonts w:ascii="Times New Roman" w:hAnsi="Times New Roman" w:cs="Times New Roman"/>
          <w:color w:val="000000" w:themeColor="text1"/>
          <w:sz w:val="28"/>
          <w:szCs w:val="28"/>
        </w:rPr>
        <w:t xml:space="preserve"> A</w:t>
      </w:r>
      <w:r>
        <w:rPr>
          <w:rFonts w:ascii="Times New Roman" w:hAnsi="Times New Roman" w:cs="Times New Roman"/>
          <w:color w:val="000000" w:themeColor="text1"/>
          <w:sz w:val="28"/>
          <w:szCs w:val="28"/>
        </w:rPr>
        <w:t>fter April of 2011 there was no discussion between them about hockey expenses “other than the occasional text message or e-mail telling me about a hockey expense after she had incurred it and demanding that I pay for the expense”.</w:t>
      </w:r>
    </w:p>
    <w:p w:rsidR="007855FB" w:rsidRPr="007855FB" w:rsidRDefault="001E3975" w:rsidP="0095352E">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sidRPr="007855FB">
        <w:rPr>
          <w:rFonts w:ascii="Times New Roman" w:hAnsi="Times New Roman" w:cs="Times New Roman"/>
          <w:color w:val="000000" w:themeColor="text1"/>
          <w:sz w:val="28"/>
          <w:szCs w:val="28"/>
        </w:rPr>
        <w:lastRenderedPageBreak/>
        <w:t xml:space="preserve"> </w:t>
      </w:r>
      <w:r w:rsidR="00E32562" w:rsidRPr="007855FB">
        <w:rPr>
          <w:rFonts w:ascii="Times New Roman" w:hAnsi="Times New Roman" w:cs="Times New Roman"/>
          <w:color w:val="000000" w:themeColor="text1"/>
          <w:sz w:val="28"/>
          <w:szCs w:val="28"/>
        </w:rPr>
        <w:t>The issue apparently arose again in 2014</w:t>
      </w:r>
      <w:r w:rsidR="007B0693">
        <w:rPr>
          <w:rFonts w:ascii="Times New Roman" w:hAnsi="Times New Roman" w:cs="Times New Roman"/>
          <w:color w:val="000000" w:themeColor="text1"/>
          <w:sz w:val="28"/>
          <w:szCs w:val="28"/>
        </w:rPr>
        <w:t>, however</w:t>
      </w:r>
      <w:r w:rsidR="00D34C3A">
        <w:rPr>
          <w:rFonts w:ascii="Times New Roman" w:hAnsi="Times New Roman" w:cs="Times New Roman"/>
          <w:color w:val="000000" w:themeColor="text1"/>
          <w:sz w:val="28"/>
          <w:szCs w:val="28"/>
        </w:rPr>
        <w:t>.</w:t>
      </w:r>
      <w:r w:rsidR="00A151AA">
        <w:rPr>
          <w:rFonts w:ascii="Times New Roman" w:hAnsi="Times New Roman" w:cs="Times New Roman"/>
          <w:color w:val="000000" w:themeColor="text1"/>
          <w:sz w:val="28"/>
          <w:szCs w:val="28"/>
        </w:rPr>
        <w:t xml:space="preserve"> </w:t>
      </w:r>
      <w:r w:rsidR="00D34C3A">
        <w:rPr>
          <w:rFonts w:ascii="Times New Roman" w:hAnsi="Times New Roman" w:cs="Times New Roman"/>
          <w:color w:val="000000" w:themeColor="text1"/>
          <w:sz w:val="28"/>
          <w:szCs w:val="28"/>
        </w:rPr>
        <w:t xml:space="preserve"> At that</w:t>
      </w:r>
      <w:r w:rsidR="00E32562" w:rsidRPr="007855FB">
        <w:rPr>
          <w:rFonts w:ascii="Times New Roman" w:hAnsi="Times New Roman" w:cs="Times New Roman"/>
          <w:color w:val="000000" w:themeColor="text1"/>
          <w:sz w:val="28"/>
          <w:szCs w:val="28"/>
        </w:rPr>
        <w:t xml:space="preserve"> time</w:t>
      </w:r>
      <w:r w:rsidR="00D34C3A">
        <w:rPr>
          <w:rFonts w:ascii="Times New Roman" w:hAnsi="Times New Roman" w:cs="Times New Roman"/>
          <w:color w:val="000000" w:themeColor="text1"/>
          <w:sz w:val="28"/>
          <w:szCs w:val="28"/>
        </w:rPr>
        <w:t>,</w:t>
      </w:r>
      <w:r w:rsidR="00E32562" w:rsidRPr="007855FB">
        <w:rPr>
          <w:rFonts w:ascii="Times New Roman" w:hAnsi="Times New Roman" w:cs="Times New Roman"/>
          <w:color w:val="000000" w:themeColor="text1"/>
          <w:sz w:val="28"/>
          <w:szCs w:val="28"/>
        </w:rPr>
        <w:t xml:space="preserve"> Mr. Yatkowsky offered to pay for L.’s expenses for hockey registration in the amount of $1850.00 and $650.00 for his uniform.</w:t>
      </w:r>
      <w:r w:rsidR="008B5E1B">
        <w:rPr>
          <w:rFonts w:ascii="Times New Roman" w:hAnsi="Times New Roman" w:cs="Times New Roman"/>
          <w:color w:val="000000" w:themeColor="text1"/>
          <w:sz w:val="28"/>
          <w:szCs w:val="28"/>
        </w:rPr>
        <w:t xml:space="preserve"> </w:t>
      </w:r>
      <w:r w:rsidR="00E32562" w:rsidRPr="007855FB">
        <w:rPr>
          <w:rFonts w:ascii="Times New Roman" w:hAnsi="Times New Roman" w:cs="Times New Roman"/>
          <w:color w:val="000000" w:themeColor="text1"/>
          <w:sz w:val="28"/>
          <w:szCs w:val="28"/>
        </w:rPr>
        <w:t xml:space="preserve"> He also proposed that he would cease paying child support to Ms. Hewitt and instead pay the room and board amount to the team and anything left over to L. directly to cover other expenses.  He reasoned that </w:t>
      </w:r>
      <w:r w:rsidR="007855FB" w:rsidRPr="007855FB">
        <w:rPr>
          <w:rFonts w:ascii="Times New Roman" w:hAnsi="Times New Roman" w:cs="Times New Roman"/>
          <w:color w:val="000000" w:themeColor="text1"/>
          <w:sz w:val="28"/>
          <w:szCs w:val="28"/>
        </w:rPr>
        <w:t xml:space="preserve">L. was then sixteen and had chosen to withdraw from parental control and play hockey in another community.  It was also proposed that this arrangement would end once L. returned to Ms. Hewitt’s care on a full-time basis. </w:t>
      </w:r>
    </w:p>
    <w:p w:rsidR="007855FB" w:rsidRPr="00D34C3A" w:rsidRDefault="007855FB" w:rsidP="0095352E">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Ms. Hewitt disagreed with Mr. Yatkowsky’s position that L. was withdrawing from parental control, pointing out that he would be enrolled </w:t>
      </w:r>
      <w:r w:rsidR="00B928A8">
        <w:rPr>
          <w:rFonts w:ascii="Times New Roman" w:hAnsi="Times New Roman" w:cs="Times New Roman"/>
          <w:color w:val="000000" w:themeColor="text1"/>
          <w:sz w:val="28"/>
          <w:szCs w:val="28"/>
        </w:rPr>
        <w:t xml:space="preserve">in </w:t>
      </w:r>
      <w:r>
        <w:rPr>
          <w:rFonts w:ascii="Times New Roman" w:hAnsi="Times New Roman" w:cs="Times New Roman"/>
          <w:color w:val="000000" w:themeColor="text1"/>
          <w:sz w:val="28"/>
          <w:szCs w:val="28"/>
        </w:rPr>
        <w:t>school full-time and that she was still responsible for making decisions for him.</w:t>
      </w:r>
      <w:r w:rsidR="008B5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She indicated that she did not expect Mr. Yatkowsky to pay the full amount of the hockey fees.  She requested that he pay support to her directly, as he had been since they separated. </w:t>
      </w:r>
    </w:p>
    <w:p w:rsidR="00D34C3A" w:rsidRPr="007855FB" w:rsidRDefault="00D34C3A" w:rsidP="0095352E">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There were no further discussions about hockey fees.  </w:t>
      </w:r>
    </w:p>
    <w:p w:rsidR="00CC6D87" w:rsidRPr="007855FB" w:rsidRDefault="00CC6D87" w:rsidP="007855FB">
      <w:pPr>
        <w:pStyle w:val="ListParagraph"/>
        <w:spacing w:after="240" w:line="240" w:lineRule="auto"/>
        <w:ind w:left="0"/>
        <w:contextualSpacing w:val="0"/>
        <w:jc w:val="both"/>
        <w:rPr>
          <w:rFonts w:ascii="Times New Roman" w:hAnsi="Times New Roman" w:cs="Times New Roman"/>
          <w:b/>
          <w:color w:val="000000" w:themeColor="text1"/>
          <w:sz w:val="28"/>
          <w:szCs w:val="28"/>
        </w:rPr>
      </w:pPr>
      <w:r w:rsidRPr="007855FB">
        <w:rPr>
          <w:rFonts w:ascii="Times New Roman" w:hAnsi="Times New Roman" w:cs="Times New Roman"/>
          <w:b/>
          <w:color w:val="000000" w:themeColor="text1"/>
          <w:sz w:val="28"/>
          <w:szCs w:val="28"/>
        </w:rPr>
        <w:t>ISSUES</w:t>
      </w:r>
    </w:p>
    <w:p w:rsidR="00922992" w:rsidRDefault="00CC6D87" w:rsidP="00CC6D8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There are </w:t>
      </w:r>
      <w:r w:rsidR="007855FB">
        <w:rPr>
          <w:rFonts w:ascii="Times New Roman" w:hAnsi="Times New Roman" w:cs="Times New Roman"/>
          <w:color w:val="000000" w:themeColor="text1"/>
          <w:sz w:val="28"/>
          <w:szCs w:val="28"/>
        </w:rPr>
        <w:t>three</w:t>
      </w:r>
      <w:r>
        <w:rPr>
          <w:rFonts w:ascii="Times New Roman" w:hAnsi="Times New Roman" w:cs="Times New Roman"/>
          <w:color w:val="000000" w:themeColor="text1"/>
          <w:sz w:val="28"/>
          <w:szCs w:val="28"/>
        </w:rPr>
        <w:t xml:space="preserve"> issues</w:t>
      </w:r>
      <w:r w:rsidR="00922992">
        <w:rPr>
          <w:rFonts w:ascii="Times New Roman" w:hAnsi="Times New Roman" w:cs="Times New Roman"/>
          <w:color w:val="000000" w:themeColor="text1"/>
          <w:sz w:val="28"/>
          <w:szCs w:val="28"/>
        </w:rPr>
        <w:t>.  The first</w:t>
      </w:r>
      <w:r w:rsidR="00710028">
        <w:rPr>
          <w:rFonts w:ascii="Times New Roman" w:hAnsi="Times New Roman" w:cs="Times New Roman"/>
          <w:color w:val="000000" w:themeColor="text1"/>
          <w:sz w:val="28"/>
          <w:szCs w:val="28"/>
        </w:rPr>
        <w:t xml:space="preserve"> is whether Mr. Yatkowsky was required to continue paying support after L. finished high school and attained the age of </w:t>
      </w:r>
      <w:r w:rsidR="00D34C3A">
        <w:rPr>
          <w:rFonts w:ascii="Times New Roman" w:hAnsi="Times New Roman" w:cs="Times New Roman"/>
          <w:color w:val="000000" w:themeColor="text1"/>
          <w:sz w:val="28"/>
          <w:szCs w:val="28"/>
        </w:rPr>
        <w:t>majority</w:t>
      </w:r>
      <w:r w:rsidR="00710028">
        <w:rPr>
          <w:rFonts w:ascii="Times New Roman" w:hAnsi="Times New Roman" w:cs="Times New Roman"/>
          <w:color w:val="000000" w:themeColor="text1"/>
          <w:sz w:val="28"/>
          <w:szCs w:val="28"/>
        </w:rPr>
        <w:t>.</w:t>
      </w:r>
      <w:r w:rsidR="008B5E1B">
        <w:rPr>
          <w:rFonts w:ascii="Times New Roman" w:hAnsi="Times New Roman" w:cs="Times New Roman"/>
          <w:color w:val="000000" w:themeColor="text1"/>
          <w:sz w:val="28"/>
          <w:szCs w:val="28"/>
        </w:rPr>
        <w:t xml:space="preserve"> </w:t>
      </w:r>
      <w:r w:rsidR="00922992">
        <w:rPr>
          <w:rFonts w:ascii="Times New Roman" w:hAnsi="Times New Roman" w:cs="Times New Roman"/>
          <w:color w:val="000000" w:themeColor="text1"/>
          <w:sz w:val="28"/>
          <w:szCs w:val="28"/>
        </w:rPr>
        <w:t xml:space="preserve"> </w:t>
      </w:r>
      <w:r w:rsidR="00710028">
        <w:rPr>
          <w:rFonts w:ascii="Times New Roman" w:hAnsi="Times New Roman" w:cs="Times New Roman"/>
          <w:color w:val="000000" w:themeColor="text1"/>
          <w:sz w:val="28"/>
          <w:szCs w:val="28"/>
        </w:rPr>
        <w:t xml:space="preserve">The second </w:t>
      </w:r>
      <w:r w:rsidR="00922992">
        <w:rPr>
          <w:rFonts w:ascii="Times New Roman" w:hAnsi="Times New Roman" w:cs="Times New Roman"/>
          <w:color w:val="000000" w:themeColor="text1"/>
          <w:sz w:val="28"/>
          <w:szCs w:val="28"/>
        </w:rPr>
        <w:t>is whether the amount of child support sh</w:t>
      </w:r>
      <w:r w:rsidR="00C068F3">
        <w:rPr>
          <w:rFonts w:ascii="Times New Roman" w:hAnsi="Times New Roman" w:cs="Times New Roman"/>
          <w:color w:val="000000" w:themeColor="text1"/>
          <w:sz w:val="28"/>
          <w:szCs w:val="28"/>
        </w:rPr>
        <w:t>ould be adjusted retroactively and if so, to what point in time.</w:t>
      </w:r>
      <w:r w:rsidR="00922992">
        <w:rPr>
          <w:rFonts w:ascii="Times New Roman" w:hAnsi="Times New Roman" w:cs="Times New Roman"/>
          <w:color w:val="000000" w:themeColor="text1"/>
          <w:sz w:val="28"/>
          <w:szCs w:val="28"/>
        </w:rPr>
        <w:t xml:space="preserve"> </w:t>
      </w:r>
      <w:r w:rsidR="008B5E1B">
        <w:rPr>
          <w:rFonts w:ascii="Times New Roman" w:hAnsi="Times New Roman" w:cs="Times New Roman"/>
          <w:color w:val="000000" w:themeColor="text1"/>
          <w:sz w:val="28"/>
          <w:szCs w:val="28"/>
        </w:rPr>
        <w:t xml:space="preserve"> </w:t>
      </w:r>
      <w:r w:rsidR="00DF37CC">
        <w:rPr>
          <w:rFonts w:ascii="Times New Roman" w:hAnsi="Times New Roman" w:cs="Times New Roman"/>
          <w:color w:val="000000" w:themeColor="text1"/>
          <w:sz w:val="28"/>
          <w:szCs w:val="28"/>
        </w:rPr>
        <w:t xml:space="preserve">The </w:t>
      </w:r>
      <w:r w:rsidR="007855FB">
        <w:rPr>
          <w:rFonts w:ascii="Times New Roman" w:hAnsi="Times New Roman" w:cs="Times New Roman"/>
          <w:color w:val="000000" w:themeColor="text1"/>
          <w:sz w:val="28"/>
          <w:szCs w:val="28"/>
        </w:rPr>
        <w:t xml:space="preserve">third issue is whether Mr. Yatkowsky is required to contribute to L.’s </w:t>
      </w:r>
      <w:r w:rsidR="00FC0A89">
        <w:rPr>
          <w:rFonts w:ascii="Times New Roman" w:hAnsi="Times New Roman" w:cs="Times New Roman"/>
          <w:color w:val="000000" w:themeColor="text1"/>
          <w:sz w:val="28"/>
          <w:szCs w:val="28"/>
        </w:rPr>
        <w:t xml:space="preserve">past </w:t>
      </w:r>
      <w:r w:rsidR="007855FB">
        <w:rPr>
          <w:rFonts w:ascii="Times New Roman" w:hAnsi="Times New Roman" w:cs="Times New Roman"/>
          <w:color w:val="000000" w:themeColor="text1"/>
          <w:sz w:val="28"/>
          <w:szCs w:val="28"/>
        </w:rPr>
        <w:t xml:space="preserve">hockey costs and </w:t>
      </w:r>
      <w:r w:rsidR="00FC0A89">
        <w:rPr>
          <w:rFonts w:ascii="Times New Roman" w:hAnsi="Times New Roman" w:cs="Times New Roman"/>
          <w:color w:val="000000" w:themeColor="text1"/>
          <w:sz w:val="28"/>
          <w:szCs w:val="28"/>
        </w:rPr>
        <w:t xml:space="preserve">to pay for </w:t>
      </w:r>
      <w:r w:rsidR="007855FB">
        <w:rPr>
          <w:rFonts w:ascii="Times New Roman" w:hAnsi="Times New Roman" w:cs="Times New Roman"/>
          <w:color w:val="000000" w:themeColor="text1"/>
          <w:sz w:val="28"/>
          <w:szCs w:val="28"/>
        </w:rPr>
        <w:t>orthodontic treatment.</w:t>
      </w:r>
    </w:p>
    <w:p w:rsidR="00CC6D87" w:rsidRDefault="00DF37CC" w:rsidP="00CC6D87">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ANALYSIS</w:t>
      </w:r>
    </w:p>
    <w:p w:rsidR="00A8415A" w:rsidRPr="00DF37CC" w:rsidRDefault="00A8415A" w:rsidP="00CC6D87">
      <w:pPr>
        <w:pStyle w:val="ListParagraph"/>
        <w:spacing w:after="240" w:line="240" w:lineRule="auto"/>
        <w:ind w:left="0"/>
        <w:contextualSpacing w:val="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Whether child support obligations terminated when L. turned 18</w:t>
      </w:r>
    </w:p>
    <w:p w:rsidR="00F833AD" w:rsidRDefault="00F833AD" w:rsidP="00CC6D8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It is a reality that children are sometimes unable to withdraw from their parents’ care and support when they reach adulthood.  There can be many reasons for this, including illness, disability or, as contemplated here, continued education.  </w:t>
      </w:r>
    </w:p>
    <w:p w:rsidR="00DD51CF" w:rsidRDefault="007B0693" w:rsidP="00CC6D8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find </w:t>
      </w:r>
      <w:r w:rsidR="00DD51CF">
        <w:rPr>
          <w:rFonts w:ascii="Times New Roman" w:hAnsi="Times New Roman" w:cs="Times New Roman"/>
          <w:color w:val="000000" w:themeColor="text1"/>
          <w:sz w:val="28"/>
          <w:szCs w:val="28"/>
        </w:rPr>
        <w:t>Mr. Yatkowsky’s legal obligation to support L. ceased</w:t>
      </w:r>
      <w:r w:rsidR="00CC6D87">
        <w:rPr>
          <w:rFonts w:ascii="Times New Roman" w:hAnsi="Times New Roman" w:cs="Times New Roman"/>
          <w:color w:val="000000" w:themeColor="text1"/>
          <w:sz w:val="28"/>
          <w:szCs w:val="28"/>
        </w:rPr>
        <w:t xml:space="preserve"> </w:t>
      </w:r>
      <w:r w:rsidR="00DD51CF">
        <w:rPr>
          <w:rFonts w:ascii="Times New Roman" w:hAnsi="Times New Roman" w:cs="Times New Roman"/>
          <w:color w:val="000000" w:themeColor="text1"/>
          <w:sz w:val="28"/>
          <w:szCs w:val="28"/>
        </w:rPr>
        <w:t>at the end of June 2016.</w:t>
      </w:r>
      <w:r w:rsidR="008B5E1B">
        <w:rPr>
          <w:rFonts w:ascii="Times New Roman" w:hAnsi="Times New Roman" w:cs="Times New Roman"/>
          <w:color w:val="000000" w:themeColor="text1"/>
          <w:sz w:val="28"/>
          <w:szCs w:val="28"/>
        </w:rPr>
        <w:t xml:space="preserve"> </w:t>
      </w:r>
      <w:r w:rsidR="00DD51C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This is based on the parties’ agreement which states support obligations cease upon L. reaching the age of majority unless he was enrolled in a full-time educational program.  As of June 30, 2016, </w:t>
      </w:r>
      <w:r w:rsidR="00DD51CF">
        <w:rPr>
          <w:rFonts w:ascii="Times New Roman" w:hAnsi="Times New Roman" w:cs="Times New Roman"/>
          <w:color w:val="000000" w:themeColor="text1"/>
          <w:sz w:val="28"/>
          <w:szCs w:val="28"/>
        </w:rPr>
        <w:t xml:space="preserve">L. had attained the age of majority </w:t>
      </w:r>
      <w:r w:rsidR="00F833AD">
        <w:rPr>
          <w:rFonts w:ascii="Times New Roman" w:hAnsi="Times New Roman" w:cs="Times New Roman"/>
          <w:color w:val="000000" w:themeColor="text1"/>
          <w:sz w:val="28"/>
          <w:szCs w:val="28"/>
        </w:rPr>
        <w:t xml:space="preserve">in Ontario </w:t>
      </w:r>
      <w:r w:rsidR="00DD51CF">
        <w:rPr>
          <w:rFonts w:ascii="Times New Roman" w:hAnsi="Times New Roman" w:cs="Times New Roman"/>
          <w:color w:val="000000" w:themeColor="text1"/>
          <w:sz w:val="28"/>
          <w:szCs w:val="28"/>
        </w:rPr>
        <w:t xml:space="preserve">and </w:t>
      </w:r>
      <w:r w:rsidR="00F833AD">
        <w:rPr>
          <w:rFonts w:ascii="Times New Roman" w:hAnsi="Times New Roman" w:cs="Times New Roman"/>
          <w:color w:val="000000" w:themeColor="text1"/>
          <w:sz w:val="28"/>
          <w:szCs w:val="28"/>
        </w:rPr>
        <w:t xml:space="preserve">he </w:t>
      </w:r>
      <w:r w:rsidR="00354071">
        <w:rPr>
          <w:rFonts w:ascii="Times New Roman" w:hAnsi="Times New Roman" w:cs="Times New Roman"/>
          <w:color w:val="000000" w:themeColor="text1"/>
          <w:sz w:val="28"/>
          <w:szCs w:val="28"/>
        </w:rPr>
        <w:t xml:space="preserve">had </w:t>
      </w:r>
      <w:r w:rsidR="00DD51CF">
        <w:rPr>
          <w:rFonts w:ascii="Times New Roman" w:hAnsi="Times New Roman" w:cs="Times New Roman"/>
          <w:color w:val="000000" w:themeColor="text1"/>
          <w:sz w:val="28"/>
          <w:szCs w:val="28"/>
        </w:rPr>
        <w:t xml:space="preserve">completed high school.  He was not thereafter enrolled in a full-time educational program. </w:t>
      </w:r>
    </w:p>
    <w:p w:rsidR="00A8415A" w:rsidRPr="00A8415A" w:rsidRDefault="00A8415A" w:rsidP="00A8415A">
      <w:pPr>
        <w:spacing w:after="240" w:line="240" w:lineRule="auto"/>
        <w:jc w:val="both"/>
        <w:rPr>
          <w:rFonts w:ascii="Times New Roman" w:hAnsi="Times New Roman" w:cs="Times New Roman"/>
          <w:b/>
          <w:i/>
          <w:color w:val="000000" w:themeColor="text1"/>
          <w:sz w:val="28"/>
          <w:szCs w:val="28"/>
        </w:rPr>
      </w:pPr>
      <w:r w:rsidRPr="00A8415A">
        <w:rPr>
          <w:rFonts w:ascii="Times New Roman" w:hAnsi="Times New Roman" w:cs="Times New Roman"/>
          <w:b/>
          <w:i/>
          <w:color w:val="000000" w:themeColor="text1"/>
          <w:sz w:val="28"/>
          <w:szCs w:val="28"/>
        </w:rPr>
        <w:t>Whether child support should be adjusted retroactively</w:t>
      </w:r>
    </w:p>
    <w:p w:rsidR="00CC6D87" w:rsidRDefault="00C53820" w:rsidP="00CC6D8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Section 35(2) of </w:t>
      </w:r>
      <w:r>
        <w:rPr>
          <w:rFonts w:ascii="Times New Roman" w:hAnsi="Times New Roman" w:cs="Times New Roman"/>
          <w:i/>
          <w:color w:val="000000" w:themeColor="text1"/>
          <w:sz w:val="28"/>
          <w:szCs w:val="28"/>
        </w:rPr>
        <w:t xml:space="preserve">Interjurisdictional Support Orders Act </w:t>
      </w:r>
      <w:r>
        <w:rPr>
          <w:rFonts w:ascii="Times New Roman" w:hAnsi="Times New Roman" w:cs="Times New Roman"/>
          <w:color w:val="000000" w:themeColor="text1"/>
          <w:sz w:val="28"/>
          <w:szCs w:val="28"/>
        </w:rPr>
        <w:t xml:space="preserve">provides that the </w:t>
      </w:r>
      <w:r>
        <w:rPr>
          <w:rFonts w:ascii="Times New Roman" w:hAnsi="Times New Roman" w:cs="Times New Roman"/>
          <w:i/>
          <w:color w:val="000000" w:themeColor="text1"/>
          <w:sz w:val="28"/>
          <w:szCs w:val="28"/>
        </w:rPr>
        <w:t xml:space="preserve">Children’s Law Act, </w:t>
      </w:r>
      <w:r>
        <w:rPr>
          <w:rFonts w:ascii="Times New Roman" w:hAnsi="Times New Roman" w:cs="Times New Roman"/>
          <w:color w:val="000000" w:themeColor="text1"/>
          <w:sz w:val="28"/>
          <w:szCs w:val="28"/>
        </w:rPr>
        <w:t>SNWT 1997 is to</w:t>
      </w:r>
      <w:r w:rsidR="00B928A8">
        <w:rPr>
          <w:rFonts w:ascii="Times New Roman" w:hAnsi="Times New Roman" w:cs="Times New Roman"/>
          <w:color w:val="000000" w:themeColor="text1"/>
          <w:sz w:val="28"/>
          <w:szCs w:val="28"/>
        </w:rPr>
        <w:t xml:space="preserve"> be applied </w:t>
      </w:r>
      <w:r>
        <w:rPr>
          <w:rFonts w:ascii="Times New Roman" w:hAnsi="Times New Roman" w:cs="Times New Roman"/>
          <w:color w:val="000000" w:themeColor="text1"/>
          <w:sz w:val="28"/>
          <w:szCs w:val="28"/>
        </w:rPr>
        <w:t xml:space="preserve">where, as here, both parties accept this Court’s jurisdiction. </w:t>
      </w:r>
      <w:r w:rsidR="008B5E1B">
        <w:rPr>
          <w:rFonts w:ascii="Times New Roman" w:hAnsi="Times New Roman" w:cs="Times New Roman"/>
          <w:color w:val="000000" w:themeColor="text1"/>
          <w:sz w:val="28"/>
          <w:szCs w:val="28"/>
        </w:rPr>
        <w:t xml:space="preserve"> </w:t>
      </w:r>
      <w:r w:rsidR="00D42D51">
        <w:rPr>
          <w:rFonts w:ascii="Times New Roman" w:hAnsi="Times New Roman" w:cs="Times New Roman"/>
          <w:color w:val="000000" w:themeColor="text1"/>
          <w:sz w:val="28"/>
          <w:szCs w:val="28"/>
        </w:rPr>
        <w:t>Section 61(2) of t</w:t>
      </w:r>
      <w:r w:rsidR="00CC6D87">
        <w:rPr>
          <w:rFonts w:ascii="Times New Roman" w:hAnsi="Times New Roman" w:cs="Times New Roman"/>
          <w:color w:val="000000" w:themeColor="text1"/>
          <w:sz w:val="28"/>
          <w:szCs w:val="28"/>
        </w:rPr>
        <w:t xml:space="preserve">he </w:t>
      </w:r>
      <w:r w:rsidR="00CC6D87">
        <w:rPr>
          <w:rFonts w:ascii="Times New Roman" w:hAnsi="Times New Roman" w:cs="Times New Roman"/>
          <w:i/>
          <w:color w:val="000000" w:themeColor="text1"/>
          <w:sz w:val="28"/>
          <w:szCs w:val="28"/>
        </w:rPr>
        <w:t>Children’s Law Act,</w:t>
      </w:r>
      <w:r w:rsidR="00354071">
        <w:rPr>
          <w:rFonts w:ascii="Times New Roman" w:hAnsi="Times New Roman" w:cs="Times New Roman"/>
          <w:color w:val="000000" w:themeColor="text1"/>
          <w:sz w:val="28"/>
          <w:szCs w:val="28"/>
        </w:rPr>
        <w:t xml:space="preserve"> in turn, </w:t>
      </w:r>
      <w:r w:rsidR="00D42D51">
        <w:rPr>
          <w:rFonts w:ascii="Times New Roman" w:hAnsi="Times New Roman" w:cs="Times New Roman"/>
          <w:color w:val="000000" w:themeColor="text1"/>
          <w:sz w:val="28"/>
          <w:szCs w:val="28"/>
        </w:rPr>
        <w:t>allows the Court to vary child support</w:t>
      </w:r>
      <w:r>
        <w:rPr>
          <w:rFonts w:ascii="Times New Roman" w:hAnsi="Times New Roman" w:cs="Times New Roman"/>
          <w:color w:val="000000" w:themeColor="text1"/>
          <w:sz w:val="28"/>
          <w:szCs w:val="28"/>
        </w:rPr>
        <w:t>, both prospectively and retroactively,</w:t>
      </w:r>
      <w:r w:rsidR="00D42D51">
        <w:rPr>
          <w:rFonts w:ascii="Times New Roman" w:hAnsi="Times New Roman" w:cs="Times New Roman"/>
          <w:color w:val="000000" w:themeColor="text1"/>
          <w:sz w:val="28"/>
          <w:szCs w:val="28"/>
        </w:rPr>
        <w:t xml:space="preserve"> where there has been a </w:t>
      </w:r>
      <w:r w:rsidR="0041375C">
        <w:rPr>
          <w:rFonts w:ascii="Times New Roman" w:hAnsi="Times New Roman" w:cs="Times New Roman"/>
          <w:color w:val="000000" w:themeColor="text1"/>
          <w:sz w:val="28"/>
          <w:szCs w:val="28"/>
        </w:rPr>
        <w:t xml:space="preserve">material </w:t>
      </w:r>
      <w:r w:rsidR="00D42D51">
        <w:rPr>
          <w:rFonts w:ascii="Times New Roman" w:hAnsi="Times New Roman" w:cs="Times New Roman"/>
          <w:color w:val="000000" w:themeColor="text1"/>
          <w:sz w:val="28"/>
          <w:szCs w:val="28"/>
        </w:rPr>
        <w:t xml:space="preserve">change of circumstances, as set out in </w:t>
      </w:r>
      <w:r w:rsidR="005B14B4">
        <w:rPr>
          <w:rFonts w:ascii="Times New Roman" w:hAnsi="Times New Roman" w:cs="Times New Roman"/>
          <w:color w:val="000000" w:themeColor="text1"/>
          <w:sz w:val="28"/>
          <w:szCs w:val="28"/>
        </w:rPr>
        <w:t xml:space="preserve">s. 14 </w:t>
      </w:r>
      <w:r w:rsidR="00D42D51">
        <w:rPr>
          <w:rFonts w:ascii="Times New Roman" w:hAnsi="Times New Roman" w:cs="Times New Roman"/>
          <w:color w:val="000000" w:themeColor="text1"/>
          <w:sz w:val="28"/>
          <w:szCs w:val="28"/>
        </w:rPr>
        <w:t xml:space="preserve">the </w:t>
      </w:r>
      <w:r w:rsidR="00D42D51">
        <w:rPr>
          <w:rFonts w:ascii="Times New Roman" w:hAnsi="Times New Roman" w:cs="Times New Roman"/>
          <w:i/>
          <w:color w:val="000000" w:themeColor="text1"/>
          <w:sz w:val="28"/>
          <w:szCs w:val="28"/>
        </w:rPr>
        <w:t>Child Support Guidelines</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R-138-98</w:t>
      </w:r>
      <w:r w:rsidR="00D42D51">
        <w:rPr>
          <w:rFonts w:ascii="Times New Roman" w:hAnsi="Times New Roman" w:cs="Times New Roman"/>
          <w:i/>
          <w:color w:val="000000" w:themeColor="text1"/>
          <w:sz w:val="28"/>
          <w:szCs w:val="28"/>
        </w:rPr>
        <w:t xml:space="preserve">.  </w:t>
      </w:r>
      <w:r w:rsidR="00D42D51">
        <w:rPr>
          <w:rFonts w:ascii="Times New Roman" w:hAnsi="Times New Roman" w:cs="Times New Roman"/>
          <w:color w:val="000000" w:themeColor="text1"/>
          <w:sz w:val="28"/>
          <w:szCs w:val="28"/>
        </w:rPr>
        <w:t xml:space="preserve">A </w:t>
      </w:r>
      <w:r w:rsidR="0041375C">
        <w:rPr>
          <w:rFonts w:ascii="Times New Roman" w:hAnsi="Times New Roman" w:cs="Times New Roman"/>
          <w:color w:val="000000" w:themeColor="text1"/>
          <w:sz w:val="28"/>
          <w:szCs w:val="28"/>
        </w:rPr>
        <w:t xml:space="preserve">material </w:t>
      </w:r>
      <w:r w:rsidR="00D42D51">
        <w:rPr>
          <w:rFonts w:ascii="Times New Roman" w:hAnsi="Times New Roman" w:cs="Times New Roman"/>
          <w:color w:val="000000" w:themeColor="text1"/>
          <w:sz w:val="28"/>
          <w:szCs w:val="28"/>
        </w:rPr>
        <w:t>change in circumstances</w:t>
      </w:r>
      <w:r w:rsidR="005B14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w:t>
      </w:r>
      <w:r w:rsidR="005B14B4">
        <w:rPr>
          <w:rFonts w:ascii="Times New Roman" w:hAnsi="Times New Roman" w:cs="Times New Roman"/>
          <w:color w:val="000000" w:themeColor="text1"/>
          <w:sz w:val="28"/>
          <w:szCs w:val="28"/>
        </w:rPr>
        <w:t>s “any change in the condition, means, needs or other circumstances of a parent or of any ch</w:t>
      </w:r>
      <w:r>
        <w:rPr>
          <w:rFonts w:ascii="Times New Roman" w:hAnsi="Times New Roman" w:cs="Times New Roman"/>
          <w:color w:val="000000" w:themeColor="text1"/>
          <w:sz w:val="28"/>
          <w:szCs w:val="28"/>
        </w:rPr>
        <w:t xml:space="preserve">ild who is entitled to support” and includes a change to the payer’s income </w:t>
      </w:r>
      <w:r w:rsidR="00354071">
        <w:rPr>
          <w:rFonts w:ascii="Times New Roman" w:hAnsi="Times New Roman" w:cs="Times New Roman"/>
          <w:color w:val="000000" w:themeColor="text1"/>
          <w:sz w:val="28"/>
          <w:szCs w:val="28"/>
        </w:rPr>
        <w:t>which</w:t>
      </w:r>
      <w:r>
        <w:rPr>
          <w:rFonts w:ascii="Times New Roman" w:hAnsi="Times New Roman" w:cs="Times New Roman"/>
          <w:color w:val="000000" w:themeColor="text1"/>
          <w:sz w:val="28"/>
          <w:szCs w:val="28"/>
        </w:rPr>
        <w:t xml:space="preserve"> would result in a different amount being payable. </w:t>
      </w:r>
    </w:p>
    <w:p w:rsidR="00E20F4B" w:rsidRPr="009E3740" w:rsidRDefault="000547EF" w:rsidP="009E3740">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Clearly, Mr. Yatkowsky’s income has increased over the years in a manner that would result in a different amount of support being payable.  Therefore, there has been a </w:t>
      </w:r>
      <w:r w:rsidR="00354071">
        <w:rPr>
          <w:rFonts w:ascii="Times New Roman" w:hAnsi="Times New Roman" w:cs="Times New Roman"/>
          <w:color w:val="000000" w:themeColor="text1"/>
          <w:sz w:val="28"/>
          <w:szCs w:val="28"/>
        </w:rPr>
        <w:t xml:space="preserve">material </w:t>
      </w:r>
      <w:r>
        <w:rPr>
          <w:rFonts w:ascii="Times New Roman" w:hAnsi="Times New Roman" w:cs="Times New Roman"/>
          <w:color w:val="000000" w:themeColor="text1"/>
          <w:sz w:val="28"/>
          <w:szCs w:val="28"/>
        </w:rPr>
        <w:t>change in circumstances.</w:t>
      </w:r>
      <w:r w:rsidR="008B5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F42936">
        <w:rPr>
          <w:rFonts w:ascii="Times New Roman" w:hAnsi="Times New Roman" w:cs="Times New Roman"/>
          <w:color w:val="000000" w:themeColor="text1"/>
          <w:sz w:val="28"/>
          <w:szCs w:val="28"/>
        </w:rPr>
        <w:t xml:space="preserve">I am also satisfied that when Ms. Hewitt filed the application </w:t>
      </w:r>
      <w:r w:rsidR="00354071">
        <w:rPr>
          <w:rFonts w:ascii="Times New Roman" w:hAnsi="Times New Roman" w:cs="Times New Roman"/>
          <w:color w:val="000000" w:themeColor="text1"/>
          <w:sz w:val="28"/>
          <w:szCs w:val="28"/>
        </w:rPr>
        <w:t>in Ontario in January of 2016</w:t>
      </w:r>
      <w:r w:rsidR="007B0693">
        <w:rPr>
          <w:rFonts w:ascii="Times New Roman" w:hAnsi="Times New Roman" w:cs="Times New Roman"/>
          <w:color w:val="000000" w:themeColor="text1"/>
          <w:sz w:val="28"/>
          <w:szCs w:val="28"/>
        </w:rPr>
        <w:t>,</w:t>
      </w:r>
      <w:r w:rsidR="00354071">
        <w:rPr>
          <w:rFonts w:ascii="Times New Roman" w:hAnsi="Times New Roman" w:cs="Times New Roman"/>
          <w:color w:val="000000" w:themeColor="text1"/>
          <w:sz w:val="28"/>
          <w:szCs w:val="28"/>
        </w:rPr>
        <w:t xml:space="preserve"> </w:t>
      </w:r>
      <w:r w:rsidR="00F42936">
        <w:rPr>
          <w:rFonts w:ascii="Times New Roman" w:hAnsi="Times New Roman" w:cs="Times New Roman"/>
          <w:color w:val="000000" w:themeColor="text1"/>
          <w:sz w:val="28"/>
          <w:szCs w:val="28"/>
        </w:rPr>
        <w:t xml:space="preserve">L. was a “child” within the meaning assigned to that term under the </w:t>
      </w:r>
      <w:r w:rsidR="00F42936">
        <w:rPr>
          <w:rFonts w:ascii="Times New Roman" w:hAnsi="Times New Roman" w:cs="Times New Roman"/>
          <w:i/>
          <w:color w:val="000000" w:themeColor="text1"/>
          <w:sz w:val="28"/>
          <w:szCs w:val="28"/>
        </w:rPr>
        <w:t xml:space="preserve">Children’s Law Act, </w:t>
      </w:r>
      <w:r w:rsidR="00F42936">
        <w:rPr>
          <w:rFonts w:ascii="Times New Roman" w:hAnsi="Times New Roman" w:cs="Times New Roman"/>
          <w:color w:val="000000" w:themeColor="text1"/>
          <w:sz w:val="28"/>
          <w:szCs w:val="28"/>
        </w:rPr>
        <w:t>as well as under the parties’ agreement.</w:t>
      </w:r>
      <w:r w:rsidR="00354071" w:rsidRPr="00354071">
        <w:rPr>
          <w:rStyle w:val="FootnoteReference"/>
          <w:rFonts w:ascii="Times New Roman" w:hAnsi="Times New Roman" w:cs="Times New Roman"/>
          <w:color w:val="000000" w:themeColor="text1"/>
          <w:sz w:val="28"/>
          <w:szCs w:val="28"/>
        </w:rPr>
        <w:t xml:space="preserve"> </w:t>
      </w:r>
      <w:r w:rsidR="00354071">
        <w:rPr>
          <w:rStyle w:val="FootnoteReference"/>
          <w:rFonts w:ascii="Times New Roman" w:hAnsi="Times New Roman" w:cs="Times New Roman"/>
          <w:color w:val="000000" w:themeColor="text1"/>
          <w:sz w:val="28"/>
          <w:szCs w:val="28"/>
        </w:rPr>
        <w:footnoteReference w:id="1"/>
      </w:r>
      <w:r w:rsidR="00F42936">
        <w:rPr>
          <w:rFonts w:ascii="Times New Roman" w:hAnsi="Times New Roman" w:cs="Times New Roman"/>
          <w:color w:val="000000" w:themeColor="text1"/>
          <w:sz w:val="28"/>
          <w:szCs w:val="28"/>
        </w:rPr>
        <w:t xml:space="preserve"> </w:t>
      </w:r>
    </w:p>
    <w:p w:rsidR="007C69D1" w:rsidRPr="00B3503C" w:rsidRDefault="000547EF" w:rsidP="007C69D1">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principles applicable to a request for retroactive variation were articulated in </w:t>
      </w:r>
      <w:r w:rsidRPr="000547EF">
        <w:rPr>
          <w:rFonts w:ascii="Times New Roman" w:hAnsi="Times New Roman" w:cs="Times New Roman"/>
          <w:i/>
          <w:color w:val="000000"/>
          <w:sz w:val="28"/>
          <w:szCs w:val="28"/>
        </w:rPr>
        <w:t>DBS </w:t>
      </w:r>
      <w:r w:rsidRPr="000547EF">
        <w:rPr>
          <w:rFonts w:ascii="Times New Roman" w:hAnsi="Times New Roman" w:cs="Times New Roman"/>
          <w:i/>
          <w:iCs/>
          <w:color w:val="000000"/>
          <w:sz w:val="28"/>
          <w:szCs w:val="28"/>
        </w:rPr>
        <w:t>v</w:t>
      </w:r>
      <w:r w:rsidRPr="000547EF">
        <w:rPr>
          <w:rFonts w:ascii="Times New Roman" w:hAnsi="Times New Roman" w:cs="Times New Roman"/>
          <w:i/>
          <w:color w:val="000000"/>
          <w:sz w:val="28"/>
          <w:szCs w:val="28"/>
        </w:rPr>
        <w:t> SRG; LJW </w:t>
      </w:r>
      <w:r w:rsidRPr="000547EF">
        <w:rPr>
          <w:rFonts w:ascii="Times New Roman" w:hAnsi="Times New Roman" w:cs="Times New Roman"/>
          <w:i/>
          <w:iCs/>
          <w:color w:val="000000"/>
          <w:sz w:val="28"/>
          <w:szCs w:val="28"/>
        </w:rPr>
        <w:t>v</w:t>
      </w:r>
      <w:r w:rsidRPr="000547EF">
        <w:rPr>
          <w:rFonts w:ascii="Times New Roman" w:hAnsi="Times New Roman" w:cs="Times New Roman"/>
          <w:i/>
          <w:color w:val="000000"/>
          <w:sz w:val="28"/>
          <w:szCs w:val="28"/>
        </w:rPr>
        <w:t> TAR; Henry </w:t>
      </w:r>
      <w:r w:rsidRPr="000547EF">
        <w:rPr>
          <w:rFonts w:ascii="Times New Roman" w:hAnsi="Times New Roman" w:cs="Times New Roman"/>
          <w:i/>
          <w:iCs/>
          <w:color w:val="000000"/>
          <w:sz w:val="28"/>
          <w:szCs w:val="28"/>
        </w:rPr>
        <w:t xml:space="preserve">v </w:t>
      </w:r>
      <w:r w:rsidRPr="000547EF">
        <w:rPr>
          <w:rFonts w:ascii="Times New Roman" w:hAnsi="Times New Roman" w:cs="Times New Roman"/>
          <w:i/>
          <w:color w:val="000000"/>
          <w:sz w:val="28"/>
          <w:szCs w:val="28"/>
        </w:rPr>
        <w:t>Henry; Hiemstra </w:t>
      </w:r>
      <w:r w:rsidRPr="000547EF">
        <w:rPr>
          <w:rFonts w:ascii="Times New Roman" w:hAnsi="Times New Roman" w:cs="Times New Roman"/>
          <w:i/>
          <w:iCs/>
          <w:color w:val="000000"/>
          <w:sz w:val="28"/>
          <w:szCs w:val="28"/>
        </w:rPr>
        <w:t>v</w:t>
      </w:r>
      <w:r w:rsidRPr="000547EF">
        <w:rPr>
          <w:rFonts w:ascii="Times New Roman" w:hAnsi="Times New Roman" w:cs="Times New Roman"/>
          <w:i/>
          <w:color w:val="000000"/>
          <w:sz w:val="28"/>
          <w:szCs w:val="28"/>
        </w:rPr>
        <w:t> Hiemstra</w:t>
      </w:r>
      <w:r w:rsidRPr="000547EF">
        <w:rPr>
          <w:rFonts w:ascii="Times New Roman" w:hAnsi="Times New Roman" w:cs="Times New Roman"/>
          <w:color w:val="000000"/>
          <w:sz w:val="28"/>
          <w:szCs w:val="28"/>
        </w:rPr>
        <w:t>, [2006] 2 SCR 231, 2006 SCC 37</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DBS”). </w:t>
      </w:r>
      <w:r w:rsidR="007C69D1">
        <w:rPr>
          <w:rFonts w:ascii="Times New Roman" w:hAnsi="Times New Roman" w:cs="Times New Roman"/>
          <w:color w:val="000000"/>
          <w:sz w:val="28"/>
          <w:szCs w:val="28"/>
        </w:rPr>
        <w:t xml:space="preserve"> In considering whether support should be varied retroactively, the Court must consider (1) the reason for the delay in bringing the application; (2) the conduct of the paying parent; (3) the child’s circumstances; and (4) the hardship that may be occasioned by a retroactive award.</w:t>
      </w:r>
      <w:r w:rsidR="008B5E1B">
        <w:rPr>
          <w:rFonts w:ascii="Times New Roman" w:hAnsi="Times New Roman" w:cs="Times New Roman"/>
          <w:color w:val="000000"/>
          <w:sz w:val="28"/>
          <w:szCs w:val="28"/>
        </w:rPr>
        <w:t xml:space="preserve"> </w:t>
      </w:r>
      <w:r w:rsidR="00F833AD">
        <w:rPr>
          <w:rFonts w:ascii="Times New Roman" w:hAnsi="Times New Roman" w:cs="Times New Roman"/>
          <w:color w:val="000000"/>
          <w:sz w:val="28"/>
          <w:szCs w:val="28"/>
        </w:rPr>
        <w:t xml:space="preserve"> If it appears retroactive variation is warranted, the Court must then consider how far back the variation should go having regard to when the respondent received effective notice.</w:t>
      </w:r>
    </w:p>
    <w:p w:rsidR="00B3503C" w:rsidRPr="006821D5" w:rsidRDefault="00B3503C" w:rsidP="00B3503C">
      <w:pPr>
        <w:pStyle w:val="ListParagraph"/>
        <w:spacing w:after="240" w:line="240" w:lineRule="auto"/>
        <w:ind w:left="0"/>
        <w:contextualSpacing w:val="0"/>
        <w:jc w:val="both"/>
        <w:rPr>
          <w:rFonts w:ascii="Times New Roman" w:hAnsi="Times New Roman" w:cs="Times New Roman"/>
          <w:color w:val="000000" w:themeColor="text1"/>
          <w:sz w:val="28"/>
          <w:szCs w:val="28"/>
          <w:u w:val="single"/>
        </w:rPr>
      </w:pPr>
      <w:r w:rsidRPr="006821D5">
        <w:rPr>
          <w:rFonts w:ascii="Times New Roman" w:hAnsi="Times New Roman" w:cs="Times New Roman"/>
          <w:color w:val="000000"/>
          <w:sz w:val="28"/>
          <w:szCs w:val="28"/>
          <w:u w:val="single"/>
        </w:rPr>
        <w:t>The Reason for the Delay</w:t>
      </w:r>
    </w:p>
    <w:p w:rsidR="0078457A" w:rsidRPr="0078457A" w:rsidRDefault="00354071" w:rsidP="0078457A">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stated, </w:t>
      </w:r>
      <w:r w:rsidR="000815F1">
        <w:rPr>
          <w:rFonts w:ascii="Times New Roman" w:hAnsi="Times New Roman" w:cs="Times New Roman"/>
          <w:color w:val="000000" w:themeColor="text1"/>
          <w:sz w:val="28"/>
          <w:szCs w:val="28"/>
        </w:rPr>
        <w:t xml:space="preserve">Ms. Hewitt </w:t>
      </w:r>
      <w:r>
        <w:rPr>
          <w:rFonts w:ascii="Times New Roman" w:hAnsi="Times New Roman" w:cs="Times New Roman"/>
          <w:color w:val="000000" w:themeColor="text1"/>
          <w:sz w:val="28"/>
          <w:szCs w:val="28"/>
        </w:rPr>
        <w:t xml:space="preserve">submitted her </w:t>
      </w:r>
      <w:r w:rsidR="000815F1">
        <w:rPr>
          <w:rFonts w:ascii="Times New Roman" w:hAnsi="Times New Roman" w:cs="Times New Roman"/>
          <w:color w:val="000000" w:themeColor="text1"/>
          <w:sz w:val="28"/>
          <w:szCs w:val="28"/>
        </w:rPr>
        <w:t xml:space="preserve">application on January </w:t>
      </w:r>
      <w:r>
        <w:rPr>
          <w:rFonts w:ascii="Times New Roman" w:hAnsi="Times New Roman" w:cs="Times New Roman"/>
          <w:color w:val="000000" w:themeColor="text1"/>
          <w:sz w:val="28"/>
          <w:szCs w:val="28"/>
        </w:rPr>
        <w:t>of</w:t>
      </w:r>
      <w:r w:rsidR="000815F1">
        <w:rPr>
          <w:rFonts w:ascii="Times New Roman" w:hAnsi="Times New Roman" w:cs="Times New Roman"/>
          <w:color w:val="000000" w:themeColor="text1"/>
          <w:sz w:val="28"/>
          <w:szCs w:val="28"/>
        </w:rPr>
        <w:t xml:space="preserve"> 2016,</w:t>
      </w:r>
      <w:r>
        <w:rPr>
          <w:rFonts w:ascii="Times New Roman" w:hAnsi="Times New Roman" w:cs="Times New Roman"/>
          <w:color w:val="000000" w:themeColor="text1"/>
          <w:sz w:val="28"/>
          <w:szCs w:val="28"/>
        </w:rPr>
        <w:t xml:space="preserve"> five months before L. was to </w:t>
      </w:r>
      <w:r w:rsidR="000815F1">
        <w:rPr>
          <w:rFonts w:ascii="Times New Roman" w:hAnsi="Times New Roman" w:cs="Times New Roman"/>
          <w:color w:val="000000" w:themeColor="text1"/>
          <w:sz w:val="28"/>
          <w:szCs w:val="28"/>
        </w:rPr>
        <w:t xml:space="preserve">turn 18.  </w:t>
      </w:r>
      <w:r>
        <w:rPr>
          <w:rFonts w:ascii="Times New Roman" w:hAnsi="Times New Roman" w:cs="Times New Roman"/>
          <w:color w:val="000000" w:themeColor="text1"/>
          <w:sz w:val="28"/>
          <w:szCs w:val="28"/>
        </w:rPr>
        <w:t xml:space="preserve">Her explanation for the delay is that </w:t>
      </w:r>
      <w:r w:rsidR="00F833AD">
        <w:rPr>
          <w:rFonts w:ascii="Times New Roman" w:hAnsi="Times New Roman" w:cs="Times New Roman"/>
          <w:color w:val="000000" w:themeColor="text1"/>
          <w:sz w:val="28"/>
          <w:szCs w:val="28"/>
        </w:rPr>
        <w:t>she did</w:t>
      </w:r>
      <w:r w:rsidR="000815F1">
        <w:rPr>
          <w:rFonts w:ascii="Times New Roman" w:hAnsi="Times New Roman" w:cs="Times New Roman"/>
          <w:color w:val="000000" w:themeColor="text1"/>
          <w:sz w:val="28"/>
          <w:szCs w:val="28"/>
        </w:rPr>
        <w:t xml:space="preserve"> not know the extent to which Mr. </w:t>
      </w:r>
      <w:r w:rsidR="00B3503C">
        <w:rPr>
          <w:rFonts w:ascii="Times New Roman" w:hAnsi="Times New Roman" w:cs="Times New Roman"/>
          <w:color w:val="000000" w:themeColor="text1"/>
          <w:sz w:val="28"/>
          <w:szCs w:val="28"/>
        </w:rPr>
        <w:t>Yatkowsky’s financial circumstances had changed in the years following the separation</w:t>
      </w:r>
      <w:r w:rsidR="00710028">
        <w:rPr>
          <w:rFonts w:ascii="Times New Roman" w:hAnsi="Times New Roman" w:cs="Times New Roman"/>
          <w:color w:val="000000" w:themeColor="text1"/>
          <w:sz w:val="28"/>
          <w:szCs w:val="28"/>
        </w:rPr>
        <w:t xml:space="preserve"> because he did not provide financial disclosure to her</w:t>
      </w:r>
      <w:r>
        <w:rPr>
          <w:rFonts w:ascii="Times New Roman" w:hAnsi="Times New Roman" w:cs="Times New Roman"/>
          <w:color w:val="000000" w:themeColor="text1"/>
          <w:sz w:val="28"/>
          <w:szCs w:val="28"/>
        </w:rPr>
        <w:t>.</w:t>
      </w:r>
      <w:r w:rsidR="00FF74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In other circumstances this explanation might be compelling.</w:t>
      </w:r>
      <w:r w:rsidR="00FF74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In </w:t>
      </w:r>
      <w:r>
        <w:rPr>
          <w:rFonts w:ascii="Times New Roman" w:hAnsi="Times New Roman" w:cs="Times New Roman"/>
          <w:color w:val="000000" w:themeColor="text1"/>
          <w:sz w:val="28"/>
          <w:szCs w:val="28"/>
        </w:rPr>
        <w:lastRenderedPageBreak/>
        <w:t>this case</w:t>
      </w:r>
      <w:r w:rsidR="0078457A">
        <w:rPr>
          <w:rFonts w:ascii="Times New Roman" w:hAnsi="Times New Roman" w:cs="Times New Roman"/>
          <w:color w:val="000000" w:themeColor="text1"/>
          <w:sz w:val="28"/>
          <w:szCs w:val="28"/>
        </w:rPr>
        <w:t xml:space="preserve">, the reasonableness of the delay is diminished by the fact that it was </w:t>
      </w:r>
      <w:r w:rsidR="00B3503C">
        <w:rPr>
          <w:rFonts w:ascii="Times New Roman" w:hAnsi="Times New Roman" w:cs="Times New Roman"/>
          <w:color w:val="000000" w:themeColor="text1"/>
          <w:sz w:val="28"/>
          <w:szCs w:val="28"/>
        </w:rPr>
        <w:t>open to Ms. Hewi</w:t>
      </w:r>
      <w:r w:rsidR="000815F1">
        <w:rPr>
          <w:rFonts w:ascii="Times New Roman" w:hAnsi="Times New Roman" w:cs="Times New Roman"/>
          <w:color w:val="000000" w:themeColor="text1"/>
          <w:sz w:val="28"/>
          <w:szCs w:val="28"/>
        </w:rPr>
        <w:t xml:space="preserve">tt to request that information </w:t>
      </w:r>
      <w:r w:rsidR="0078457A">
        <w:rPr>
          <w:rFonts w:ascii="Times New Roman" w:hAnsi="Times New Roman" w:cs="Times New Roman"/>
          <w:color w:val="000000" w:themeColor="text1"/>
          <w:sz w:val="28"/>
          <w:szCs w:val="28"/>
        </w:rPr>
        <w:t>and/</w:t>
      </w:r>
      <w:r w:rsidR="000815F1">
        <w:rPr>
          <w:rFonts w:ascii="Times New Roman" w:hAnsi="Times New Roman" w:cs="Times New Roman"/>
          <w:color w:val="000000" w:themeColor="text1"/>
          <w:sz w:val="28"/>
          <w:szCs w:val="28"/>
        </w:rPr>
        <w:t xml:space="preserve">or move forward with the application long before 2016.  </w:t>
      </w:r>
    </w:p>
    <w:p w:rsidR="007E1580" w:rsidRPr="006821D5" w:rsidRDefault="007E1580" w:rsidP="007E1580">
      <w:pPr>
        <w:pStyle w:val="ListParagraph"/>
        <w:spacing w:after="240" w:line="240" w:lineRule="auto"/>
        <w:ind w:left="0"/>
        <w:contextualSpacing w:val="0"/>
        <w:jc w:val="both"/>
        <w:rPr>
          <w:rFonts w:ascii="Times New Roman" w:hAnsi="Times New Roman" w:cs="Times New Roman"/>
          <w:color w:val="000000" w:themeColor="text1"/>
          <w:sz w:val="28"/>
          <w:szCs w:val="28"/>
          <w:u w:val="single"/>
        </w:rPr>
      </w:pPr>
      <w:r w:rsidRPr="006821D5">
        <w:rPr>
          <w:rFonts w:ascii="Times New Roman" w:hAnsi="Times New Roman" w:cs="Times New Roman"/>
          <w:color w:val="000000" w:themeColor="text1"/>
          <w:sz w:val="28"/>
          <w:szCs w:val="28"/>
          <w:u w:val="single"/>
        </w:rPr>
        <w:t>Blameworthy Conduct</w:t>
      </w:r>
    </w:p>
    <w:p w:rsidR="006821D5" w:rsidRDefault="0078457A" w:rsidP="00180C31">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78457A">
        <w:rPr>
          <w:rFonts w:ascii="Times New Roman" w:hAnsi="Times New Roman" w:cs="Times New Roman"/>
          <w:color w:val="000000" w:themeColor="text1"/>
          <w:sz w:val="28"/>
          <w:szCs w:val="28"/>
        </w:rPr>
        <w:t xml:space="preserve">The effect of Ms. Hewitt’s delay is tempered somewhat by what may be fairly considered blameworthy conduct </w:t>
      </w:r>
      <w:r w:rsidR="007B0693">
        <w:rPr>
          <w:rFonts w:ascii="Times New Roman" w:hAnsi="Times New Roman" w:cs="Times New Roman"/>
          <w:color w:val="000000" w:themeColor="text1"/>
          <w:sz w:val="28"/>
          <w:szCs w:val="28"/>
        </w:rPr>
        <w:t>by</w:t>
      </w:r>
      <w:r w:rsidRPr="0078457A">
        <w:rPr>
          <w:rFonts w:ascii="Times New Roman" w:hAnsi="Times New Roman" w:cs="Times New Roman"/>
          <w:color w:val="000000" w:themeColor="text1"/>
          <w:sz w:val="28"/>
          <w:szCs w:val="28"/>
        </w:rPr>
        <w:t xml:space="preserve"> Mr. Yatkowksy.</w:t>
      </w:r>
      <w:r w:rsidR="004B7333">
        <w:rPr>
          <w:rFonts w:ascii="Times New Roman" w:hAnsi="Times New Roman" w:cs="Times New Roman"/>
          <w:color w:val="000000" w:themeColor="text1"/>
          <w:sz w:val="28"/>
          <w:szCs w:val="28"/>
        </w:rPr>
        <w:t xml:space="preserve"> </w:t>
      </w:r>
      <w:r w:rsidRPr="0078457A">
        <w:rPr>
          <w:rFonts w:ascii="Times New Roman" w:hAnsi="Times New Roman" w:cs="Times New Roman"/>
          <w:color w:val="000000" w:themeColor="text1"/>
          <w:sz w:val="28"/>
          <w:szCs w:val="28"/>
        </w:rPr>
        <w:t xml:space="preserve"> </w:t>
      </w:r>
      <w:r w:rsidR="00E31D02" w:rsidRPr="0078457A">
        <w:rPr>
          <w:rFonts w:ascii="Times New Roman" w:hAnsi="Times New Roman" w:cs="Times New Roman"/>
          <w:color w:val="000000" w:themeColor="text1"/>
          <w:sz w:val="28"/>
          <w:szCs w:val="28"/>
        </w:rPr>
        <w:t>Mr. Yatkowksy</w:t>
      </w:r>
      <w:r w:rsidR="007E1580" w:rsidRPr="0078457A">
        <w:rPr>
          <w:rFonts w:ascii="Times New Roman" w:hAnsi="Times New Roman" w:cs="Times New Roman"/>
          <w:color w:val="000000" w:themeColor="text1"/>
          <w:sz w:val="28"/>
          <w:szCs w:val="28"/>
        </w:rPr>
        <w:t xml:space="preserve"> </w:t>
      </w:r>
      <w:r w:rsidR="00B3503C" w:rsidRPr="0078457A">
        <w:rPr>
          <w:rFonts w:ascii="Times New Roman" w:hAnsi="Times New Roman" w:cs="Times New Roman"/>
          <w:color w:val="000000" w:themeColor="text1"/>
          <w:sz w:val="28"/>
          <w:szCs w:val="28"/>
        </w:rPr>
        <w:t xml:space="preserve">could have complied </w:t>
      </w:r>
      <w:r w:rsidR="00E31D02" w:rsidRPr="0078457A">
        <w:rPr>
          <w:rFonts w:ascii="Times New Roman" w:hAnsi="Times New Roman" w:cs="Times New Roman"/>
          <w:color w:val="000000" w:themeColor="text1"/>
          <w:sz w:val="28"/>
          <w:szCs w:val="28"/>
        </w:rPr>
        <w:t xml:space="preserve">easily </w:t>
      </w:r>
      <w:r w:rsidR="00B3503C" w:rsidRPr="0078457A">
        <w:rPr>
          <w:rFonts w:ascii="Times New Roman" w:hAnsi="Times New Roman" w:cs="Times New Roman"/>
          <w:color w:val="000000" w:themeColor="text1"/>
          <w:sz w:val="28"/>
          <w:szCs w:val="28"/>
        </w:rPr>
        <w:t xml:space="preserve">with the requirement </w:t>
      </w:r>
      <w:r w:rsidR="007B0693">
        <w:rPr>
          <w:rFonts w:ascii="Times New Roman" w:hAnsi="Times New Roman" w:cs="Times New Roman"/>
          <w:color w:val="000000" w:themeColor="text1"/>
          <w:sz w:val="28"/>
          <w:szCs w:val="28"/>
        </w:rPr>
        <w:t xml:space="preserve">in the agreement </w:t>
      </w:r>
      <w:r w:rsidR="00B3503C" w:rsidRPr="0078457A">
        <w:rPr>
          <w:rFonts w:ascii="Times New Roman" w:hAnsi="Times New Roman" w:cs="Times New Roman"/>
          <w:color w:val="000000" w:themeColor="text1"/>
          <w:sz w:val="28"/>
          <w:szCs w:val="28"/>
        </w:rPr>
        <w:t>that he provide his financial information to Ms. Hewitt</w:t>
      </w:r>
      <w:r w:rsidR="007E1580" w:rsidRPr="0078457A">
        <w:rPr>
          <w:rFonts w:ascii="Times New Roman" w:hAnsi="Times New Roman" w:cs="Times New Roman"/>
          <w:color w:val="000000" w:themeColor="text1"/>
          <w:sz w:val="28"/>
          <w:szCs w:val="28"/>
        </w:rPr>
        <w:t>.</w:t>
      </w:r>
      <w:r w:rsidR="008B5E1B" w:rsidRPr="0078457A">
        <w:rPr>
          <w:rFonts w:ascii="Times New Roman" w:hAnsi="Times New Roman" w:cs="Times New Roman"/>
          <w:color w:val="000000" w:themeColor="text1"/>
          <w:sz w:val="28"/>
          <w:szCs w:val="28"/>
        </w:rPr>
        <w:t xml:space="preserve"> </w:t>
      </w:r>
      <w:r w:rsidR="007E1580" w:rsidRPr="007845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w:t>
      </w:r>
      <w:r w:rsidR="007E1580" w:rsidRPr="0078457A">
        <w:rPr>
          <w:rFonts w:ascii="Times New Roman" w:hAnsi="Times New Roman" w:cs="Times New Roman"/>
          <w:color w:val="000000" w:themeColor="text1"/>
          <w:sz w:val="28"/>
          <w:szCs w:val="28"/>
        </w:rPr>
        <w:t>is obligation to provide that information was not dependent on a request being made</w:t>
      </w:r>
      <w:r w:rsidR="00E31D02" w:rsidRPr="0078457A">
        <w:rPr>
          <w:rFonts w:ascii="Times New Roman" w:hAnsi="Times New Roman" w:cs="Times New Roman"/>
          <w:color w:val="000000" w:themeColor="text1"/>
          <w:sz w:val="28"/>
          <w:szCs w:val="28"/>
        </w:rPr>
        <w:t xml:space="preserve"> by her, nor was he relieved of his obligation by reason of Ms. Hewitt not fulfilling her own obligation to share financial information</w:t>
      </w:r>
      <w:r w:rsidR="007E1580" w:rsidRPr="0078457A">
        <w:rPr>
          <w:rFonts w:ascii="Times New Roman" w:hAnsi="Times New Roman" w:cs="Times New Roman"/>
          <w:color w:val="000000" w:themeColor="text1"/>
          <w:sz w:val="28"/>
          <w:szCs w:val="28"/>
        </w:rPr>
        <w:t>.</w:t>
      </w:r>
      <w:r w:rsidR="00FF7480">
        <w:rPr>
          <w:rFonts w:ascii="Times New Roman" w:hAnsi="Times New Roman" w:cs="Times New Roman"/>
          <w:color w:val="000000" w:themeColor="text1"/>
          <w:sz w:val="28"/>
          <w:szCs w:val="28"/>
        </w:rPr>
        <w:t xml:space="preserve"> </w:t>
      </w:r>
      <w:r w:rsidR="007E1580" w:rsidRPr="007845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He was to share his information so the parties could </w:t>
      </w:r>
      <w:r w:rsidR="00B928A8">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adjust child support and </w:t>
      </w:r>
      <w:r w:rsidR="00B928A8">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 xml:space="preserve">determine the </w:t>
      </w:r>
      <w:r w:rsidR="00B928A8">
        <w:rPr>
          <w:rFonts w:ascii="Times New Roman" w:hAnsi="Times New Roman" w:cs="Times New Roman"/>
          <w:color w:val="000000" w:themeColor="text1"/>
          <w:sz w:val="28"/>
          <w:szCs w:val="28"/>
        </w:rPr>
        <w:t>amount</w:t>
      </w:r>
      <w:r>
        <w:rPr>
          <w:rFonts w:ascii="Times New Roman" w:hAnsi="Times New Roman" w:cs="Times New Roman"/>
          <w:color w:val="000000" w:themeColor="text1"/>
          <w:sz w:val="28"/>
          <w:szCs w:val="28"/>
        </w:rPr>
        <w:t xml:space="preserve"> each would </w:t>
      </w:r>
      <w:r w:rsidR="00B928A8">
        <w:rPr>
          <w:rFonts w:ascii="Times New Roman" w:hAnsi="Times New Roman" w:cs="Times New Roman"/>
          <w:color w:val="000000" w:themeColor="text1"/>
          <w:sz w:val="28"/>
          <w:szCs w:val="28"/>
        </w:rPr>
        <w:t>pay for</w:t>
      </w:r>
      <w:r>
        <w:rPr>
          <w:rFonts w:ascii="Times New Roman" w:hAnsi="Times New Roman" w:cs="Times New Roman"/>
          <w:color w:val="000000" w:themeColor="text1"/>
          <w:sz w:val="28"/>
          <w:szCs w:val="28"/>
        </w:rPr>
        <w:t xml:space="preserve"> extraordinary expenses</w:t>
      </w:r>
      <w:r w:rsidR="00B928A8">
        <w:rPr>
          <w:rFonts w:ascii="Times New Roman" w:hAnsi="Times New Roman" w:cs="Times New Roman"/>
          <w:color w:val="000000" w:themeColor="text1"/>
          <w:sz w:val="28"/>
          <w:szCs w:val="28"/>
        </w:rPr>
        <w:t>, if any</w:t>
      </w:r>
      <w:r>
        <w:rPr>
          <w:rFonts w:ascii="Times New Roman" w:hAnsi="Times New Roman" w:cs="Times New Roman"/>
          <w:color w:val="000000" w:themeColor="text1"/>
          <w:sz w:val="28"/>
          <w:szCs w:val="28"/>
        </w:rPr>
        <w:t>.  Ms. Hewitt was to share her information only for reas</w:t>
      </w:r>
      <w:r w:rsidR="00B928A8">
        <w:rPr>
          <w:rFonts w:ascii="Times New Roman" w:hAnsi="Times New Roman" w:cs="Times New Roman"/>
          <w:color w:val="000000" w:themeColor="text1"/>
          <w:sz w:val="28"/>
          <w:szCs w:val="28"/>
        </w:rPr>
        <w:t>ons of extraordinary expenses.</w:t>
      </w:r>
      <w:r w:rsidR="00FF7480">
        <w:rPr>
          <w:rFonts w:ascii="Times New Roman" w:hAnsi="Times New Roman" w:cs="Times New Roman"/>
          <w:color w:val="000000" w:themeColor="text1"/>
          <w:sz w:val="28"/>
          <w:szCs w:val="28"/>
        </w:rPr>
        <w:t xml:space="preserve"> </w:t>
      </w:r>
      <w:r w:rsidR="00B9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Had Mr. Yatkowsky </w:t>
      </w:r>
      <w:r w:rsidR="007E1580" w:rsidRPr="0078457A">
        <w:rPr>
          <w:rFonts w:ascii="Times New Roman" w:hAnsi="Times New Roman" w:cs="Times New Roman"/>
          <w:color w:val="000000" w:themeColor="text1"/>
          <w:sz w:val="28"/>
          <w:szCs w:val="28"/>
        </w:rPr>
        <w:t xml:space="preserve">complied with his obligation, the amount </w:t>
      </w:r>
      <w:r w:rsidR="00E31D02" w:rsidRPr="0078457A">
        <w:rPr>
          <w:rFonts w:ascii="Times New Roman" w:hAnsi="Times New Roman" w:cs="Times New Roman"/>
          <w:color w:val="000000" w:themeColor="text1"/>
          <w:sz w:val="28"/>
          <w:szCs w:val="28"/>
        </w:rPr>
        <w:t xml:space="preserve">of child support </w:t>
      </w:r>
      <w:r w:rsidR="007E1580" w:rsidRPr="0078457A">
        <w:rPr>
          <w:rFonts w:ascii="Times New Roman" w:hAnsi="Times New Roman" w:cs="Times New Roman"/>
          <w:color w:val="000000" w:themeColor="text1"/>
          <w:sz w:val="28"/>
          <w:szCs w:val="28"/>
        </w:rPr>
        <w:t>could have been adjusted at the appropriate time</w:t>
      </w:r>
      <w:r>
        <w:rPr>
          <w:rFonts w:ascii="Times New Roman" w:hAnsi="Times New Roman" w:cs="Times New Roman"/>
          <w:color w:val="000000" w:themeColor="text1"/>
          <w:sz w:val="28"/>
          <w:szCs w:val="28"/>
        </w:rPr>
        <w:t>,</w:t>
      </w:r>
      <w:r w:rsidR="007E1580" w:rsidRPr="0078457A">
        <w:rPr>
          <w:rFonts w:ascii="Times New Roman" w:hAnsi="Times New Roman" w:cs="Times New Roman"/>
          <w:color w:val="000000" w:themeColor="text1"/>
          <w:sz w:val="28"/>
          <w:szCs w:val="28"/>
        </w:rPr>
        <w:t xml:space="preserve"> L. would have had the benefit of support at the level to which he was entitled by la</w:t>
      </w:r>
      <w:r>
        <w:rPr>
          <w:rFonts w:ascii="Times New Roman" w:hAnsi="Times New Roman" w:cs="Times New Roman"/>
          <w:color w:val="000000" w:themeColor="text1"/>
          <w:sz w:val="28"/>
          <w:szCs w:val="28"/>
        </w:rPr>
        <w:t>w and an application for retroactive variation of support would have been unnecessary.</w:t>
      </w:r>
    </w:p>
    <w:p w:rsidR="0078457A" w:rsidRPr="0041412C" w:rsidRDefault="0078457A" w:rsidP="0041412C">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Mr. Yatkowsky has paid support regularly and that he increased the amount voluntarily at two points in time.</w:t>
      </w:r>
      <w:r w:rsidR="00FF74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E1499">
        <w:rPr>
          <w:rFonts w:ascii="Times New Roman" w:hAnsi="Times New Roman" w:cs="Times New Roman"/>
          <w:color w:val="000000" w:themeColor="text1"/>
          <w:sz w:val="28"/>
          <w:szCs w:val="28"/>
        </w:rPr>
        <w:t xml:space="preserve">That said, </w:t>
      </w:r>
      <w:r>
        <w:rPr>
          <w:rFonts w:ascii="Times New Roman" w:hAnsi="Times New Roman" w:cs="Times New Roman"/>
          <w:color w:val="000000" w:themeColor="text1"/>
          <w:sz w:val="28"/>
          <w:szCs w:val="28"/>
        </w:rPr>
        <w:t>the amounts by which he increased the support payments fell short of what he ought to have been paying</w:t>
      </w:r>
      <w:r w:rsidR="00AE1499">
        <w:rPr>
          <w:rFonts w:ascii="Times New Roman" w:hAnsi="Times New Roman" w:cs="Times New Roman"/>
          <w:color w:val="000000" w:themeColor="text1"/>
          <w:sz w:val="28"/>
          <w:szCs w:val="28"/>
        </w:rPr>
        <w:t xml:space="preserve"> and that</w:t>
      </w:r>
      <w:r>
        <w:rPr>
          <w:rFonts w:ascii="Times New Roman" w:hAnsi="Times New Roman" w:cs="Times New Roman"/>
          <w:color w:val="000000" w:themeColor="text1"/>
          <w:sz w:val="28"/>
          <w:szCs w:val="28"/>
        </w:rPr>
        <w:t xml:space="preserve"> shortfall became </w:t>
      </w:r>
      <w:r w:rsidR="004D43F3">
        <w:rPr>
          <w:rFonts w:ascii="Times New Roman" w:hAnsi="Times New Roman" w:cs="Times New Roman"/>
          <w:color w:val="000000" w:themeColor="text1"/>
          <w:sz w:val="28"/>
          <w:szCs w:val="28"/>
        </w:rPr>
        <w:t>more</w:t>
      </w:r>
      <w:r>
        <w:rPr>
          <w:rFonts w:ascii="Times New Roman" w:hAnsi="Times New Roman" w:cs="Times New Roman"/>
          <w:color w:val="000000" w:themeColor="text1"/>
          <w:sz w:val="28"/>
          <w:szCs w:val="28"/>
        </w:rPr>
        <w:t xml:space="preserve"> acute when his income underwent a dramatic increase in 201</w:t>
      </w:r>
      <w:r w:rsidR="00AE1499">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AE1499">
        <w:rPr>
          <w:rFonts w:ascii="Times New Roman" w:hAnsi="Times New Roman" w:cs="Times New Roman"/>
          <w:color w:val="000000" w:themeColor="text1"/>
          <w:sz w:val="28"/>
          <w:szCs w:val="28"/>
        </w:rPr>
        <w:t xml:space="preserve"> </w:t>
      </w:r>
      <w:r w:rsidR="004B7333">
        <w:rPr>
          <w:rFonts w:ascii="Times New Roman" w:hAnsi="Times New Roman" w:cs="Times New Roman"/>
          <w:color w:val="000000" w:themeColor="text1"/>
          <w:sz w:val="28"/>
          <w:szCs w:val="28"/>
        </w:rPr>
        <w:t xml:space="preserve"> </w:t>
      </w:r>
      <w:r w:rsidR="00AE1499">
        <w:rPr>
          <w:rFonts w:ascii="Times New Roman" w:hAnsi="Times New Roman" w:cs="Times New Roman"/>
          <w:color w:val="000000" w:themeColor="text1"/>
          <w:sz w:val="28"/>
          <w:szCs w:val="28"/>
        </w:rPr>
        <w:t xml:space="preserve">That he increased the amount of support he was paying is commendable, but it </w:t>
      </w:r>
      <w:r w:rsidR="00AE1499">
        <w:rPr>
          <w:rFonts w:ascii="Times New Roman" w:hAnsi="Times New Roman" w:cs="Times New Roman"/>
          <w:color w:val="000000" w:themeColor="text1"/>
          <w:sz w:val="28"/>
          <w:szCs w:val="28"/>
        </w:rPr>
        <w:lastRenderedPageBreak/>
        <w:t>also indicates that he recognize</w:t>
      </w:r>
      <w:r w:rsidR="004D43F3">
        <w:rPr>
          <w:rFonts w:ascii="Times New Roman" w:hAnsi="Times New Roman" w:cs="Times New Roman"/>
          <w:color w:val="000000" w:themeColor="text1"/>
          <w:sz w:val="28"/>
          <w:szCs w:val="28"/>
        </w:rPr>
        <w:t>d his obligation to pay support</w:t>
      </w:r>
      <w:r w:rsidR="00AE1499">
        <w:rPr>
          <w:rFonts w:ascii="Times New Roman" w:hAnsi="Times New Roman" w:cs="Times New Roman"/>
          <w:color w:val="000000" w:themeColor="text1"/>
          <w:sz w:val="28"/>
          <w:szCs w:val="28"/>
        </w:rPr>
        <w:t xml:space="preserve"> </w:t>
      </w:r>
      <w:r w:rsidR="004D43F3">
        <w:rPr>
          <w:rFonts w:ascii="Times New Roman" w:hAnsi="Times New Roman" w:cs="Times New Roman"/>
          <w:color w:val="000000" w:themeColor="text1"/>
          <w:sz w:val="28"/>
          <w:szCs w:val="28"/>
        </w:rPr>
        <w:t>in accordance</w:t>
      </w:r>
      <w:r w:rsidR="00AE1499">
        <w:rPr>
          <w:rFonts w:ascii="Times New Roman" w:hAnsi="Times New Roman" w:cs="Times New Roman"/>
          <w:color w:val="000000" w:themeColor="text1"/>
          <w:sz w:val="28"/>
          <w:szCs w:val="28"/>
        </w:rPr>
        <w:t xml:space="preserve"> his income</w:t>
      </w:r>
      <w:r w:rsidR="004D43F3">
        <w:rPr>
          <w:rFonts w:ascii="Times New Roman" w:hAnsi="Times New Roman" w:cs="Times New Roman"/>
          <w:color w:val="000000" w:themeColor="text1"/>
          <w:sz w:val="28"/>
          <w:szCs w:val="28"/>
        </w:rPr>
        <w:t xml:space="preserve"> and the corresponding </w:t>
      </w:r>
      <w:r w:rsidR="004D43F3">
        <w:rPr>
          <w:rFonts w:ascii="Times New Roman" w:hAnsi="Times New Roman" w:cs="Times New Roman"/>
          <w:i/>
          <w:color w:val="000000" w:themeColor="text1"/>
          <w:sz w:val="28"/>
          <w:szCs w:val="28"/>
        </w:rPr>
        <w:t xml:space="preserve">Guideline </w:t>
      </w:r>
      <w:r w:rsidR="004D43F3">
        <w:rPr>
          <w:rFonts w:ascii="Times New Roman" w:hAnsi="Times New Roman" w:cs="Times New Roman"/>
          <w:color w:val="000000" w:themeColor="text1"/>
          <w:sz w:val="28"/>
          <w:szCs w:val="28"/>
        </w:rPr>
        <w:t>amount</w:t>
      </w:r>
      <w:r w:rsidR="00AE1499">
        <w:rPr>
          <w:rFonts w:ascii="Times New Roman" w:hAnsi="Times New Roman" w:cs="Times New Roman"/>
          <w:color w:val="000000" w:themeColor="text1"/>
          <w:sz w:val="28"/>
          <w:szCs w:val="28"/>
        </w:rPr>
        <w:t>.  Indeed, that is contemplated in the agreement</w:t>
      </w:r>
      <w:r w:rsidR="004D43F3">
        <w:rPr>
          <w:rFonts w:ascii="Times New Roman" w:hAnsi="Times New Roman" w:cs="Times New Roman"/>
          <w:color w:val="000000" w:themeColor="text1"/>
          <w:sz w:val="28"/>
          <w:szCs w:val="28"/>
        </w:rPr>
        <w:t xml:space="preserve">.  In my view, Mr. Yatkowsky knew, or ought to have known, that the amount of support he was paying, particularly after 2013, was significantly less than what the </w:t>
      </w:r>
      <w:r w:rsidR="004D43F3">
        <w:rPr>
          <w:rFonts w:ascii="Times New Roman" w:hAnsi="Times New Roman" w:cs="Times New Roman"/>
          <w:i/>
          <w:color w:val="000000" w:themeColor="text1"/>
          <w:sz w:val="28"/>
          <w:szCs w:val="28"/>
        </w:rPr>
        <w:t xml:space="preserve">Guidelines </w:t>
      </w:r>
      <w:r w:rsidR="004D43F3">
        <w:rPr>
          <w:rFonts w:ascii="Times New Roman" w:hAnsi="Times New Roman" w:cs="Times New Roman"/>
          <w:color w:val="000000" w:themeColor="text1"/>
          <w:sz w:val="28"/>
          <w:szCs w:val="28"/>
        </w:rPr>
        <w:t>required.</w:t>
      </w:r>
    </w:p>
    <w:p w:rsidR="00E31D02" w:rsidRPr="006821D5" w:rsidRDefault="00E31D02" w:rsidP="00E31D02">
      <w:pPr>
        <w:pStyle w:val="ListParagraph"/>
        <w:spacing w:after="240" w:line="240" w:lineRule="auto"/>
        <w:ind w:left="0"/>
        <w:contextualSpacing w:val="0"/>
        <w:jc w:val="both"/>
        <w:rPr>
          <w:rFonts w:ascii="Times New Roman" w:hAnsi="Times New Roman" w:cs="Times New Roman"/>
          <w:color w:val="000000" w:themeColor="text1"/>
          <w:sz w:val="28"/>
          <w:szCs w:val="28"/>
          <w:u w:val="single"/>
        </w:rPr>
      </w:pPr>
      <w:r w:rsidRPr="006821D5">
        <w:rPr>
          <w:rFonts w:ascii="Times New Roman" w:hAnsi="Times New Roman" w:cs="Times New Roman"/>
          <w:color w:val="000000" w:themeColor="text1"/>
          <w:sz w:val="28"/>
          <w:szCs w:val="28"/>
          <w:u w:val="single"/>
        </w:rPr>
        <w:t>The Child’s Circumstances</w:t>
      </w:r>
    </w:p>
    <w:p w:rsidR="00B26159" w:rsidRDefault="00B26159" w:rsidP="00E20F4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 Yatkowsky argued that </w:t>
      </w:r>
      <w:r w:rsidR="0041412C">
        <w:rPr>
          <w:rFonts w:ascii="Times New Roman" w:hAnsi="Times New Roman" w:cs="Times New Roman"/>
          <w:color w:val="000000" w:themeColor="text1"/>
          <w:sz w:val="28"/>
          <w:szCs w:val="28"/>
        </w:rPr>
        <w:t xml:space="preserve">there is little evidence that </w:t>
      </w:r>
      <w:r>
        <w:rPr>
          <w:rFonts w:ascii="Times New Roman" w:hAnsi="Times New Roman" w:cs="Times New Roman"/>
          <w:color w:val="000000" w:themeColor="text1"/>
          <w:sz w:val="28"/>
          <w:szCs w:val="28"/>
        </w:rPr>
        <w:t>the shortf</w:t>
      </w:r>
      <w:r w:rsidR="0041412C">
        <w:rPr>
          <w:rFonts w:ascii="Times New Roman" w:hAnsi="Times New Roman" w:cs="Times New Roman"/>
          <w:color w:val="000000" w:themeColor="text1"/>
          <w:sz w:val="28"/>
          <w:szCs w:val="28"/>
        </w:rPr>
        <w:t xml:space="preserve">all in child support had an </w:t>
      </w:r>
      <w:r>
        <w:rPr>
          <w:rFonts w:ascii="Times New Roman" w:hAnsi="Times New Roman" w:cs="Times New Roman"/>
          <w:color w:val="000000" w:themeColor="text1"/>
          <w:sz w:val="28"/>
          <w:szCs w:val="28"/>
        </w:rPr>
        <w:t xml:space="preserve">effect on the child. </w:t>
      </w:r>
    </w:p>
    <w:p w:rsidR="00B26159" w:rsidRDefault="00B26159" w:rsidP="00B26159">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agree there is not much </w:t>
      </w:r>
      <w:r w:rsidR="0023004A">
        <w:rPr>
          <w:rFonts w:ascii="Times New Roman" w:hAnsi="Times New Roman" w:cs="Times New Roman"/>
          <w:color w:val="000000" w:themeColor="text1"/>
          <w:sz w:val="28"/>
          <w:szCs w:val="28"/>
        </w:rPr>
        <w:t>evidence about L.’s circumstances, both when the increased amount of support ought to have been paid and now</w:t>
      </w:r>
      <w:r w:rsidR="0041412C">
        <w:rPr>
          <w:rFonts w:ascii="Times New Roman" w:hAnsi="Times New Roman" w:cs="Times New Roman"/>
          <w:color w:val="000000" w:themeColor="text1"/>
          <w:sz w:val="28"/>
          <w:szCs w:val="28"/>
        </w:rPr>
        <w:t xml:space="preserve">, but there is </w:t>
      </w:r>
      <w:r w:rsidR="0041412C">
        <w:rPr>
          <w:rFonts w:ascii="Times New Roman" w:hAnsi="Times New Roman" w:cs="Times New Roman"/>
          <w:i/>
          <w:color w:val="000000" w:themeColor="text1"/>
          <w:sz w:val="28"/>
          <w:szCs w:val="28"/>
        </w:rPr>
        <w:t xml:space="preserve">some </w:t>
      </w:r>
      <w:r w:rsidR="0041412C">
        <w:rPr>
          <w:rFonts w:ascii="Times New Roman" w:hAnsi="Times New Roman" w:cs="Times New Roman"/>
          <w:color w:val="000000" w:themeColor="text1"/>
          <w:sz w:val="28"/>
          <w:szCs w:val="28"/>
        </w:rPr>
        <w:t xml:space="preserve">evidence. </w:t>
      </w:r>
      <w:r w:rsidR="00FF74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In particular, Ms. Hewitt deposes that L. worked on weekends to supplement the cost of his hockey programs.  She also states that she worked multiple jobs to support herself and L. and that she became ill and required hospitalization.  This, in turn, required her to rely on her family to care for L. </w:t>
      </w:r>
    </w:p>
    <w:p w:rsidR="00B26159" w:rsidRPr="00B26159" w:rsidRDefault="0023004A" w:rsidP="00B26159">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stands to reason</w:t>
      </w:r>
      <w:r w:rsidR="00B26159">
        <w:rPr>
          <w:rFonts w:ascii="Times New Roman" w:hAnsi="Times New Roman" w:cs="Times New Roman"/>
          <w:color w:val="000000" w:themeColor="text1"/>
          <w:sz w:val="28"/>
          <w:szCs w:val="28"/>
        </w:rPr>
        <w:t xml:space="preserve"> that if a child is</w:t>
      </w:r>
      <w:r w:rsidR="0041412C">
        <w:rPr>
          <w:rFonts w:ascii="Times New Roman" w:hAnsi="Times New Roman" w:cs="Times New Roman"/>
          <w:color w:val="000000" w:themeColor="text1"/>
          <w:sz w:val="28"/>
          <w:szCs w:val="28"/>
        </w:rPr>
        <w:t xml:space="preserve"> not </w:t>
      </w:r>
      <w:r>
        <w:rPr>
          <w:rFonts w:ascii="Times New Roman" w:hAnsi="Times New Roman" w:cs="Times New Roman"/>
          <w:color w:val="000000" w:themeColor="text1"/>
          <w:sz w:val="28"/>
          <w:szCs w:val="28"/>
        </w:rPr>
        <w:t xml:space="preserve">receiving </w:t>
      </w:r>
      <w:r w:rsidR="0041412C">
        <w:rPr>
          <w:rFonts w:ascii="Times New Roman" w:hAnsi="Times New Roman" w:cs="Times New Roman"/>
          <w:color w:val="000000" w:themeColor="text1"/>
          <w:sz w:val="28"/>
          <w:szCs w:val="28"/>
        </w:rPr>
        <w:t xml:space="preserve">the benefit of </w:t>
      </w:r>
      <w:r>
        <w:rPr>
          <w:rFonts w:ascii="Times New Roman" w:hAnsi="Times New Roman" w:cs="Times New Roman"/>
          <w:color w:val="000000" w:themeColor="text1"/>
          <w:sz w:val="28"/>
          <w:szCs w:val="28"/>
        </w:rPr>
        <w:t>the support to which they are entitled by law</w:t>
      </w:r>
      <w:r w:rsidR="00B26159">
        <w:rPr>
          <w:rFonts w:ascii="Times New Roman" w:hAnsi="Times New Roman" w:cs="Times New Roman"/>
          <w:color w:val="000000" w:themeColor="text1"/>
          <w:sz w:val="28"/>
          <w:szCs w:val="28"/>
        </w:rPr>
        <w:t xml:space="preserve"> then, barring some third party’s generosity</w:t>
      </w:r>
      <w:r w:rsidR="004D43F3">
        <w:rPr>
          <w:rFonts w:ascii="Times New Roman" w:hAnsi="Times New Roman" w:cs="Times New Roman"/>
          <w:color w:val="000000" w:themeColor="text1"/>
          <w:sz w:val="28"/>
          <w:szCs w:val="28"/>
        </w:rPr>
        <w:t>, a windfall or some other fortuitous event</w:t>
      </w:r>
      <w:r w:rsidR="00B261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it is the other parent and the child who </w:t>
      </w:r>
      <w:r w:rsidR="00B26159">
        <w:rPr>
          <w:rFonts w:ascii="Times New Roman" w:hAnsi="Times New Roman" w:cs="Times New Roman"/>
          <w:color w:val="000000" w:themeColor="text1"/>
          <w:sz w:val="28"/>
          <w:szCs w:val="28"/>
        </w:rPr>
        <w:t xml:space="preserve">must </w:t>
      </w:r>
      <w:r>
        <w:rPr>
          <w:rFonts w:ascii="Times New Roman" w:hAnsi="Times New Roman" w:cs="Times New Roman"/>
          <w:color w:val="000000" w:themeColor="text1"/>
          <w:sz w:val="28"/>
          <w:szCs w:val="28"/>
        </w:rPr>
        <w:t xml:space="preserve">bear the burden of the shortfall.  </w:t>
      </w:r>
      <w:r w:rsidR="004D43F3">
        <w:rPr>
          <w:rFonts w:ascii="Times New Roman" w:hAnsi="Times New Roman" w:cs="Times New Roman"/>
          <w:color w:val="000000" w:themeColor="text1"/>
          <w:sz w:val="28"/>
          <w:szCs w:val="28"/>
        </w:rPr>
        <w:t>T</w:t>
      </w:r>
      <w:r w:rsidR="0041412C">
        <w:rPr>
          <w:rFonts w:ascii="Times New Roman" w:hAnsi="Times New Roman" w:cs="Times New Roman"/>
          <w:color w:val="000000" w:themeColor="text1"/>
          <w:sz w:val="28"/>
          <w:szCs w:val="28"/>
        </w:rPr>
        <w:t xml:space="preserve">he result is that </w:t>
      </w:r>
      <w:r w:rsidR="00B26159">
        <w:rPr>
          <w:rFonts w:ascii="Times New Roman" w:hAnsi="Times New Roman" w:cs="Times New Roman"/>
          <w:color w:val="000000" w:themeColor="text1"/>
          <w:sz w:val="28"/>
          <w:szCs w:val="28"/>
        </w:rPr>
        <w:t xml:space="preserve">the child is denied the </w:t>
      </w:r>
      <w:r w:rsidR="0042114D">
        <w:rPr>
          <w:rFonts w:ascii="Times New Roman" w:hAnsi="Times New Roman" w:cs="Times New Roman"/>
          <w:color w:val="000000" w:themeColor="text1"/>
          <w:sz w:val="28"/>
          <w:szCs w:val="28"/>
        </w:rPr>
        <w:t>lifestyle they would have if the paying parent had been meeting his or her obligations.</w:t>
      </w:r>
      <w:r w:rsidR="00B26159">
        <w:rPr>
          <w:rFonts w:ascii="Times New Roman" w:hAnsi="Times New Roman" w:cs="Times New Roman"/>
          <w:color w:val="000000" w:themeColor="text1"/>
          <w:sz w:val="28"/>
          <w:szCs w:val="28"/>
        </w:rPr>
        <w:t xml:space="preserve"> </w:t>
      </w:r>
      <w:r w:rsidR="008B5E1B">
        <w:rPr>
          <w:rFonts w:ascii="Times New Roman" w:hAnsi="Times New Roman" w:cs="Times New Roman"/>
          <w:color w:val="000000" w:themeColor="text1"/>
          <w:sz w:val="28"/>
          <w:szCs w:val="28"/>
        </w:rPr>
        <w:t xml:space="preserve"> </w:t>
      </w:r>
      <w:r w:rsidR="00B26159">
        <w:rPr>
          <w:rFonts w:ascii="Times New Roman" w:hAnsi="Times New Roman" w:cs="Times New Roman"/>
          <w:color w:val="000000" w:themeColor="text1"/>
          <w:sz w:val="28"/>
          <w:szCs w:val="28"/>
        </w:rPr>
        <w:t>That is what happened here.</w:t>
      </w:r>
    </w:p>
    <w:p w:rsidR="0042114D" w:rsidRPr="0042114D" w:rsidRDefault="0042114D" w:rsidP="0042114D">
      <w:pPr>
        <w:pStyle w:val="ListParagraph"/>
        <w:spacing w:after="240" w:line="240" w:lineRule="auto"/>
        <w:ind w:left="0"/>
        <w:contextualSpacing w:val="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Hardship Occasioned by a Retroactive Award</w:t>
      </w:r>
    </w:p>
    <w:p w:rsidR="0042114D" w:rsidRDefault="001A6D3C" w:rsidP="00E20F4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 retroactive award will in most ca</w:t>
      </w:r>
      <w:r w:rsidR="005665C3">
        <w:rPr>
          <w:rFonts w:ascii="Times New Roman" w:hAnsi="Times New Roman" w:cs="Times New Roman"/>
          <w:color w:val="000000" w:themeColor="text1"/>
          <w:sz w:val="28"/>
          <w:szCs w:val="28"/>
        </w:rPr>
        <w:t xml:space="preserve">ses cause some form of hardship.  As noted in </w:t>
      </w:r>
      <w:r w:rsidR="005665C3">
        <w:rPr>
          <w:rFonts w:ascii="Times New Roman" w:hAnsi="Times New Roman" w:cs="Times New Roman"/>
          <w:i/>
          <w:color w:val="000000" w:themeColor="text1"/>
          <w:sz w:val="28"/>
          <w:szCs w:val="28"/>
        </w:rPr>
        <w:t xml:space="preserve">DBS </w:t>
      </w:r>
      <w:r w:rsidR="0041412C">
        <w:rPr>
          <w:rFonts w:ascii="Times New Roman" w:hAnsi="Times New Roman" w:cs="Times New Roman"/>
          <w:color w:val="000000" w:themeColor="text1"/>
          <w:sz w:val="28"/>
          <w:szCs w:val="28"/>
        </w:rPr>
        <w:t xml:space="preserve">at para 115, a requirement to pay retroactive support is </w:t>
      </w:r>
      <w:r w:rsidR="005665C3">
        <w:rPr>
          <w:rFonts w:ascii="Times New Roman" w:hAnsi="Times New Roman" w:cs="Times New Roman"/>
          <w:color w:val="000000" w:themeColor="text1"/>
          <w:sz w:val="28"/>
          <w:szCs w:val="28"/>
        </w:rPr>
        <w:t>bound to disrupt a paying parent’s financial routine</w:t>
      </w:r>
      <w:r w:rsidR="0041412C">
        <w:rPr>
          <w:rFonts w:ascii="Times New Roman" w:hAnsi="Times New Roman" w:cs="Times New Roman"/>
          <w:color w:val="000000" w:themeColor="text1"/>
          <w:sz w:val="28"/>
          <w:szCs w:val="28"/>
        </w:rPr>
        <w:t xml:space="preserve"> at the very least.  D</w:t>
      </w:r>
      <w:r w:rsidR="005665C3">
        <w:rPr>
          <w:rFonts w:ascii="Times New Roman" w:hAnsi="Times New Roman" w:cs="Times New Roman"/>
          <w:color w:val="000000" w:themeColor="text1"/>
          <w:sz w:val="28"/>
          <w:szCs w:val="28"/>
        </w:rPr>
        <w:t>epending on that parent’</w:t>
      </w:r>
      <w:r w:rsidR="0041412C">
        <w:rPr>
          <w:rFonts w:ascii="Times New Roman" w:hAnsi="Times New Roman" w:cs="Times New Roman"/>
          <w:color w:val="000000" w:themeColor="text1"/>
          <w:sz w:val="28"/>
          <w:szCs w:val="28"/>
        </w:rPr>
        <w:t>s circumstances, it may have a detrimental effect</w:t>
      </w:r>
      <w:r w:rsidR="005665C3">
        <w:rPr>
          <w:rFonts w:ascii="Times New Roman" w:hAnsi="Times New Roman" w:cs="Times New Roman"/>
          <w:color w:val="000000" w:themeColor="text1"/>
          <w:sz w:val="28"/>
          <w:szCs w:val="28"/>
        </w:rPr>
        <w:t xml:space="preserve"> on anot</w:t>
      </w:r>
      <w:r w:rsidR="0041412C">
        <w:rPr>
          <w:rFonts w:ascii="Times New Roman" w:hAnsi="Times New Roman" w:cs="Times New Roman"/>
          <w:color w:val="000000" w:themeColor="text1"/>
          <w:sz w:val="28"/>
          <w:szCs w:val="28"/>
        </w:rPr>
        <w:t>her spouse and other children. In short, r</w:t>
      </w:r>
      <w:r w:rsidR="00463050">
        <w:rPr>
          <w:rFonts w:ascii="Times New Roman" w:hAnsi="Times New Roman" w:cs="Times New Roman"/>
          <w:color w:val="000000" w:themeColor="text1"/>
          <w:sz w:val="28"/>
          <w:szCs w:val="28"/>
        </w:rPr>
        <w:t>etroactive awards must be structured i</w:t>
      </w:r>
      <w:r w:rsidR="0041412C">
        <w:rPr>
          <w:rFonts w:ascii="Times New Roman" w:hAnsi="Times New Roman" w:cs="Times New Roman"/>
          <w:color w:val="000000" w:themeColor="text1"/>
          <w:sz w:val="28"/>
          <w:szCs w:val="28"/>
        </w:rPr>
        <w:t>n a way that minimizes hardship</w:t>
      </w:r>
      <w:r w:rsidR="004D43F3">
        <w:rPr>
          <w:rFonts w:ascii="Times New Roman" w:hAnsi="Times New Roman" w:cs="Times New Roman"/>
          <w:color w:val="000000" w:themeColor="text1"/>
          <w:sz w:val="28"/>
          <w:szCs w:val="28"/>
        </w:rPr>
        <w:t xml:space="preserve"> while recognizing the need for support to be paid and to be paid in a timely manner.</w:t>
      </w:r>
    </w:p>
    <w:p w:rsidR="005665C3" w:rsidRDefault="00B928A8" w:rsidP="00E20F4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this case, </w:t>
      </w:r>
      <w:r w:rsidR="004D43F3">
        <w:rPr>
          <w:rFonts w:ascii="Times New Roman" w:hAnsi="Times New Roman" w:cs="Times New Roman"/>
          <w:color w:val="000000" w:themeColor="text1"/>
          <w:sz w:val="28"/>
          <w:szCs w:val="28"/>
        </w:rPr>
        <w:t>the</w:t>
      </w:r>
      <w:r>
        <w:rPr>
          <w:rFonts w:ascii="Times New Roman" w:hAnsi="Times New Roman" w:cs="Times New Roman"/>
          <w:color w:val="000000" w:themeColor="text1"/>
          <w:sz w:val="28"/>
          <w:szCs w:val="28"/>
        </w:rPr>
        <w:t xml:space="preserve"> </w:t>
      </w:r>
      <w:r w:rsidR="00463050">
        <w:rPr>
          <w:rFonts w:ascii="Times New Roman" w:hAnsi="Times New Roman" w:cs="Times New Roman"/>
          <w:color w:val="000000" w:themeColor="text1"/>
          <w:sz w:val="28"/>
          <w:szCs w:val="28"/>
        </w:rPr>
        <w:t xml:space="preserve">hardship </w:t>
      </w:r>
      <w:r w:rsidR="004D43F3">
        <w:rPr>
          <w:rFonts w:ascii="Times New Roman" w:hAnsi="Times New Roman" w:cs="Times New Roman"/>
          <w:color w:val="000000" w:themeColor="text1"/>
          <w:sz w:val="28"/>
          <w:szCs w:val="28"/>
        </w:rPr>
        <w:t>is</w:t>
      </w:r>
      <w:r w:rsidR="00463050">
        <w:rPr>
          <w:rFonts w:ascii="Times New Roman" w:hAnsi="Times New Roman" w:cs="Times New Roman"/>
          <w:color w:val="000000" w:themeColor="text1"/>
          <w:sz w:val="28"/>
          <w:szCs w:val="28"/>
        </w:rPr>
        <w:t xml:space="preserve"> be limited to </w:t>
      </w:r>
      <w:r w:rsidR="004D43F3">
        <w:rPr>
          <w:rFonts w:ascii="Times New Roman" w:hAnsi="Times New Roman" w:cs="Times New Roman"/>
          <w:color w:val="000000" w:themeColor="text1"/>
          <w:sz w:val="28"/>
          <w:szCs w:val="28"/>
        </w:rPr>
        <w:t xml:space="preserve">disrupting </w:t>
      </w:r>
      <w:r w:rsidR="00463050">
        <w:rPr>
          <w:rFonts w:ascii="Times New Roman" w:hAnsi="Times New Roman" w:cs="Times New Roman"/>
          <w:color w:val="000000" w:themeColor="text1"/>
          <w:sz w:val="28"/>
          <w:szCs w:val="28"/>
        </w:rPr>
        <w:t xml:space="preserve">Mr. Yatkowsky’s financial affairs. </w:t>
      </w:r>
      <w:r w:rsidR="008B5E1B">
        <w:rPr>
          <w:rFonts w:ascii="Times New Roman" w:hAnsi="Times New Roman" w:cs="Times New Roman"/>
          <w:color w:val="000000" w:themeColor="text1"/>
          <w:sz w:val="28"/>
          <w:szCs w:val="28"/>
        </w:rPr>
        <w:t xml:space="preserve"> </w:t>
      </w:r>
      <w:r w:rsidR="00463050">
        <w:rPr>
          <w:rFonts w:ascii="Times New Roman" w:hAnsi="Times New Roman" w:cs="Times New Roman"/>
          <w:color w:val="000000" w:themeColor="text1"/>
          <w:sz w:val="28"/>
          <w:szCs w:val="28"/>
        </w:rPr>
        <w:t xml:space="preserve">There is no evidence that he has other children who may be affected and he is currently working and earning a salary that exceeds $90,000.00 a year.  </w:t>
      </w:r>
    </w:p>
    <w:p w:rsidR="00B275C0" w:rsidRDefault="0093515C" w:rsidP="00B275C0">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Considering the foregoing, </w:t>
      </w:r>
      <w:r w:rsidR="0041412C">
        <w:rPr>
          <w:rFonts w:ascii="Times New Roman" w:hAnsi="Times New Roman" w:cs="Times New Roman"/>
          <w:color w:val="000000" w:themeColor="text1"/>
          <w:sz w:val="28"/>
          <w:szCs w:val="28"/>
        </w:rPr>
        <w:t xml:space="preserve">I find that it is appropriate to make an order </w:t>
      </w:r>
      <w:r>
        <w:rPr>
          <w:rFonts w:ascii="Times New Roman" w:hAnsi="Times New Roman" w:cs="Times New Roman"/>
          <w:color w:val="000000" w:themeColor="text1"/>
          <w:sz w:val="28"/>
          <w:szCs w:val="28"/>
        </w:rPr>
        <w:t xml:space="preserve">varying child support retroactively.  </w:t>
      </w:r>
      <w:r w:rsidR="00B275C0">
        <w:rPr>
          <w:rFonts w:ascii="Times New Roman" w:hAnsi="Times New Roman" w:cs="Times New Roman"/>
          <w:color w:val="000000" w:themeColor="text1"/>
          <w:sz w:val="28"/>
          <w:szCs w:val="28"/>
        </w:rPr>
        <w:t xml:space="preserve">There was a delay on Ms. Hewitt’s part in bringing the application forward but at the same time Mr. Yatkowsky had to have known the amount of child support he was paying was deficient, given his increased income. </w:t>
      </w:r>
    </w:p>
    <w:p w:rsidR="00B275C0" w:rsidRPr="00B275C0" w:rsidRDefault="00B275C0" w:rsidP="00B275C0">
      <w:pPr>
        <w:pStyle w:val="ListParagraph"/>
        <w:spacing w:after="240" w:line="240" w:lineRule="auto"/>
        <w:ind w:left="0"/>
        <w:contextualSpacing w:val="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The point in time to which the support payments should be adjusted</w:t>
      </w:r>
    </w:p>
    <w:p w:rsidR="00B275C0" w:rsidRPr="00B275C0" w:rsidRDefault="004D43F3" w:rsidP="00B275C0">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starting point for this analysis is</w:t>
      </w:r>
      <w:r w:rsidR="005E279C">
        <w:rPr>
          <w:rFonts w:ascii="Times New Roman" w:hAnsi="Times New Roman" w:cs="Times New Roman"/>
          <w:color w:val="000000" w:themeColor="text1"/>
          <w:sz w:val="28"/>
          <w:szCs w:val="28"/>
        </w:rPr>
        <w:t xml:space="preserve"> when Mr. Yatkowsky was effectively notified of Ms. Hewitt’s intention to seek an increase in </w:t>
      </w:r>
      <w:r>
        <w:rPr>
          <w:rFonts w:ascii="Times New Roman" w:hAnsi="Times New Roman" w:cs="Times New Roman"/>
          <w:color w:val="000000" w:themeColor="text1"/>
          <w:sz w:val="28"/>
          <w:szCs w:val="28"/>
        </w:rPr>
        <w:t>child support.</w:t>
      </w:r>
      <w:r w:rsidR="005E279C">
        <w:rPr>
          <w:rFonts w:ascii="Times New Roman" w:hAnsi="Times New Roman" w:cs="Times New Roman"/>
          <w:color w:val="000000" w:themeColor="text1"/>
          <w:sz w:val="28"/>
          <w:szCs w:val="28"/>
        </w:rPr>
        <w:t xml:space="preserve"> </w:t>
      </w:r>
    </w:p>
    <w:p w:rsidR="005E279C" w:rsidRDefault="005E279C" w:rsidP="00E20F4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 Yatkowsky deposes he was first notified of Ms. Hewitt’s intention to seek increased support when he was served with the Originating Notice in this application.  That occurred on November 18, 2016.  This is not contradicted in Ms. Hewitt’s materials, although she had raised the issue </w:t>
      </w:r>
      <w:r>
        <w:rPr>
          <w:rFonts w:ascii="Times New Roman" w:hAnsi="Times New Roman" w:cs="Times New Roman"/>
          <w:color w:val="000000" w:themeColor="text1"/>
          <w:sz w:val="28"/>
          <w:szCs w:val="28"/>
        </w:rPr>
        <w:lastRenderedPageBreak/>
        <w:t>of hockey expenses a</w:t>
      </w:r>
      <w:r w:rsidR="0041412C">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previous times.</w:t>
      </w:r>
      <w:r w:rsidR="008B5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I accept Mr. Yatkowsky’s evidence on this point.  </w:t>
      </w:r>
    </w:p>
    <w:p w:rsidR="0041375C" w:rsidRPr="0041375C" w:rsidRDefault="0041375C" w:rsidP="006E468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S</w:t>
      </w:r>
      <w:r w:rsidR="00B275C0" w:rsidRPr="00B275C0">
        <w:rPr>
          <w:rFonts w:ascii="Times New Roman" w:hAnsi="Times New Roman" w:cs="Times New Roman"/>
          <w:color w:val="000000" w:themeColor="text1"/>
          <w:sz w:val="28"/>
          <w:szCs w:val="28"/>
        </w:rPr>
        <w:t>upport awards should not generally be made retroactive to a date more than three years before the respondent receives formal no</w:t>
      </w:r>
      <w:r>
        <w:rPr>
          <w:rFonts w:ascii="Times New Roman" w:hAnsi="Times New Roman" w:cs="Times New Roman"/>
          <w:color w:val="000000" w:themeColor="text1"/>
          <w:sz w:val="28"/>
          <w:szCs w:val="28"/>
        </w:rPr>
        <w:t xml:space="preserve">tice, unless </w:t>
      </w:r>
      <w:r w:rsidR="004D43F3">
        <w:rPr>
          <w:rFonts w:ascii="Times New Roman" w:hAnsi="Times New Roman" w:cs="Times New Roman"/>
          <w:color w:val="000000" w:themeColor="text1"/>
          <w:sz w:val="28"/>
          <w:szCs w:val="28"/>
        </w:rPr>
        <w:t>he or she</w:t>
      </w:r>
      <w:r>
        <w:rPr>
          <w:rFonts w:ascii="Times New Roman" w:hAnsi="Times New Roman" w:cs="Times New Roman"/>
          <w:color w:val="000000" w:themeColor="text1"/>
          <w:sz w:val="28"/>
          <w:szCs w:val="28"/>
        </w:rPr>
        <w:t xml:space="preserve"> has engaged in blameworthy conduct, including failing to disclose an increase in income that amounts to a material change in circumstances.  </w:t>
      </w:r>
      <w:r>
        <w:rPr>
          <w:rFonts w:ascii="Times New Roman" w:hAnsi="Times New Roman" w:cs="Times New Roman"/>
          <w:i/>
          <w:color w:val="000000" w:themeColor="text1"/>
          <w:sz w:val="28"/>
          <w:szCs w:val="28"/>
        </w:rPr>
        <w:t xml:space="preserve">DBS, </w:t>
      </w:r>
      <w:r>
        <w:rPr>
          <w:rFonts w:ascii="Times New Roman" w:hAnsi="Times New Roman" w:cs="Times New Roman"/>
          <w:color w:val="000000" w:themeColor="text1"/>
          <w:sz w:val="28"/>
          <w:szCs w:val="28"/>
        </w:rPr>
        <w:t xml:space="preserve">paras 123 and 124. </w:t>
      </w:r>
    </w:p>
    <w:p w:rsidR="001F726D" w:rsidRPr="001F726D" w:rsidRDefault="0041375C" w:rsidP="00CC6D87">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In this case, Mr. Yatkowsky failed to disclose his income as he was required to do by the agreement and I view this as blameworthy conduct.</w:t>
      </w:r>
      <w:r w:rsidR="00DD51CF">
        <w:rPr>
          <w:rFonts w:ascii="Times New Roman" w:hAnsi="Times New Roman" w:cs="Times New Roman"/>
          <w:color w:val="000000" w:themeColor="text1"/>
          <w:sz w:val="28"/>
          <w:szCs w:val="28"/>
        </w:rPr>
        <w:t xml:space="preserve">  Nevertheless, it</w:t>
      </w:r>
      <w:r w:rsidR="00B261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would be inappropriate to go back bey</w:t>
      </w:r>
      <w:r w:rsidR="001B08B0">
        <w:rPr>
          <w:rFonts w:ascii="Times New Roman" w:hAnsi="Times New Roman" w:cs="Times New Roman"/>
          <w:color w:val="000000" w:themeColor="text1"/>
          <w:sz w:val="28"/>
          <w:szCs w:val="28"/>
        </w:rPr>
        <w:t xml:space="preserve">ond three years for two </w:t>
      </w:r>
      <w:r>
        <w:rPr>
          <w:rFonts w:ascii="Times New Roman" w:hAnsi="Times New Roman" w:cs="Times New Roman"/>
          <w:color w:val="000000" w:themeColor="text1"/>
          <w:sz w:val="28"/>
          <w:szCs w:val="28"/>
        </w:rPr>
        <w:t xml:space="preserve">reasons.  </w:t>
      </w:r>
    </w:p>
    <w:p w:rsidR="001B08B0" w:rsidRPr="001B08B0" w:rsidRDefault="0041375C" w:rsidP="00CC6D87">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First, Mr. Yatkowsky’s income did not change significantly until 2014 when there was a jump of approximately $46,000.00.  Up to that point, his income had remained relatively steady</w:t>
      </w:r>
      <w:r w:rsidR="00DD51CF">
        <w:rPr>
          <w:rFonts w:ascii="Times New Roman" w:hAnsi="Times New Roman" w:cs="Times New Roman"/>
          <w:color w:val="000000" w:themeColor="text1"/>
          <w:sz w:val="28"/>
          <w:szCs w:val="28"/>
        </w:rPr>
        <w:t xml:space="preserve"> and it had not changed substantially from what it had been when the parties separated</w:t>
      </w:r>
      <w:r>
        <w:rPr>
          <w:rFonts w:ascii="Times New Roman" w:hAnsi="Times New Roman" w:cs="Times New Roman"/>
          <w:color w:val="000000" w:themeColor="text1"/>
          <w:sz w:val="28"/>
          <w:szCs w:val="28"/>
        </w:rPr>
        <w:t>.</w:t>
      </w:r>
      <w:r w:rsidR="008B5E1B">
        <w:rPr>
          <w:rFonts w:ascii="Times New Roman" w:hAnsi="Times New Roman" w:cs="Times New Roman"/>
          <w:color w:val="000000" w:themeColor="text1"/>
          <w:sz w:val="28"/>
          <w:szCs w:val="28"/>
        </w:rPr>
        <w:t xml:space="preserve"> </w:t>
      </w:r>
      <w:r w:rsidR="001B08B0">
        <w:rPr>
          <w:rFonts w:ascii="Times New Roman" w:hAnsi="Times New Roman" w:cs="Times New Roman"/>
          <w:color w:val="000000" w:themeColor="text1"/>
          <w:sz w:val="28"/>
          <w:szCs w:val="28"/>
        </w:rPr>
        <w:t xml:space="preserve"> </w:t>
      </w:r>
      <w:r w:rsidR="001F726D">
        <w:rPr>
          <w:rFonts w:ascii="Times New Roman" w:hAnsi="Times New Roman" w:cs="Times New Roman"/>
          <w:color w:val="000000" w:themeColor="text1"/>
          <w:sz w:val="28"/>
          <w:szCs w:val="28"/>
        </w:rPr>
        <w:t xml:space="preserve">In 2012, for example, his income would have attracted a </w:t>
      </w:r>
      <w:r w:rsidR="001F726D">
        <w:rPr>
          <w:rFonts w:ascii="Times New Roman" w:hAnsi="Times New Roman" w:cs="Times New Roman"/>
          <w:i/>
          <w:color w:val="000000" w:themeColor="text1"/>
          <w:sz w:val="28"/>
          <w:szCs w:val="28"/>
        </w:rPr>
        <w:t xml:space="preserve">Guideline </w:t>
      </w:r>
      <w:r w:rsidR="001F726D">
        <w:rPr>
          <w:rFonts w:ascii="Times New Roman" w:hAnsi="Times New Roman" w:cs="Times New Roman"/>
          <w:color w:val="000000" w:themeColor="text1"/>
          <w:sz w:val="28"/>
          <w:szCs w:val="28"/>
        </w:rPr>
        <w:t>amount of 411.37 per month for an Ontario resident.  He was</w:t>
      </w:r>
      <w:r w:rsidR="0041412C">
        <w:rPr>
          <w:rFonts w:ascii="Times New Roman" w:hAnsi="Times New Roman" w:cs="Times New Roman"/>
          <w:color w:val="000000" w:themeColor="text1"/>
          <w:sz w:val="28"/>
          <w:szCs w:val="28"/>
        </w:rPr>
        <w:t xml:space="preserve"> then </w:t>
      </w:r>
      <w:r w:rsidR="001F726D">
        <w:rPr>
          <w:rFonts w:ascii="Times New Roman" w:hAnsi="Times New Roman" w:cs="Times New Roman"/>
          <w:color w:val="000000" w:themeColor="text1"/>
          <w:sz w:val="28"/>
          <w:szCs w:val="28"/>
        </w:rPr>
        <w:t xml:space="preserve">paying $349.00, a difference of approximately $62.00 per month.  The difference between what he ought to have been paying in 2013 and what he was actually paying was </w:t>
      </w:r>
      <w:r w:rsidR="001B08B0">
        <w:rPr>
          <w:rFonts w:ascii="Times New Roman" w:hAnsi="Times New Roman" w:cs="Times New Roman"/>
          <w:color w:val="000000" w:themeColor="text1"/>
          <w:sz w:val="28"/>
          <w:szCs w:val="28"/>
        </w:rPr>
        <w:t>just over $100.00.  I do not suggest this is insignificant</w:t>
      </w:r>
      <w:r w:rsidR="0041412C">
        <w:rPr>
          <w:rFonts w:ascii="Times New Roman" w:hAnsi="Times New Roman" w:cs="Times New Roman"/>
          <w:color w:val="000000" w:themeColor="text1"/>
          <w:sz w:val="28"/>
          <w:szCs w:val="28"/>
        </w:rPr>
        <w:t>, but</w:t>
      </w:r>
      <w:r w:rsidR="001B08B0">
        <w:rPr>
          <w:rFonts w:ascii="Times New Roman" w:hAnsi="Times New Roman" w:cs="Times New Roman"/>
          <w:color w:val="000000" w:themeColor="text1"/>
          <w:sz w:val="28"/>
          <w:szCs w:val="28"/>
        </w:rPr>
        <w:t xml:space="preserve"> it may not have been as readily apparent to Mr. Yatkowsk</w:t>
      </w:r>
      <w:r w:rsidR="00455139">
        <w:rPr>
          <w:rFonts w:ascii="Times New Roman" w:hAnsi="Times New Roman" w:cs="Times New Roman"/>
          <w:color w:val="000000" w:themeColor="text1"/>
          <w:sz w:val="28"/>
          <w:szCs w:val="28"/>
        </w:rPr>
        <w:t>y</w:t>
      </w:r>
      <w:r w:rsidR="001B08B0">
        <w:rPr>
          <w:rFonts w:ascii="Times New Roman" w:hAnsi="Times New Roman" w:cs="Times New Roman"/>
          <w:color w:val="000000" w:themeColor="text1"/>
          <w:sz w:val="28"/>
          <w:szCs w:val="28"/>
        </w:rPr>
        <w:t xml:space="preserve"> at that time that the child support he was paying fell short of the </w:t>
      </w:r>
      <w:r w:rsidR="001B08B0">
        <w:rPr>
          <w:rFonts w:ascii="Times New Roman" w:hAnsi="Times New Roman" w:cs="Times New Roman"/>
          <w:i/>
          <w:color w:val="000000" w:themeColor="text1"/>
          <w:sz w:val="28"/>
          <w:szCs w:val="28"/>
        </w:rPr>
        <w:t xml:space="preserve">Guideline </w:t>
      </w:r>
      <w:r w:rsidR="0041412C">
        <w:rPr>
          <w:rFonts w:ascii="Times New Roman" w:hAnsi="Times New Roman" w:cs="Times New Roman"/>
          <w:color w:val="000000" w:themeColor="text1"/>
          <w:sz w:val="28"/>
          <w:szCs w:val="28"/>
        </w:rPr>
        <w:t>amounts as it should have been in 2014</w:t>
      </w:r>
      <w:r w:rsidR="001E45CB">
        <w:rPr>
          <w:rFonts w:ascii="Times New Roman" w:hAnsi="Times New Roman" w:cs="Times New Roman"/>
          <w:color w:val="000000" w:themeColor="text1"/>
          <w:sz w:val="28"/>
          <w:szCs w:val="28"/>
        </w:rPr>
        <w:t>,</w:t>
      </w:r>
      <w:r w:rsidR="0041412C">
        <w:rPr>
          <w:rFonts w:ascii="Times New Roman" w:hAnsi="Times New Roman" w:cs="Times New Roman"/>
          <w:color w:val="000000" w:themeColor="text1"/>
          <w:sz w:val="28"/>
          <w:szCs w:val="28"/>
        </w:rPr>
        <w:t xml:space="preserve"> when his income jumped so significantly.</w:t>
      </w:r>
    </w:p>
    <w:p w:rsidR="007B0AD0" w:rsidRPr="00A8415A" w:rsidRDefault="0041375C" w:rsidP="00CC6D87">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Second, Ms. Hewitt </w:t>
      </w:r>
      <w:r w:rsidR="001B08B0">
        <w:rPr>
          <w:rFonts w:ascii="Times New Roman" w:hAnsi="Times New Roman" w:cs="Times New Roman"/>
          <w:color w:val="000000" w:themeColor="text1"/>
          <w:sz w:val="28"/>
          <w:szCs w:val="28"/>
        </w:rPr>
        <w:t>waited a very long time to bring this application</w:t>
      </w:r>
      <w:r w:rsidR="001E45CB">
        <w:rPr>
          <w:rFonts w:ascii="Times New Roman" w:hAnsi="Times New Roman" w:cs="Times New Roman"/>
          <w:color w:val="000000" w:themeColor="text1"/>
          <w:sz w:val="28"/>
          <w:szCs w:val="28"/>
        </w:rPr>
        <w:t xml:space="preserve"> and</w:t>
      </w:r>
      <w:r w:rsidR="0041412C">
        <w:rPr>
          <w:rFonts w:ascii="Times New Roman" w:hAnsi="Times New Roman" w:cs="Times New Roman"/>
          <w:color w:val="000000" w:themeColor="text1"/>
          <w:sz w:val="28"/>
          <w:szCs w:val="28"/>
        </w:rPr>
        <w:t xml:space="preserve"> s</w:t>
      </w:r>
      <w:r w:rsidR="001B08B0">
        <w:rPr>
          <w:rFonts w:ascii="Times New Roman" w:hAnsi="Times New Roman" w:cs="Times New Roman"/>
          <w:color w:val="000000" w:themeColor="text1"/>
          <w:sz w:val="28"/>
          <w:szCs w:val="28"/>
        </w:rPr>
        <w:t xml:space="preserve">he </w:t>
      </w:r>
      <w:r w:rsidR="00B928A8">
        <w:rPr>
          <w:rFonts w:ascii="Times New Roman" w:hAnsi="Times New Roman" w:cs="Times New Roman"/>
          <w:color w:val="000000" w:themeColor="text1"/>
          <w:sz w:val="28"/>
          <w:szCs w:val="28"/>
        </w:rPr>
        <w:t>never r</w:t>
      </w:r>
      <w:r>
        <w:rPr>
          <w:rFonts w:ascii="Times New Roman" w:hAnsi="Times New Roman" w:cs="Times New Roman"/>
          <w:color w:val="000000" w:themeColor="text1"/>
          <w:sz w:val="28"/>
          <w:szCs w:val="28"/>
        </w:rPr>
        <w:t>equest</w:t>
      </w:r>
      <w:r w:rsidR="00B928A8">
        <w:rPr>
          <w:rFonts w:ascii="Times New Roman" w:hAnsi="Times New Roman" w:cs="Times New Roman"/>
          <w:color w:val="000000" w:themeColor="text1"/>
          <w:sz w:val="28"/>
          <w:szCs w:val="28"/>
        </w:rPr>
        <w:t>ed</w:t>
      </w:r>
      <w:r>
        <w:rPr>
          <w:rFonts w:ascii="Times New Roman" w:hAnsi="Times New Roman" w:cs="Times New Roman"/>
          <w:color w:val="000000" w:themeColor="text1"/>
          <w:sz w:val="28"/>
          <w:szCs w:val="28"/>
        </w:rPr>
        <w:t xml:space="preserve"> financia</w:t>
      </w:r>
      <w:r w:rsidR="001E45CB">
        <w:rPr>
          <w:rFonts w:ascii="Times New Roman" w:hAnsi="Times New Roman" w:cs="Times New Roman"/>
          <w:color w:val="000000" w:themeColor="text1"/>
          <w:sz w:val="28"/>
          <w:szCs w:val="28"/>
        </w:rPr>
        <w:t>l information from Mr. Yatkowsky.</w:t>
      </w:r>
    </w:p>
    <w:p w:rsidR="00CC6D87" w:rsidRPr="00DE6707" w:rsidRDefault="001B08B0" w:rsidP="00A8597C">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Accordingly, c</w:t>
      </w:r>
      <w:r w:rsidR="00A8415A">
        <w:rPr>
          <w:rFonts w:ascii="Times New Roman" w:hAnsi="Times New Roman" w:cs="Times New Roman"/>
          <w:color w:val="000000" w:themeColor="text1"/>
          <w:sz w:val="28"/>
          <w:szCs w:val="28"/>
        </w:rPr>
        <w:t>hild support will be varied retroactively for the years 2014 and 2015 and for the first six months of 2016, in accordance with Mr. Yatkowsky’s income</w:t>
      </w:r>
      <w:r w:rsidR="001E45CB">
        <w:rPr>
          <w:rFonts w:ascii="Times New Roman" w:hAnsi="Times New Roman" w:cs="Times New Roman"/>
          <w:color w:val="000000" w:themeColor="text1"/>
          <w:sz w:val="28"/>
          <w:szCs w:val="28"/>
        </w:rPr>
        <w:t xml:space="preserve"> and corresponding </w:t>
      </w:r>
      <w:r w:rsidR="001E45CB">
        <w:rPr>
          <w:rFonts w:ascii="Times New Roman" w:hAnsi="Times New Roman" w:cs="Times New Roman"/>
          <w:i/>
          <w:color w:val="000000" w:themeColor="text1"/>
          <w:sz w:val="28"/>
          <w:szCs w:val="28"/>
        </w:rPr>
        <w:t xml:space="preserve">Guideline </w:t>
      </w:r>
      <w:r w:rsidR="001E45CB">
        <w:rPr>
          <w:rFonts w:ascii="Times New Roman" w:hAnsi="Times New Roman" w:cs="Times New Roman"/>
          <w:color w:val="000000" w:themeColor="text1"/>
          <w:sz w:val="28"/>
          <w:szCs w:val="28"/>
        </w:rPr>
        <w:t>amounts:</w:t>
      </w:r>
      <w:r w:rsidR="001E45CB">
        <w:rPr>
          <w:rStyle w:val="FootnoteReference"/>
          <w:rFonts w:ascii="Times New Roman" w:hAnsi="Times New Roman" w:cs="Times New Roman"/>
          <w:color w:val="000000" w:themeColor="text1"/>
          <w:sz w:val="28"/>
          <w:szCs w:val="28"/>
        </w:rPr>
        <w:footnoteReference w:id="2"/>
      </w:r>
    </w:p>
    <w:tbl>
      <w:tblPr>
        <w:tblStyle w:val="TableGrid"/>
        <w:tblW w:w="0" w:type="auto"/>
        <w:tblLook w:val="04A0" w:firstRow="1" w:lastRow="0" w:firstColumn="1" w:lastColumn="0" w:noHBand="0" w:noVBand="1"/>
      </w:tblPr>
      <w:tblGrid>
        <w:gridCol w:w="895"/>
        <w:gridCol w:w="1440"/>
        <w:gridCol w:w="1440"/>
        <w:gridCol w:w="1710"/>
        <w:gridCol w:w="1530"/>
        <w:gridCol w:w="2335"/>
      </w:tblGrid>
      <w:tr w:rsidR="00DE6707" w:rsidTr="00710028">
        <w:tc>
          <w:tcPr>
            <w:tcW w:w="895"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Year</w:t>
            </w:r>
          </w:p>
        </w:tc>
        <w:tc>
          <w:tcPr>
            <w:tcW w:w="1440"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Income</w:t>
            </w:r>
          </w:p>
        </w:tc>
        <w:tc>
          <w:tcPr>
            <w:tcW w:w="1440"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Amount Paid</w:t>
            </w:r>
          </w:p>
        </w:tc>
        <w:tc>
          <w:tcPr>
            <w:tcW w:w="1710"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 xml:space="preserve">Amount Due </w:t>
            </w:r>
            <w:r w:rsidRPr="00DD51CF">
              <w:rPr>
                <w:rFonts w:ascii="Times New Roman" w:hAnsi="Times New Roman" w:cs="Times New Roman"/>
                <w:b/>
                <w:i/>
                <w:color w:val="000000" w:themeColor="text1"/>
                <w:sz w:val="24"/>
                <w:szCs w:val="24"/>
              </w:rPr>
              <w:t xml:space="preserve">per </w:t>
            </w:r>
            <w:r w:rsidRPr="00DD51CF">
              <w:rPr>
                <w:rFonts w:ascii="Times New Roman" w:hAnsi="Times New Roman" w:cs="Times New Roman"/>
                <w:b/>
                <w:color w:val="000000" w:themeColor="text1"/>
                <w:sz w:val="24"/>
                <w:szCs w:val="24"/>
              </w:rPr>
              <w:t>Guidelines</w:t>
            </w:r>
          </w:p>
        </w:tc>
        <w:tc>
          <w:tcPr>
            <w:tcW w:w="1530"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Difference each month</w:t>
            </w:r>
          </w:p>
        </w:tc>
        <w:tc>
          <w:tcPr>
            <w:tcW w:w="2335" w:type="dxa"/>
          </w:tcPr>
          <w:p w:rsidR="00DE6707" w:rsidRPr="00DD51CF" w:rsidRDefault="00DE6707" w:rsidP="00DD51CF">
            <w:pPr>
              <w:pStyle w:val="ListParagraph"/>
              <w:spacing w:after="240"/>
              <w:ind w:left="0"/>
              <w:contextualSpacing w:val="0"/>
              <w:jc w:val="center"/>
              <w:rPr>
                <w:rFonts w:ascii="Times New Roman" w:hAnsi="Times New Roman" w:cs="Times New Roman"/>
                <w:b/>
                <w:color w:val="000000" w:themeColor="text1"/>
                <w:sz w:val="24"/>
                <w:szCs w:val="24"/>
              </w:rPr>
            </w:pPr>
            <w:r w:rsidRPr="00DD51CF">
              <w:rPr>
                <w:rFonts w:ascii="Times New Roman" w:hAnsi="Times New Roman" w:cs="Times New Roman"/>
                <w:b/>
                <w:color w:val="000000" w:themeColor="text1"/>
                <w:sz w:val="24"/>
                <w:szCs w:val="24"/>
              </w:rPr>
              <w:t>Yearly Amount</w:t>
            </w:r>
          </w:p>
        </w:tc>
      </w:tr>
      <w:tr w:rsidR="00DE6707" w:rsidTr="00710028">
        <w:tc>
          <w:tcPr>
            <w:tcW w:w="895" w:type="dxa"/>
          </w:tcPr>
          <w:p w:rsidR="00DE6707" w:rsidRPr="00710028" w:rsidRDefault="00DE6707"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2014</w:t>
            </w:r>
          </w:p>
        </w:tc>
        <w:tc>
          <w:tcPr>
            <w:tcW w:w="144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$97,655.00</w:t>
            </w:r>
          </w:p>
        </w:tc>
        <w:tc>
          <w:tcPr>
            <w:tcW w:w="1440" w:type="dxa"/>
          </w:tcPr>
          <w:p w:rsidR="00DE6707" w:rsidRPr="00710028" w:rsidRDefault="00DE6707"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$349.00</w:t>
            </w:r>
          </w:p>
        </w:tc>
        <w:tc>
          <w:tcPr>
            <w:tcW w:w="1710" w:type="dxa"/>
          </w:tcPr>
          <w:p w:rsidR="00DE6707" w:rsidRPr="00710028" w:rsidRDefault="00DE6707"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$898.76</w:t>
            </w:r>
          </w:p>
        </w:tc>
        <w:tc>
          <w:tcPr>
            <w:tcW w:w="153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$549.76</w:t>
            </w:r>
          </w:p>
        </w:tc>
        <w:tc>
          <w:tcPr>
            <w:tcW w:w="2335" w:type="dxa"/>
          </w:tcPr>
          <w:p w:rsidR="00DE6707" w:rsidRPr="00710028" w:rsidRDefault="00710028" w:rsidP="00710028">
            <w:pPr>
              <w:pStyle w:val="ListParagraph"/>
              <w:spacing w:after="240"/>
              <w:ind w:left="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$549.76 x 12 mo = </w:t>
            </w:r>
            <w:r w:rsidRPr="00710028">
              <w:rPr>
                <w:rFonts w:ascii="Times New Roman" w:hAnsi="Times New Roman" w:cs="Times New Roman"/>
                <w:b/>
                <w:color w:val="000000" w:themeColor="text1"/>
                <w:sz w:val="24"/>
                <w:szCs w:val="24"/>
              </w:rPr>
              <w:t>$6,597.12</w:t>
            </w:r>
          </w:p>
        </w:tc>
      </w:tr>
      <w:tr w:rsidR="00DE6707" w:rsidTr="00710028">
        <w:tc>
          <w:tcPr>
            <w:tcW w:w="895"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2015</w:t>
            </w:r>
          </w:p>
        </w:tc>
        <w:tc>
          <w:tcPr>
            <w:tcW w:w="144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$92,314.00</w:t>
            </w:r>
          </w:p>
        </w:tc>
        <w:tc>
          <w:tcPr>
            <w:tcW w:w="144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$400.00</w:t>
            </w:r>
          </w:p>
        </w:tc>
        <w:tc>
          <w:tcPr>
            <w:tcW w:w="171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$852.76</w:t>
            </w:r>
          </w:p>
        </w:tc>
        <w:tc>
          <w:tcPr>
            <w:tcW w:w="1530" w:type="dxa"/>
          </w:tcPr>
          <w:p w:rsidR="00DE6707" w:rsidRPr="00710028" w:rsidRDefault="00710028"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$452.76</w:t>
            </w:r>
          </w:p>
        </w:tc>
        <w:tc>
          <w:tcPr>
            <w:tcW w:w="2335" w:type="dxa"/>
          </w:tcPr>
          <w:p w:rsidR="00DE6707" w:rsidRPr="00710028" w:rsidRDefault="00710028" w:rsidP="00710028">
            <w:pPr>
              <w:pStyle w:val="ListParagraph"/>
              <w:spacing w:after="240"/>
              <w:ind w:left="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$452.76 x 12 mo = </w:t>
            </w:r>
            <w:r w:rsidRPr="00710028">
              <w:rPr>
                <w:rFonts w:ascii="Times New Roman" w:hAnsi="Times New Roman" w:cs="Times New Roman"/>
                <w:b/>
                <w:color w:val="000000" w:themeColor="text1"/>
                <w:sz w:val="24"/>
                <w:szCs w:val="24"/>
              </w:rPr>
              <w:t>$5,433.12</w:t>
            </w:r>
          </w:p>
        </w:tc>
      </w:tr>
      <w:tr w:rsidR="00A8415A" w:rsidTr="00710028">
        <w:tc>
          <w:tcPr>
            <w:tcW w:w="895" w:type="dxa"/>
          </w:tcPr>
          <w:p w:rsidR="00A8415A" w:rsidRPr="00710028" w:rsidRDefault="00A8415A"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2016</w:t>
            </w:r>
          </w:p>
        </w:tc>
        <w:tc>
          <w:tcPr>
            <w:tcW w:w="1440" w:type="dxa"/>
          </w:tcPr>
          <w:p w:rsidR="00A8415A" w:rsidRPr="00710028" w:rsidRDefault="00A8415A"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$93,650.00</w:t>
            </w:r>
          </w:p>
        </w:tc>
        <w:tc>
          <w:tcPr>
            <w:tcW w:w="1440" w:type="dxa"/>
          </w:tcPr>
          <w:p w:rsidR="00A8415A" w:rsidRPr="00710028" w:rsidRDefault="00A8415A"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$400.00</w:t>
            </w:r>
          </w:p>
        </w:tc>
        <w:tc>
          <w:tcPr>
            <w:tcW w:w="1710" w:type="dxa"/>
          </w:tcPr>
          <w:p w:rsidR="00A8415A" w:rsidRPr="00710028" w:rsidRDefault="00A8415A"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$864.33</w:t>
            </w:r>
          </w:p>
        </w:tc>
        <w:tc>
          <w:tcPr>
            <w:tcW w:w="1530" w:type="dxa"/>
          </w:tcPr>
          <w:p w:rsidR="00A8415A" w:rsidRPr="00710028" w:rsidRDefault="00A8415A" w:rsidP="00DE6707">
            <w:pPr>
              <w:pStyle w:val="ListParagraph"/>
              <w:spacing w:after="240"/>
              <w:ind w:left="0"/>
              <w:contextualSpacing w:val="0"/>
              <w:jc w:val="both"/>
              <w:rPr>
                <w:rFonts w:ascii="Times New Roman" w:hAnsi="Times New Roman" w:cs="Times New Roman"/>
                <w:color w:val="000000" w:themeColor="text1"/>
                <w:sz w:val="24"/>
                <w:szCs w:val="24"/>
              </w:rPr>
            </w:pPr>
            <w:r w:rsidRPr="00710028">
              <w:rPr>
                <w:rFonts w:ascii="Times New Roman" w:hAnsi="Times New Roman" w:cs="Times New Roman"/>
                <w:color w:val="000000" w:themeColor="text1"/>
                <w:sz w:val="24"/>
                <w:szCs w:val="24"/>
              </w:rPr>
              <w:t>$464.33</w:t>
            </w:r>
          </w:p>
        </w:tc>
        <w:tc>
          <w:tcPr>
            <w:tcW w:w="2335" w:type="dxa"/>
          </w:tcPr>
          <w:p w:rsidR="00A8415A" w:rsidRPr="00710028" w:rsidRDefault="00A8415A" w:rsidP="00710028">
            <w:pPr>
              <w:pStyle w:val="ListParagraph"/>
              <w:spacing w:after="240"/>
              <w:ind w:left="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$464.33 x 6 mo = </w:t>
            </w:r>
            <w:r w:rsidRPr="00710028">
              <w:rPr>
                <w:rFonts w:ascii="Times New Roman" w:hAnsi="Times New Roman" w:cs="Times New Roman"/>
                <w:b/>
                <w:color w:val="000000" w:themeColor="text1"/>
                <w:sz w:val="24"/>
                <w:szCs w:val="24"/>
              </w:rPr>
              <w:t>$2,785.98</w:t>
            </w:r>
          </w:p>
        </w:tc>
      </w:tr>
    </w:tbl>
    <w:p w:rsidR="009E3740" w:rsidRDefault="009E3740" w:rsidP="00DE6707">
      <w:pPr>
        <w:pStyle w:val="ListParagraph"/>
        <w:spacing w:after="240" w:line="240" w:lineRule="auto"/>
        <w:ind w:left="0"/>
        <w:contextualSpacing w:val="0"/>
        <w:jc w:val="both"/>
        <w:rPr>
          <w:rFonts w:ascii="Times New Roman" w:hAnsi="Times New Roman" w:cs="Times New Roman"/>
          <w:b/>
          <w:i/>
          <w:color w:val="000000" w:themeColor="text1"/>
          <w:sz w:val="28"/>
          <w:szCs w:val="28"/>
        </w:rPr>
      </w:pPr>
    </w:p>
    <w:p w:rsidR="00B80CF8" w:rsidRDefault="00B80CF8" w:rsidP="00B80CF8">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amounts to $14,816.22. </w:t>
      </w:r>
    </w:p>
    <w:p w:rsidR="00070FBC" w:rsidRDefault="00377F52" w:rsidP="00B80CF8">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sidR="00B80CF8">
        <w:rPr>
          <w:rFonts w:ascii="Times New Roman" w:hAnsi="Times New Roman" w:cs="Times New Roman"/>
          <w:color w:val="000000" w:themeColor="text1"/>
          <w:sz w:val="28"/>
          <w:szCs w:val="28"/>
        </w:rPr>
        <w:t>aving to pay retroactive child support will be disruptive for Mr. Yatkowsky and he will need to adjust his own budget to accommodate this.</w:t>
      </w:r>
      <w:r w:rsidR="008B5E1B">
        <w:rPr>
          <w:rFonts w:ascii="Times New Roman" w:hAnsi="Times New Roman" w:cs="Times New Roman"/>
          <w:color w:val="000000" w:themeColor="text1"/>
          <w:sz w:val="28"/>
          <w:szCs w:val="28"/>
        </w:rPr>
        <w:t xml:space="preserve"> </w:t>
      </w:r>
      <w:r w:rsidR="00B80CF8">
        <w:rPr>
          <w:rFonts w:ascii="Times New Roman" w:hAnsi="Times New Roman" w:cs="Times New Roman"/>
          <w:color w:val="000000" w:themeColor="text1"/>
          <w:sz w:val="28"/>
          <w:szCs w:val="28"/>
        </w:rPr>
        <w:t xml:space="preserve"> It would not be rea</w:t>
      </w:r>
      <w:r w:rsidR="00070FBC">
        <w:rPr>
          <w:rFonts w:ascii="Times New Roman" w:hAnsi="Times New Roman" w:cs="Times New Roman"/>
          <w:color w:val="000000" w:themeColor="text1"/>
          <w:sz w:val="28"/>
          <w:szCs w:val="28"/>
        </w:rPr>
        <w:t>listic</w:t>
      </w:r>
      <w:r w:rsidR="00B80CF8">
        <w:rPr>
          <w:rFonts w:ascii="Times New Roman" w:hAnsi="Times New Roman" w:cs="Times New Roman"/>
          <w:color w:val="000000" w:themeColor="text1"/>
          <w:sz w:val="28"/>
          <w:szCs w:val="28"/>
        </w:rPr>
        <w:t xml:space="preserve"> to expect immediate payment of the entire </w:t>
      </w:r>
      <w:r w:rsidR="001E45CB">
        <w:rPr>
          <w:rFonts w:ascii="Times New Roman" w:hAnsi="Times New Roman" w:cs="Times New Roman"/>
          <w:color w:val="000000" w:themeColor="text1"/>
          <w:sz w:val="28"/>
          <w:szCs w:val="28"/>
        </w:rPr>
        <w:t>sum</w:t>
      </w:r>
      <w:r w:rsidR="00B80CF8">
        <w:rPr>
          <w:rFonts w:ascii="Times New Roman" w:hAnsi="Times New Roman" w:cs="Times New Roman"/>
          <w:color w:val="000000" w:themeColor="text1"/>
          <w:sz w:val="28"/>
          <w:szCs w:val="28"/>
        </w:rPr>
        <w:t xml:space="preserve">. </w:t>
      </w:r>
      <w:r w:rsidR="008B5E1B">
        <w:rPr>
          <w:rFonts w:ascii="Times New Roman" w:hAnsi="Times New Roman" w:cs="Times New Roman"/>
          <w:color w:val="000000" w:themeColor="text1"/>
          <w:sz w:val="28"/>
          <w:szCs w:val="28"/>
        </w:rPr>
        <w:t xml:space="preserve"> </w:t>
      </w:r>
      <w:r w:rsidR="00B80CF8">
        <w:rPr>
          <w:rFonts w:ascii="Times New Roman" w:hAnsi="Times New Roman" w:cs="Times New Roman"/>
          <w:color w:val="000000" w:themeColor="text1"/>
          <w:sz w:val="28"/>
          <w:szCs w:val="28"/>
        </w:rPr>
        <w:t>It must, however, be</w:t>
      </w:r>
      <w:r w:rsidR="00070FBC">
        <w:rPr>
          <w:rFonts w:ascii="Times New Roman" w:hAnsi="Times New Roman" w:cs="Times New Roman"/>
          <w:color w:val="000000" w:themeColor="text1"/>
          <w:sz w:val="28"/>
          <w:szCs w:val="28"/>
        </w:rPr>
        <w:t xml:space="preserve"> paid with</w:t>
      </w:r>
      <w:r w:rsidR="00B928A8">
        <w:rPr>
          <w:rFonts w:ascii="Times New Roman" w:hAnsi="Times New Roman" w:cs="Times New Roman"/>
          <w:color w:val="000000" w:themeColor="text1"/>
          <w:sz w:val="28"/>
          <w:szCs w:val="28"/>
        </w:rPr>
        <w:t>in</w:t>
      </w:r>
      <w:r w:rsidR="00070FBC">
        <w:rPr>
          <w:rFonts w:ascii="Times New Roman" w:hAnsi="Times New Roman" w:cs="Times New Roman"/>
          <w:color w:val="000000" w:themeColor="text1"/>
          <w:sz w:val="28"/>
          <w:szCs w:val="28"/>
        </w:rPr>
        <w:t xml:space="preserve"> a reasonable amount of time and, accordingly, at a reasonable rate, which I set at $500.00 per month. </w:t>
      </w:r>
      <w:r>
        <w:rPr>
          <w:rFonts w:ascii="Times New Roman" w:hAnsi="Times New Roman" w:cs="Times New Roman"/>
          <w:color w:val="000000" w:themeColor="text1"/>
          <w:sz w:val="28"/>
          <w:szCs w:val="28"/>
        </w:rPr>
        <w:t xml:space="preserve"> This will retire the debt in approximately two and half years.</w:t>
      </w:r>
    </w:p>
    <w:p w:rsidR="00B80CF8" w:rsidRPr="00377F52" w:rsidRDefault="00377F52" w:rsidP="00377F52">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 reach this conclusion based on the </w:t>
      </w:r>
      <w:r w:rsidR="00070FBC" w:rsidRPr="00377F52">
        <w:rPr>
          <w:rFonts w:ascii="Times New Roman" w:hAnsi="Times New Roman" w:cs="Times New Roman"/>
          <w:color w:val="000000" w:themeColor="text1"/>
          <w:sz w:val="28"/>
          <w:szCs w:val="28"/>
        </w:rPr>
        <w:t>evidence</w:t>
      </w:r>
      <w:r>
        <w:rPr>
          <w:rFonts w:ascii="Times New Roman" w:hAnsi="Times New Roman" w:cs="Times New Roman"/>
          <w:color w:val="000000" w:themeColor="text1"/>
          <w:sz w:val="28"/>
          <w:szCs w:val="28"/>
        </w:rPr>
        <w:t xml:space="preserve"> Mr. Yatkowsky has provided about </w:t>
      </w:r>
      <w:r w:rsidR="00070FBC" w:rsidRPr="00377F52">
        <w:rPr>
          <w:rFonts w:ascii="Times New Roman" w:hAnsi="Times New Roman" w:cs="Times New Roman"/>
          <w:color w:val="000000" w:themeColor="text1"/>
          <w:sz w:val="28"/>
          <w:szCs w:val="28"/>
        </w:rPr>
        <w:t>his income, expenses and assets</w:t>
      </w:r>
      <w:r>
        <w:rPr>
          <w:rFonts w:ascii="Times New Roman" w:hAnsi="Times New Roman" w:cs="Times New Roman"/>
          <w:color w:val="000000" w:themeColor="text1"/>
          <w:sz w:val="28"/>
          <w:szCs w:val="28"/>
        </w:rPr>
        <w:t>.  He earns in excess of $90,000.00 per year.  He owns a home, although the equity in it does not appear significant.  He also has savings and access to credit.</w:t>
      </w:r>
      <w:r w:rsidR="008B5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911F6">
        <w:rPr>
          <w:rFonts w:ascii="Times New Roman" w:hAnsi="Times New Roman" w:cs="Times New Roman"/>
          <w:color w:val="000000" w:themeColor="text1"/>
          <w:sz w:val="28"/>
          <w:szCs w:val="28"/>
        </w:rPr>
        <w:t>Although I do not suggest they are unreasonable, he has a number of discretionary expenses listed in his materials, including meals out and an expense for a personal learning plan.</w:t>
      </w:r>
      <w:r w:rsidR="00FF7480">
        <w:rPr>
          <w:rFonts w:ascii="Times New Roman" w:hAnsi="Times New Roman" w:cs="Times New Roman"/>
          <w:color w:val="000000" w:themeColor="text1"/>
          <w:sz w:val="28"/>
          <w:szCs w:val="28"/>
        </w:rPr>
        <w:t xml:space="preserve"> </w:t>
      </w:r>
      <w:r w:rsidR="001911F6">
        <w:rPr>
          <w:rFonts w:ascii="Times New Roman" w:hAnsi="Times New Roman" w:cs="Times New Roman"/>
          <w:color w:val="000000" w:themeColor="text1"/>
          <w:sz w:val="28"/>
          <w:szCs w:val="28"/>
        </w:rPr>
        <w:t xml:space="preserve"> Finally, it is </w:t>
      </w:r>
      <w:r>
        <w:rPr>
          <w:rFonts w:ascii="Times New Roman" w:hAnsi="Times New Roman" w:cs="Times New Roman"/>
          <w:color w:val="000000" w:themeColor="text1"/>
          <w:sz w:val="28"/>
          <w:szCs w:val="28"/>
        </w:rPr>
        <w:t xml:space="preserve">relevant that </w:t>
      </w:r>
      <w:r w:rsidR="00070FBC" w:rsidRPr="00377F52">
        <w:rPr>
          <w:rFonts w:ascii="Times New Roman" w:hAnsi="Times New Roman" w:cs="Times New Roman"/>
          <w:color w:val="000000" w:themeColor="text1"/>
          <w:sz w:val="28"/>
          <w:szCs w:val="28"/>
        </w:rPr>
        <w:t>he was able to pay $400.00 per month in support from 2015 until June of 2016</w:t>
      </w:r>
      <w:r>
        <w:rPr>
          <w:rFonts w:ascii="Times New Roman" w:hAnsi="Times New Roman" w:cs="Times New Roman"/>
          <w:color w:val="000000" w:themeColor="text1"/>
          <w:sz w:val="28"/>
          <w:szCs w:val="28"/>
        </w:rPr>
        <w:t xml:space="preserve"> on approximately the same salary.</w:t>
      </w:r>
      <w:r w:rsidR="00070FBC" w:rsidRPr="00377F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B80CF8" w:rsidRPr="00377F52">
        <w:rPr>
          <w:rFonts w:ascii="Times New Roman" w:hAnsi="Times New Roman" w:cs="Times New Roman"/>
          <w:color w:val="000000" w:themeColor="text1"/>
          <w:sz w:val="28"/>
          <w:szCs w:val="28"/>
        </w:rPr>
        <w:t xml:space="preserve"> </w:t>
      </w:r>
    </w:p>
    <w:p w:rsidR="001E45CB" w:rsidRDefault="001E45CB" w:rsidP="00B80CF8">
      <w:pPr>
        <w:spacing w:after="240" w:line="240" w:lineRule="auto"/>
        <w:jc w:val="both"/>
        <w:rPr>
          <w:rFonts w:ascii="Times New Roman" w:hAnsi="Times New Roman" w:cs="Times New Roman"/>
          <w:b/>
          <w:i/>
          <w:color w:val="000000" w:themeColor="text1"/>
          <w:sz w:val="28"/>
          <w:szCs w:val="28"/>
        </w:rPr>
      </w:pPr>
    </w:p>
    <w:p w:rsidR="00B80CF8" w:rsidRPr="00B80CF8" w:rsidRDefault="00B80CF8" w:rsidP="00B80CF8">
      <w:pPr>
        <w:spacing w:after="240" w:line="240" w:lineRule="auto"/>
        <w:jc w:val="both"/>
        <w:rPr>
          <w:rFonts w:ascii="Times New Roman" w:hAnsi="Times New Roman" w:cs="Times New Roman"/>
          <w:b/>
          <w:i/>
          <w:color w:val="000000" w:themeColor="text1"/>
          <w:sz w:val="28"/>
          <w:szCs w:val="28"/>
        </w:rPr>
      </w:pPr>
      <w:r w:rsidRPr="00B80CF8">
        <w:rPr>
          <w:rFonts w:ascii="Times New Roman" w:hAnsi="Times New Roman" w:cs="Times New Roman"/>
          <w:b/>
          <w:i/>
          <w:color w:val="000000" w:themeColor="text1"/>
          <w:sz w:val="28"/>
          <w:szCs w:val="28"/>
        </w:rPr>
        <w:t>Payment of Extraordinary Expenses</w:t>
      </w:r>
    </w:p>
    <w:p w:rsidR="0028265D" w:rsidRDefault="00562C17" w:rsidP="00543C0E">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parties agreed in writing that they would discuss </w:t>
      </w:r>
      <w:r w:rsidR="001911F6">
        <w:rPr>
          <w:rFonts w:ascii="Times New Roman" w:hAnsi="Times New Roman" w:cs="Times New Roman"/>
          <w:color w:val="000000" w:themeColor="text1"/>
          <w:sz w:val="28"/>
          <w:szCs w:val="28"/>
        </w:rPr>
        <w:t xml:space="preserve">extraordinary </w:t>
      </w:r>
      <w:r>
        <w:rPr>
          <w:rFonts w:ascii="Times New Roman" w:hAnsi="Times New Roman" w:cs="Times New Roman"/>
          <w:color w:val="000000" w:themeColor="text1"/>
          <w:sz w:val="28"/>
          <w:szCs w:val="28"/>
        </w:rPr>
        <w:t>expenses before incurring them to determine if they were reasonable or necessary</w:t>
      </w:r>
      <w:r w:rsidR="006F784B">
        <w:rPr>
          <w:rFonts w:ascii="Times New Roman" w:hAnsi="Times New Roman" w:cs="Times New Roman"/>
          <w:color w:val="000000" w:themeColor="text1"/>
          <w:sz w:val="28"/>
          <w:szCs w:val="28"/>
        </w:rPr>
        <w:t xml:space="preserve">. </w:t>
      </w:r>
      <w:r w:rsidR="00377F52">
        <w:rPr>
          <w:rFonts w:ascii="Times New Roman" w:hAnsi="Times New Roman" w:cs="Times New Roman"/>
          <w:color w:val="000000" w:themeColor="text1"/>
          <w:sz w:val="28"/>
          <w:szCs w:val="28"/>
        </w:rPr>
        <w:t xml:space="preserve"> </w:t>
      </w:r>
      <w:r w:rsidR="0028265D">
        <w:rPr>
          <w:rFonts w:ascii="Times New Roman" w:hAnsi="Times New Roman" w:cs="Times New Roman"/>
          <w:color w:val="000000" w:themeColor="text1"/>
          <w:sz w:val="28"/>
          <w:szCs w:val="28"/>
        </w:rPr>
        <w:t xml:space="preserve">It is, of course, implicit in any agreement like this that the parties are expected to act reasonably and have meaningful discussions. </w:t>
      </w:r>
      <w:r w:rsidR="008B5E1B">
        <w:rPr>
          <w:rFonts w:ascii="Times New Roman" w:hAnsi="Times New Roman" w:cs="Times New Roman"/>
          <w:color w:val="000000" w:themeColor="text1"/>
          <w:sz w:val="28"/>
          <w:szCs w:val="28"/>
        </w:rPr>
        <w:t xml:space="preserve"> </w:t>
      </w:r>
      <w:r w:rsidR="0028265D">
        <w:rPr>
          <w:rFonts w:ascii="Times New Roman" w:hAnsi="Times New Roman" w:cs="Times New Roman"/>
          <w:color w:val="000000" w:themeColor="text1"/>
          <w:sz w:val="28"/>
          <w:szCs w:val="28"/>
        </w:rPr>
        <w:t xml:space="preserve">That may – and often does – require the parties to discuss the subject more than once and to </w:t>
      </w:r>
      <w:r w:rsidR="002B68BE">
        <w:rPr>
          <w:rFonts w:ascii="Times New Roman" w:hAnsi="Times New Roman" w:cs="Times New Roman"/>
          <w:color w:val="000000" w:themeColor="text1"/>
          <w:sz w:val="28"/>
          <w:szCs w:val="28"/>
        </w:rPr>
        <w:t>reflect on each other’s point of view before rejecting it or acting unilaterally</w:t>
      </w:r>
      <w:r w:rsidR="001E45CB">
        <w:rPr>
          <w:rFonts w:ascii="Times New Roman" w:hAnsi="Times New Roman" w:cs="Times New Roman"/>
          <w:color w:val="000000" w:themeColor="text1"/>
          <w:sz w:val="28"/>
          <w:szCs w:val="28"/>
        </w:rPr>
        <w:t>, as the case may be</w:t>
      </w:r>
      <w:r w:rsidR="002B68BE">
        <w:rPr>
          <w:rFonts w:ascii="Times New Roman" w:hAnsi="Times New Roman" w:cs="Times New Roman"/>
          <w:color w:val="000000" w:themeColor="text1"/>
          <w:sz w:val="28"/>
          <w:szCs w:val="28"/>
        </w:rPr>
        <w:t>.</w:t>
      </w:r>
      <w:r w:rsidR="007B53B7">
        <w:rPr>
          <w:rFonts w:ascii="Times New Roman" w:hAnsi="Times New Roman" w:cs="Times New Roman"/>
          <w:color w:val="000000" w:themeColor="text1"/>
          <w:sz w:val="28"/>
          <w:szCs w:val="28"/>
        </w:rPr>
        <w:t xml:space="preserve"> </w:t>
      </w:r>
      <w:r w:rsidR="002B68BE">
        <w:rPr>
          <w:rFonts w:ascii="Times New Roman" w:hAnsi="Times New Roman" w:cs="Times New Roman"/>
          <w:color w:val="000000" w:themeColor="text1"/>
          <w:sz w:val="28"/>
          <w:szCs w:val="28"/>
        </w:rPr>
        <w:t xml:space="preserve"> Although not the ideal solution, if one party is acting unreasonably, it is open to the other to b</w:t>
      </w:r>
      <w:r w:rsidR="001911F6">
        <w:rPr>
          <w:rFonts w:ascii="Times New Roman" w:hAnsi="Times New Roman" w:cs="Times New Roman"/>
          <w:color w:val="000000" w:themeColor="text1"/>
          <w:sz w:val="28"/>
          <w:szCs w:val="28"/>
        </w:rPr>
        <w:t xml:space="preserve">ring the matter to a court of competent </w:t>
      </w:r>
      <w:r w:rsidR="002B68BE">
        <w:rPr>
          <w:rFonts w:ascii="Times New Roman" w:hAnsi="Times New Roman" w:cs="Times New Roman"/>
          <w:color w:val="000000" w:themeColor="text1"/>
          <w:sz w:val="28"/>
          <w:szCs w:val="28"/>
        </w:rPr>
        <w:t xml:space="preserve">jurisdiction to decide the matter. </w:t>
      </w:r>
    </w:p>
    <w:p w:rsidR="001E45CB" w:rsidRDefault="00543C0E" w:rsidP="002B68BE">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With respect to the cost of hockey for L., the expenses incurred in 2014 and in 2015 were extraordinary in that they exceed</w:t>
      </w:r>
      <w:r w:rsidR="00566F7B">
        <w:rPr>
          <w:rFonts w:ascii="Times New Roman" w:hAnsi="Times New Roman" w:cs="Times New Roman"/>
          <w:color w:val="000000" w:themeColor="text1"/>
          <w:sz w:val="28"/>
          <w:szCs w:val="28"/>
        </w:rPr>
        <w:t>ed</w:t>
      </w:r>
      <w:r>
        <w:rPr>
          <w:rFonts w:ascii="Times New Roman" w:hAnsi="Times New Roman" w:cs="Times New Roman"/>
          <w:color w:val="000000" w:themeColor="text1"/>
          <w:sz w:val="28"/>
          <w:szCs w:val="28"/>
        </w:rPr>
        <w:t xml:space="preserve"> what the cost would have been had L. remained at home wit</w:t>
      </w:r>
      <w:r w:rsidR="00566F7B">
        <w:rPr>
          <w:rFonts w:ascii="Times New Roman" w:hAnsi="Times New Roman" w:cs="Times New Roman"/>
          <w:color w:val="000000" w:themeColor="text1"/>
          <w:sz w:val="28"/>
          <w:szCs w:val="28"/>
        </w:rPr>
        <w:t>h Ms. Hewitt and played in the local league.</w:t>
      </w:r>
      <w:r w:rsidR="00C66A5C">
        <w:rPr>
          <w:rFonts w:ascii="Times New Roman" w:hAnsi="Times New Roman" w:cs="Times New Roman"/>
          <w:color w:val="000000" w:themeColor="text1"/>
          <w:sz w:val="28"/>
          <w:szCs w:val="28"/>
        </w:rPr>
        <w:t xml:space="preserve"> </w:t>
      </w:r>
      <w:r w:rsidR="00566F7B">
        <w:rPr>
          <w:rFonts w:ascii="Times New Roman" w:hAnsi="Times New Roman" w:cs="Times New Roman"/>
          <w:color w:val="000000" w:themeColor="text1"/>
          <w:sz w:val="28"/>
          <w:szCs w:val="28"/>
        </w:rPr>
        <w:t xml:space="preserve"> </w:t>
      </w:r>
      <w:r w:rsidR="001911F6">
        <w:rPr>
          <w:rFonts w:ascii="Times New Roman" w:hAnsi="Times New Roman" w:cs="Times New Roman"/>
          <w:color w:val="000000" w:themeColor="text1"/>
          <w:sz w:val="28"/>
          <w:szCs w:val="28"/>
        </w:rPr>
        <w:t xml:space="preserve">Total expenses for the 2014-15 season exceeded </w:t>
      </w:r>
      <w:r w:rsidR="001911F6">
        <w:rPr>
          <w:rFonts w:ascii="Times New Roman" w:hAnsi="Times New Roman" w:cs="Times New Roman"/>
          <w:color w:val="000000" w:themeColor="text1"/>
          <w:sz w:val="28"/>
          <w:szCs w:val="28"/>
        </w:rPr>
        <w:lastRenderedPageBreak/>
        <w:t xml:space="preserve">$5,000.00 and those for the 2015-16 season were more than $10,000.00. </w:t>
      </w:r>
    </w:p>
    <w:p w:rsidR="002B68BE" w:rsidRPr="001E45CB" w:rsidRDefault="001E45CB" w:rsidP="001E45C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566F7B">
        <w:rPr>
          <w:rFonts w:ascii="Times New Roman" w:hAnsi="Times New Roman" w:cs="Times New Roman"/>
          <w:color w:val="000000" w:themeColor="text1"/>
          <w:sz w:val="28"/>
          <w:szCs w:val="28"/>
        </w:rPr>
        <w:t xml:space="preserve">I appreciate that enrolling L. in </w:t>
      </w:r>
      <w:r>
        <w:rPr>
          <w:rFonts w:ascii="Times New Roman" w:hAnsi="Times New Roman" w:cs="Times New Roman"/>
          <w:color w:val="000000" w:themeColor="text1"/>
          <w:sz w:val="28"/>
          <w:szCs w:val="28"/>
        </w:rPr>
        <w:t xml:space="preserve">the </w:t>
      </w:r>
      <w:r w:rsidRPr="00566F7B">
        <w:rPr>
          <w:rFonts w:ascii="Times New Roman" w:hAnsi="Times New Roman" w:cs="Times New Roman"/>
          <w:color w:val="000000" w:themeColor="text1"/>
          <w:sz w:val="28"/>
          <w:szCs w:val="28"/>
        </w:rPr>
        <w:t>hockey</w:t>
      </w:r>
      <w:r>
        <w:rPr>
          <w:rFonts w:ascii="Times New Roman" w:hAnsi="Times New Roman" w:cs="Times New Roman"/>
          <w:color w:val="000000" w:themeColor="text1"/>
          <w:sz w:val="28"/>
          <w:szCs w:val="28"/>
        </w:rPr>
        <w:t xml:space="preserve"> programs</w:t>
      </w:r>
      <w:r w:rsidRPr="00566F7B">
        <w:rPr>
          <w:rFonts w:ascii="Times New Roman" w:hAnsi="Times New Roman" w:cs="Times New Roman"/>
          <w:color w:val="000000" w:themeColor="text1"/>
          <w:sz w:val="28"/>
          <w:szCs w:val="28"/>
        </w:rPr>
        <w:t xml:space="preserve"> may have had many benefits for him and that Ms. Hewitt had</w:t>
      </w:r>
      <w:r>
        <w:rPr>
          <w:rFonts w:ascii="Times New Roman" w:hAnsi="Times New Roman" w:cs="Times New Roman"/>
          <w:color w:val="000000" w:themeColor="text1"/>
          <w:sz w:val="28"/>
          <w:szCs w:val="28"/>
        </w:rPr>
        <w:t xml:space="preserve"> his best interests in her mind when she made the decision to do so.</w:t>
      </w:r>
      <w:r w:rsidR="008B4E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66F7B">
        <w:rPr>
          <w:rFonts w:ascii="Times New Roman" w:hAnsi="Times New Roman" w:cs="Times New Roman"/>
          <w:color w:val="000000" w:themeColor="text1"/>
          <w:sz w:val="28"/>
          <w:szCs w:val="28"/>
        </w:rPr>
        <w:t>The problem</w:t>
      </w:r>
      <w:r>
        <w:rPr>
          <w:rFonts w:ascii="Times New Roman" w:hAnsi="Times New Roman" w:cs="Times New Roman"/>
          <w:color w:val="000000" w:themeColor="text1"/>
          <w:sz w:val="28"/>
          <w:szCs w:val="28"/>
        </w:rPr>
        <w:t xml:space="preserve"> here</w:t>
      </w:r>
      <w:r w:rsidR="00566F7B">
        <w:rPr>
          <w:rFonts w:ascii="Times New Roman" w:hAnsi="Times New Roman" w:cs="Times New Roman"/>
          <w:color w:val="000000" w:themeColor="text1"/>
          <w:sz w:val="28"/>
          <w:szCs w:val="28"/>
        </w:rPr>
        <w:t xml:space="preserve"> is that the parties did not engage in a m</w:t>
      </w:r>
      <w:r w:rsidR="001911F6">
        <w:rPr>
          <w:rFonts w:ascii="Times New Roman" w:hAnsi="Times New Roman" w:cs="Times New Roman"/>
          <w:color w:val="000000" w:themeColor="text1"/>
          <w:sz w:val="28"/>
          <w:szCs w:val="28"/>
        </w:rPr>
        <w:t>eaningful discussion</w:t>
      </w:r>
      <w:r>
        <w:rPr>
          <w:rFonts w:ascii="Times New Roman" w:hAnsi="Times New Roman" w:cs="Times New Roman"/>
          <w:color w:val="000000" w:themeColor="text1"/>
          <w:sz w:val="28"/>
          <w:szCs w:val="28"/>
        </w:rPr>
        <w:t>s</w:t>
      </w:r>
      <w:r w:rsidR="001911F6">
        <w:rPr>
          <w:rFonts w:ascii="Times New Roman" w:hAnsi="Times New Roman" w:cs="Times New Roman"/>
          <w:color w:val="000000" w:themeColor="text1"/>
          <w:sz w:val="28"/>
          <w:szCs w:val="28"/>
        </w:rPr>
        <w:t xml:space="preserve"> about necessity and reasonableness </w:t>
      </w:r>
      <w:r>
        <w:rPr>
          <w:rFonts w:ascii="Times New Roman" w:hAnsi="Times New Roman" w:cs="Times New Roman"/>
          <w:color w:val="000000" w:themeColor="text1"/>
          <w:sz w:val="28"/>
          <w:szCs w:val="28"/>
        </w:rPr>
        <w:t>before Ms. Hewitt incurred the expenses, as the</w:t>
      </w:r>
      <w:r w:rsidR="00DC6219">
        <w:rPr>
          <w:rFonts w:ascii="Times New Roman" w:hAnsi="Times New Roman" w:cs="Times New Roman"/>
          <w:color w:val="000000" w:themeColor="text1"/>
          <w:sz w:val="28"/>
          <w:szCs w:val="28"/>
        </w:rPr>
        <w:t>ir agreement required them to do.</w:t>
      </w:r>
      <w:r w:rsidR="008B4E26">
        <w:rPr>
          <w:rFonts w:ascii="Times New Roman" w:hAnsi="Times New Roman" w:cs="Times New Roman"/>
          <w:color w:val="000000" w:themeColor="text1"/>
          <w:sz w:val="28"/>
          <w:szCs w:val="28"/>
        </w:rPr>
        <w:t xml:space="preserve"> </w:t>
      </w:r>
      <w:r w:rsidR="00566F7B">
        <w:rPr>
          <w:rFonts w:ascii="Times New Roman" w:hAnsi="Times New Roman" w:cs="Times New Roman"/>
          <w:color w:val="000000" w:themeColor="text1"/>
          <w:sz w:val="28"/>
          <w:szCs w:val="28"/>
        </w:rPr>
        <w:t xml:space="preserve"> </w:t>
      </w:r>
      <w:r w:rsidR="00543C0E" w:rsidRPr="00566F7B">
        <w:rPr>
          <w:rFonts w:ascii="Times New Roman" w:hAnsi="Times New Roman" w:cs="Times New Roman"/>
          <w:color w:val="000000" w:themeColor="text1"/>
          <w:sz w:val="28"/>
          <w:szCs w:val="28"/>
        </w:rPr>
        <w:t>With respect to the 201</w:t>
      </w:r>
      <w:r w:rsidR="0028265D" w:rsidRPr="00566F7B">
        <w:rPr>
          <w:rFonts w:ascii="Times New Roman" w:hAnsi="Times New Roman" w:cs="Times New Roman"/>
          <w:color w:val="000000" w:themeColor="text1"/>
          <w:sz w:val="28"/>
          <w:szCs w:val="28"/>
        </w:rPr>
        <w:t>4</w:t>
      </w:r>
      <w:r w:rsidR="00543C0E" w:rsidRPr="00566F7B">
        <w:rPr>
          <w:rFonts w:ascii="Times New Roman" w:hAnsi="Times New Roman" w:cs="Times New Roman"/>
          <w:color w:val="000000" w:themeColor="text1"/>
          <w:sz w:val="28"/>
          <w:szCs w:val="28"/>
        </w:rPr>
        <w:t xml:space="preserve"> expenses, </w:t>
      </w:r>
      <w:r w:rsidR="00562C17" w:rsidRPr="00566F7B">
        <w:rPr>
          <w:rFonts w:ascii="Times New Roman" w:hAnsi="Times New Roman" w:cs="Times New Roman"/>
          <w:color w:val="000000" w:themeColor="text1"/>
          <w:sz w:val="28"/>
          <w:szCs w:val="28"/>
        </w:rPr>
        <w:t xml:space="preserve">Mr. Yatkowsky </w:t>
      </w:r>
      <w:r w:rsidR="0028265D" w:rsidRPr="00566F7B">
        <w:rPr>
          <w:rFonts w:ascii="Times New Roman" w:hAnsi="Times New Roman" w:cs="Times New Roman"/>
          <w:color w:val="000000" w:themeColor="text1"/>
          <w:sz w:val="28"/>
          <w:szCs w:val="28"/>
        </w:rPr>
        <w:t xml:space="preserve">made a proposal to pay the expenses, albeit not </w:t>
      </w:r>
      <w:r w:rsidR="002B68BE">
        <w:rPr>
          <w:rFonts w:ascii="Times New Roman" w:hAnsi="Times New Roman" w:cs="Times New Roman"/>
          <w:color w:val="000000" w:themeColor="text1"/>
          <w:sz w:val="28"/>
          <w:szCs w:val="28"/>
        </w:rPr>
        <w:t>a particularly</w:t>
      </w:r>
      <w:r w:rsidR="0028265D" w:rsidRPr="00566F7B">
        <w:rPr>
          <w:rFonts w:ascii="Times New Roman" w:hAnsi="Times New Roman" w:cs="Times New Roman"/>
          <w:color w:val="000000" w:themeColor="text1"/>
          <w:sz w:val="28"/>
          <w:szCs w:val="28"/>
        </w:rPr>
        <w:t xml:space="preserve"> reasonable</w:t>
      </w:r>
      <w:r w:rsidR="002B68BE">
        <w:rPr>
          <w:rFonts w:ascii="Times New Roman" w:hAnsi="Times New Roman" w:cs="Times New Roman"/>
          <w:color w:val="000000" w:themeColor="text1"/>
          <w:sz w:val="28"/>
          <w:szCs w:val="28"/>
        </w:rPr>
        <w:t xml:space="preserve"> one</w:t>
      </w:r>
      <w:r w:rsidR="0028265D" w:rsidRPr="00566F7B">
        <w:rPr>
          <w:rFonts w:ascii="Times New Roman" w:hAnsi="Times New Roman" w:cs="Times New Roman"/>
          <w:color w:val="000000" w:themeColor="text1"/>
          <w:sz w:val="28"/>
          <w:szCs w:val="28"/>
        </w:rPr>
        <w:t xml:space="preserve">.  That </w:t>
      </w:r>
      <w:r w:rsidR="00566F7B">
        <w:rPr>
          <w:rFonts w:ascii="Times New Roman" w:hAnsi="Times New Roman" w:cs="Times New Roman"/>
          <w:color w:val="000000" w:themeColor="text1"/>
          <w:sz w:val="28"/>
          <w:szCs w:val="28"/>
        </w:rPr>
        <w:t xml:space="preserve">proposal </w:t>
      </w:r>
      <w:r w:rsidR="0028265D" w:rsidRPr="00566F7B">
        <w:rPr>
          <w:rFonts w:ascii="Times New Roman" w:hAnsi="Times New Roman" w:cs="Times New Roman"/>
          <w:color w:val="000000" w:themeColor="text1"/>
          <w:sz w:val="28"/>
          <w:szCs w:val="28"/>
        </w:rPr>
        <w:t>was rejected by Ms. Hewitt</w:t>
      </w:r>
      <w:r w:rsidR="00566F7B">
        <w:rPr>
          <w:rFonts w:ascii="Times New Roman" w:hAnsi="Times New Roman" w:cs="Times New Roman"/>
          <w:color w:val="000000" w:themeColor="text1"/>
          <w:sz w:val="28"/>
          <w:szCs w:val="28"/>
        </w:rPr>
        <w:t>.  She</w:t>
      </w:r>
      <w:r w:rsidR="0028265D" w:rsidRPr="00566F7B">
        <w:rPr>
          <w:rFonts w:ascii="Times New Roman" w:hAnsi="Times New Roman" w:cs="Times New Roman"/>
          <w:color w:val="000000" w:themeColor="text1"/>
          <w:sz w:val="28"/>
          <w:szCs w:val="28"/>
        </w:rPr>
        <w:t xml:space="preserve"> </w:t>
      </w:r>
      <w:r w:rsidR="00566F7B">
        <w:rPr>
          <w:rFonts w:ascii="Times New Roman" w:hAnsi="Times New Roman" w:cs="Times New Roman"/>
          <w:color w:val="000000" w:themeColor="text1"/>
          <w:sz w:val="28"/>
          <w:szCs w:val="28"/>
        </w:rPr>
        <w:t xml:space="preserve">then </w:t>
      </w:r>
      <w:r w:rsidR="0028265D" w:rsidRPr="00566F7B">
        <w:rPr>
          <w:rFonts w:ascii="Times New Roman" w:hAnsi="Times New Roman" w:cs="Times New Roman"/>
          <w:color w:val="000000" w:themeColor="text1"/>
          <w:sz w:val="28"/>
          <w:szCs w:val="28"/>
        </w:rPr>
        <w:t>appeared t</w:t>
      </w:r>
      <w:r w:rsidR="002B68BE">
        <w:rPr>
          <w:rFonts w:ascii="Times New Roman" w:hAnsi="Times New Roman" w:cs="Times New Roman"/>
          <w:color w:val="000000" w:themeColor="text1"/>
          <w:sz w:val="28"/>
          <w:szCs w:val="28"/>
        </w:rPr>
        <w:t xml:space="preserve">o rescind her request and she incurred the expenses on her own. </w:t>
      </w:r>
      <w:r w:rsidR="00C66A5C">
        <w:rPr>
          <w:rFonts w:ascii="Times New Roman" w:hAnsi="Times New Roman" w:cs="Times New Roman"/>
          <w:color w:val="000000" w:themeColor="text1"/>
          <w:sz w:val="28"/>
          <w:szCs w:val="28"/>
        </w:rPr>
        <w:t xml:space="preserve"> </w:t>
      </w:r>
      <w:r w:rsidR="00566F7B" w:rsidRPr="001E45CB">
        <w:rPr>
          <w:rFonts w:ascii="Times New Roman" w:hAnsi="Times New Roman" w:cs="Times New Roman"/>
          <w:color w:val="000000" w:themeColor="text1"/>
          <w:sz w:val="28"/>
          <w:szCs w:val="28"/>
        </w:rPr>
        <w:t>As</w:t>
      </w:r>
      <w:r w:rsidR="0028265D" w:rsidRPr="001E45CB">
        <w:rPr>
          <w:rFonts w:ascii="Times New Roman" w:hAnsi="Times New Roman" w:cs="Times New Roman"/>
          <w:color w:val="000000" w:themeColor="text1"/>
          <w:sz w:val="28"/>
          <w:szCs w:val="28"/>
        </w:rPr>
        <w:t xml:space="preserve"> to the 2015 expenses, there is no evidence that the matter was ever discussed before the expenses were incurred. </w:t>
      </w:r>
    </w:p>
    <w:p w:rsidR="006F784B" w:rsidRPr="00566F7B" w:rsidRDefault="001911F6" w:rsidP="00566F7B">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Barring a finding that Mr. Yatkowsky refused to have the discussions or to respond, neither of which is made out on the evidence, he is not required to contribute to these expenses.</w:t>
      </w:r>
    </w:p>
    <w:p w:rsidR="00DE6707" w:rsidRDefault="004C44F4" w:rsidP="00562C1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With respect to the orthodontic treatment, there is no evidence that the treatment is reasonable or necessary</w:t>
      </w:r>
      <w:r w:rsidR="001911F6">
        <w:rPr>
          <w:rFonts w:ascii="Times New Roman" w:hAnsi="Times New Roman" w:cs="Times New Roman"/>
          <w:color w:val="000000" w:themeColor="text1"/>
          <w:sz w:val="28"/>
          <w:szCs w:val="28"/>
        </w:rPr>
        <w:t xml:space="preserve"> and Ms. Hewitt’s evidence that the cost would be $6,000.00 is too dated to be reliable</w:t>
      </w:r>
      <w:r>
        <w:rPr>
          <w:rFonts w:ascii="Times New Roman" w:hAnsi="Times New Roman" w:cs="Times New Roman"/>
          <w:color w:val="000000" w:themeColor="text1"/>
          <w:sz w:val="28"/>
          <w:szCs w:val="28"/>
        </w:rPr>
        <w:t xml:space="preserve">.  </w:t>
      </w:r>
      <w:r w:rsidR="00DC6219">
        <w:rPr>
          <w:rFonts w:ascii="Times New Roman" w:hAnsi="Times New Roman" w:cs="Times New Roman"/>
          <w:color w:val="000000" w:themeColor="text1"/>
          <w:sz w:val="28"/>
          <w:szCs w:val="28"/>
        </w:rPr>
        <w:t xml:space="preserve">Further, </w:t>
      </w:r>
      <w:r w:rsidR="003E13E6">
        <w:rPr>
          <w:rFonts w:ascii="Times New Roman" w:hAnsi="Times New Roman" w:cs="Times New Roman"/>
          <w:color w:val="000000" w:themeColor="text1"/>
          <w:sz w:val="28"/>
          <w:szCs w:val="28"/>
        </w:rPr>
        <w:t>there is no evidence of any discussions of the matter</w:t>
      </w:r>
      <w:r w:rsidR="00DC6219">
        <w:rPr>
          <w:rFonts w:ascii="Times New Roman" w:hAnsi="Times New Roman" w:cs="Times New Roman"/>
          <w:color w:val="000000" w:themeColor="text1"/>
          <w:sz w:val="28"/>
          <w:szCs w:val="28"/>
        </w:rPr>
        <w:t>, other than Ms. Hewitt’s evidence that Mr. Yatkowsky was present during the initial assessment when L. was 10 years old.</w:t>
      </w:r>
      <w:r>
        <w:rPr>
          <w:rFonts w:ascii="Times New Roman" w:hAnsi="Times New Roman" w:cs="Times New Roman"/>
          <w:color w:val="000000" w:themeColor="text1"/>
          <w:sz w:val="28"/>
          <w:szCs w:val="28"/>
        </w:rPr>
        <w:t xml:space="preserve"> </w:t>
      </w:r>
    </w:p>
    <w:p w:rsidR="00E36A66" w:rsidRPr="004C44F4" w:rsidRDefault="003E13E6" w:rsidP="00562C1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For the foregoing reasons, I find </w:t>
      </w:r>
      <w:r w:rsidR="00E36A66">
        <w:rPr>
          <w:rFonts w:ascii="Times New Roman" w:hAnsi="Times New Roman" w:cs="Times New Roman"/>
          <w:color w:val="000000" w:themeColor="text1"/>
          <w:sz w:val="28"/>
          <w:szCs w:val="28"/>
        </w:rPr>
        <w:t>Mr. Yatkowsky is not legally responsible for payment of any part of the expenses incurred by Ms. Hewitt for L.’s hockey activities, nor the anticipated cost of orthodontic treatment.</w:t>
      </w:r>
    </w:p>
    <w:p w:rsidR="00A8597C" w:rsidRPr="00A8597C" w:rsidRDefault="00850F2E" w:rsidP="00A8597C">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CONCLUSION</w:t>
      </w:r>
    </w:p>
    <w:p w:rsidR="00A8597C" w:rsidRDefault="004C44F4" w:rsidP="00A8597C">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application to vary support retroactively is granted in part.</w:t>
      </w:r>
      <w:r w:rsidR="00C66A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Mr. Yatkowsky shall pay Ms. Hewitt child support in the amount of $14,816.22</w:t>
      </w:r>
      <w:r w:rsidR="002B68BE">
        <w:rPr>
          <w:rFonts w:ascii="Times New Roman" w:hAnsi="Times New Roman" w:cs="Times New Roman"/>
          <w:color w:val="000000" w:themeColor="text1"/>
          <w:sz w:val="28"/>
          <w:szCs w:val="28"/>
        </w:rPr>
        <w:t xml:space="preserve"> in installment</w:t>
      </w:r>
      <w:r w:rsidR="006F3776">
        <w:rPr>
          <w:rFonts w:ascii="Times New Roman" w:hAnsi="Times New Roman" w:cs="Times New Roman"/>
          <w:color w:val="000000" w:themeColor="text1"/>
          <w:sz w:val="28"/>
          <w:szCs w:val="28"/>
        </w:rPr>
        <w:t>s</w:t>
      </w:r>
      <w:r w:rsidR="002B68BE">
        <w:rPr>
          <w:rFonts w:ascii="Times New Roman" w:hAnsi="Times New Roman" w:cs="Times New Roman"/>
          <w:color w:val="000000" w:themeColor="text1"/>
          <w:sz w:val="28"/>
          <w:szCs w:val="28"/>
        </w:rPr>
        <w:t xml:space="preserve"> of $500.00 per month.  Those payments will commence March 1, 2018 and will cont</w:t>
      </w:r>
      <w:r w:rsidR="003E13E6">
        <w:rPr>
          <w:rFonts w:ascii="Times New Roman" w:hAnsi="Times New Roman" w:cs="Times New Roman"/>
          <w:color w:val="000000" w:themeColor="text1"/>
          <w:sz w:val="28"/>
          <w:szCs w:val="28"/>
        </w:rPr>
        <w:t xml:space="preserve">inue </w:t>
      </w:r>
      <w:r w:rsidR="00DC6219">
        <w:rPr>
          <w:rFonts w:ascii="Times New Roman" w:hAnsi="Times New Roman" w:cs="Times New Roman"/>
          <w:color w:val="000000" w:themeColor="text1"/>
          <w:sz w:val="28"/>
          <w:szCs w:val="28"/>
        </w:rPr>
        <w:t xml:space="preserve">on the first day of every month thereafter </w:t>
      </w:r>
      <w:r w:rsidR="003E13E6">
        <w:rPr>
          <w:rFonts w:ascii="Times New Roman" w:hAnsi="Times New Roman" w:cs="Times New Roman"/>
          <w:color w:val="000000" w:themeColor="text1"/>
          <w:sz w:val="28"/>
          <w:szCs w:val="28"/>
        </w:rPr>
        <w:t>until the amount is paid in full.</w:t>
      </w:r>
      <w:r w:rsidR="00DC6219">
        <w:rPr>
          <w:rFonts w:ascii="Times New Roman" w:hAnsi="Times New Roman" w:cs="Times New Roman"/>
          <w:color w:val="000000" w:themeColor="text1"/>
          <w:sz w:val="28"/>
          <w:szCs w:val="28"/>
        </w:rPr>
        <w:t xml:space="preserve"> </w:t>
      </w:r>
    </w:p>
    <w:p w:rsidR="00DC6219" w:rsidRPr="00A8597C" w:rsidRDefault="00DC6219" w:rsidP="00A8597C">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confirmed that Mr. Yatkowsky’s obligation to pay child support for L. ceased on June 30, 2016.</w:t>
      </w:r>
    </w:p>
    <w:p w:rsidR="00850F2E" w:rsidRDefault="00850F2E" w:rsidP="00850F2E">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application for </w:t>
      </w:r>
      <w:r w:rsidR="005A3393">
        <w:rPr>
          <w:rFonts w:ascii="Times New Roman" w:hAnsi="Times New Roman" w:cs="Times New Roman"/>
          <w:color w:val="000000" w:themeColor="text1"/>
          <w:sz w:val="28"/>
          <w:szCs w:val="28"/>
        </w:rPr>
        <w:t>recovery of extraordinary expenses is dismissed.</w:t>
      </w:r>
    </w:p>
    <w:p w:rsidR="005A3393" w:rsidRDefault="003E13E6" w:rsidP="00850F2E">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Neither party prevailed</w:t>
      </w:r>
      <w:r w:rsidR="002A16E8">
        <w:rPr>
          <w:rFonts w:ascii="Times New Roman" w:hAnsi="Times New Roman" w:cs="Times New Roman"/>
          <w:color w:val="000000" w:themeColor="text1"/>
          <w:sz w:val="28"/>
          <w:szCs w:val="28"/>
        </w:rPr>
        <w:t xml:space="preserve">. </w:t>
      </w:r>
      <w:r w:rsidR="008B4E26">
        <w:rPr>
          <w:rFonts w:ascii="Times New Roman" w:hAnsi="Times New Roman" w:cs="Times New Roman"/>
          <w:color w:val="000000" w:themeColor="text1"/>
          <w:sz w:val="28"/>
          <w:szCs w:val="28"/>
        </w:rPr>
        <w:t xml:space="preserve"> </w:t>
      </w:r>
      <w:r w:rsidR="002A16E8">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ccordingly, e</w:t>
      </w:r>
      <w:r w:rsidR="005A3393">
        <w:rPr>
          <w:rFonts w:ascii="Times New Roman" w:hAnsi="Times New Roman" w:cs="Times New Roman"/>
          <w:color w:val="000000" w:themeColor="text1"/>
          <w:sz w:val="28"/>
          <w:szCs w:val="28"/>
        </w:rPr>
        <w:t>ach shall bear their own costs.</w:t>
      </w:r>
    </w:p>
    <w:p w:rsidR="002B68BE" w:rsidRDefault="002B68BE" w:rsidP="002B68BE">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DF2CAF" w:rsidRPr="00D70AD0" w:rsidRDefault="00DF2CAF" w:rsidP="00DF2CAF">
      <w:pPr>
        <w:pStyle w:val="ListParagraph"/>
        <w:spacing w:after="240" w:line="240" w:lineRule="auto"/>
        <w:contextualSpacing w:val="0"/>
        <w:jc w:val="both"/>
        <w:rPr>
          <w:rFonts w:ascii="Times New Roman" w:hAnsi="Times New Roman" w:cs="Times New Roman"/>
          <w:color w:val="000000" w:themeColor="text1"/>
          <w:sz w:val="28"/>
          <w:szCs w:val="28"/>
        </w:rPr>
      </w:pPr>
    </w:p>
    <w:p w:rsidR="00DC4736" w:rsidRPr="00506689" w:rsidRDefault="00DC4736" w:rsidP="00DC4736">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DC4736" w:rsidRPr="00506689" w:rsidRDefault="00DC4736" w:rsidP="00DC4736">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K. Shaner</w:t>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J.S.C.</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00007" w:rsidP="00DC4736">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 xml:space="preserve">this </w:t>
      </w:r>
      <w:r w:rsidR="00703B61">
        <w:rPr>
          <w:rFonts w:ascii="Times New Roman" w:hAnsi="Times New Roman" w:cs="Times New Roman"/>
          <w:color w:val="000000" w:themeColor="text1"/>
          <w:sz w:val="28"/>
          <w:szCs w:val="28"/>
        </w:rPr>
        <w:t>23</w:t>
      </w:r>
      <w:r w:rsidR="00703B61" w:rsidRPr="00703B61">
        <w:rPr>
          <w:rFonts w:ascii="Times New Roman" w:hAnsi="Times New Roman" w:cs="Times New Roman"/>
          <w:color w:val="000000" w:themeColor="text1"/>
          <w:sz w:val="28"/>
          <w:szCs w:val="28"/>
          <w:vertAlign w:val="superscript"/>
        </w:rPr>
        <w:t>rd</w:t>
      </w:r>
      <w:r w:rsidR="00703B61">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 day of </w:t>
      </w:r>
      <w:r w:rsidR="00455139">
        <w:rPr>
          <w:rFonts w:ascii="Times New Roman" w:hAnsi="Times New Roman" w:cs="Times New Roman"/>
          <w:color w:val="000000" w:themeColor="text1"/>
          <w:sz w:val="28"/>
          <w:szCs w:val="28"/>
        </w:rPr>
        <w:t>January</w:t>
      </w:r>
      <w:r w:rsidR="00DC4736" w:rsidRPr="00506689">
        <w:rPr>
          <w:rFonts w:ascii="Times New Roman" w:hAnsi="Times New Roman" w:cs="Times New Roman"/>
          <w:color w:val="000000" w:themeColor="text1"/>
          <w:sz w:val="28"/>
          <w:szCs w:val="28"/>
        </w:rPr>
        <w:t>, 201</w:t>
      </w:r>
      <w:r w:rsidR="005A3393">
        <w:rPr>
          <w:rFonts w:ascii="Times New Roman" w:hAnsi="Times New Roman" w:cs="Times New Roman"/>
          <w:color w:val="000000" w:themeColor="text1"/>
          <w:sz w:val="28"/>
          <w:szCs w:val="28"/>
        </w:rPr>
        <w:t>8</w:t>
      </w:r>
      <w:r w:rsidR="00DC4736" w:rsidRPr="00506689">
        <w:rPr>
          <w:rFonts w:ascii="Times New Roman" w:hAnsi="Times New Roman" w:cs="Times New Roman"/>
          <w:color w:val="000000" w:themeColor="text1"/>
          <w:sz w:val="28"/>
          <w:szCs w:val="28"/>
        </w:rPr>
        <w:t>.</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p>
    <w:p w:rsidR="00DC4736" w:rsidRDefault="00DC4736" w:rsidP="00DC4736">
      <w:pPr>
        <w:spacing w:after="0"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 xml:space="preserve">Counsel for the </w:t>
      </w:r>
      <w:r w:rsidR="00734699">
        <w:rPr>
          <w:rFonts w:ascii="Times New Roman" w:hAnsi="Times New Roman" w:cs="Times New Roman"/>
          <w:color w:val="000000" w:themeColor="text1"/>
          <w:sz w:val="28"/>
          <w:szCs w:val="28"/>
        </w:rPr>
        <w:t>D</w:t>
      </w:r>
      <w:r w:rsidR="002D0E93">
        <w:rPr>
          <w:rFonts w:ascii="Times New Roman" w:hAnsi="Times New Roman" w:cs="Times New Roman"/>
          <w:color w:val="000000" w:themeColor="text1"/>
          <w:sz w:val="28"/>
          <w:szCs w:val="28"/>
        </w:rPr>
        <w:t xml:space="preserve">esignated Authority:  </w:t>
      </w:r>
      <w:r w:rsidR="005A3393">
        <w:rPr>
          <w:rFonts w:ascii="Times New Roman" w:hAnsi="Times New Roman" w:cs="Times New Roman"/>
          <w:color w:val="000000" w:themeColor="text1"/>
          <w:sz w:val="28"/>
          <w:szCs w:val="28"/>
        </w:rPr>
        <w:tab/>
        <w:t>Jan</w:t>
      </w:r>
      <w:bookmarkStart w:id="2" w:name="_GoBack"/>
      <w:bookmarkEnd w:id="2"/>
      <w:r w:rsidR="005A3393">
        <w:rPr>
          <w:rFonts w:ascii="Times New Roman" w:hAnsi="Times New Roman" w:cs="Times New Roman"/>
          <w:color w:val="000000" w:themeColor="text1"/>
          <w:sz w:val="28"/>
          <w:szCs w:val="28"/>
        </w:rPr>
        <w:t>a Shoemaker</w:t>
      </w:r>
    </w:p>
    <w:p w:rsidR="005A3393" w:rsidRPr="00506689" w:rsidRDefault="005A3393" w:rsidP="00DC4736">
      <w:pPr>
        <w:spacing w:after="0" w:line="240" w:lineRule="auto"/>
        <w:rPr>
          <w:rFonts w:ascii="Times New Roman" w:hAnsi="Times New Roman" w:cs="Times New Roman"/>
          <w:color w:val="000000" w:themeColor="text1"/>
          <w:sz w:val="28"/>
          <w:szCs w:val="28"/>
        </w:rPr>
      </w:pPr>
    </w:p>
    <w:p w:rsidR="00794C00" w:rsidRDefault="005A3393" w:rsidP="00BE330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Mr. Yatkowsky:</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Paul Parker</w:t>
      </w:r>
      <w:r w:rsidR="00100007" w:rsidRPr="00506689">
        <w:rPr>
          <w:rFonts w:ascii="Times New Roman" w:hAnsi="Times New Roman" w:cs="Times New Roman"/>
          <w:color w:val="000000" w:themeColor="text1"/>
          <w:sz w:val="28"/>
          <w:szCs w:val="28"/>
        </w:rPr>
        <w:tab/>
      </w:r>
      <w:r w:rsidR="00100007" w:rsidRPr="00506689">
        <w:rPr>
          <w:rFonts w:ascii="Times New Roman" w:hAnsi="Times New Roman" w:cs="Times New Roman"/>
          <w:color w:val="000000" w:themeColor="text1"/>
          <w:sz w:val="28"/>
          <w:szCs w:val="28"/>
        </w:rPr>
        <w:tab/>
      </w:r>
    </w:p>
    <w:p w:rsidR="00794C00" w:rsidRDefault="00794C00" w:rsidP="00BE330D">
      <w:pPr>
        <w:jc w:val="both"/>
        <w:rPr>
          <w:rFonts w:ascii="Times New Roman" w:hAnsi="Times New Roman" w:cs="Times New Roman"/>
          <w:color w:val="000000" w:themeColor="text1"/>
          <w:sz w:val="28"/>
          <w:szCs w:val="28"/>
        </w:rPr>
      </w:pPr>
    </w:p>
    <w:p w:rsidR="00794C00" w:rsidRPr="00506689" w:rsidRDefault="00794C00" w:rsidP="00BE330D">
      <w:pPr>
        <w:jc w:val="both"/>
        <w:rPr>
          <w:rFonts w:ascii="Times New Roman" w:hAnsi="Times New Roman" w:cs="Times New Roman"/>
          <w:color w:val="000000" w:themeColor="text1"/>
          <w:sz w:val="28"/>
          <w:szCs w:val="28"/>
        </w:rPr>
        <w:sectPr w:rsidR="00794C00" w:rsidRPr="00506689" w:rsidSect="004F235C">
          <w:headerReference w:type="default" r:id="rId8"/>
          <w:pgSz w:w="12240" w:h="15840"/>
          <w:pgMar w:top="1296" w:right="1440" w:bottom="1296"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F17FED" w:rsidRPr="00506689" w:rsidRDefault="0073322C" w:rsidP="006A55D4">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lastRenderedPageBreak/>
              <w:t xml:space="preserve">S 1 </w:t>
            </w:r>
            <w:r>
              <w:rPr>
                <w:rFonts w:ascii="Times New Roman" w:hAnsi="Times New Roman" w:cs="Times New Roman"/>
                <w:color w:val="000000" w:themeColor="text1"/>
                <w:sz w:val="28"/>
                <w:szCs w:val="28"/>
              </w:rPr>
              <w:t>FM</w:t>
            </w:r>
            <w:r w:rsidRPr="00506689">
              <w:rPr>
                <w:rFonts w:ascii="Times New Roman" w:hAnsi="Times New Roman" w:cs="Times New Roman"/>
                <w:color w:val="000000" w:themeColor="text1"/>
                <w:sz w:val="28"/>
                <w:szCs w:val="28"/>
              </w:rPr>
              <w:t xml:space="preserve"> 201</w:t>
            </w:r>
            <w:r w:rsidR="00562610">
              <w:rPr>
                <w:rFonts w:ascii="Times New Roman" w:hAnsi="Times New Roman" w:cs="Times New Roman"/>
                <w:color w:val="000000" w:themeColor="text1"/>
                <w:sz w:val="28"/>
                <w:szCs w:val="28"/>
              </w:rPr>
              <w:t>6</w:t>
            </w:r>
            <w:r w:rsidRPr="00506689">
              <w:rPr>
                <w:rFonts w:ascii="Times New Roman" w:hAnsi="Times New Roman" w:cs="Times New Roman"/>
                <w:color w:val="000000" w:themeColor="text1"/>
                <w:sz w:val="28"/>
                <w:szCs w:val="28"/>
              </w:rPr>
              <w:t xml:space="preserve"> 000</w:t>
            </w:r>
            <w:r w:rsidR="00562610">
              <w:rPr>
                <w:rFonts w:ascii="Times New Roman" w:hAnsi="Times New Roman" w:cs="Times New Roman"/>
                <w:color w:val="000000" w:themeColor="text1"/>
                <w:sz w:val="28"/>
                <w:szCs w:val="28"/>
              </w:rPr>
              <w:t>152</w:t>
            </w:r>
          </w:p>
          <w:p w:rsidR="00100007" w:rsidRPr="00506689" w:rsidRDefault="00100007" w:rsidP="006A55D4">
            <w:pPr>
              <w:spacing w:after="0" w:line="240" w:lineRule="auto"/>
              <w:jc w:val="right"/>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A55D4">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A55D4">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73322C" w:rsidRDefault="0073322C" w:rsidP="0073322C">
            <w:pPr>
              <w:spacing w:line="240" w:lineRule="auto"/>
              <w:jc w:val="center"/>
              <w:rPr>
                <w:rFonts w:ascii="Times New Roman" w:hAnsi="Times New Roman" w:cs="Times New Roman"/>
                <w:color w:val="000000" w:themeColor="text1"/>
                <w:sz w:val="28"/>
                <w:szCs w:val="28"/>
              </w:rPr>
            </w:pPr>
          </w:p>
          <w:p w:rsidR="0073322C" w:rsidRDefault="0073322C" w:rsidP="0073322C">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IN THE MATTER OF THE </w:t>
            </w:r>
            <w:r>
              <w:rPr>
                <w:rFonts w:ascii="Times New Roman" w:hAnsi="Times New Roman" w:cs="Times New Roman"/>
                <w:i/>
                <w:color w:val="000000" w:themeColor="text1"/>
                <w:sz w:val="28"/>
                <w:szCs w:val="28"/>
              </w:rPr>
              <w:t xml:space="preserve">INTERJURISDICTIONAL SUPPORT </w:t>
            </w:r>
          </w:p>
          <w:p w:rsidR="0073322C" w:rsidRPr="00525993" w:rsidRDefault="0073322C" w:rsidP="0073322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ORDERS ACT, </w:t>
            </w:r>
            <w:r>
              <w:rPr>
                <w:rFonts w:ascii="Times New Roman" w:hAnsi="Times New Roman" w:cs="Times New Roman"/>
                <w:color w:val="000000" w:themeColor="text1"/>
                <w:sz w:val="28"/>
                <w:szCs w:val="28"/>
              </w:rPr>
              <w:t>S.N.W.T. 2002, c. 19</w:t>
            </w:r>
          </w:p>
          <w:p w:rsidR="0073322C" w:rsidRDefault="0073322C" w:rsidP="0073322C">
            <w:pPr>
              <w:spacing w:line="240" w:lineRule="auto"/>
              <w:rPr>
                <w:rFonts w:ascii="Times New Roman" w:hAnsi="Times New Roman" w:cs="Times New Roman"/>
                <w:color w:val="000000" w:themeColor="text1"/>
                <w:sz w:val="28"/>
                <w:szCs w:val="28"/>
              </w:rPr>
            </w:pPr>
          </w:p>
          <w:p w:rsidR="0073322C" w:rsidRDefault="0073322C" w:rsidP="0073322C">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BETWEEN:</w:t>
            </w:r>
          </w:p>
          <w:p w:rsidR="00562610" w:rsidRDefault="00562610" w:rsidP="00562610">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TRACEY HEWITT</w:t>
            </w:r>
          </w:p>
          <w:p w:rsidR="0073322C" w:rsidRPr="00506689" w:rsidRDefault="0073322C" w:rsidP="0073322C">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3322C" w:rsidRPr="00506689" w:rsidRDefault="0073322C" w:rsidP="0073322C">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73322C" w:rsidRDefault="0073322C" w:rsidP="0073322C">
            <w:pPr>
              <w:spacing w:line="240" w:lineRule="auto"/>
              <w:jc w:val="center"/>
              <w:rPr>
                <w:rFonts w:ascii="Times New Roman" w:hAnsi="Times New Roman" w:cs="Times New Roman"/>
                <w:color w:val="000000" w:themeColor="text1"/>
                <w:sz w:val="28"/>
                <w:szCs w:val="28"/>
              </w:rPr>
            </w:pPr>
          </w:p>
          <w:p w:rsidR="0073322C" w:rsidRPr="00506689" w:rsidRDefault="00562610" w:rsidP="0073322C">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ROBERT YATKOWSKY</w:t>
            </w:r>
          </w:p>
          <w:p w:rsidR="0073322C" w:rsidRPr="00506689" w:rsidRDefault="0073322C" w:rsidP="0073322C">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6A55D4" w:rsidRPr="00506689" w:rsidRDefault="006A55D4" w:rsidP="006A55D4">
            <w:pPr>
              <w:spacing w:after="0" w:line="240" w:lineRule="auto"/>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MEMORANDUM OF JUDGMENT OF</w:t>
            </w:r>
          </w:p>
          <w:p w:rsidR="00562610"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THE HONOURABLE </w:t>
            </w:r>
          </w:p>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JUSTICE K. </w:t>
            </w:r>
            <w:r w:rsidR="00562610">
              <w:rPr>
                <w:rFonts w:ascii="Times New Roman" w:hAnsi="Times New Roman" w:cs="Times New Roman"/>
                <w:color w:val="000000" w:themeColor="text1"/>
                <w:sz w:val="28"/>
                <w:szCs w:val="28"/>
                <w:lang w:val="en-GB"/>
              </w:rPr>
              <w:t xml:space="preserve">M. </w:t>
            </w:r>
            <w:r w:rsidRPr="00506689">
              <w:rPr>
                <w:rFonts w:ascii="Times New Roman" w:hAnsi="Times New Roman" w:cs="Times New Roman"/>
                <w:color w:val="000000" w:themeColor="text1"/>
                <w:sz w:val="28"/>
                <w:szCs w:val="28"/>
                <w:lang w:val="en-GB"/>
              </w:rPr>
              <w:t>SHANER</w:t>
            </w:r>
          </w:p>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3F6859" w:rsidRPr="00506689" w:rsidRDefault="003F6859" w:rsidP="00794C00">
      <w:pPr>
        <w:jc w:val="both"/>
        <w:rPr>
          <w:rFonts w:ascii="Times New Roman" w:hAnsi="Times New Roman" w:cs="Times New Roman"/>
          <w:color w:val="000000" w:themeColor="text1"/>
          <w:sz w:val="28"/>
          <w:szCs w:val="28"/>
        </w:rPr>
      </w:pPr>
    </w:p>
    <w:sectPr w:rsidR="003F6859" w:rsidRPr="005066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63" w:rsidRDefault="00E65163" w:rsidP="004F235C">
      <w:pPr>
        <w:spacing w:after="0" w:line="240" w:lineRule="auto"/>
      </w:pPr>
      <w:r>
        <w:separator/>
      </w:r>
    </w:p>
  </w:endnote>
  <w:endnote w:type="continuationSeparator" w:id="0">
    <w:p w:rsidR="00E65163" w:rsidRDefault="00E65163"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63" w:rsidRDefault="00E65163" w:rsidP="004F235C">
      <w:pPr>
        <w:spacing w:after="0" w:line="240" w:lineRule="auto"/>
      </w:pPr>
      <w:r>
        <w:separator/>
      </w:r>
    </w:p>
  </w:footnote>
  <w:footnote w:type="continuationSeparator" w:id="0">
    <w:p w:rsidR="00E65163" w:rsidRDefault="00E65163" w:rsidP="004F235C">
      <w:pPr>
        <w:spacing w:after="0" w:line="240" w:lineRule="auto"/>
      </w:pPr>
      <w:r>
        <w:continuationSeparator/>
      </w:r>
    </w:p>
  </w:footnote>
  <w:footnote w:id="1">
    <w:p w:rsidR="00354071" w:rsidRPr="000815F1" w:rsidRDefault="00354071" w:rsidP="00354071">
      <w:pPr>
        <w:pStyle w:val="FootnoteText"/>
        <w:rPr>
          <w:rFonts w:ascii="Times New Roman" w:hAnsi="Times New Roman" w:cs="Times New Roman"/>
        </w:rPr>
      </w:pPr>
      <w:r w:rsidRPr="000815F1">
        <w:rPr>
          <w:rStyle w:val="FootnoteReference"/>
          <w:rFonts w:ascii="Times New Roman" w:hAnsi="Times New Roman" w:cs="Times New Roman"/>
        </w:rPr>
        <w:footnoteRef/>
      </w:r>
      <w:r w:rsidRPr="000815F1">
        <w:rPr>
          <w:rFonts w:ascii="Times New Roman" w:hAnsi="Times New Roman" w:cs="Times New Roman"/>
        </w:rPr>
        <w:t xml:space="preserve"> As noted earlier, it took several months after that for the application to reach this Court and to be served on Mr. Yatkowsky.  That is, however, not something that was within Ms. Hewitt’s control. </w:t>
      </w:r>
    </w:p>
  </w:footnote>
  <w:footnote w:id="2">
    <w:p w:rsidR="001E45CB" w:rsidRPr="001E45CB" w:rsidRDefault="001E45CB">
      <w:pPr>
        <w:pStyle w:val="FootnoteText"/>
        <w:rPr>
          <w:rFonts w:ascii="Times New Roman" w:hAnsi="Times New Roman" w:cs="Times New Roman"/>
        </w:rPr>
      </w:pPr>
      <w:r w:rsidRPr="001E45CB">
        <w:rPr>
          <w:rStyle w:val="FootnoteReference"/>
          <w:rFonts w:ascii="Times New Roman" w:hAnsi="Times New Roman" w:cs="Times New Roman"/>
        </w:rPr>
        <w:footnoteRef/>
      </w:r>
      <w:r w:rsidRPr="001E45CB">
        <w:rPr>
          <w:rFonts w:ascii="Times New Roman" w:hAnsi="Times New Roman" w:cs="Times New Roman"/>
        </w:rPr>
        <w:t xml:space="preserve"> The Northwest Territories </w:t>
      </w:r>
      <w:r w:rsidRPr="001E45CB">
        <w:rPr>
          <w:rFonts w:ascii="Times New Roman" w:hAnsi="Times New Roman" w:cs="Times New Roman"/>
          <w:i/>
        </w:rPr>
        <w:t xml:space="preserve">Guideline </w:t>
      </w:r>
      <w:r w:rsidRPr="001E45CB">
        <w:rPr>
          <w:rFonts w:ascii="Times New Roman" w:hAnsi="Times New Roman" w:cs="Times New Roman"/>
        </w:rPr>
        <w:t xml:space="preserve">amounts are used as this is where Mr. Yatkowsky has been residing in the relevant period.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79" w:rsidRPr="004F235C" w:rsidRDefault="00DB3B79">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436328648"/>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8B4E26">
          <w:rPr>
            <w:rFonts w:ascii="Times New Roman" w:hAnsi="Times New Roman" w:cs="Times New Roman"/>
            <w:noProof/>
            <w:sz w:val="24"/>
            <w:szCs w:val="24"/>
          </w:rPr>
          <w:t>12</w:t>
        </w:r>
        <w:r w:rsidRPr="004F235C">
          <w:rPr>
            <w:rFonts w:ascii="Times New Roman" w:hAnsi="Times New Roman" w:cs="Times New Roman"/>
            <w:noProof/>
            <w:sz w:val="24"/>
            <w:szCs w:val="24"/>
          </w:rPr>
          <w:fldChar w:fldCharType="end"/>
        </w:r>
      </w:sdtContent>
    </w:sdt>
  </w:p>
  <w:p w:rsidR="00DB3B79" w:rsidRDefault="00DB3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00" w:rsidRDefault="00794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08E"/>
    <w:multiLevelType w:val="hybridMultilevel"/>
    <w:tmpl w:val="BD30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0077F"/>
    <w:multiLevelType w:val="hybridMultilevel"/>
    <w:tmpl w:val="24E02C9C"/>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6982"/>
    <w:rsid w:val="000205AC"/>
    <w:rsid w:val="0002280A"/>
    <w:rsid w:val="00035B20"/>
    <w:rsid w:val="000409D3"/>
    <w:rsid w:val="00052DCA"/>
    <w:rsid w:val="000547EF"/>
    <w:rsid w:val="00062E55"/>
    <w:rsid w:val="00065E07"/>
    <w:rsid w:val="00070FBC"/>
    <w:rsid w:val="000745B9"/>
    <w:rsid w:val="00077A2E"/>
    <w:rsid w:val="000815F1"/>
    <w:rsid w:val="00084863"/>
    <w:rsid w:val="000A715F"/>
    <w:rsid w:val="000D19EF"/>
    <w:rsid w:val="000D46C8"/>
    <w:rsid w:val="000D62A9"/>
    <w:rsid w:val="000E2CAD"/>
    <w:rsid w:val="00100007"/>
    <w:rsid w:val="001161CD"/>
    <w:rsid w:val="00172997"/>
    <w:rsid w:val="00175578"/>
    <w:rsid w:val="001856BD"/>
    <w:rsid w:val="00186431"/>
    <w:rsid w:val="001911F6"/>
    <w:rsid w:val="001A4EA5"/>
    <w:rsid w:val="001A6D3C"/>
    <w:rsid w:val="001B08B0"/>
    <w:rsid w:val="001B1C6E"/>
    <w:rsid w:val="001B1CFB"/>
    <w:rsid w:val="001B3F7F"/>
    <w:rsid w:val="001B7223"/>
    <w:rsid w:val="001D01C1"/>
    <w:rsid w:val="001D4F24"/>
    <w:rsid w:val="001E3975"/>
    <w:rsid w:val="001E45CB"/>
    <w:rsid w:val="001E4B6C"/>
    <w:rsid w:val="001E615B"/>
    <w:rsid w:val="001F2960"/>
    <w:rsid w:val="001F726D"/>
    <w:rsid w:val="00201F09"/>
    <w:rsid w:val="0020230F"/>
    <w:rsid w:val="00216400"/>
    <w:rsid w:val="00216F4A"/>
    <w:rsid w:val="0023004A"/>
    <w:rsid w:val="00240376"/>
    <w:rsid w:val="00245F87"/>
    <w:rsid w:val="002534D7"/>
    <w:rsid w:val="0025416E"/>
    <w:rsid w:val="00267B43"/>
    <w:rsid w:val="00272B0D"/>
    <w:rsid w:val="0028265D"/>
    <w:rsid w:val="00296631"/>
    <w:rsid w:val="002A16E8"/>
    <w:rsid w:val="002A3873"/>
    <w:rsid w:val="002B26D1"/>
    <w:rsid w:val="002B320C"/>
    <w:rsid w:val="002B51A3"/>
    <w:rsid w:val="002B68BE"/>
    <w:rsid w:val="002C6522"/>
    <w:rsid w:val="002C69CA"/>
    <w:rsid w:val="002C7F9D"/>
    <w:rsid w:val="002D0E93"/>
    <w:rsid w:val="002D1B9C"/>
    <w:rsid w:val="002D774A"/>
    <w:rsid w:val="002F7C35"/>
    <w:rsid w:val="0032628E"/>
    <w:rsid w:val="00331903"/>
    <w:rsid w:val="00332FD6"/>
    <w:rsid w:val="00354071"/>
    <w:rsid w:val="0036107B"/>
    <w:rsid w:val="00364A75"/>
    <w:rsid w:val="0036536A"/>
    <w:rsid w:val="00377F52"/>
    <w:rsid w:val="003941AD"/>
    <w:rsid w:val="003A2D8F"/>
    <w:rsid w:val="003A74BE"/>
    <w:rsid w:val="003A7E90"/>
    <w:rsid w:val="003C6B49"/>
    <w:rsid w:val="003D4AAA"/>
    <w:rsid w:val="003D680E"/>
    <w:rsid w:val="003E0067"/>
    <w:rsid w:val="003E13E6"/>
    <w:rsid w:val="003E498D"/>
    <w:rsid w:val="003F0ABD"/>
    <w:rsid w:val="003F4627"/>
    <w:rsid w:val="003F6859"/>
    <w:rsid w:val="00404076"/>
    <w:rsid w:val="0041375C"/>
    <w:rsid w:val="0041412C"/>
    <w:rsid w:val="0042114D"/>
    <w:rsid w:val="00455139"/>
    <w:rsid w:val="00463050"/>
    <w:rsid w:val="00471487"/>
    <w:rsid w:val="00481B0F"/>
    <w:rsid w:val="0048450D"/>
    <w:rsid w:val="004B18E7"/>
    <w:rsid w:val="004B7065"/>
    <w:rsid w:val="004B7333"/>
    <w:rsid w:val="004C1C8A"/>
    <w:rsid w:val="004C4425"/>
    <w:rsid w:val="004C44F4"/>
    <w:rsid w:val="004D43F3"/>
    <w:rsid w:val="004F235C"/>
    <w:rsid w:val="004F23DD"/>
    <w:rsid w:val="004F4450"/>
    <w:rsid w:val="00500539"/>
    <w:rsid w:val="00506689"/>
    <w:rsid w:val="00511EAE"/>
    <w:rsid w:val="00512768"/>
    <w:rsid w:val="005205D2"/>
    <w:rsid w:val="005237E8"/>
    <w:rsid w:val="00525993"/>
    <w:rsid w:val="00541745"/>
    <w:rsid w:val="00543C0E"/>
    <w:rsid w:val="00546404"/>
    <w:rsid w:val="0054757A"/>
    <w:rsid w:val="00557D0A"/>
    <w:rsid w:val="00562610"/>
    <w:rsid w:val="00562736"/>
    <w:rsid w:val="00562C17"/>
    <w:rsid w:val="00563A84"/>
    <w:rsid w:val="00565E91"/>
    <w:rsid w:val="005665C3"/>
    <w:rsid w:val="00566F7B"/>
    <w:rsid w:val="00573E0F"/>
    <w:rsid w:val="005741C7"/>
    <w:rsid w:val="00575392"/>
    <w:rsid w:val="00593D04"/>
    <w:rsid w:val="005A3393"/>
    <w:rsid w:val="005B14B4"/>
    <w:rsid w:val="005C43A2"/>
    <w:rsid w:val="005D412F"/>
    <w:rsid w:val="005E279C"/>
    <w:rsid w:val="005E4471"/>
    <w:rsid w:val="005E4836"/>
    <w:rsid w:val="005E6521"/>
    <w:rsid w:val="005F03E6"/>
    <w:rsid w:val="005F04B4"/>
    <w:rsid w:val="00607DF9"/>
    <w:rsid w:val="00633902"/>
    <w:rsid w:val="006344C6"/>
    <w:rsid w:val="00636645"/>
    <w:rsid w:val="0064479A"/>
    <w:rsid w:val="00647910"/>
    <w:rsid w:val="006503E1"/>
    <w:rsid w:val="006548AD"/>
    <w:rsid w:val="0066406C"/>
    <w:rsid w:val="006671BF"/>
    <w:rsid w:val="00667B5F"/>
    <w:rsid w:val="00670354"/>
    <w:rsid w:val="006821D5"/>
    <w:rsid w:val="006A4619"/>
    <w:rsid w:val="006A55D4"/>
    <w:rsid w:val="006A7BFD"/>
    <w:rsid w:val="006D462C"/>
    <w:rsid w:val="006F17CD"/>
    <w:rsid w:val="006F3776"/>
    <w:rsid w:val="006F4B60"/>
    <w:rsid w:val="006F784B"/>
    <w:rsid w:val="0070345F"/>
    <w:rsid w:val="00703B61"/>
    <w:rsid w:val="00706B25"/>
    <w:rsid w:val="00710028"/>
    <w:rsid w:val="00711ABD"/>
    <w:rsid w:val="00723875"/>
    <w:rsid w:val="0073322C"/>
    <w:rsid w:val="00734699"/>
    <w:rsid w:val="00737119"/>
    <w:rsid w:val="00745B83"/>
    <w:rsid w:val="0074660A"/>
    <w:rsid w:val="00754A40"/>
    <w:rsid w:val="00762340"/>
    <w:rsid w:val="0077083D"/>
    <w:rsid w:val="00774C48"/>
    <w:rsid w:val="0077727A"/>
    <w:rsid w:val="0078457A"/>
    <w:rsid w:val="007855FB"/>
    <w:rsid w:val="007863EE"/>
    <w:rsid w:val="0078749D"/>
    <w:rsid w:val="00794C00"/>
    <w:rsid w:val="007A07D7"/>
    <w:rsid w:val="007A2A47"/>
    <w:rsid w:val="007B0693"/>
    <w:rsid w:val="007B0AD0"/>
    <w:rsid w:val="007B53B7"/>
    <w:rsid w:val="007B6CBE"/>
    <w:rsid w:val="007C5DA4"/>
    <w:rsid w:val="007C69D1"/>
    <w:rsid w:val="007D3E57"/>
    <w:rsid w:val="007E0A2D"/>
    <w:rsid w:val="007E0EE1"/>
    <w:rsid w:val="007E1580"/>
    <w:rsid w:val="007E5F26"/>
    <w:rsid w:val="00804526"/>
    <w:rsid w:val="00842CD1"/>
    <w:rsid w:val="008475E5"/>
    <w:rsid w:val="00850F2E"/>
    <w:rsid w:val="00853602"/>
    <w:rsid w:val="008634E0"/>
    <w:rsid w:val="00866002"/>
    <w:rsid w:val="00867486"/>
    <w:rsid w:val="00870A05"/>
    <w:rsid w:val="00874596"/>
    <w:rsid w:val="00883497"/>
    <w:rsid w:val="00893CBA"/>
    <w:rsid w:val="008A2856"/>
    <w:rsid w:val="008A3C9B"/>
    <w:rsid w:val="008A7D48"/>
    <w:rsid w:val="008B2360"/>
    <w:rsid w:val="008B4E26"/>
    <w:rsid w:val="008B5E1B"/>
    <w:rsid w:val="008C2F89"/>
    <w:rsid w:val="008C6D0E"/>
    <w:rsid w:val="008E219A"/>
    <w:rsid w:val="008E2AF8"/>
    <w:rsid w:val="008E48AE"/>
    <w:rsid w:val="009016C0"/>
    <w:rsid w:val="0091386A"/>
    <w:rsid w:val="00922992"/>
    <w:rsid w:val="00934D08"/>
    <w:rsid w:val="0093515C"/>
    <w:rsid w:val="00940C79"/>
    <w:rsid w:val="009654A8"/>
    <w:rsid w:val="00966E33"/>
    <w:rsid w:val="00990B56"/>
    <w:rsid w:val="00997112"/>
    <w:rsid w:val="009A0DD5"/>
    <w:rsid w:val="009D525A"/>
    <w:rsid w:val="009E3740"/>
    <w:rsid w:val="009F57A7"/>
    <w:rsid w:val="00A0583E"/>
    <w:rsid w:val="00A07D48"/>
    <w:rsid w:val="00A151AA"/>
    <w:rsid w:val="00A161FA"/>
    <w:rsid w:val="00A1724B"/>
    <w:rsid w:val="00A27486"/>
    <w:rsid w:val="00A33140"/>
    <w:rsid w:val="00A61CDA"/>
    <w:rsid w:val="00A67260"/>
    <w:rsid w:val="00A804DB"/>
    <w:rsid w:val="00A82E35"/>
    <w:rsid w:val="00A8415A"/>
    <w:rsid w:val="00A852CC"/>
    <w:rsid w:val="00A8597C"/>
    <w:rsid w:val="00A8676D"/>
    <w:rsid w:val="00A8723A"/>
    <w:rsid w:val="00A93116"/>
    <w:rsid w:val="00AD3B69"/>
    <w:rsid w:val="00AE1499"/>
    <w:rsid w:val="00AE50B4"/>
    <w:rsid w:val="00B07005"/>
    <w:rsid w:val="00B179A7"/>
    <w:rsid w:val="00B26159"/>
    <w:rsid w:val="00B275C0"/>
    <w:rsid w:val="00B3503C"/>
    <w:rsid w:val="00B41E43"/>
    <w:rsid w:val="00B42E67"/>
    <w:rsid w:val="00B80CF8"/>
    <w:rsid w:val="00B8666D"/>
    <w:rsid w:val="00B928A8"/>
    <w:rsid w:val="00B979EE"/>
    <w:rsid w:val="00BA0C98"/>
    <w:rsid w:val="00BA327A"/>
    <w:rsid w:val="00BC1F64"/>
    <w:rsid w:val="00BD1079"/>
    <w:rsid w:val="00BD4559"/>
    <w:rsid w:val="00BD5AD9"/>
    <w:rsid w:val="00BE21CE"/>
    <w:rsid w:val="00BE330D"/>
    <w:rsid w:val="00BE3329"/>
    <w:rsid w:val="00BE77B4"/>
    <w:rsid w:val="00C00CFB"/>
    <w:rsid w:val="00C01323"/>
    <w:rsid w:val="00C068F3"/>
    <w:rsid w:val="00C53820"/>
    <w:rsid w:val="00C6175F"/>
    <w:rsid w:val="00C66A5C"/>
    <w:rsid w:val="00C93DD5"/>
    <w:rsid w:val="00CA480E"/>
    <w:rsid w:val="00CC4A17"/>
    <w:rsid w:val="00CC6C90"/>
    <w:rsid w:val="00CC6D87"/>
    <w:rsid w:val="00CD68CF"/>
    <w:rsid w:val="00CF6FF1"/>
    <w:rsid w:val="00D149CB"/>
    <w:rsid w:val="00D154CA"/>
    <w:rsid w:val="00D34C3A"/>
    <w:rsid w:val="00D42D51"/>
    <w:rsid w:val="00D5694A"/>
    <w:rsid w:val="00D66F85"/>
    <w:rsid w:val="00D70AD0"/>
    <w:rsid w:val="00D85B3B"/>
    <w:rsid w:val="00D949A5"/>
    <w:rsid w:val="00D95654"/>
    <w:rsid w:val="00DB3B79"/>
    <w:rsid w:val="00DC4736"/>
    <w:rsid w:val="00DC6219"/>
    <w:rsid w:val="00DD51CF"/>
    <w:rsid w:val="00DE04ED"/>
    <w:rsid w:val="00DE5D1D"/>
    <w:rsid w:val="00DE6707"/>
    <w:rsid w:val="00DF2CAF"/>
    <w:rsid w:val="00DF37CC"/>
    <w:rsid w:val="00E026DD"/>
    <w:rsid w:val="00E07C6B"/>
    <w:rsid w:val="00E20F4B"/>
    <w:rsid w:val="00E2787D"/>
    <w:rsid w:val="00E31D02"/>
    <w:rsid w:val="00E32562"/>
    <w:rsid w:val="00E36A66"/>
    <w:rsid w:val="00E45E4A"/>
    <w:rsid w:val="00E65163"/>
    <w:rsid w:val="00E81FE7"/>
    <w:rsid w:val="00E8200A"/>
    <w:rsid w:val="00EA3BC1"/>
    <w:rsid w:val="00EA5226"/>
    <w:rsid w:val="00EB1F2B"/>
    <w:rsid w:val="00EC0E83"/>
    <w:rsid w:val="00EC582F"/>
    <w:rsid w:val="00ED097C"/>
    <w:rsid w:val="00ED2546"/>
    <w:rsid w:val="00ED7985"/>
    <w:rsid w:val="00EF30EA"/>
    <w:rsid w:val="00F054FA"/>
    <w:rsid w:val="00F06192"/>
    <w:rsid w:val="00F17FED"/>
    <w:rsid w:val="00F2407C"/>
    <w:rsid w:val="00F27E10"/>
    <w:rsid w:val="00F36CF1"/>
    <w:rsid w:val="00F42936"/>
    <w:rsid w:val="00F42BA8"/>
    <w:rsid w:val="00F44AC1"/>
    <w:rsid w:val="00F62BE6"/>
    <w:rsid w:val="00F833AD"/>
    <w:rsid w:val="00F86CD5"/>
    <w:rsid w:val="00FA5E18"/>
    <w:rsid w:val="00FA6089"/>
    <w:rsid w:val="00FC0A89"/>
    <w:rsid w:val="00FF17AB"/>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4F2A-C4EA-45CE-92BC-E83AAE8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081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F1"/>
    <w:rPr>
      <w:sz w:val="20"/>
      <w:szCs w:val="20"/>
    </w:rPr>
  </w:style>
  <w:style w:type="character" w:styleId="FootnoteReference">
    <w:name w:val="footnote reference"/>
    <w:basedOn w:val="DefaultParagraphFont"/>
    <w:uiPriority w:val="99"/>
    <w:semiHidden/>
    <w:unhideWhenUsed/>
    <w:rsid w:val="00081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FBB6-B3C0-48EF-98E6-4E472FB2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Shirley Mair</cp:lastModifiedBy>
  <cp:revision>3</cp:revision>
  <cp:lastPrinted>2018-01-22T23:50:00Z</cp:lastPrinted>
  <dcterms:created xsi:type="dcterms:W3CDTF">2018-01-23T17:50:00Z</dcterms:created>
  <dcterms:modified xsi:type="dcterms:W3CDTF">2018-01-23T18:12:00Z</dcterms:modified>
</cp:coreProperties>
</file>