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17" w:rsidRPr="00C83B8B" w:rsidRDefault="00CF4339" w:rsidP="002C7C17">
      <w:pPr>
        <w:widowControl/>
        <w:ind w:right="-36"/>
        <w:rPr>
          <w:sz w:val="28"/>
          <w:szCs w:val="28"/>
          <w:lang w:val="fr-CA"/>
        </w:rPr>
      </w:pPr>
      <w:r>
        <w:rPr>
          <w:i/>
          <w:sz w:val="28"/>
          <w:szCs w:val="28"/>
          <w:lang w:val="fr-CA"/>
        </w:rPr>
        <w:t>G</w:t>
      </w:r>
      <w:r w:rsidR="002C7C17" w:rsidRPr="00C83B8B">
        <w:rPr>
          <w:i/>
          <w:sz w:val="28"/>
          <w:szCs w:val="28"/>
          <w:lang w:val="fr-CA"/>
        </w:rPr>
        <w:t>NWT v 831594 et al</w:t>
      </w:r>
      <w:r w:rsidR="00456EE9" w:rsidRPr="00C83B8B">
        <w:rPr>
          <w:sz w:val="28"/>
          <w:szCs w:val="28"/>
          <w:lang w:val="fr-CA"/>
        </w:rPr>
        <w:t xml:space="preserve">, </w:t>
      </w:r>
      <w:r w:rsidR="002C7C17" w:rsidRPr="00C83B8B">
        <w:rPr>
          <w:sz w:val="28"/>
          <w:szCs w:val="28"/>
          <w:lang w:val="fr-CA"/>
        </w:rPr>
        <w:t xml:space="preserve">2017 NWTSC </w:t>
      </w:r>
      <w:r w:rsidR="008D2860">
        <w:rPr>
          <w:sz w:val="28"/>
          <w:szCs w:val="28"/>
          <w:lang w:val="fr-CA"/>
        </w:rPr>
        <w:t>78</w:t>
      </w:r>
    </w:p>
    <w:p w:rsidR="002C7C17" w:rsidRPr="00C83B8B" w:rsidRDefault="00C83B8B" w:rsidP="00FC2CE9">
      <w:pPr>
        <w:widowControl/>
        <w:ind w:right="-36"/>
        <w:jc w:val="right"/>
        <w:rPr>
          <w:sz w:val="28"/>
          <w:szCs w:val="28"/>
          <w:lang w:val="en-GB"/>
        </w:rPr>
      </w:pPr>
      <w:r w:rsidRPr="00C83B8B">
        <w:rPr>
          <w:sz w:val="28"/>
          <w:szCs w:val="28"/>
          <w:lang w:val="en-GB"/>
        </w:rPr>
        <w:t xml:space="preserve">Date:  2017 </w:t>
      </w:r>
      <w:r w:rsidR="008D2860">
        <w:rPr>
          <w:sz w:val="28"/>
          <w:szCs w:val="28"/>
          <w:lang w:val="en-GB"/>
        </w:rPr>
        <w:t>10 2</w:t>
      </w:r>
      <w:r w:rsidR="002C7543">
        <w:rPr>
          <w:sz w:val="28"/>
          <w:szCs w:val="28"/>
          <w:lang w:val="en-GB"/>
        </w:rPr>
        <w:t>4</w:t>
      </w:r>
    </w:p>
    <w:p w:rsidR="00E9123C" w:rsidRPr="00C83B8B" w:rsidRDefault="002C7C17" w:rsidP="00FC2CE9">
      <w:pPr>
        <w:widowControl/>
        <w:ind w:right="-36"/>
        <w:jc w:val="right"/>
        <w:rPr>
          <w:sz w:val="28"/>
          <w:szCs w:val="28"/>
          <w:lang w:val="en-GB"/>
        </w:rPr>
      </w:pPr>
      <w:r w:rsidRPr="00C83B8B">
        <w:rPr>
          <w:sz w:val="28"/>
          <w:szCs w:val="28"/>
          <w:lang w:val="en-GB"/>
        </w:rPr>
        <w:t xml:space="preserve">Docket:  </w:t>
      </w:r>
      <w:r w:rsidR="00B747B5" w:rsidRPr="00C83B8B">
        <w:rPr>
          <w:sz w:val="28"/>
          <w:szCs w:val="28"/>
          <w:lang w:val="en-GB"/>
        </w:rPr>
        <w:t>S</w:t>
      </w:r>
      <w:r w:rsidRPr="00C83B8B">
        <w:rPr>
          <w:sz w:val="28"/>
          <w:szCs w:val="28"/>
          <w:lang w:val="en-GB"/>
        </w:rPr>
        <w:t>-</w:t>
      </w:r>
      <w:r w:rsidR="00B747B5" w:rsidRPr="00C83B8B">
        <w:rPr>
          <w:sz w:val="28"/>
          <w:szCs w:val="28"/>
          <w:lang w:val="en-GB"/>
        </w:rPr>
        <w:t>1</w:t>
      </w:r>
      <w:r w:rsidRPr="00C83B8B">
        <w:rPr>
          <w:sz w:val="28"/>
          <w:szCs w:val="28"/>
          <w:lang w:val="en-GB"/>
        </w:rPr>
        <w:t>-CV-</w:t>
      </w:r>
      <w:r w:rsidR="008B7E28" w:rsidRPr="00C83B8B">
        <w:rPr>
          <w:sz w:val="28"/>
          <w:szCs w:val="28"/>
          <w:lang w:val="en-GB"/>
        </w:rPr>
        <w:t>1999-08127</w:t>
      </w:r>
    </w:p>
    <w:p w:rsidR="00E9123C" w:rsidRPr="00C83B8B" w:rsidRDefault="00E9123C" w:rsidP="00FC2CE9">
      <w:pPr>
        <w:widowControl/>
        <w:tabs>
          <w:tab w:val="left" w:pos="-1440"/>
          <w:tab w:val="left" w:pos="-720"/>
        </w:tabs>
        <w:ind w:right="-36"/>
        <w:jc w:val="both"/>
        <w:rPr>
          <w:sz w:val="28"/>
          <w:szCs w:val="28"/>
          <w:lang w:val="en-GB"/>
        </w:rPr>
      </w:pPr>
    </w:p>
    <w:p w:rsidR="00E9123C" w:rsidRPr="00C83B8B" w:rsidRDefault="00E9123C" w:rsidP="00FC2CE9">
      <w:pPr>
        <w:widowControl/>
        <w:ind w:right="-36"/>
        <w:jc w:val="center"/>
        <w:rPr>
          <w:sz w:val="28"/>
          <w:szCs w:val="28"/>
          <w:lang w:val="en-GB"/>
        </w:rPr>
      </w:pPr>
      <w:r w:rsidRPr="00C83B8B">
        <w:rPr>
          <w:sz w:val="28"/>
          <w:szCs w:val="28"/>
          <w:lang w:val="en-GB"/>
        </w:rPr>
        <w:t>IN THE SUPREME COURT OF THE NORTHWEST TERRITORIES</w:t>
      </w:r>
    </w:p>
    <w:p w:rsidR="00E9123C" w:rsidRPr="00C83B8B" w:rsidRDefault="00E9123C" w:rsidP="00FC2CE9">
      <w:pPr>
        <w:widowControl/>
        <w:tabs>
          <w:tab w:val="left" w:pos="-1440"/>
          <w:tab w:val="left" w:pos="-720"/>
        </w:tabs>
        <w:ind w:right="-36"/>
        <w:jc w:val="both"/>
        <w:rPr>
          <w:sz w:val="28"/>
          <w:szCs w:val="28"/>
          <w:lang w:val="en-GB"/>
        </w:rPr>
      </w:pPr>
    </w:p>
    <w:p w:rsidR="00E9123C" w:rsidRPr="00C83B8B" w:rsidRDefault="00E9123C" w:rsidP="00FC2CE9">
      <w:pPr>
        <w:widowControl/>
        <w:ind w:right="-36"/>
        <w:jc w:val="both"/>
        <w:rPr>
          <w:sz w:val="28"/>
          <w:szCs w:val="28"/>
          <w:lang w:val="en-GB"/>
        </w:rPr>
      </w:pPr>
      <w:r w:rsidRPr="00C83B8B">
        <w:rPr>
          <w:sz w:val="28"/>
          <w:szCs w:val="28"/>
          <w:lang w:val="en-GB"/>
        </w:rPr>
        <w:t>BETWEEN:</w:t>
      </w:r>
    </w:p>
    <w:p w:rsidR="00E9123C" w:rsidRPr="00C83B8B" w:rsidRDefault="00E9123C" w:rsidP="00FC2CE9">
      <w:pPr>
        <w:widowControl/>
        <w:tabs>
          <w:tab w:val="left" w:pos="-1440"/>
          <w:tab w:val="left" w:pos="-720"/>
        </w:tabs>
        <w:ind w:right="-36"/>
        <w:jc w:val="both"/>
        <w:rPr>
          <w:sz w:val="28"/>
          <w:szCs w:val="28"/>
          <w:lang w:val="en-GB"/>
        </w:rPr>
      </w:pPr>
    </w:p>
    <w:bookmarkStart w:id="0" w:name="QuickMark"/>
    <w:bookmarkEnd w:id="0"/>
    <w:p w:rsidR="006B3E24" w:rsidRPr="00C83B8B" w:rsidRDefault="006B3E24" w:rsidP="006B3E24">
      <w:pPr>
        <w:widowControl/>
        <w:jc w:val="center"/>
        <w:rPr>
          <w:sz w:val="28"/>
          <w:szCs w:val="28"/>
          <w:lang w:val="en-CA"/>
        </w:rPr>
      </w:pPr>
      <w:r w:rsidRPr="00C83B8B">
        <w:rPr>
          <w:sz w:val="28"/>
          <w:szCs w:val="28"/>
          <w:lang w:val="en-CA"/>
        </w:rPr>
        <w:fldChar w:fldCharType="begin"/>
      </w:r>
      <w:r w:rsidRPr="00C83B8B">
        <w:rPr>
          <w:sz w:val="28"/>
          <w:szCs w:val="28"/>
          <w:lang w:val="en-CA"/>
        </w:rPr>
        <w:instrText xml:space="preserve"> SEQ CHAPTER \h \r 1</w:instrText>
      </w:r>
      <w:r w:rsidRPr="00C83B8B">
        <w:rPr>
          <w:sz w:val="28"/>
          <w:szCs w:val="28"/>
          <w:lang w:val="en-CA"/>
        </w:rPr>
        <w:fldChar w:fldCharType="end"/>
      </w:r>
      <w:r w:rsidRPr="00C83B8B">
        <w:rPr>
          <w:sz w:val="28"/>
          <w:szCs w:val="28"/>
          <w:lang w:val="en-CA"/>
        </w:rPr>
        <w:t>THE GOVERNMENT OF THE NORTHWEST TERRITORIES</w:t>
      </w:r>
    </w:p>
    <w:p w:rsidR="006B3E24" w:rsidRPr="00C83B8B" w:rsidRDefault="006B3E24" w:rsidP="006B3E24">
      <w:pPr>
        <w:widowControl/>
        <w:jc w:val="center"/>
        <w:rPr>
          <w:sz w:val="28"/>
          <w:szCs w:val="28"/>
          <w:lang w:val="en-CA"/>
        </w:rPr>
      </w:pPr>
      <w:r w:rsidRPr="00C83B8B">
        <w:rPr>
          <w:sz w:val="28"/>
          <w:szCs w:val="28"/>
          <w:lang w:val="en-CA"/>
        </w:rPr>
        <w:t xml:space="preserve">as represented by the MINISTER OF PUBLIC WORKS AND SERVICES </w:t>
      </w:r>
    </w:p>
    <w:p w:rsidR="006B3E24" w:rsidRPr="00C83B8B" w:rsidRDefault="006B3E24" w:rsidP="006B3E24">
      <w:pPr>
        <w:widowControl/>
        <w:tabs>
          <w:tab w:val="right" w:pos="9360"/>
        </w:tabs>
        <w:rPr>
          <w:sz w:val="28"/>
          <w:szCs w:val="28"/>
          <w:lang w:val="en-CA"/>
        </w:rPr>
      </w:pPr>
      <w:r w:rsidRPr="00C83B8B">
        <w:rPr>
          <w:sz w:val="28"/>
          <w:szCs w:val="28"/>
          <w:lang w:val="en-CA"/>
        </w:rPr>
        <w:tab/>
        <w:t>Plaintiff</w:t>
      </w:r>
    </w:p>
    <w:p w:rsidR="006B3E24" w:rsidRPr="00C83B8B" w:rsidRDefault="006B3E24" w:rsidP="006B3E24">
      <w:pPr>
        <w:widowControl/>
        <w:jc w:val="center"/>
        <w:rPr>
          <w:sz w:val="28"/>
          <w:szCs w:val="28"/>
          <w:lang w:val="en-CA"/>
        </w:rPr>
      </w:pPr>
      <w:r w:rsidRPr="00C83B8B">
        <w:rPr>
          <w:sz w:val="28"/>
          <w:szCs w:val="28"/>
          <w:lang w:val="en-CA"/>
        </w:rPr>
        <w:t>- and -</w:t>
      </w:r>
    </w:p>
    <w:p w:rsidR="006B3E24" w:rsidRPr="00C83B8B" w:rsidRDefault="006B3E24" w:rsidP="006B3E24">
      <w:pPr>
        <w:widowControl/>
        <w:rPr>
          <w:sz w:val="28"/>
          <w:szCs w:val="28"/>
          <w:lang w:val="en-CA"/>
        </w:rPr>
      </w:pPr>
    </w:p>
    <w:p w:rsidR="006B3E24" w:rsidRPr="00C83B8B" w:rsidRDefault="006B3E24" w:rsidP="006B3E24">
      <w:pPr>
        <w:widowControl/>
        <w:jc w:val="center"/>
        <w:rPr>
          <w:sz w:val="28"/>
          <w:szCs w:val="28"/>
          <w:lang w:val="en-CA"/>
        </w:rPr>
      </w:pPr>
      <w:r w:rsidRPr="00C83B8B">
        <w:rPr>
          <w:sz w:val="28"/>
          <w:szCs w:val="28"/>
          <w:lang w:val="en-CA"/>
        </w:rPr>
        <w:t>831594 N.W.T. LTD. carrying on business under the name and style of FERGUSON SIMEK CLARK, FERGUSON SIMEK CLARK ENGINEERS AND ARCHITECTS carrying on business under the name and style of FSC GROUP, 831594 N.W.T. LTD., FERGUSON SIMEK CLARK ENGINEERS AND ARCHITECTS, FERGUSON SIMEK CLARK, FSC GROUP, JOHN DOE NO.1, G.P. VALUE ENGINEERING LTD., ANTHONY P. SILVA, JOHN DOE NO. 2, JOHN DOE NO. 3 and JOHN DOE NO. 4, COMARC ARCHITECTS LIMITED and CLIVE HAROLD CLARK</w:t>
      </w:r>
    </w:p>
    <w:p w:rsidR="006B3E24" w:rsidRPr="00C83B8B" w:rsidRDefault="006B3E24" w:rsidP="006B3E24">
      <w:pPr>
        <w:widowControl/>
        <w:tabs>
          <w:tab w:val="right" w:pos="9360"/>
        </w:tabs>
        <w:rPr>
          <w:sz w:val="28"/>
          <w:szCs w:val="28"/>
          <w:lang w:val="en-CA"/>
        </w:rPr>
      </w:pPr>
      <w:r w:rsidRPr="00C83B8B">
        <w:rPr>
          <w:sz w:val="28"/>
          <w:szCs w:val="28"/>
          <w:lang w:val="en-CA"/>
        </w:rPr>
        <w:tab/>
        <w:t>Defendants</w:t>
      </w:r>
    </w:p>
    <w:p w:rsidR="006B3E24" w:rsidRPr="00C83B8B" w:rsidRDefault="006B3E24" w:rsidP="006B3E24">
      <w:pPr>
        <w:widowControl/>
        <w:jc w:val="center"/>
        <w:rPr>
          <w:sz w:val="28"/>
          <w:szCs w:val="28"/>
          <w:lang w:val="en-CA"/>
        </w:rPr>
      </w:pPr>
      <w:r w:rsidRPr="00C83B8B">
        <w:rPr>
          <w:sz w:val="28"/>
          <w:szCs w:val="28"/>
          <w:lang w:val="en-CA"/>
        </w:rPr>
        <w:t>- and -</w:t>
      </w:r>
    </w:p>
    <w:p w:rsidR="006B3E24" w:rsidRPr="00C83B8B" w:rsidRDefault="006B3E24" w:rsidP="006B3E24">
      <w:pPr>
        <w:widowControl/>
        <w:tabs>
          <w:tab w:val="right" w:pos="9360"/>
        </w:tabs>
        <w:rPr>
          <w:sz w:val="28"/>
          <w:szCs w:val="28"/>
          <w:lang w:val="en-CA"/>
        </w:rPr>
      </w:pPr>
      <w:r w:rsidRPr="00C83B8B">
        <w:rPr>
          <w:sz w:val="28"/>
          <w:szCs w:val="28"/>
          <w:lang w:val="en-CA"/>
        </w:rPr>
        <w:tab/>
      </w:r>
    </w:p>
    <w:p w:rsidR="006B3E24" w:rsidRPr="00C83B8B" w:rsidRDefault="006B3E24" w:rsidP="006B3E24">
      <w:pPr>
        <w:widowControl/>
        <w:jc w:val="center"/>
        <w:rPr>
          <w:sz w:val="28"/>
          <w:szCs w:val="28"/>
          <w:lang w:val="en-CA"/>
        </w:rPr>
      </w:pPr>
      <w:r w:rsidRPr="00C83B8B">
        <w:rPr>
          <w:sz w:val="28"/>
          <w:szCs w:val="28"/>
          <w:lang w:val="en-CA"/>
        </w:rPr>
        <w:t>NINETY NORTH CONSTRUCTION AND DEVELOPMENT LTD.</w:t>
      </w:r>
    </w:p>
    <w:p w:rsidR="006B3E24" w:rsidRPr="00C83B8B" w:rsidRDefault="006B3E24" w:rsidP="006B3E24">
      <w:pPr>
        <w:widowControl/>
        <w:tabs>
          <w:tab w:val="right" w:pos="9360"/>
        </w:tabs>
        <w:rPr>
          <w:sz w:val="28"/>
          <w:szCs w:val="28"/>
          <w:lang w:val="en-CA"/>
        </w:rPr>
      </w:pPr>
      <w:r w:rsidRPr="00C83B8B">
        <w:rPr>
          <w:sz w:val="28"/>
          <w:szCs w:val="28"/>
          <w:lang w:val="en-CA"/>
        </w:rPr>
        <w:tab/>
        <w:t>Third Party</w:t>
      </w:r>
    </w:p>
    <w:p w:rsidR="006B3E24" w:rsidRPr="00C83B8B" w:rsidRDefault="006B3E24" w:rsidP="006B3E24">
      <w:pPr>
        <w:widowControl/>
        <w:jc w:val="center"/>
        <w:rPr>
          <w:sz w:val="28"/>
          <w:szCs w:val="28"/>
          <w:lang w:val="en-CA"/>
        </w:rPr>
      </w:pPr>
      <w:r w:rsidRPr="00C83B8B">
        <w:rPr>
          <w:sz w:val="28"/>
          <w:szCs w:val="28"/>
          <w:lang w:val="en-CA"/>
        </w:rPr>
        <w:t>- and -</w:t>
      </w:r>
    </w:p>
    <w:p w:rsidR="006B3E24" w:rsidRPr="00C83B8B" w:rsidRDefault="006B3E24" w:rsidP="006B3E24">
      <w:pPr>
        <w:widowControl/>
        <w:jc w:val="center"/>
        <w:rPr>
          <w:sz w:val="28"/>
          <w:szCs w:val="28"/>
          <w:lang w:val="en-CA"/>
        </w:rPr>
      </w:pPr>
    </w:p>
    <w:p w:rsidR="006B3E24" w:rsidRPr="00C83B8B" w:rsidRDefault="006B3E24" w:rsidP="006B3E24">
      <w:pPr>
        <w:widowControl/>
        <w:jc w:val="center"/>
        <w:rPr>
          <w:sz w:val="28"/>
          <w:szCs w:val="28"/>
          <w:lang w:val="en-CA"/>
        </w:rPr>
      </w:pPr>
      <w:r w:rsidRPr="00C83B8B">
        <w:rPr>
          <w:sz w:val="28"/>
          <w:szCs w:val="28"/>
          <w:lang w:val="en-CA"/>
        </w:rPr>
        <w:t>ANTHONY P. SILVA</w:t>
      </w:r>
    </w:p>
    <w:p w:rsidR="006B3E24" w:rsidRPr="00C83B8B" w:rsidRDefault="006B3E24" w:rsidP="006B3E24">
      <w:pPr>
        <w:widowControl/>
        <w:tabs>
          <w:tab w:val="right" w:pos="9360"/>
        </w:tabs>
        <w:rPr>
          <w:sz w:val="28"/>
          <w:szCs w:val="28"/>
          <w:lang w:val="en-CA"/>
        </w:rPr>
      </w:pPr>
      <w:r w:rsidRPr="00C83B8B">
        <w:rPr>
          <w:sz w:val="28"/>
          <w:szCs w:val="28"/>
          <w:lang w:val="en-CA"/>
        </w:rPr>
        <w:tab/>
        <w:t>Third Party</w:t>
      </w:r>
    </w:p>
    <w:p w:rsidR="006B3E24" w:rsidRPr="00C83B8B" w:rsidRDefault="006B3E24" w:rsidP="006B3E24">
      <w:pPr>
        <w:widowControl/>
        <w:jc w:val="center"/>
        <w:rPr>
          <w:sz w:val="28"/>
          <w:szCs w:val="28"/>
          <w:lang w:val="en-CA"/>
        </w:rPr>
      </w:pPr>
      <w:r w:rsidRPr="00C83B8B">
        <w:rPr>
          <w:sz w:val="28"/>
          <w:szCs w:val="28"/>
          <w:lang w:val="en-CA"/>
        </w:rPr>
        <w:t>- and -</w:t>
      </w:r>
    </w:p>
    <w:p w:rsidR="006B3E24" w:rsidRPr="00C83B8B" w:rsidRDefault="006B3E24" w:rsidP="006B3E24">
      <w:pPr>
        <w:widowControl/>
        <w:rPr>
          <w:sz w:val="28"/>
          <w:szCs w:val="28"/>
          <w:lang w:val="en-CA"/>
        </w:rPr>
      </w:pPr>
    </w:p>
    <w:p w:rsidR="006B3E24" w:rsidRPr="00C83B8B" w:rsidRDefault="006B3E24" w:rsidP="006B3E24">
      <w:pPr>
        <w:widowControl/>
        <w:jc w:val="center"/>
        <w:rPr>
          <w:sz w:val="28"/>
          <w:szCs w:val="28"/>
          <w:lang w:val="en-CA"/>
        </w:rPr>
      </w:pPr>
      <w:r w:rsidRPr="00C83B8B">
        <w:rPr>
          <w:sz w:val="28"/>
          <w:szCs w:val="28"/>
          <w:lang w:val="en-CA"/>
        </w:rPr>
        <w:t>NINETY NORTH CONSTRUCTION AND DEVELOPMENT LTD.</w:t>
      </w:r>
    </w:p>
    <w:p w:rsidR="006B3E24" w:rsidRPr="00C83B8B" w:rsidRDefault="006B3E24" w:rsidP="006B3E24">
      <w:pPr>
        <w:widowControl/>
        <w:tabs>
          <w:tab w:val="right" w:pos="9360"/>
        </w:tabs>
        <w:rPr>
          <w:sz w:val="28"/>
          <w:szCs w:val="28"/>
          <w:lang w:val="en-CA"/>
        </w:rPr>
      </w:pPr>
      <w:r w:rsidRPr="00C83B8B">
        <w:rPr>
          <w:sz w:val="28"/>
          <w:szCs w:val="28"/>
          <w:lang w:val="en-CA"/>
        </w:rPr>
        <w:tab/>
        <w:t>Third Party</w:t>
      </w:r>
    </w:p>
    <w:p w:rsidR="006B3E24" w:rsidRPr="00C83B8B" w:rsidRDefault="006B3E24" w:rsidP="006B3E24">
      <w:pPr>
        <w:widowControl/>
        <w:jc w:val="center"/>
        <w:rPr>
          <w:sz w:val="28"/>
          <w:szCs w:val="28"/>
          <w:lang w:val="en-CA"/>
        </w:rPr>
      </w:pPr>
      <w:r w:rsidRPr="00C83B8B">
        <w:rPr>
          <w:sz w:val="28"/>
          <w:szCs w:val="28"/>
          <w:lang w:val="en-CA"/>
        </w:rPr>
        <w:t>- and -</w:t>
      </w:r>
    </w:p>
    <w:p w:rsidR="006B3E24" w:rsidRPr="00C83B8B" w:rsidRDefault="006B3E24" w:rsidP="006B3E24">
      <w:pPr>
        <w:widowControl/>
        <w:rPr>
          <w:sz w:val="28"/>
          <w:szCs w:val="28"/>
          <w:lang w:val="en-CA"/>
        </w:rPr>
      </w:pPr>
    </w:p>
    <w:p w:rsidR="006B3E24" w:rsidRPr="00C83B8B" w:rsidRDefault="006B3E24" w:rsidP="006B3E24">
      <w:pPr>
        <w:widowControl/>
        <w:jc w:val="center"/>
        <w:rPr>
          <w:sz w:val="28"/>
          <w:szCs w:val="28"/>
          <w:lang w:val="en-CA"/>
        </w:rPr>
      </w:pPr>
      <w:r w:rsidRPr="00C83B8B">
        <w:rPr>
          <w:sz w:val="28"/>
          <w:szCs w:val="28"/>
          <w:lang w:val="en-CA"/>
        </w:rPr>
        <w:t>THE GOVERNMENT OF THE NORTHWEST TERRITORIES</w:t>
      </w:r>
    </w:p>
    <w:p w:rsidR="006B3E24" w:rsidRPr="00C83B8B" w:rsidRDefault="006B3E24" w:rsidP="006B3E24">
      <w:pPr>
        <w:widowControl/>
        <w:jc w:val="center"/>
        <w:rPr>
          <w:sz w:val="28"/>
          <w:szCs w:val="28"/>
          <w:lang w:val="en-CA"/>
        </w:rPr>
      </w:pPr>
      <w:r w:rsidRPr="00C83B8B">
        <w:rPr>
          <w:sz w:val="28"/>
          <w:szCs w:val="28"/>
          <w:lang w:val="en-CA"/>
        </w:rPr>
        <w:t xml:space="preserve">as represented by the MINISTER OF PUBLIC WORKS AND SERVICES </w:t>
      </w:r>
    </w:p>
    <w:p w:rsidR="009040DA" w:rsidRPr="00C83B8B" w:rsidRDefault="0016214F" w:rsidP="0016214F">
      <w:pPr>
        <w:widowControl/>
        <w:tabs>
          <w:tab w:val="right" w:pos="9360"/>
        </w:tabs>
        <w:rPr>
          <w:sz w:val="28"/>
          <w:szCs w:val="28"/>
          <w:lang w:val="en-CA"/>
        </w:rPr>
      </w:pPr>
      <w:r w:rsidRPr="00C83B8B">
        <w:rPr>
          <w:sz w:val="28"/>
          <w:szCs w:val="28"/>
          <w:lang w:val="en-CA"/>
        </w:rPr>
        <w:tab/>
        <w:t>Fourth Party</w:t>
      </w:r>
    </w:p>
    <w:p w:rsidR="008D2860" w:rsidRPr="00351EAF" w:rsidRDefault="00E96D11" w:rsidP="003D034C">
      <w:pPr>
        <w:widowControl/>
        <w:spacing w:line="275" w:lineRule="auto"/>
        <w:ind w:right="-36"/>
        <w:jc w:val="center"/>
        <w:rPr>
          <w:sz w:val="28"/>
          <w:szCs w:val="28"/>
        </w:rPr>
      </w:pPr>
      <w:r w:rsidRPr="00351EAF">
        <w:rPr>
          <w:sz w:val="28"/>
          <w:szCs w:val="28"/>
        </w:rPr>
        <w:t xml:space="preserve">RULING </w:t>
      </w:r>
      <w:r w:rsidR="008D2860" w:rsidRPr="00351EAF">
        <w:rPr>
          <w:sz w:val="28"/>
          <w:szCs w:val="28"/>
        </w:rPr>
        <w:t xml:space="preserve">ON COSTS OF APPLICATION </w:t>
      </w:r>
    </w:p>
    <w:p w:rsidR="003D034C" w:rsidRPr="00351EAF" w:rsidRDefault="003F6CBB" w:rsidP="003D034C">
      <w:pPr>
        <w:widowControl/>
        <w:spacing w:line="275" w:lineRule="auto"/>
        <w:ind w:right="-36"/>
        <w:jc w:val="center"/>
        <w:rPr>
          <w:sz w:val="28"/>
          <w:szCs w:val="28"/>
          <w:u w:val="single"/>
        </w:rPr>
      </w:pPr>
      <w:r>
        <w:rPr>
          <w:sz w:val="28"/>
          <w:szCs w:val="28"/>
          <w:u w:val="single"/>
        </w:rPr>
        <w:t>TO DISMISS BY REASON OF DELAY (RULE 327)</w:t>
      </w:r>
    </w:p>
    <w:p w:rsidR="008D2860" w:rsidRDefault="00800A92" w:rsidP="00DD1D31">
      <w:pPr>
        <w:pStyle w:val="ListParagraph"/>
        <w:numPr>
          <w:ilvl w:val="0"/>
          <w:numId w:val="11"/>
        </w:numPr>
        <w:tabs>
          <w:tab w:val="left" w:pos="0"/>
        </w:tabs>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O</w:t>
      </w:r>
      <w:r w:rsidR="008D2860" w:rsidRPr="008D2860">
        <w:rPr>
          <w:rFonts w:ascii="Times New Roman" w:hAnsi="Times New Roman" w:cs="Times New Roman"/>
          <w:sz w:val="28"/>
          <w:szCs w:val="28"/>
        </w:rPr>
        <w:t xml:space="preserve">n August 16, 2017, I dismissed the Defendants' Application to dismiss this action by reason of delay.  </w:t>
      </w:r>
      <w:r w:rsidR="008D2860" w:rsidRPr="008D2860">
        <w:rPr>
          <w:rFonts w:ascii="Times New Roman" w:hAnsi="Times New Roman" w:cs="Times New Roman"/>
          <w:i/>
          <w:sz w:val="28"/>
          <w:szCs w:val="28"/>
        </w:rPr>
        <w:t>GNWT v 831594 et al.</w:t>
      </w:r>
      <w:r w:rsidR="008D2860" w:rsidRPr="008D2860">
        <w:rPr>
          <w:rFonts w:ascii="Times New Roman" w:hAnsi="Times New Roman" w:cs="Times New Roman"/>
          <w:sz w:val="28"/>
          <w:szCs w:val="28"/>
        </w:rPr>
        <w:t>, 2017 NWTSC 57.  This is my ruling on the issue of costs</w:t>
      </w:r>
      <w:r w:rsidR="006925E2">
        <w:rPr>
          <w:rFonts w:ascii="Times New Roman" w:hAnsi="Times New Roman" w:cs="Times New Roman"/>
          <w:sz w:val="28"/>
          <w:szCs w:val="28"/>
        </w:rPr>
        <w:t xml:space="preserve"> of that Application</w:t>
      </w:r>
      <w:r w:rsidR="008D2860" w:rsidRPr="008D2860">
        <w:rPr>
          <w:rFonts w:ascii="Times New Roman" w:hAnsi="Times New Roman" w:cs="Times New Roman"/>
          <w:sz w:val="28"/>
          <w:szCs w:val="28"/>
        </w:rPr>
        <w:t>.</w:t>
      </w:r>
    </w:p>
    <w:p w:rsidR="00651CFA" w:rsidRDefault="00651CFA" w:rsidP="00DD1D31">
      <w:pPr>
        <w:pStyle w:val="ListParagraph"/>
        <w:tabs>
          <w:tab w:val="left" w:pos="0"/>
        </w:tabs>
        <w:spacing w:line="240" w:lineRule="auto"/>
        <w:ind w:left="0"/>
        <w:jc w:val="both"/>
        <w:rPr>
          <w:rFonts w:ascii="Times New Roman" w:hAnsi="Times New Roman" w:cs="Times New Roman"/>
          <w:sz w:val="28"/>
          <w:szCs w:val="28"/>
        </w:rPr>
      </w:pPr>
    </w:p>
    <w:p w:rsidR="00651CFA" w:rsidRPr="00651CFA" w:rsidRDefault="00651CFA" w:rsidP="00DD1D31">
      <w:pPr>
        <w:pStyle w:val="ListParagraph"/>
        <w:numPr>
          <w:ilvl w:val="0"/>
          <w:numId w:val="11"/>
        </w:numPr>
        <w:spacing w:line="240" w:lineRule="auto"/>
        <w:ind w:left="0" w:firstLine="0"/>
        <w:jc w:val="both"/>
        <w:rPr>
          <w:rFonts w:ascii="Times New Roman" w:hAnsi="Times New Roman" w:cs="Times New Roman"/>
          <w:sz w:val="28"/>
          <w:szCs w:val="28"/>
        </w:rPr>
      </w:pPr>
      <w:r w:rsidRPr="00651CFA">
        <w:rPr>
          <w:rFonts w:ascii="Times New Roman" w:hAnsi="Times New Roman" w:cs="Times New Roman"/>
          <w:sz w:val="28"/>
          <w:szCs w:val="28"/>
        </w:rPr>
        <w:t>The Plaintiff has submitted an Affidavit which details the fees and disbursements incurred in defending the Application.  The tot</w:t>
      </w:r>
      <w:r>
        <w:rPr>
          <w:rFonts w:ascii="Times New Roman" w:hAnsi="Times New Roman" w:cs="Times New Roman"/>
          <w:sz w:val="28"/>
          <w:szCs w:val="28"/>
        </w:rPr>
        <w:t xml:space="preserve">al costs add up to $47,181.88. </w:t>
      </w:r>
    </w:p>
    <w:p w:rsidR="00800A92" w:rsidRDefault="00800A92" w:rsidP="00DD1D31">
      <w:pPr>
        <w:pStyle w:val="ListParagraph"/>
        <w:tabs>
          <w:tab w:val="left" w:pos="0"/>
        </w:tabs>
        <w:spacing w:line="240" w:lineRule="auto"/>
        <w:ind w:left="0"/>
        <w:jc w:val="both"/>
        <w:rPr>
          <w:rFonts w:ascii="Times New Roman" w:hAnsi="Times New Roman" w:cs="Times New Roman"/>
          <w:sz w:val="28"/>
          <w:szCs w:val="28"/>
        </w:rPr>
      </w:pPr>
    </w:p>
    <w:p w:rsidR="008D2860" w:rsidRDefault="00800A92" w:rsidP="00DD1D31">
      <w:pPr>
        <w:pStyle w:val="ListParagraph"/>
        <w:numPr>
          <w:ilvl w:val="0"/>
          <w:numId w:val="11"/>
        </w:numPr>
        <w:tabs>
          <w:tab w:val="left" w:pos="0"/>
        </w:tabs>
        <w:spacing w:line="240" w:lineRule="auto"/>
        <w:ind w:left="0" w:firstLine="0"/>
        <w:jc w:val="both"/>
        <w:rPr>
          <w:rFonts w:ascii="Times New Roman" w:hAnsi="Times New Roman" w:cs="Times New Roman"/>
          <w:sz w:val="28"/>
          <w:szCs w:val="28"/>
        </w:rPr>
      </w:pPr>
      <w:r w:rsidRPr="00800A92">
        <w:rPr>
          <w:rFonts w:ascii="Times New Roman" w:hAnsi="Times New Roman" w:cs="Times New Roman"/>
          <w:sz w:val="28"/>
          <w:szCs w:val="28"/>
        </w:rPr>
        <w:t>The Plaintiff seeks an order for solicitor-client costs.  In the alternative, it argues that enhanced costs are justified under the circumstances.  It also seeks an order that costs be payable forthwith.  The Defendants argue that enhanced costs are not justified and that there is also no basis to order costs payable forthwith</w:t>
      </w:r>
      <w:r w:rsidR="00366F71">
        <w:rPr>
          <w:rFonts w:ascii="Times New Roman" w:hAnsi="Times New Roman" w:cs="Times New Roman"/>
          <w:sz w:val="28"/>
          <w:szCs w:val="28"/>
        </w:rPr>
        <w:t>.</w:t>
      </w:r>
    </w:p>
    <w:p w:rsidR="00651CFA" w:rsidRPr="00651CFA" w:rsidRDefault="00651CFA" w:rsidP="00DD1D31">
      <w:pPr>
        <w:pStyle w:val="ListParagraph"/>
        <w:spacing w:line="240" w:lineRule="auto"/>
        <w:rPr>
          <w:rFonts w:ascii="Times New Roman" w:hAnsi="Times New Roman" w:cs="Times New Roman"/>
          <w:sz w:val="28"/>
          <w:szCs w:val="28"/>
        </w:rPr>
      </w:pPr>
    </w:p>
    <w:p w:rsidR="00651CFA" w:rsidRPr="00855914" w:rsidRDefault="00651CFA" w:rsidP="00DD1D31">
      <w:pPr>
        <w:pStyle w:val="ListParagraph"/>
        <w:numPr>
          <w:ilvl w:val="0"/>
          <w:numId w:val="11"/>
        </w:numPr>
        <w:spacing w:line="240" w:lineRule="auto"/>
        <w:ind w:left="0" w:firstLine="0"/>
        <w:jc w:val="both"/>
        <w:rPr>
          <w:rFonts w:ascii="Times New Roman" w:hAnsi="Times New Roman" w:cs="Times New Roman"/>
          <w:sz w:val="28"/>
          <w:szCs w:val="28"/>
        </w:rPr>
      </w:pPr>
      <w:r w:rsidRPr="00651CFA">
        <w:rPr>
          <w:rFonts w:ascii="Times New Roman" w:hAnsi="Times New Roman" w:cs="Times New Roman"/>
          <w:sz w:val="28"/>
          <w:szCs w:val="28"/>
        </w:rPr>
        <w:t xml:space="preserve">The legal framework that governs </w:t>
      </w:r>
      <w:r w:rsidRPr="003135C1">
        <w:rPr>
          <w:rFonts w:ascii="Times New Roman" w:hAnsi="Times New Roman" w:cs="Times New Roman"/>
          <w:sz w:val="28"/>
          <w:szCs w:val="28"/>
        </w:rPr>
        <w:t>costs awards</w:t>
      </w:r>
      <w:r w:rsidRPr="00651CFA">
        <w:rPr>
          <w:rFonts w:ascii="Times New Roman" w:hAnsi="Times New Roman" w:cs="Times New Roman"/>
          <w:sz w:val="28"/>
          <w:szCs w:val="28"/>
        </w:rPr>
        <w:t xml:space="preserve"> in this jurisdiction is not controversial.  </w:t>
      </w:r>
      <w:r w:rsidRPr="00855914">
        <w:rPr>
          <w:rFonts w:ascii="Times New Roman" w:hAnsi="Times New Roman" w:cs="Times New Roman"/>
          <w:sz w:val="28"/>
          <w:szCs w:val="28"/>
        </w:rPr>
        <w:t xml:space="preserve">The basic principles can be summarized as follows: costs are always in the discretion of the Court; they are intended to indemnify the successful party, encourage settlement, and punish inappropriate behavior by litigants; they generally consist of partial indemnification, calculated in accordance with the Tariff set out in Appendix A of the </w:t>
      </w:r>
      <w:r w:rsidRPr="00855914">
        <w:rPr>
          <w:rFonts w:ascii="Times New Roman" w:hAnsi="Times New Roman" w:cs="Times New Roman"/>
          <w:i/>
          <w:sz w:val="28"/>
          <w:szCs w:val="28"/>
        </w:rPr>
        <w:t>Rules of the Supreme Court of the Northwest Territories</w:t>
      </w:r>
      <w:r w:rsidRPr="00855914">
        <w:rPr>
          <w:rFonts w:ascii="Times New Roman" w:hAnsi="Times New Roman" w:cs="Times New Roman"/>
          <w:sz w:val="28"/>
          <w:szCs w:val="28"/>
        </w:rPr>
        <w:t xml:space="preserve">, R-010-96, as amended; they can, however, also be awarded on an enhanced basis, and, in rare circumstances, be awarded on a solicitor-client basis.  </w:t>
      </w:r>
      <w:r w:rsidR="00855914" w:rsidRPr="00855914">
        <w:rPr>
          <w:rFonts w:ascii="Times New Roman" w:hAnsi="Times New Roman" w:cs="Times New Roman"/>
          <w:i/>
          <w:sz w:val="28"/>
          <w:szCs w:val="28"/>
        </w:rPr>
        <w:t>Williams</w:t>
      </w:r>
      <w:r w:rsidR="00855914" w:rsidRPr="00855914">
        <w:rPr>
          <w:rFonts w:ascii="Times New Roman" w:hAnsi="Times New Roman" w:cs="Times New Roman"/>
          <w:sz w:val="28"/>
          <w:szCs w:val="28"/>
        </w:rPr>
        <w:t xml:space="preserve"> </w:t>
      </w:r>
      <w:r w:rsidR="00855914" w:rsidRPr="00855914">
        <w:rPr>
          <w:rFonts w:ascii="Times New Roman" w:hAnsi="Times New Roman" w:cs="Times New Roman"/>
          <w:i/>
          <w:sz w:val="28"/>
          <w:szCs w:val="28"/>
        </w:rPr>
        <w:t>v</w:t>
      </w:r>
      <w:r w:rsidR="00855914" w:rsidRPr="00855914">
        <w:rPr>
          <w:rFonts w:ascii="Times New Roman" w:hAnsi="Times New Roman" w:cs="Times New Roman"/>
          <w:sz w:val="28"/>
          <w:szCs w:val="28"/>
        </w:rPr>
        <w:t xml:space="preserve"> </w:t>
      </w:r>
      <w:r w:rsidR="00855914" w:rsidRPr="00855914">
        <w:rPr>
          <w:rFonts w:ascii="Times New Roman" w:hAnsi="Times New Roman" w:cs="Times New Roman"/>
          <w:i/>
          <w:sz w:val="28"/>
          <w:szCs w:val="28"/>
        </w:rPr>
        <w:t>Steinwand</w:t>
      </w:r>
      <w:r w:rsidR="00855914" w:rsidRPr="00855914">
        <w:rPr>
          <w:rFonts w:ascii="Times New Roman" w:hAnsi="Times New Roman" w:cs="Times New Roman"/>
          <w:sz w:val="28"/>
          <w:szCs w:val="28"/>
        </w:rPr>
        <w:t>, 2015 NWTSC 3, paras 10-11.</w:t>
      </w:r>
    </w:p>
    <w:p w:rsidR="00651CFA" w:rsidRPr="00651CFA" w:rsidRDefault="00651CFA" w:rsidP="00DD1D31">
      <w:pPr>
        <w:pStyle w:val="ListParagraph"/>
        <w:spacing w:line="240" w:lineRule="auto"/>
        <w:rPr>
          <w:rFonts w:ascii="Times New Roman" w:hAnsi="Times New Roman" w:cs="Times New Roman"/>
          <w:sz w:val="28"/>
          <w:szCs w:val="28"/>
        </w:rPr>
      </w:pPr>
    </w:p>
    <w:p w:rsidR="007768AA" w:rsidRDefault="00651CFA" w:rsidP="007768AA">
      <w:pPr>
        <w:pStyle w:val="ListParagraph"/>
        <w:numPr>
          <w:ilvl w:val="0"/>
          <w:numId w:val="11"/>
        </w:numPr>
        <w:spacing w:line="240" w:lineRule="auto"/>
        <w:ind w:left="0" w:firstLine="0"/>
        <w:jc w:val="both"/>
        <w:rPr>
          <w:rFonts w:ascii="Times New Roman" w:hAnsi="Times New Roman" w:cs="Times New Roman"/>
          <w:sz w:val="28"/>
          <w:szCs w:val="28"/>
        </w:rPr>
      </w:pPr>
      <w:r w:rsidRPr="00651CFA">
        <w:rPr>
          <w:rFonts w:ascii="Times New Roman" w:hAnsi="Times New Roman" w:cs="Times New Roman"/>
          <w:sz w:val="28"/>
          <w:szCs w:val="28"/>
        </w:rPr>
        <w:t>The Plaintiff was successful in having the Defendants’ Application dismissed.  It is entitled to costs.</w:t>
      </w:r>
      <w:r w:rsidR="00366F71">
        <w:rPr>
          <w:rFonts w:ascii="Times New Roman" w:hAnsi="Times New Roman" w:cs="Times New Roman"/>
          <w:sz w:val="28"/>
          <w:szCs w:val="28"/>
        </w:rPr>
        <w:t xml:space="preserve"> </w:t>
      </w:r>
      <w:r w:rsidRPr="00651CFA">
        <w:rPr>
          <w:rFonts w:ascii="Times New Roman" w:hAnsi="Times New Roman" w:cs="Times New Roman"/>
          <w:sz w:val="28"/>
          <w:szCs w:val="28"/>
        </w:rPr>
        <w:t xml:space="preserve"> The issue is whether it is entitled to indemnification beyond the amount </w:t>
      </w:r>
      <w:r w:rsidR="00855914">
        <w:rPr>
          <w:rFonts w:ascii="Times New Roman" w:hAnsi="Times New Roman" w:cs="Times New Roman"/>
          <w:sz w:val="28"/>
          <w:szCs w:val="28"/>
        </w:rPr>
        <w:t>stipulated</w:t>
      </w:r>
      <w:r w:rsidRPr="00651CFA">
        <w:rPr>
          <w:rFonts w:ascii="Times New Roman" w:hAnsi="Times New Roman" w:cs="Times New Roman"/>
          <w:sz w:val="28"/>
          <w:szCs w:val="28"/>
        </w:rPr>
        <w:t xml:space="preserve"> in the Tariff.</w:t>
      </w:r>
    </w:p>
    <w:p w:rsidR="007768AA" w:rsidRPr="007768AA" w:rsidRDefault="007768AA" w:rsidP="007768AA">
      <w:pPr>
        <w:pStyle w:val="ListParagraph"/>
        <w:rPr>
          <w:rFonts w:ascii="Times New Roman" w:hAnsi="Times New Roman" w:cs="Times New Roman"/>
          <w:sz w:val="28"/>
          <w:szCs w:val="28"/>
        </w:rPr>
      </w:pPr>
    </w:p>
    <w:p w:rsidR="007768AA" w:rsidRDefault="008D2860" w:rsidP="00942752">
      <w:pPr>
        <w:pStyle w:val="ListParagraph"/>
        <w:numPr>
          <w:ilvl w:val="0"/>
          <w:numId w:val="11"/>
        </w:numPr>
        <w:spacing w:line="240" w:lineRule="auto"/>
        <w:ind w:left="0" w:firstLine="0"/>
        <w:jc w:val="both"/>
        <w:rPr>
          <w:rFonts w:ascii="Times New Roman" w:hAnsi="Times New Roman" w:cs="Times New Roman"/>
          <w:sz w:val="28"/>
          <w:szCs w:val="28"/>
        </w:rPr>
      </w:pPr>
      <w:r w:rsidRPr="007768AA">
        <w:rPr>
          <w:rFonts w:ascii="Times New Roman" w:hAnsi="Times New Roman" w:cs="Times New Roman"/>
          <w:sz w:val="28"/>
          <w:szCs w:val="28"/>
        </w:rPr>
        <w:t xml:space="preserve">The Plaintiff argues it is entitled to solicitor-client costs </w:t>
      </w:r>
      <w:r w:rsidR="007E35B1" w:rsidRPr="007768AA">
        <w:rPr>
          <w:rFonts w:ascii="Times New Roman" w:hAnsi="Times New Roman" w:cs="Times New Roman"/>
          <w:sz w:val="28"/>
          <w:szCs w:val="28"/>
        </w:rPr>
        <w:t>for two reasons:</w:t>
      </w:r>
      <w:r w:rsidRPr="007768AA">
        <w:rPr>
          <w:rFonts w:ascii="Times New Roman" w:hAnsi="Times New Roman" w:cs="Times New Roman"/>
          <w:sz w:val="28"/>
          <w:szCs w:val="28"/>
        </w:rPr>
        <w:t xml:space="preserve"> the timing of the Application, and the shortcomings </w:t>
      </w:r>
      <w:r w:rsidR="007E35B1" w:rsidRPr="007768AA">
        <w:rPr>
          <w:rFonts w:ascii="Times New Roman" w:hAnsi="Times New Roman" w:cs="Times New Roman"/>
          <w:sz w:val="28"/>
          <w:szCs w:val="28"/>
        </w:rPr>
        <w:t>of</w:t>
      </w:r>
      <w:r w:rsidRPr="007768AA">
        <w:rPr>
          <w:rFonts w:ascii="Times New Roman" w:hAnsi="Times New Roman" w:cs="Times New Roman"/>
          <w:sz w:val="28"/>
          <w:szCs w:val="28"/>
        </w:rPr>
        <w:t xml:space="preserve"> the evidence presented by the Defendants. </w:t>
      </w:r>
      <w:r w:rsidR="006925E2" w:rsidRPr="007768AA">
        <w:rPr>
          <w:rFonts w:ascii="Times New Roman" w:hAnsi="Times New Roman" w:cs="Times New Roman"/>
          <w:sz w:val="28"/>
          <w:szCs w:val="28"/>
        </w:rPr>
        <w:t xml:space="preserve"> The Plaintiff argues that the Defendants’ conduct was reprehensible and is deserving of sanction through a solicitor-client costs order.</w:t>
      </w:r>
    </w:p>
    <w:p w:rsidR="007768AA" w:rsidRPr="007768AA" w:rsidRDefault="007768AA" w:rsidP="007768AA">
      <w:pPr>
        <w:pStyle w:val="ListParagraph"/>
        <w:rPr>
          <w:rFonts w:ascii="Times New Roman" w:hAnsi="Times New Roman" w:cs="Times New Roman"/>
          <w:sz w:val="28"/>
          <w:szCs w:val="28"/>
        </w:rPr>
      </w:pPr>
    </w:p>
    <w:p w:rsidR="007768AA" w:rsidRDefault="008D2860" w:rsidP="007768AA">
      <w:pPr>
        <w:pStyle w:val="ListParagraph"/>
        <w:numPr>
          <w:ilvl w:val="0"/>
          <w:numId w:val="11"/>
        </w:numPr>
        <w:spacing w:line="240" w:lineRule="auto"/>
        <w:ind w:left="0" w:firstLine="0"/>
        <w:jc w:val="both"/>
        <w:rPr>
          <w:rFonts w:ascii="Times New Roman" w:hAnsi="Times New Roman" w:cs="Times New Roman"/>
          <w:sz w:val="28"/>
          <w:szCs w:val="28"/>
        </w:rPr>
      </w:pPr>
      <w:r w:rsidRPr="007768AA">
        <w:rPr>
          <w:rFonts w:ascii="Times New Roman" w:hAnsi="Times New Roman" w:cs="Times New Roman"/>
          <w:sz w:val="28"/>
          <w:szCs w:val="28"/>
        </w:rPr>
        <w:t>An award for solicitor-client costs is an exceptional measure.  It is only justified against a party who has engaged in reprehensible, scandalous or outrageous conduct.</w:t>
      </w:r>
      <w:r w:rsidR="00DD1D31" w:rsidRPr="007768AA">
        <w:rPr>
          <w:rFonts w:ascii="Times New Roman" w:hAnsi="Times New Roman" w:cs="Times New Roman"/>
          <w:sz w:val="28"/>
          <w:szCs w:val="28"/>
        </w:rPr>
        <w:t xml:space="preserve"> </w:t>
      </w:r>
      <w:r w:rsidRPr="007768AA">
        <w:rPr>
          <w:rFonts w:ascii="Times New Roman" w:hAnsi="Times New Roman" w:cs="Times New Roman"/>
          <w:sz w:val="28"/>
          <w:szCs w:val="28"/>
        </w:rPr>
        <w:t xml:space="preserve"> </w:t>
      </w:r>
      <w:r w:rsidRPr="007768AA">
        <w:rPr>
          <w:rFonts w:ascii="Times New Roman" w:hAnsi="Times New Roman" w:cs="Times New Roman"/>
          <w:i/>
          <w:sz w:val="28"/>
          <w:szCs w:val="28"/>
        </w:rPr>
        <w:t>Young v Young</w:t>
      </w:r>
      <w:r w:rsidRPr="007768AA">
        <w:rPr>
          <w:rFonts w:ascii="Times New Roman" w:hAnsi="Times New Roman" w:cs="Times New Roman"/>
          <w:sz w:val="28"/>
          <w:szCs w:val="28"/>
        </w:rPr>
        <w:t xml:space="preserve">, [1993] 4 S.C.R. 3; </w:t>
      </w:r>
      <w:r w:rsidRPr="007768AA">
        <w:rPr>
          <w:rFonts w:ascii="Times New Roman" w:hAnsi="Times New Roman" w:cs="Times New Roman"/>
          <w:i/>
          <w:sz w:val="28"/>
          <w:szCs w:val="28"/>
        </w:rPr>
        <w:t>Katlodeechee First Nation v H.M.T.Q</w:t>
      </w:r>
      <w:r w:rsidRPr="007768AA">
        <w:rPr>
          <w:rFonts w:ascii="Times New Roman" w:hAnsi="Times New Roman" w:cs="Times New Roman"/>
          <w:sz w:val="28"/>
          <w:szCs w:val="28"/>
        </w:rPr>
        <w:t>., 2004 NWTSC 12.</w:t>
      </w:r>
    </w:p>
    <w:p w:rsidR="007768AA" w:rsidRPr="007768AA" w:rsidRDefault="007768AA" w:rsidP="007768AA">
      <w:pPr>
        <w:pStyle w:val="ListParagraph"/>
        <w:rPr>
          <w:rFonts w:ascii="Times New Roman" w:hAnsi="Times New Roman" w:cs="Times New Roman"/>
          <w:sz w:val="28"/>
          <w:szCs w:val="28"/>
        </w:rPr>
      </w:pPr>
    </w:p>
    <w:p w:rsidR="00BE1C53" w:rsidRDefault="008D2860" w:rsidP="00BE1C53">
      <w:pPr>
        <w:pStyle w:val="ListParagraph"/>
        <w:numPr>
          <w:ilvl w:val="0"/>
          <w:numId w:val="11"/>
        </w:numPr>
        <w:spacing w:line="240" w:lineRule="auto"/>
        <w:ind w:left="0" w:firstLine="0"/>
        <w:jc w:val="both"/>
        <w:rPr>
          <w:rFonts w:ascii="Times New Roman" w:hAnsi="Times New Roman" w:cs="Times New Roman"/>
          <w:sz w:val="28"/>
          <w:szCs w:val="28"/>
        </w:rPr>
      </w:pPr>
      <w:r w:rsidRPr="007768AA">
        <w:rPr>
          <w:rFonts w:ascii="Times New Roman" w:hAnsi="Times New Roman" w:cs="Times New Roman"/>
          <w:sz w:val="28"/>
          <w:szCs w:val="28"/>
        </w:rPr>
        <w:t xml:space="preserve">In </w:t>
      </w:r>
      <w:r w:rsidR="007E35B1" w:rsidRPr="007768AA">
        <w:rPr>
          <w:rFonts w:ascii="Times New Roman" w:hAnsi="Times New Roman" w:cs="Times New Roman"/>
          <w:sz w:val="28"/>
          <w:szCs w:val="28"/>
        </w:rPr>
        <w:t>my decision on</w:t>
      </w:r>
      <w:r w:rsidRPr="007768AA">
        <w:rPr>
          <w:rFonts w:ascii="Times New Roman" w:hAnsi="Times New Roman" w:cs="Times New Roman"/>
          <w:sz w:val="28"/>
          <w:szCs w:val="28"/>
        </w:rPr>
        <w:t xml:space="preserve"> the Application, I made comments about </w:t>
      </w:r>
      <w:r w:rsidR="006925E2" w:rsidRPr="007768AA">
        <w:rPr>
          <w:rFonts w:ascii="Times New Roman" w:hAnsi="Times New Roman" w:cs="Times New Roman"/>
          <w:sz w:val="28"/>
          <w:szCs w:val="28"/>
        </w:rPr>
        <w:t>its</w:t>
      </w:r>
      <w:r w:rsidRPr="007768AA">
        <w:rPr>
          <w:rFonts w:ascii="Times New Roman" w:hAnsi="Times New Roman" w:cs="Times New Roman"/>
          <w:sz w:val="28"/>
          <w:szCs w:val="28"/>
        </w:rPr>
        <w:t xml:space="preserve"> timing</w:t>
      </w:r>
      <w:r w:rsidR="00855914" w:rsidRPr="007768AA">
        <w:rPr>
          <w:rFonts w:ascii="Times New Roman" w:hAnsi="Times New Roman" w:cs="Times New Roman"/>
          <w:sz w:val="28"/>
          <w:szCs w:val="28"/>
        </w:rPr>
        <w:t>,</w:t>
      </w:r>
      <w:r w:rsidRPr="007768AA">
        <w:rPr>
          <w:rFonts w:ascii="Times New Roman" w:hAnsi="Times New Roman" w:cs="Times New Roman"/>
          <w:sz w:val="28"/>
          <w:szCs w:val="28"/>
        </w:rPr>
        <w:t xml:space="preserve"> and </w:t>
      </w:r>
      <w:r w:rsidR="00855914" w:rsidRPr="007768AA">
        <w:rPr>
          <w:rFonts w:ascii="Times New Roman" w:hAnsi="Times New Roman" w:cs="Times New Roman"/>
          <w:sz w:val="28"/>
          <w:szCs w:val="28"/>
        </w:rPr>
        <w:t xml:space="preserve">about </w:t>
      </w:r>
      <w:r w:rsidR="007E35B1" w:rsidRPr="007768AA">
        <w:rPr>
          <w:rFonts w:ascii="Times New Roman" w:hAnsi="Times New Roman" w:cs="Times New Roman"/>
          <w:sz w:val="28"/>
          <w:szCs w:val="28"/>
        </w:rPr>
        <w:t>the quality of the evidence</w:t>
      </w:r>
      <w:r w:rsidRPr="007768AA">
        <w:rPr>
          <w:rFonts w:ascii="Times New Roman" w:hAnsi="Times New Roman" w:cs="Times New Roman"/>
          <w:sz w:val="28"/>
          <w:szCs w:val="28"/>
        </w:rPr>
        <w:t xml:space="preserve"> adduced by the Defendants.  </w:t>
      </w:r>
      <w:r w:rsidR="00855914" w:rsidRPr="007768AA">
        <w:rPr>
          <w:rFonts w:ascii="Times New Roman" w:hAnsi="Times New Roman" w:cs="Times New Roman"/>
          <w:sz w:val="28"/>
          <w:szCs w:val="28"/>
        </w:rPr>
        <w:t>I</w:t>
      </w:r>
      <w:r w:rsidR="007E35B1" w:rsidRPr="007768AA">
        <w:rPr>
          <w:rFonts w:ascii="Times New Roman" w:hAnsi="Times New Roman" w:cs="Times New Roman"/>
          <w:sz w:val="28"/>
          <w:szCs w:val="28"/>
        </w:rPr>
        <w:t>n s</w:t>
      </w:r>
      <w:r w:rsidR="00855914" w:rsidRPr="007768AA">
        <w:rPr>
          <w:rFonts w:ascii="Times New Roman" w:hAnsi="Times New Roman" w:cs="Times New Roman"/>
          <w:sz w:val="28"/>
          <w:szCs w:val="28"/>
        </w:rPr>
        <w:t>hort</w:t>
      </w:r>
      <w:r w:rsidRPr="007768AA">
        <w:rPr>
          <w:rFonts w:ascii="Times New Roman" w:hAnsi="Times New Roman" w:cs="Times New Roman"/>
          <w:sz w:val="28"/>
          <w:szCs w:val="28"/>
        </w:rPr>
        <w:t>, I found the timing of the Application somewhat puzzling, given the history of the matter</w:t>
      </w:r>
      <w:r w:rsidR="006925E2" w:rsidRPr="007768AA">
        <w:rPr>
          <w:rFonts w:ascii="Times New Roman" w:hAnsi="Times New Roman" w:cs="Times New Roman"/>
          <w:sz w:val="28"/>
          <w:szCs w:val="28"/>
        </w:rPr>
        <w:t xml:space="preserve">, </w:t>
      </w:r>
      <w:r w:rsidR="007E35B1" w:rsidRPr="007768AA">
        <w:rPr>
          <w:rFonts w:ascii="Times New Roman" w:hAnsi="Times New Roman" w:cs="Times New Roman"/>
          <w:sz w:val="28"/>
          <w:szCs w:val="28"/>
        </w:rPr>
        <w:t xml:space="preserve">and </w:t>
      </w:r>
      <w:r w:rsidRPr="007768AA">
        <w:rPr>
          <w:rFonts w:ascii="Times New Roman" w:hAnsi="Times New Roman" w:cs="Times New Roman"/>
          <w:sz w:val="28"/>
          <w:szCs w:val="28"/>
        </w:rPr>
        <w:lastRenderedPageBreak/>
        <w:t>the fact that it had</w:t>
      </w:r>
      <w:r w:rsidR="007E35B1" w:rsidRPr="007768AA">
        <w:rPr>
          <w:rFonts w:ascii="Times New Roman" w:hAnsi="Times New Roman" w:cs="Times New Roman"/>
          <w:sz w:val="28"/>
          <w:szCs w:val="28"/>
        </w:rPr>
        <w:t xml:space="preserve"> already</w:t>
      </w:r>
      <w:r w:rsidRPr="007768AA">
        <w:rPr>
          <w:rFonts w:ascii="Times New Roman" w:hAnsi="Times New Roman" w:cs="Times New Roman"/>
          <w:sz w:val="28"/>
          <w:szCs w:val="28"/>
        </w:rPr>
        <w:t xml:space="preserve"> been in case management for almost </w:t>
      </w:r>
      <w:r w:rsidR="007E35B1" w:rsidRPr="007768AA">
        <w:rPr>
          <w:rFonts w:ascii="Times New Roman" w:hAnsi="Times New Roman" w:cs="Times New Roman"/>
          <w:sz w:val="28"/>
          <w:szCs w:val="28"/>
        </w:rPr>
        <w:t>two and a half</w:t>
      </w:r>
      <w:r w:rsidRPr="007768AA">
        <w:rPr>
          <w:rFonts w:ascii="Times New Roman" w:hAnsi="Times New Roman" w:cs="Times New Roman"/>
          <w:sz w:val="28"/>
          <w:szCs w:val="28"/>
        </w:rPr>
        <w:t xml:space="preserve"> years </w:t>
      </w:r>
      <w:r w:rsidR="007E35B1" w:rsidRPr="007768AA">
        <w:rPr>
          <w:rFonts w:ascii="Times New Roman" w:hAnsi="Times New Roman" w:cs="Times New Roman"/>
          <w:sz w:val="28"/>
          <w:szCs w:val="28"/>
        </w:rPr>
        <w:t xml:space="preserve">when counsel mentioned for the first time that </w:t>
      </w:r>
      <w:r w:rsidRPr="007768AA">
        <w:rPr>
          <w:rFonts w:ascii="Times New Roman" w:hAnsi="Times New Roman" w:cs="Times New Roman"/>
          <w:sz w:val="28"/>
          <w:szCs w:val="28"/>
        </w:rPr>
        <w:t xml:space="preserve">a delay application </w:t>
      </w:r>
      <w:r w:rsidR="007E35B1" w:rsidRPr="007768AA">
        <w:rPr>
          <w:rFonts w:ascii="Times New Roman" w:hAnsi="Times New Roman" w:cs="Times New Roman"/>
          <w:sz w:val="28"/>
          <w:szCs w:val="28"/>
        </w:rPr>
        <w:t xml:space="preserve">might </w:t>
      </w:r>
      <w:r w:rsidRPr="007768AA">
        <w:rPr>
          <w:rFonts w:ascii="Times New Roman" w:hAnsi="Times New Roman" w:cs="Times New Roman"/>
          <w:sz w:val="28"/>
          <w:szCs w:val="28"/>
        </w:rPr>
        <w:t>be brought.  I also found that the evidence presented by the Defendants did not provide the full history</w:t>
      </w:r>
      <w:r w:rsidR="00CE449C">
        <w:rPr>
          <w:rFonts w:ascii="Times New Roman" w:hAnsi="Times New Roman" w:cs="Times New Roman"/>
          <w:sz w:val="28"/>
          <w:szCs w:val="28"/>
        </w:rPr>
        <w:t xml:space="preserve"> and context of this litigation</w:t>
      </w:r>
      <w:r w:rsidRPr="007768AA">
        <w:rPr>
          <w:rFonts w:ascii="Times New Roman" w:hAnsi="Times New Roman" w:cs="Times New Roman"/>
          <w:sz w:val="28"/>
          <w:szCs w:val="28"/>
        </w:rPr>
        <w:t xml:space="preserve"> and that </w:t>
      </w:r>
      <w:r w:rsidR="007E35B1" w:rsidRPr="007768AA">
        <w:rPr>
          <w:rFonts w:ascii="Times New Roman" w:hAnsi="Times New Roman" w:cs="Times New Roman"/>
          <w:sz w:val="28"/>
          <w:szCs w:val="28"/>
        </w:rPr>
        <w:t>this lack of detail rendered aspects of that evidence</w:t>
      </w:r>
      <w:r w:rsidR="006925E2" w:rsidRPr="007768AA">
        <w:rPr>
          <w:rFonts w:ascii="Times New Roman" w:hAnsi="Times New Roman" w:cs="Times New Roman"/>
          <w:sz w:val="28"/>
          <w:szCs w:val="28"/>
        </w:rPr>
        <w:t xml:space="preserve"> misleading</w:t>
      </w:r>
      <w:r w:rsidRPr="007768AA">
        <w:rPr>
          <w:rFonts w:ascii="Times New Roman" w:hAnsi="Times New Roman" w:cs="Times New Roman"/>
          <w:sz w:val="28"/>
          <w:szCs w:val="28"/>
        </w:rPr>
        <w:t xml:space="preserve">.  </w:t>
      </w:r>
      <w:r w:rsidRPr="007768AA">
        <w:rPr>
          <w:rFonts w:ascii="Times New Roman" w:hAnsi="Times New Roman" w:cs="Times New Roman"/>
          <w:i/>
          <w:sz w:val="28"/>
          <w:szCs w:val="28"/>
        </w:rPr>
        <w:t>GNWT v 831594 et al.</w:t>
      </w:r>
      <w:r w:rsidRPr="007768AA">
        <w:rPr>
          <w:rFonts w:ascii="Times New Roman" w:hAnsi="Times New Roman" w:cs="Times New Roman"/>
          <w:sz w:val="28"/>
          <w:szCs w:val="28"/>
        </w:rPr>
        <w:t xml:space="preserve">, </w:t>
      </w:r>
      <w:r w:rsidRPr="007768AA">
        <w:rPr>
          <w:rFonts w:ascii="Times New Roman" w:hAnsi="Times New Roman" w:cs="Times New Roman"/>
          <w:i/>
          <w:sz w:val="28"/>
          <w:szCs w:val="28"/>
        </w:rPr>
        <w:t>supra</w:t>
      </w:r>
      <w:r w:rsidRPr="007768AA">
        <w:rPr>
          <w:rFonts w:ascii="Times New Roman" w:hAnsi="Times New Roman" w:cs="Times New Roman"/>
          <w:sz w:val="28"/>
          <w:szCs w:val="28"/>
        </w:rPr>
        <w:t xml:space="preserve">, paras </w:t>
      </w:r>
      <w:r w:rsidR="00132D92" w:rsidRPr="007768AA">
        <w:rPr>
          <w:rFonts w:ascii="Times New Roman" w:hAnsi="Times New Roman" w:cs="Times New Roman"/>
          <w:sz w:val="28"/>
          <w:szCs w:val="28"/>
        </w:rPr>
        <w:t>13-16 and 24-25</w:t>
      </w:r>
      <w:r w:rsidRPr="007768AA">
        <w:rPr>
          <w:rFonts w:ascii="Times New Roman" w:hAnsi="Times New Roman" w:cs="Times New Roman"/>
          <w:sz w:val="28"/>
          <w:szCs w:val="28"/>
        </w:rPr>
        <w:t>.</w:t>
      </w:r>
    </w:p>
    <w:p w:rsidR="00BE1C53" w:rsidRPr="00BE1C53" w:rsidRDefault="00BE1C53" w:rsidP="00BE1C53">
      <w:pPr>
        <w:pStyle w:val="ListParagraph"/>
        <w:rPr>
          <w:rFonts w:ascii="Times New Roman" w:hAnsi="Times New Roman" w:cs="Times New Roman"/>
          <w:sz w:val="28"/>
          <w:szCs w:val="28"/>
        </w:rPr>
      </w:pPr>
    </w:p>
    <w:p w:rsidR="00BE1C53" w:rsidRDefault="00CE449C" w:rsidP="00BE1C53">
      <w:pPr>
        <w:pStyle w:val="ListParagraph"/>
        <w:numPr>
          <w:ilvl w:val="0"/>
          <w:numId w:val="1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132D92" w:rsidRPr="00BE1C53">
        <w:rPr>
          <w:rFonts w:ascii="Times New Roman" w:hAnsi="Times New Roman" w:cs="Times New Roman"/>
          <w:sz w:val="28"/>
          <w:szCs w:val="28"/>
        </w:rPr>
        <w:t>he question of intent is another matter entirely</w:t>
      </w:r>
      <w:r>
        <w:rPr>
          <w:rFonts w:ascii="Times New Roman" w:hAnsi="Times New Roman" w:cs="Times New Roman"/>
          <w:sz w:val="28"/>
          <w:szCs w:val="28"/>
        </w:rPr>
        <w:t>, however</w:t>
      </w:r>
      <w:r w:rsidR="00132D92" w:rsidRPr="00BE1C53">
        <w:rPr>
          <w:rFonts w:ascii="Times New Roman" w:hAnsi="Times New Roman" w:cs="Times New Roman"/>
          <w:sz w:val="28"/>
          <w:szCs w:val="28"/>
        </w:rPr>
        <w:t>.  I do not have any basis to conclude that the timing of</w:t>
      </w:r>
      <w:r w:rsidR="008D2860" w:rsidRPr="00BE1C53">
        <w:rPr>
          <w:rFonts w:ascii="Times New Roman" w:hAnsi="Times New Roman" w:cs="Times New Roman"/>
          <w:sz w:val="28"/>
          <w:szCs w:val="28"/>
        </w:rPr>
        <w:t xml:space="preserve"> the Application </w:t>
      </w:r>
      <w:r w:rsidR="00855914" w:rsidRPr="00BE1C53">
        <w:rPr>
          <w:rFonts w:ascii="Times New Roman" w:hAnsi="Times New Roman" w:cs="Times New Roman"/>
          <w:sz w:val="28"/>
          <w:szCs w:val="28"/>
        </w:rPr>
        <w:t xml:space="preserve">shows </w:t>
      </w:r>
      <w:r w:rsidR="00132D92" w:rsidRPr="00BE1C53">
        <w:rPr>
          <w:rFonts w:ascii="Times New Roman" w:hAnsi="Times New Roman" w:cs="Times New Roman"/>
          <w:sz w:val="28"/>
          <w:szCs w:val="28"/>
        </w:rPr>
        <w:t xml:space="preserve">an intent </w:t>
      </w:r>
      <w:r w:rsidR="00855914" w:rsidRPr="00BE1C53">
        <w:rPr>
          <w:rFonts w:ascii="Times New Roman" w:hAnsi="Times New Roman" w:cs="Times New Roman"/>
          <w:sz w:val="28"/>
          <w:szCs w:val="28"/>
        </w:rPr>
        <w:t xml:space="preserve">by the Defendants </w:t>
      </w:r>
      <w:r w:rsidR="00132D92" w:rsidRPr="00BE1C53">
        <w:rPr>
          <w:rFonts w:ascii="Times New Roman" w:hAnsi="Times New Roman" w:cs="Times New Roman"/>
          <w:sz w:val="28"/>
          <w:szCs w:val="28"/>
        </w:rPr>
        <w:t xml:space="preserve">to derail the trial.  </w:t>
      </w:r>
      <w:r w:rsidR="00855914" w:rsidRPr="00BE1C53">
        <w:rPr>
          <w:rFonts w:ascii="Times New Roman" w:hAnsi="Times New Roman" w:cs="Times New Roman"/>
          <w:sz w:val="28"/>
          <w:szCs w:val="28"/>
        </w:rPr>
        <w:t>T</w:t>
      </w:r>
      <w:r w:rsidR="00132D92" w:rsidRPr="00BE1C53">
        <w:rPr>
          <w:rFonts w:ascii="Times New Roman" w:hAnsi="Times New Roman" w:cs="Times New Roman"/>
          <w:sz w:val="28"/>
          <w:szCs w:val="28"/>
        </w:rPr>
        <w:t xml:space="preserve">he Application was filed several months before the scheduled trial date and </w:t>
      </w:r>
      <w:r w:rsidR="008D2860" w:rsidRPr="00BE1C53">
        <w:rPr>
          <w:rFonts w:ascii="Times New Roman" w:hAnsi="Times New Roman" w:cs="Times New Roman"/>
          <w:sz w:val="28"/>
          <w:szCs w:val="28"/>
        </w:rPr>
        <w:t xml:space="preserve">did not </w:t>
      </w:r>
      <w:r w:rsidR="00132D92" w:rsidRPr="00BE1C53">
        <w:rPr>
          <w:rFonts w:ascii="Times New Roman" w:hAnsi="Times New Roman" w:cs="Times New Roman"/>
          <w:sz w:val="28"/>
          <w:szCs w:val="28"/>
        </w:rPr>
        <w:t xml:space="preserve">in fact </w:t>
      </w:r>
      <w:r w:rsidR="008D2860" w:rsidRPr="00BE1C53">
        <w:rPr>
          <w:rFonts w:ascii="Times New Roman" w:hAnsi="Times New Roman" w:cs="Times New Roman"/>
          <w:sz w:val="28"/>
          <w:szCs w:val="28"/>
        </w:rPr>
        <w:t xml:space="preserve">compromise </w:t>
      </w:r>
      <w:r w:rsidR="00132D92" w:rsidRPr="00BE1C53">
        <w:rPr>
          <w:rFonts w:ascii="Times New Roman" w:hAnsi="Times New Roman" w:cs="Times New Roman"/>
          <w:sz w:val="28"/>
          <w:szCs w:val="28"/>
        </w:rPr>
        <w:t>it.</w:t>
      </w:r>
      <w:r w:rsidR="008D2860" w:rsidRPr="00BE1C53">
        <w:rPr>
          <w:rFonts w:ascii="Times New Roman" w:hAnsi="Times New Roman" w:cs="Times New Roman"/>
          <w:sz w:val="28"/>
          <w:szCs w:val="28"/>
        </w:rPr>
        <w:t xml:space="preserve">  As for the evidence adduced by the Defendants, while it was not as thorough as it should have been, I am </w:t>
      </w:r>
      <w:r w:rsidR="006925E2" w:rsidRPr="00BE1C53">
        <w:rPr>
          <w:rFonts w:ascii="Times New Roman" w:hAnsi="Times New Roman" w:cs="Times New Roman"/>
          <w:sz w:val="28"/>
          <w:szCs w:val="28"/>
        </w:rPr>
        <w:t>un</w:t>
      </w:r>
      <w:r w:rsidR="008D2860" w:rsidRPr="00BE1C53">
        <w:rPr>
          <w:rFonts w:ascii="Times New Roman" w:hAnsi="Times New Roman" w:cs="Times New Roman"/>
          <w:sz w:val="28"/>
          <w:szCs w:val="28"/>
        </w:rPr>
        <w:t xml:space="preserve">able to conclude that this was </w:t>
      </w:r>
      <w:r w:rsidR="006925E2" w:rsidRPr="00BE1C53">
        <w:rPr>
          <w:rFonts w:ascii="Times New Roman" w:hAnsi="Times New Roman" w:cs="Times New Roman"/>
          <w:sz w:val="28"/>
          <w:szCs w:val="28"/>
        </w:rPr>
        <w:t xml:space="preserve">done </w:t>
      </w:r>
      <w:r w:rsidR="00132D92" w:rsidRPr="00BE1C53">
        <w:rPr>
          <w:rFonts w:ascii="Times New Roman" w:hAnsi="Times New Roman" w:cs="Times New Roman"/>
          <w:sz w:val="28"/>
          <w:szCs w:val="28"/>
        </w:rPr>
        <w:t xml:space="preserve">with a view </w:t>
      </w:r>
      <w:r>
        <w:rPr>
          <w:rFonts w:ascii="Times New Roman" w:hAnsi="Times New Roman" w:cs="Times New Roman"/>
          <w:sz w:val="28"/>
          <w:szCs w:val="28"/>
        </w:rPr>
        <w:t>to</w:t>
      </w:r>
      <w:r w:rsidR="006925E2" w:rsidRPr="00BE1C53">
        <w:rPr>
          <w:rFonts w:ascii="Times New Roman" w:hAnsi="Times New Roman" w:cs="Times New Roman"/>
          <w:sz w:val="28"/>
          <w:szCs w:val="28"/>
        </w:rPr>
        <w:t xml:space="preserve"> deliberate</w:t>
      </w:r>
      <w:r w:rsidR="00132D92" w:rsidRPr="00BE1C53">
        <w:rPr>
          <w:rFonts w:ascii="Times New Roman" w:hAnsi="Times New Roman" w:cs="Times New Roman"/>
          <w:sz w:val="28"/>
          <w:szCs w:val="28"/>
        </w:rPr>
        <w:t>ly</w:t>
      </w:r>
      <w:r w:rsidR="006925E2" w:rsidRPr="00BE1C53">
        <w:rPr>
          <w:rFonts w:ascii="Times New Roman" w:hAnsi="Times New Roman" w:cs="Times New Roman"/>
          <w:sz w:val="28"/>
          <w:szCs w:val="28"/>
        </w:rPr>
        <w:t xml:space="preserve"> </w:t>
      </w:r>
      <w:r w:rsidR="006925E2" w:rsidRPr="003135C1">
        <w:rPr>
          <w:rFonts w:ascii="Times New Roman" w:hAnsi="Times New Roman" w:cs="Times New Roman"/>
          <w:sz w:val="28"/>
          <w:szCs w:val="28"/>
        </w:rPr>
        <w:t>mislead</w:t>
      </w:r>
      <w:r w:rsidR="00132D92" w:rsidRPr="00BE1C53">
        <w:rPr>
          <w:rFonts w:ascii="Times New Roman" w:hAnsi="Times New Roman" w:cs="Times New Roman"/>
          <w:sz w:val="28"/>
          <w:szCs w:val="28"/>
        </w:rPr>
        <w:t xml:space="preserve"> the Court</w:t>
      </w:r>
      <w:r w:rsidR="008D2860" w:rsidRPr="00BE1C53">
        <w:rPr>
          <w:rFonts w:ascii="Times New Roman" w:hAnsi="Times New Roman" w:cs="Times New Roman"/>
          <w:sz w:val="28"/>
          <w:szCs w:val="28"/>
        </w:rPr>
        <w:t xml:space="preserve">.    </w:t>
      </w:r>
    </w:p>
    <w:p w:rsidR="00BE1C53" w:rsidRPr="00BE1C53" w:rsidRDefault="00BE1C53" w:rsidP="00BE1C53">
      <w:pPr>
        <w:pStyle w:val="ListParagraph"/>
        <w:rPr>
          <w:rFonts w:ascii="Times New Roman" w:hAnsi="Times New Roman" w:cs="Times New Roman"/>
          <w:sz w:val="28"/>
          <w:szCs w:val="28"/>
        </w:rPr>
      </w:pPr>
    </w:p>
    <w:p w:rsidR="00BE1C53" w:rsidRDefault="008D2860"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 xml:space="preserve">The Defendants’ position at the hearing </w:t>
      </w:r>
      <w:r w:rsidR="00132D92" w:rsidRPr="00BE1C53">
        <w:rPr>
          <w:rFonts w:ascii="Times New Roman" w:hAnsi="Times New Roman" w:cs="Times New Roman"/>
          <w:sz w:val="28"/>
          <w:szCs w:val="28"/>
        </w:rPr>
        <w:t>seemed</w:t>
      </w:r>
      <w:r w:rsidR="006925E2" w:rsidRPr="00BE1C53">
        <w:rPr>
          <w:rFonts w:ascii="Times New Roman" w:hAnsi="Times New Roman" w:cs="Times New Roman"/>
          <w:sz w:val="28"/>
          <w:szCs w:val="28"/>
        </w:rPr>
        <w:t xml:space="preserve"> to be</w:t>
      </w:r>
      <w:r w:rsidRPr="00BE1C53">
        <w:rPr>
          <w:rFonts w:ascii="Times New Roman" w:hAnsi="Times New Roman" w:cs="Times New Roman"/>
          <w:sz w:val="28"/>
          <w:szCs w:val="28"/>
        </w:rPr>
        <w:t xml:space="preserve"> that the delay was </w:t>
      </w:r>
      <w:r w:rsidR="00132D92" w:rsidRPr="00BE1C53">
        <w:rPr>
          <w:rFonts w:ascii="Times New Roman" w:hAnsi="Times New Roman" w:cs="Times New Roman"/>
          <w:sz w:val="28"/>
          <w:szCs w:val="28"/>
        </w:rPr>
        <w:t>of such magnitude that</w:t>
      </w:r>
      <w:r w:rsidRPr="00BE1C53">
        <w:rPr>
          <w:rFonts w:ascii="Times New Roman" w:hAnsi="Times New Roman" w:cs="Times New Roman"/>
          <w:sz w:val="28"/>
          <w:szCs w:val="28"/>
        </w:rPr>
        <w:t xml:space="preserve"> it warranted a dismissal of the action, irrespective of which party was responsible </w:t>
      </w:r>
      <w:r w:rsidR="00132D92" w:rsidRPr="00BE1C53">
        <w:rPr>
          <w:rFonts w:ascii="Times New Roman" w:hAnsi="Times New Roman" w:cs="Times New Roman"/>
          <w:sz w:val="28"/>
          <w:szCs w:val="28"/>
        </w:rPr>
        <w:t>for that delay</w:t>
      </w:r>
      <w:r w:rsidRPr="00BE1C53">
        <w:rPr>
          <w:rFonts w:ascii="Times New Roman" w:hAnsi="Times New Roman" w:cs="Times New Roman"/>
          <w:sz w:val="28"/>
          <w:szCs w:val="28"/>
        </w:rPr>
        <w:t xml:space="preserve">.  </w:t>
      </w:r>
      <w:r w:rsidR="00855914" w:rsidRPr="00BE1C53">
        <w:rPr>
          <w:rFonts w:ascii="Times New Roman" w:hAnsi="Times New Roman" w:cs="Times New Roman"/>
          <w:sz w:val="28"/>
          <w:szCs w:val="28"/>
        </w:rPr>
        <w:t>Although</w:t>
      </w:r>
      <w:r w:rsidR="00132D92" w:rsidRPr="00BE1C53">
        <w:rPr>
          <w:rFonts w:ascii="Times New Roman" w:hAnsi="Times New Roman" w:cs="Times New Roman"/>
          <w:sz w:val="28"/>
          <w:szCs w:val="28"/>
        </w:rPr>
        <w:t xml:space="preserve"> </w:t>
      </w:r>
      <w:r w:rsidR="00C57B06">
        <w:rPr>
          <w:rFonts w:ascii="Times New Roman" w:hAnsi="Times New Roman" w:cs="Times New Roman"/>
          <w:sz w:val="28"/>
          <w:szCs w:val="28"/>
        </w:rPr>
        <w:t xml:space="preserve">that was </w:t>
      </w:r>
      <w:r w:rsidR="00132D92" w:rsidRPr="00BE1C53">
        <w:rPr>
          <w:rFonts w:ascii="Times New Roman" w:hAnsi="Times New Roman" w:cs="Times New Roman"/>
          <w:sz w:val="28"/>
          <w:szCs w:val="28"/>
        </w:rPr>
        <w:t xml:space="preserve">a novel approach to </w:t>
      </w:r>
      <w:r w:rsidR="00C57B06">
        <w:rPr>
          <w:rFonts w:ascii="Times New Roman" w:hAnsi="Times New Roman" w:cs="Times New Roman"/>
          <w:sz w:val="28"/>
          <w:szCs w:val="28"/>
        </w:rPr>
        <w:t>a Rule 327 application</w:t>
      </w:r>
      <w:r w:rsidR="00132D92" w:rsidRPr="00BE1C53">
        <w:rPr>
          <w:rFonts w:ascii="Times New Roman" w:hAnsi="Times New Roman" w:cs="Times New Roman"/>
          <w:sz w:val="28"/>
          <w:szCs w:val="28"/>
        </w:rPr>
        <w:t xml:space="preserve">, </w:t>
      </w:r>
      <w:r w:rsidR="00C57B06">
        <w:rPr>
          <w:rFonts w:ascii="Times New Roman" w:hAnsi="Times New Roman" w:cs="Times New Roman"/>
          <w:sz w:val="28"/>
          <w:szCs w:val="28"/>
        </w:rPr>
        <w:t>this</w:t>
      </w:r>
      <w:r w:rsidRPr="00BE1C53">
        <w:rPr>
          <w:rFonts w:ascii="Times New Roman" w:hAnsi="Times New Roman" w:cs="Times New Roman"/>
          <w:sz w:val="28"/>
          <w:szCs w:val="28"/>
        </w:rPr>
        <w:t xml:space="preserve"> </w:t>
      </w:r>
      <w:r w:rsidR="00132D92" w:rsidRPr="00BE1C53">
        <w:rPr>
          <w:rFonts w:ascii="Times New Roman" w:hAnsi="Times New Roman" w:cs="Times New Roman"/>
          <w:sz w:val="28"/>
          <w:szCs w:val="28"/>
        </w:rPr>
        <w:t>may be</w:t>
      </w:r>
      <w:r w:rsidRPr="00BE1C53">
        <w:rPr>
          <w:rFonts w:ascii="Times New Roman" w:hAnsi="Times New Roman" w:cs="Times New Roman"/>
          <w:sz w:val="28"/>
          <w:szCs w:val="28"/>
        </w:rPr>
        <w:t xml:space="preserve"> why the</w:t>
      </w:r>
      <w:r w:rsidR="00132D92" w:rsidRPr="00BE1C53">
        <w:rPr>
          <w:rFonts w:ascii="Times New Roman" w:hAnsi="Times New Roman" w:cs="Times New Roman"/>
          <w:sz w:val="28"/>
          <w:szCs w:val="28"/>
        </w:rPr>
        <w:t xml:space="preserve"> Defendants</w:t>
      </w:r>
      <w:r w:rsidRPr="00BE1C53">
        <w:rPr>
          <w:rFonts w:ascii="Times New Roman" w:hAnsi="Times New Roman" w:cs="Times New Roman"/>
          <w:sz w:val="28"/>
          <w:szCs w:val="28"/>
        </w:rPr>
        <w:t xml:space="preserve"> thought it unnecessary to present evidence outlining the full history of this litigation.  </w:t>
      </w:r>
      <w:r w:rsidR="00C57B06">
        <w:rPr>
          <w:rFonts w:ascii="Times New Roman" w:hAnsi="Times New Roman" w:cs="Times New Roman"/>
          <w:sz w:val="28"/>
          <w:szCs w:val="28"/>
        </w:rPr>
        <w:t>Ultimately, I disagreed with</w:t>
      </w:r>
      <w:r w:rsidR="00132D92" w:rsidRPr="00BE1C53">
        <w:rPr>
          <w:rFonts w:ascii="Times New Roman" w:hAnsi="Times New Roman" w:cs="Times New Roman"/>
          <w:sz w:val="28"/>
          <w:szCs w:val="28"/>
        </w:rPr>
        <w:t xml:space="preserve"> the Defendants’ </w:t>
      </w:r>
      <w:r w:rsidR="00855914" w:rsidRPr="00BE1C53">
        <w:rPr>
          <w:rFonts w:ascii="Times New Roman" w:hAnsi="Times New Roman" w:cs="Times New Roman"/>
          <w:sz w:val="28"/>
          <w:szCs w:val="28"/>
        </w:rPr>
        <w:t>position</w:t>
      </w:r>
      <w:r w:rsidR="00132D92" w:rsidRPr="00BE1C53">
        <w:rPr>
          <w:rFonts w:ascii="Times New Roman" w:hAnsi="Times New Roman" w:cs="Times New Roman"/>
          <w:sz w:val="28"/>
          <w:szCs w:val="28"/>
        </w:rPr>
        <w:t xml:space="preserve"> in this regard </w:t>
      </w:r>
      <w:r w:rsidR="00C57B06">
        <w:rPr>
          <w:rFonts w:ascii="Times New Roman" w:hAnsi="Times New Roman" w:cs="Times New Roman"/>
          <w:sz w:val="28"/>
          <w:szCs w:val="28"/>
        </w:rPr>
        <w:t xml:space="preserve">and thought it </w:t>
      </w:r>
      <w:r w:rsidR="00132D92" w:rsidRPr="00BE1C53">
        <w:rPr>
          <w:rFonts w:ascii="Times New Roman" w:hAnsi="Times New Roman" w:cs="Times New Roman"/>
          <w:sz w:val="28"/>
          <w:szCs w:val="28"/>
        </w:rPr>
        <w:t>was misguided</w:t>
      </w:r>
      <w:r w:rsidR="00C57B06">
        <w:rPr>
          <w:rFonts w:ascii="Times New Roman" w:hAnsi="Times New Roman" w:cs="Times New Roman"/>
          <w:sz w:val="28"/>
          <w:szCs w:val="28"/>
        </w:rPr>
        <w:t>.</w:t>
      </w:r>
      <w:r w:rsidR="00BB30C7">
        <w:rPr>
          <w:rFonts w:ascii="Times New Roman" w:hAnsi="Times New Roman" w:cs="Times New Roman"/>
          <w:sz w:val="28"/>
          <w:szCs w:val="28"/>
        </w:rPr>
        <w:t xml:space="preserve"> </w:t>
      </w:r>
      <w:r w:rsidR="00132D92" w:rsidRPr="00BE1C53">
        <w:rPr>
          <w:rFonts w:ascii="Times New Roman" w:hAnsi="Times New Roman" w:cs="Times New Roman"/>
          <w:sz w:val="28"/>
          <w:szCs w:val="28"/>
        </w:rPr>
        <w:t xml:space="preserve"> </w:t>
      </w:r>
      <w:r w:rsidR="00C57B06">
        <w:rPr>
          <w:rFonts w:ascii="Times New Roman" w:hAnsi="Times New Roman" w:cs="Times New Roman"/>
          <w:sz w:val="28"/>
          <w:szCs w:val="28"/>
        </w:rPr>
        <w:t>I</w:t>
      </w:r>
      <w:r w:rsidR="00132D92" w:rsidRPr="00BE1C53">
        <w:rPr>
          <w:rFonts w:ascii="Times New Roman" w:hAnsi="Times New Roman" w:cs="Times New Roman"/>
          <w:sz w:val="28"/>
          <w:szCs w:val="28"/>
        </w:rPr>
        <w:t xml:space="preserve">t does not necessarily follow that </w:t>
      </w:r>
      <w:r w:rsidRPr="00BE1C53">
        <w:rPr>
          <w:rFonts w:ascii="Times New Roman" w:hAnsi="Times New Roman" w:cs="Times New Roman"/>
          <w:sz w:val="28"/>
          <w:szCs w:val="28"/>
        </w:rPr>
        <w:t xml:space="preserve">an order for costs on </w:t>
      </w:r>
      <w:r w:rsidR="00C57B06">
        <w:rPr>
          <w:rFonts w:ascii="Times New Roman" w:hAnsi="Times New Roman" w:cs="Times New Roman"/>
          <w:sz w:val="28"/>
          <w:szCs w:val="28"/>
        </w:rPr>
        <w:t xml:space="preserve">a </w:t>
      </w:r>
      <w:r w:rsidRPr="00BE1C53">
        <w:rPr>
          <w:rFonts w:ascii="Times New Roman" w:hAnsi="Times New Roman" w:cs="Times New Roman"/>
          <w:sz w:val="28"/>
          <w:szCs w:val="28"/>
        </w:rPr>
        <w:t>solicitor-client basis</w:t>
      </w:r>
      <w:r w:rsidR="00C57B06">
        <w:rPr>
          <w:rFonts w:ascii="Times New Roman" w:hAnsi="Times New Roman" w:cs="Times New Roman"/>
          <w:sz w:val="28"/>
          <w:szCs w:val="28"/>
        </w:rPr>
        <w:t xml:space="preserve"> is justified</w:t>
      </w:r>
      <w:r w:rsidRPr="00BE1C53">
        <w:rPr>
          <w:rFonts w:ascii="Times New Roman" w:hAnsi="Times New Roman" w:cs="Times New Roman"/>
          <w:sz w:val="28"/>
          <w:szCs w:val="28"/>
        </w:rPr>
        <w:t xml:space="preserve">.  </w:t>
      </w:r>
      <w:r w:rsidR="006925E2" w:rsidRPr="00BE1C53">
        <w:rPr>
          <w:rFonts w:ascii="Times New Roman" w:hAnsi="Times New Roman" w:cs="Times New Roman"/>
          <w:sz w:val="28"/>
          <w:szCs w:val="28"/>
        </w:rPr>
        <w:t>S</w:t>
      </w:r>
      <w:r w:rsidR="00132D92" w:rsidRPr="00BE1C53">
        <w:rPr>
          <w:rFonts w:ascii="Times New Roman" w:hAnsi="Times New Roman" w:cs="Times New Roman"/>
          <w:sz w:val="28"/>
          <w:szCs w:val="28"/>
        </w:rPr>
        <w:t>uch orders</w:t>
      </w:r>
      <w:r w:rsidR="006925E2" w:rsidRPr="00BE1C53">
        <w:rPr>
          <w:rFonts w:ascii="Times New Roman" w:hAnsi="Times New Roman" w:cs="Times New Roman"/>
          <w:sz w:val="28"/>
          <w:szCs w:val="28"/>
        </w:rPr>
        <w:t xml:space="preserve"> </w:t>
      </w:r>
      <w:r w:rsidR="00132D92" w:rsidRPr="00BE1C53">
        <w:rPr>
          <w:rFonts w:ascii="Times New Roman" w:hAnsi="Times New Roman" w:cs="Times New Roman"/>
          <w:sz w:val="28"/>
          <w:szCs w:val="28"/>
        </w:rPr>
        <w:t>are geared at</w:t>
      </w:r>
      <w:r w:rsidR="006925E2" w:rsidRPr="00BE1C53">
        <w:rPr>
          <w:rFonts w:ascii="Times New Roman" w:hAnsi="Times New Roman" w:cs="Times New Roman"/>
          <w:sz w:val="28"/>
          <w:szCs w:val="28"/>
        </w:rPr>
        <w:t xml:space="preserve"> sanction</w:t>
      </w:r>
      <w:r w:rsidR="00132D92" w:rsidRPr="00BE1C53">
        <w:rPr>
          <w:rFonts w:ascii="Times New Roman" w:hAnsi="Times New Roman" w:cs="Times New Roman"/>
          <w:sz w:val="28"/>
          <w:szCs w:val="28"/>
        </w:rPr>
        <w:t>ing</w:t>
      </w:r>
      <w:r w:rsidRPr="00BE1C53">
        <w:rPr>
          <w:rFonts w:ascii="Times New Roman" w:hAnsi="Times New Roman" w:cs="Times New Roman"/>
          <w:sz w:val="28"/>
          <w:szCs w:val="28"/>
        </w:rPr>
        <w:t xml:space="preserve"> outrageous, scandalous or blameworthy conduct</w:t>
      </w:r>
      <w:r w:rsidR="006925E2" w:rsidRPr="00BE1C53">
        <w:rPr>
          <w:rFonts w:ascii="Times New Roman" w:hAnsi="Times New Roman" w:cs="Times New Roman"/>
          <w:sz w:val="28"/>
          <w:szCs w:val="28"/>
        </w:rPr>
        <w:t xml:space="preserve">. </w:t>
      </w:r>
      <w:r w:rsidR="00132D92" w:rsidRPr="00BE1C53">
        <w:rPr>
          <w:rFonts w:ascii="Times New Roman" w:hAnsi="Times New Roman" w:cs="Times New Roman"/>
          <w:sz w:val="28"/>
          <w:szCs w:val="28"/>
        </w:rPr>
        <w:t xml:space="preserve"> They should not flow merely from</w:t>
      </w:r>
      <w:r w:rsidRPr="00BE1C53">
        <w:rPr>
          <w:rFonts w:ascii="Times New Roman" w:hAnsi="Times New Roman" w:cs="Times New Roman"/>
          <w:sz w:val="28"/>
          <w:szCs w:val="28"/>
        </w:rPr>
        <w:t xml:space="preserve"> </w:t>
      </w:r>
      <w:r w:rsidR="003029E4">
        <w:rPr>
          <w:rFonts w:ascii="Times New Roman" w:hAnsi="Times New Roman" w:cs="Times New Roman"/>
          <w:sz w:val="28"/>
          <w:szCs w:val="28"/>
        </w:rPr>
        <w:t>approaches and</w:t>
      </w:r>
      <w:r w:rsidR="00132D92" w:rsidRPr="00BE1C53">
        <w:rPr>
          <w:rFonts w:ascii="Times New Roman" w:hAnsi="Times New Roman" w:cs="Times New Roman"/>
          <w:sz w:val="28"/>
          <w:szCs w:val="28"/>
        </w:rPr>
        <w:t xml:space="preserve"> strategies</w:t>
      </w:r>
      <w:r w:rsidR="003029E4">
        <w:rPr>
          <w:rFonts w:ascii="Times New Roman" w:hAnsi="Times New Roman" w:cs="Times New Roman"/>
          <w:sz w:val="28"/>
          <w:szCs w:val="28"/>
        </w:rPr>
        <w:t xml:space="preserve"> later found by the Court to be erroneous or even ill-advised</w:t>
      </w:r>
      <w:r w:rsidRPr="00BE1C53">
        <w:rPr>
          <w:rFonts w:ascii="Times New Roman" w:hAnsi="Times New Roman" w:cs="Times New Roman"/>
          <w:sz w:val="28"/>
          <w:szCs w:val="28"/>
        </w:rPr>
        <w:t>.</w:t>
      </w:r>
    </w:p>
    <w:p w:rsidR="00BE1C53" w:rsidRPr="00BE1C53" w:rsidRDefault="00BE1C53" w:rsidP="00BE1C53">
      <w:pPr>
        <w:pStyle w:val="ListParagraph"/>
        <w:rPr>
          <w:rFonts w:ascii="Times New Roman" w:hAnsi="Times New Roman" w:cs="Times New Roman"/>
          <w:sz w:val="28"/>
          <w:szCs w:val="28"/>
        </w:rPr>
      </w:pPr>
    </w:p>
    <w:p w:rsidR="00BE1C53" w:rsidRDefault="00855914"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One of the cases t</w:t>
      </w:r>
      <w:r w:rsidR="00132D92" w:rsidRPr="00BE1C53">
        <w:rPr>
          <w:rFonts w:ascii="Times New Roman" w:hAnsi="Times New Roman" w:cs="Times New Roman"/>
          <w:sz w:val="28"/>
          <w:szCs w:val="28"/>
        </w:rPr>
        <w:t>he Plaintiff relies o</w:t>
      </w:r>
      <w:r w:rsidR="008D2860" w:rsidRPr="00BE1C53">
        <w:rPr>
          <w:rFonts w:ascii="Times New Roman" w:hAnsi="Times New Roman" w:cs="Times New Roman"/>
          <w:sz w:val="28"/>
          <w:szCs w:val="28"/>
        </w:rPr>
        <w:t>n</w:t>
      </w:r>
      <w:r w:rsidRPr="00BE1C53">
        <w:rPr>
          <w:rFonts w:ascii="Times New Roman" w:hAnsi="Times New Roman" w:cs="Times New Roman"/>
          <w:sz w:val="28"/>
          <w:szCs w:val="28"/>
        </w:rPr>
        <w:t xml:space="preserve"> in seeking solicitor-client costs is</w:t>
      </w:r>
      <w:r w:rsidR="008D2860" w:rsidRPr="00BE1C53">
        <w:rPr>
          <w:rFonts w:ascii="Times New Roman" w:hAnsi="Times New Roman" w:cs="Times New Roman"/>
          <w:sz w:val="28"/>
          <w:szCs w:val="28"/>
        </w:rPr>
        <w:t xml:space="preserve"> </w:t>
      </w:r>
      <w:r w:rsidR="008D2860" w:rsidRPr="00BE1C53">
        <w:rPr>
          <w:rFonts w:ascii="Times New Roman" w:hAnsi="Times New Roman" w:cs="Times New Roman"/>
          <w:i/>
          <w:sz w:val="28"/>
          <w:szCs w:val="28"/>
        </w:rPr>
        <w:t>Jackson v Trimac Industries Ltd.,</w:t>
      </w:r>
      <w:r w:rsidR="008D2860" w:rsidRPr="00BE1C53">
        <w:rPr>
          <w:rFonts w:ascii="Times New Roman" w:hAnsi="Times New Roman" w:cs="Times New Roman"/>
          <w:sz w:val="28"/>
          <w:szCs w:val="28"/>
        </w:rPr>
        <w:t xml:space="preserve"> 1993 Carswell Alta 310 (aff'd, 1994 ABCA 199).</w:t>
      </w:r>
      <w:r w:rsidR="006925E2" w:rsidRPr="00BE1C53">
        <w:rPr>
          <w:rFonts w:ascii="Times New Roman" w:hAnsi="Times New Roman" w:cs="Times New Roman"/>
          <w:sz w:val="28"/>
          <w:szCs w:val="28"/>
        </w:rPr>
        <w:t xml:space="preserve">  </w:t>
      </w:r>
      <w:r w:rsidR="00132D92" w:rsidRPr="00BE1C53">
        <w:rPr>
          <w:rFonts w:ascii="Times New Roman" w:hAnsi="Times New Roman" w:cs="Times New Roman"/>
          <w:sz w:val="28"/>
          <w:szCs w:val="28"/>
        </w:rPr>
        <w:t>The examples of cond</w:t>
      </w:r>
      <w:r w:rsidR="00C57B06">
        <w:rPr>
          <w:rFonts w:ascii="Times New Roman" w:hAnsi="Times New Roman" w:cs="Times New Roman"/>
          <w:sz w:val="28"/>
          <w:szCs w:val="28"/>
        </w:rPr>
        <w:t xml:space="preserve">uct </w:t>
      </w:r>
      <w:r w:rsidR="00CE449C">
        <w:rPr>
          <w:rFonts w:ascii="Times New Roman" w:hAnsi="Times New Roman" w:cs="Times New Roman"/>
          <w:sz w:val="28"/>
          <w:szCs w:val="28"/>
        </w:rPr>
        <w:t>referr</w:t>
      </w:r>
      <w:r w:rsidR="00C57B06">
        <w:rPr>
          <w:rFonts w:ascii="Times New Roman" w:hAnsi="Times New Roman" w:cs="Times New Roman"/>
          <w:sz w:val="28"/>
          <w:szCs w:val="28"/>
        </w:rPr>
        <w:t xml:space="preserve">ed </w:t>
      </w:r>
      <w:r w:rsidR="00CE449C">
        <w:rPr>
          <w:rFonts w:ascii="Times New Roman" w:hAnsi="Times New Roman" w:cs="Times New Roman"/>
          <w:sz w:val="28"/>
          <w:szCs w:val="28"/>
        </w:rPr>
        <w:t xml:space="preserve">to </w:t>
      </w:r>
      <w:r w:rsidR="00C57B06">
        <w:rPr>
          <w:rFonts w:ascii="Times New Roman" w:hAnsi="Times New Roman" w:cs="Times New Roman"/>
          <w:sz w:val="28"/>
          <w:szCs w:val="28"/>
        </w:rPr>
        <w:t>in that case include things like</w:t>
      </w:r>
      <w:r w:rsidR="00132D92" w:rsidRPr="00BE1C53">
        <w:rPr>
          <w:rFonts w:ascii="Times New Roman" w:hAnsi="Times New Roman" w:cs="Times New Roman"/>
          <w:sz w:val="28"/>
          <w:szCs w:val="28"/>
        </w:rPr>
        <w:t xml:space="preserve"> </w:t>
      </w:r>
      <w:r w:rsidR="00F35637" w:rsidRPr="00BE1C53">
        <w:rPr>
          <w:rFonts w:ascii="Times New Roman" w:hAnsi="Times New Roman" w:cs="Times New Roman"/>
          <w:sz w:val="28"/>
          <w:szCs w:val="28"/>
        </w:rPr>
        <w:t>disobeying court orders, concealing ev</w:t>
      </w:r>
      <w:r w:rsidR="00CE449C">
        <w:rPr>
          <w:rFonts w:ascii="Times New Roman" w:hAnsi="Times New Roman" w:cs="Times New Roman"/>
          <w:sz w:val="28"/>
          <w:szCs w:val="28"/>
        </w:rPr>
        <w:t>idence, delaying matters unduly</w:t>
      </w:r>
      <w:r w:rsidR="00F35637" w:rsidRPr="00BE1C53">
        <w:rPr>
          <w:rFonts w:ascii="Times New Roman" w:hAnsi="Times New Roman" w:cs="Times New Roman"/>
          <w:sz w:val="28"/>
          <w:szCs w:val="28"/>
        </w:rPr>
        <w:t xml:space="preserve"> </w:t>
      </w:r>
      <w:r w:rsidR="00C57B06">
        <w:rPr>
          <w:rFonts w:ascii="Times New Roman" w:hAnsi="Times New Roman" w:cs="Times New Roman"/>
          <w:sz w:val="28"/>
          <w:szCs w:val="28"/>
        </w:rPr>
        <w:t xml:space="preserve">and </w:t>
      </w:r>
      <w:r w:rsidR="00F35637" w:rsidRPr="00BE1C53">
        <w:rPr>
          <w:rFonts w:ascii="Times New Roman" w:hAnsi="Times New Roman" w:cs="Times New Roman"/>
          <w:sz w:val="28"/>
          <w:szCs w:val="28"/>
        </w:rPr>
        <w:t xml:space="preserve">fraudulent or deceitful conduct.  The Defendants’ conduct on this Application is not analogous.  </w:t>
      </w:r>
      <w:r w:rsidR="006925E2" w:rsidRPr="00BE1C53">
        <w:rPr>
          <w:rFonts w:ascii="Times New Roman" w:hAnsi="Times New Roman" w:cs="Times New Roman"/>
          <w:sz w:val="28"/>
          <w:szCs w:val="28"/>
        </w:rPr>
        <w:t xml:space="preserve">I am not satisfied that </w:t>
      </w:r>
      <w:r w:rsidR="00F35637" w:rsidRPr="00BE1C53">
        <w:rPr>
          <w:rFonts w:ascii="Times New Roman" w:hAnsi="Times New Roman" w:cs="Times New Roman"/>
          <w:sz w:val="28"/>
          <w:szCs w:val="28"/>
        </w:rPr>
        <w:t xml:space="preserve">it warrants an order for </w:t>
      </w:r>
      <w:r w:rsidR="006925E2" w:rsidRPr="00BE1C53">
        <w:rPr>
          <w:rFonts w:ascii="Times New Roman" w:hAnsi="Times New Roman" w:cs="Times New Roman"/>
          <w:sz w:val="28"/>
          <w:szCs w:val="28"/>
        </w:rPr>
        <w:t xml:space="preserve">solicitor-client costs.  </w:t>
      </w:r>
    </w:p>
    <w:p w:rsidR="00BE1C53" w:rsidRPr="00BE1C53" w:rsidRDefault="00BE1C53" w:rsidP="00BE1C53">
      <w:pPr>
        <w:pStyle w:val="ListParagraph"/>
        <w:rPr>
          <w:rFonts w:ascii="Times New Roman" w:hAnsi="Times New Roman" w:cs="Times New Roman"/>
          <w:sz w:val="28"/>
          <w:szCs w:val="28"/>
        </w:rPr>
      </w:pPr>
    </w:p>
    <w:p w:rsidR="008D2860" w:rsidRPr="00BE1C53" w:rsidRDefault="00F35637"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The next question is</w:t>
      </w:r>
      <w:r w:rsidR="00CB3616" w:rsidRPr="00BE1C53">
        <w:rPr>
          <w:rFonts w:ascii="Times New Roman" w:hAnsi="Times New Roman" w:cs="Times New Roman"/>
          <w:sz w:val="28"/>
          <w:szCs w:val="28"/>
        </w:rPr>
        <w:t xml:space="preserve"> whether </w:t>
      </w:r>
      <w:r w:rsidRPr="00BE1C53">
        <w:rPr>
          <w:rFonts w:ascii="Times New Roman" w:hAnsi="Times New Roman" w:cs="Times New Roman"/>
          <w:sz w:val="28"/>
          <w:szCs w:val="28"/>
        </w:rPr>
        <w:t>the Plaintiff should be granted</w:t>
      </w:r>
      <w:r w:rsidR="00CB3616" w:rsidRPr="00BE1C53">
        <w:rPr>
          <w:rFonts w:ascii="Times New Roman" w:hAnsi="Times New Roman" w:cs="Times New Roman"/>
          <w:sz w:val="28"/>
          <w:szCs w:val="28"/>
        </w:rPr>
        <w:t xml:space="preserve"> enhanced costs</w:t>
      </w:r>
      <w:r w:rsidR="008D2860" w:rsidRPr="00BE1C53">
        <w:rPr>
          <w:rFonts w:ascii="Times New Roman" w:hAnsi="Times New Roman" w:cs="Times New Roman"/>
          <w:sz w:val="28"/>
          <w:szCs w:val="28"/>
        </w:rPr>
        <w:t>.</w:t>
      </w:r>
    </w:p>
    <w:p w:rsidR="00BE1C53" w:rsidRDefault="008D2860" w:rsidP="00BE1C53">
      <w:pPr>
        <w:pStyle w:val="ListParagraph"/>
        <w:tabs>
          <w:tab w:val="left" w:pos="360"/>
        </w:tabs>
        <w:spacing w:line="240" w:lineRule="auto"/>
        <w:ind w:left="0"/>
        <w:jc w:val="both"/>
        <w:rPr>
          <w:rFonts w:ascii="Times New Roman" w:hAnsi="Times New Roman" w:cs="Times New Roman"/>
          <w:sz w:val="28"/>
          <w:szCs w:val="28"/>
        </w:rPr>
      </w:pPr>
      <w:r w:rsidRPr="008D2860">
        <w:rPr>
          <w:rFonts w:ascii="Times New Roman" w:hAnsi="Times New Roman" w:cs="Times New Roman"/>
          <w:sz w:val="28"/>
          <w:szCs w:val="28"/>
        </w:rPr>
        <w:t>Enhanced costs represents a sum that is greater than the Tariff, but less than full indemnification.  In deciding whether enhanced costs are justified, the factors to be considered include the reasonableness of the fees, the adequacy of the Tariff, the com</w:t>
      </w:r>
      <w:r w:rsidR="00CE449C">
        <w:rPr>
          <w:rFonts w:ascii="Times New Roman" w:hAnsi="Times New Roman" w:cs="Times New Roman"/>
          <w:sz w:val="28"/>
          <w:szCs w:val="28"/>
        </w:rPr>
        <w:t>plexity of the matter</w:t>
      </w:r>
      <w:r w:rsidRPr="008D2860">
        <w:rPr>
          <w:rFonts w:ascii="Times New Roman" w:hAnsi="Times New Roman" w:cs="Times New Roman"/>
          <w:sz w:val="28"/>
          <w:szCs w:val="28"/>
        </w:rPr>
        <w:t xml:space="preserve"> and the importance of the issues for the parties</w:t>
      </w:r>
      <w:r w:rsidR="00CE449C">
        <w:rPr>
          <w:rFonts w:ascii="Times New Roman" w:hAnsi="Times New Roman" w:cs="Times New Roman"/>
          <w:sz w:val="28"/>
          <w:szCs w:val="28"/>
        </w:rPr>
        <w:t>;</w:t>
      </w:r>
      <w:r w:rsidRPr="008D2860">
        <w:rPr>
          <w:rFonts w:ascii="Times New Roman" w:hAnsi="Times New Roman" w:cs="Times New Roman"/>
          <w:sz w:val="28"/>
          <w:szCs w:val="28"/>
        </w:rPr>
        <w:t xml:space="preserve"> </w:t>
      </w:r>
      <w:r w:rsidR="00CB3616">
        <w:rPr>
          <w:rFonts w:ascii="Times New Roman" w:hAnsi="Times New Roman" w:cs="Times New Roman"/>
          <w:sz w:val="28"/>
          <w:szCs w:val="28"/>
        </w:rPr>
        <w:t>a</w:t>
      </w:r>
      <w:r w:rsidR="00CE449C">
        <w:rPr>
          <w:rFonts w:ascii="Times New Roman" w:hAnsi="Times New Roman" w:cs="Times New Roman"/>
          <w:sz w:val="28"/>
          <w:szCs w:val="28"/>
        </w:rPr>
        <w:t>lso</w:t>
      </w:r>
      <w:r w:rsidR="003029E4">
        <w:rPr>
          <w:rFonts w:ascii="Times New Roman" w:hAnsi="Times New Roman" w:cs="Times New Roman"/>
          <w:sz w:val="28"/>
          <w:szCs w:val="28"/>
        </w:rPr>
        <w:t>,</w:t>
      </w:r>
      <w:r w:rsidR="00CB3616">
        <w:rPr>
          <w:rFonts w:ascii="Times New Roman" w:hAnsi="Times New Roman" w:cs="Times New Roman"/>
          <w:sz w:val="28"/>
          <w:szCs w:val="28"/>
        </w:rPr>
        <w:t xml:space="preserve"> whether the case has</w:t>
      </w:r>
      <w:r w:rsidRPr="008D2860">
        <w:rPr>
          <w:rFonts w:ascii="Times New Roman" w:hAnsi="Times New Roman" w:cs="Times New Roman"/>
          <w:sz w:val="28"/>
          <w:szCs w:val="28"/>
        </w:rPr>
        <w:t xml:space="preserve"> broader implications for the community.</w:t>
      </w:r>
      <w:r w:rsidR="002B5F6B">
        <w:rPr>
          <w:rFonts w:ascii="Times New Roman" w:hAnsi="Times New Roman" w:cs="Times New Roman"/>
          <w:sz w:val="28"/>
          <w:szCs w:val="28"/>
        </w:rPr>
        <w:t xml:space="preserve"> </w:t>
      </w:r>
      <w:r w:rsidRPr="008D2860">
        <w:rPr>
          <w:rFonts w:ascii="Times New Roman" w:hAnsi="Times New Roman" w:cs="Times New Roman"/>
          <w:sz w:val="28"/>
          <w:szCs w:val="28"/>
        </w:rPr>
        <w:t xml:space="preserve"> </w:t>
      </w:r>
      <w:r w:rsidRPr="008D2860">
        <w:rPr>
          <w:rFonts w:ascii="Times New Roman" w:hAnsi="Times New Roman" w:cs="Times New Roman"/>
          <w:i/>
          <w:sz w:val="28"/>
          <w:szCs w:val="28"/>
        </w:rPr>
        <w:t>W.C.B. v Mercer; Mercer v W.C.B.</w:t>
      </w:r>
      <w:r w:rsidRPr="008D2860">
        <w:rPr>
          <w:rFonts w:ascii="Times New Roman" w:hAnsi="Times New Roman" w:cs="Times New Roman"/>
          <w:sz w:val="28"/>
          <w:szCs w:val="28"/>
        </w:rPr>
        <w:t xml:space="preserve">, 2012 NWTSC 78; </w:t>
      </w:r>
      <w:r w:rsidRPr="008D2860">
        <w:rPr>
          <w:rFonts w:ascii="Times New Roman" w:hAnsi="Times New Roman" w:cs="Times New Roman"/>
          <w:i/>
          <w:sz w:val="28"/>
          <w:szCs w:val="28"/>
        </w:rPr>
        <w:t>Williams v Steinwand</w:t>
      </w:r>
      <w:r w:rsidRPr="008D2860">
        <w:rPr>
          <w:rFonts w:ascii="Times New Roman" w:hAnsi="Times New Roman" w:cs="Times New Roman"/>
          <w:sz w:val="28"/>
          <w:szCs w:val="28"/>
        </w:rPr>
        <w:t xml:space="preserve">, </w:t>
      </w:r>
      <w:r w:rsidRPr="008D2860">
        <w:rPr>
          <w:rFonts w:ascii="Times New Roman" w:hAnsi="Times New Roman" w:cs="Times New Roman"/>
          <w:i/>
          <w:sz w:val="28"/>
          <w:szCs w:val="28"/>
        </w:rPr>
        <w:t>supra</w:t>
      </w:r>
      <w:r w:rsidR="00855914">
        <w:rPr>
          <w:rFonts w:ascii="Times New Roman" w:hAnsi="Times New Roman" w:cs="Times New Roman"/>
          <w:sz w:val="28"/>
          <w:szCs w:val="28"/>
        </w:rPr>
        <w:t>.</w:t>
      </w:r>
    </w:p>
    <w:p w:rsidR="00BE1C53" w:rsidRDefault="00BE1C53" w:rsidP="00BE1C53">
      <w:pPr>
        <w:pStyle w:val="ListParagraph"/>
        <w:tabs>
          <w:tab w:val="left" w:pos="360"/>
        </w:tabs>
        <w:spacing w:line="240" w:lineRule="auto"/>
        <w:ind w:left="0"/>
        <w:jc w:val="both"/>
        <w:rPr>
          <w:rFonts w:ascii="Times New Roman" w:hAnsi="Times New Roman" w:cs="Times New Roman"/>
          <w:sz w:val="28"/>
          <w:szCs w:val="28"/>
        </w:rPr>
      </w:pPr>
    </w:p>
    <w:p w:rsidR="00BE1C53" w:rsidRDefault="00855914" w:rsidP="00BE1C53">
      <w:pPr>
        <w:pStyle w:val="ListParagraph"/>
        <w:numPr>
          <w:ilvl w:val="0"/>
          <w:numId w:val="11"/>
        </w:numPr>
        <w:spacing w:line="240" w:lineRule="auto"/>
        <w:ind w:left="0" w:firstLine="0"/>
        <w:jc w:val="both"/>
        <w:rPr>
          <w:rFonts w:ascii="Times New Roman" w:hAnsi="Times New Roman" w:cs="Times New Roman"/>
          <w:sz w:val="28"/>
          <w:szCs w:val="28"/>
        </w:rPr>
      </w:pPr>
      <w:r w:rsidRPr="008D2860">
        <w:rPr>
          <w:rFonts w:ascii="Times New Roman" w:hAnsi="Times New Roman" w:cs="Times New Roman"/>
          <w:sz w:val="28"/>
          <w:szCs w:val="28"/>
        </w:rPr>
        <w:lastRenderedPageBreak/>
        <w:t xml:space="preserve">In my view, there was </w:t>
      </w:r>
      <w:r>
        <w:rPr>
          <w:rFonts w:ascii="Times New Roman" w:hAnsi="Times New Roman" w:cs="Times New Roman"/>
          <w:sz w:val="28"/>
          <w:szCs w:val="28"/>
        </w:rPr>
        <w:t>nothing unreason</w:t>
      </w:r>
      <w:r w:rsidR="00CE449C">
        <w:rPr>
          <w:rFonts w:ascii="Times New Roman" w:hAnsi="Times New Roman" w:cs="Times New Roman"/>
          <w:sz w:val="28"/>
          <w:szCs w:val="28"/>
        </w:rPr>
        <w:t>able about the fees</w:t>
      </w:r>
      <w:r>
        <w:rPr>
          <w:rFonts w:ascii="Times New Roman" w:hAnsi="Times New Roman" w:cs="Times New Roman"/>
          <w:sz w:val="28"/>
          <w:szCs w:val="28"/>
        </w:rPr>
        <w:t xml:space="preserve"> and nothing excessive about the time </w:t>
      </w:r>
      <w:r w:rsidR="00370BDD">
        <w:rPr>
          <w:rFonts w:ascii="Times New Roman" w:hAnsi="Times New Roman" w:cs="Times New Roman"/>
          <w:sz w:val="28"/>
          <w:szCs w:val="28"/>
        </w:rPr>
        <w:t>the Plaintiff</w:t>
      </w:r>
      <w:r w:rsidR="002F76C4">
        <w:rPr>
          <w:rFonts w:ascii="Times New Roman" w:hAnsi="Times New Roman" w:cs="Times New Roman"/>
          <w:sz w:val="28"/>
          <w:szCs w:val="28"/>
        </w:rPr>
        <w:t>’s counsel</w:t>
      </w:r>
      <w:r w:rsidR="00370BDD">
        <w:rPr>
          <w:rFonts w:ascii="Times New Roman" w:hAnsi="Times New Roman" w:cs="Times New Roman"/>
          <w:sz w:val="28"/>
          <w:szCs w:val="28"/>
        </w:rPr>
        <w:t xml:space="preserve"> </w:t>
      </w:r>
      <w:r w:rsidR="00E66DB4">
        <w:rPr>
          <w:rFonts w:ascii="Times New Roman" w:hAnsi="Times New Roman" w:cs="Times New Roman"/>
          <w:sz w:val="28"/>
          <w:szCs w:val="28"/>
        </w:rPr>
        <w:t xml:space="preserve">spent </w:t>
      </w:r>
      <w:r w:rsidR="00370BDD">
        <w:rPr>
          <w:rFonts w:ascii="Times New Roman" w:hAnsi="Times New Roman" w:cs="Times New Roman"/>
          <w:sz w:val="28"/>
          <w:szCs w:val="28"/>
        </w:rPr>
        <w:t xml:space="preserve">to </w:t>
      </w:r>
      <w:r>
        <w:rPr>
          <w:rFonts w:ascii="Times New Roman" w:hAnsi="Times New Roman" w:cs="Times New Roman"/>
          <w:sz w:val="28"/>
          <w:szCs w:val="28"/>
        </w:rPr>
        <w:t>respond to the Application</w:t>
      </w:r>
      <w:r w:rsidRPr="008D2860">
        <w:rPr>
          <w:rFonts w:ascii="Times New Roman" w:hAnsi="Times New Roman" w:cs="Times New Roman"/>
          <w:sz w:val="28"/>
          <w:szCs w:val="28"/>
        </w:rPr>
        <w:t>.</w:t>
      </w:r>
    </w:p>
    <w:p w:rsidR="00BE1C53" w:rsidRDefault="00BE1C53" w:rsidP="00BE1C53">
      <w:pPr>
        <w:pStyle w:val="ListParagraph"/>
        <w:spacing w:line="240" w:lineRule="auto"/>
        <w:ind w:left="0"/>
        <w:jc w:val="both"/>
        <w:rPr>
          <w:rFonts w:ascii="Times New Roman" w:hAnsi="Times New Roman" w:cs="Times New Roman"/>
          <w:sz w:val="28"/>
          <w:szCs w:val="28"/>
        </w:rPr>
      </w:pPr>
    </w:p>
    <w:p w:rsidR="00BE1C53" w:rsidRDefault="00CB3616"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It</w:t>
      </w:r>
      <w:r w:rsidR="008D2860" w:rsidRPr="00BE1C53">
        <w:rPr>
          <w:rFonts w:ascii="Times New Roman" w:hAnsi="Times New Roman" w:cs="Times New Roman"/>
          <w:sz w:val="28"/>
          <w:szCs w:val="28"/>
        </w:rPr>
        <w:t xml:space="preserve"> was time-consuming</w:t>
      </w:r>
      <w:r w:rsidRPr="00BE1C53">
        <w:rPr>
          <w:rFonts w:ascii="Times New Roman" w:hAnsi="Times New Roman" w:cs="Times New Roman"/>
          <w:sz w:val="28"/>
          <w:szCs w:val="28"/>
        </w:rPr>
        <w:t xml:space="preserve"> for the Plaintiff to respond to this Application</w:t>
      </w:r>
      <w:r w:rsidR="008D2860" w:rsidRPr="00BE1C53">
        <w:rPr>
          <w:rFonts w:ascii="Times New Roman" w:hAnsi="Times New Roman" w:cs="Times New Roman"/>
          <w:sz w:val="28"/>
          <w:szCs w:val="28"/>
        </w:rPr>
        <w:t xml:space="preserve">, in large measure, because the </w:t>
      </w:r>
      <w:r w:rsidRPr="00BE1C53">
        <w:rPr>
          <w:rFonts w:ascii="Times New Roman" w:hAnsi="Times New Roman" w:cs="Times New Roman"/>
          <w:sz w:val="28"/>
          <w:szCs w:val="28"/>
        </w:rPr>
        <w:t>Plaintiff had to ensure that</w:t>
      </w:r>
      <w:r w:rsidR="008D2860" w:rsidRPr="00BE1C53">
        <w:rPr>
          <w:rFonts w:ascii="Times New Roman" w:hAnsi="Times New Roman" w:cs="Times New Roman"/>
          <w:sz w:val="28"/>
          <w:szCs w:val="28"/>
        </w:rPr>
        <w:t xml:space="preserve"> detailed evidence </w:t>
      </w:r>
      <w:r w:rsidR="00F35637" w:rsidRPr="00BE1C53">
        <w:rPr>
          <w:rFonts w:ascii="Times New Roman" w:hAnsi="Times New Roman" w:cs="Times New Roman"/>
          <w:sz w:val="28"/>
          <w:szCs w:val="28"/>
        </w:rPr>
        <w:t>of the entire</w:t>
      </w:r>
      <w:r w:rsidR="008D2860" w:rsidRPr="00BE1C53">
        <w:rPr>
          <w:rFonts w:ascii="Times New Roman" w:hAnsi="Times New Roman" w:cs="Times New Roman"/>
          <w:sz w:val="28"/>
          <w:szCs w:val="28"/>
        </w:rPr>
        <w:t xml:space="preserve"> history </w:t>
      </w:r>
      <w:r w:rsidR="00F35637" w:rsidRPr="00BE1C53">
        <w:rPr>
          <w:rFonts w:ascii="Times New Roman" w:hAnsi="Times New Roman" w:cs="Times New Roman"/>
          <w:sz w:val="28"/>
          <w:szCs w:val="28"/>
        </w:rPr>
        <w:t xml:space="preserve">of this litigation </w:t>
      </w:r>
      <w:r w:rsidRPr="00BE1C53">
        <w:rPr>
          <w:rFonts w:ascii="Times New Roman" w:hAnsi="Times New Roman" w:cs="Times New Roman"/>
          <w:sz w:val="28"/>
          <w:szCs w:val="28"/>
        </w:rPr>
        <w:t xml:space="preserve">was </w:t>
      </w:r>
      <w:r w:rsidR="00F35637" w:rsidRPr="00BE1C53">
        <w:rPr>
          <w:rFonts w:ascii="Times New Roman" w:hAnsi="Times New Roman" w:cs="Times New Roman"/>
          <w:sz w:val="28"/>
          <w:szCs w:val="28"/>
        </w:rPr>
        <w:t>before</w:t>
      </w:r>
      <w:r w:rsidRPr="00BE1C53">
        <w:rPr>
          <w:rFonts w:ascii="Times New Roman" w:hAnsi="Times New Roman" w:cs="Times New Roman"/>
          <w:sz w:val="28"/>
          <w:szCs w:val="28"/>
        </w:rPr>
        <w:t xml:space="preserve"> the</w:t>
      </w:r>
      <w:r w:rsidR="008D2860" w:rsidRPr="00BE1C53">
        <w:rPr>
          <w:rFonts w:ascii="Times New Roman" w:hAnsi="Times New Roman" w:cs="Times New Roman"/>
          <w:sz w:val="28"/>
          <w:szCs w:val="28"/>
        </w:rPr>
        <w:t xml:space="preserve"> Court.  </w:t>
      </w:r>
      <w:r w:rsidR="00F35637" w:rsidRPr="00BE1C53">
        <w:rPr>
          <w:rFonts w:ascii="Times New Roman" w:hAnsi="Times New Roman" w:cs="Times New Roman"/>
          <w:sz w:val="28"/>
          <w:szCs w:val="28"/>
        </w:rPr>
        <w:t>T</w:t>
      </w:r>
      <w:r w:rsidR="008D2860" w:rsidRPr="00BE1C53">
        <w:rPr>
          <w:rFonts w:ascii="Times New Roman" w:hAnsi="Times New Roman" w:cs="Times New Roman"/>
          <w:sz w:val="28"/>
          <w:szCs w:val="28"/>
        </w:rPr>
        <w:t xml:space="preserve">he Plaintiff’s </w:t>
      </w:r>
      <w:r w:rsidRPr="00BE1C53">
        <w:rPr>
          <w:rFonts w:ascii="Times New Roman" w:hAnsi="Times New Roman" w:cs="Times New Roman"/>
          <w:sz w:val="28"/>
          <w:szCs w:val="28"/>
        </w:rPr>
        <w:t>position</w:t>
      </w:r>
      <w:r w:rsidR="008D2860" w:rsidRPr="00BE1C53">
        <w:rPr>
          <w:rFonts w:ascii="Times New Roman" w:hAnsi="Times New Roman" w:cs="Times New Roman"/>
          <w:sz w:val="28"/>
          <w:szCs w:val="28"/>
        </w:rPr>
        <w:t xml:space="preserve"> was that the Defendants were responsible for most of the delay.  The evidence adduced by the Defendants was </w:t>
      </w:r>
      <w:r w:rsidR="00CE449C">
        <w:rPr>
          <w:rFonts w:ascii="Times New Roman" w:hAnsi="Times New Roman" w:cs="Times New Roman"/>
          <w:sz w:val="28"/>
          <w:szCs w:val="28"/>
        </w:rPr>
        <w:t>very general</w:t>
      </w:r>
      <w:r w:rsidRPr="00BE1C53">
        <w:rPr>
          <w:rFonts w:ascii="Times New Roman" w:hAnsi="Times New Roman" w:cs="Times New Roman"/>
          <w:sz w:val="28"/>
          <w:szCs w:val="28"/>
        </w:rPr>
        <w:t xml:space="preserve"> and sorely lacking</w:t>
      </w:r>
      <w:r w:rsidR="008D2860" w:rsidRPr="00BE1C53">
        <w:rPr>
          <w:rFonts w:ascii="Times New Roman" w:hAnsi="Times New Roman" w:cs="Times New Roman"/>
          <w:sz w:val="28"/>
          <w:szCs w:val="28"/>
        </w:rPr>
        <w:t xml:space="preserve"> </w:t>
      </w:r>
      <w:r w:rsidRPr="00BE1C53">
        <w:rPr>
          <w:rFonts w:ascii="Times New Roman" w:hAnsi="Times New Roman" w:cs="Times New Roman"/>
          <w:sz w:val="28"/>
          <w:szCs w:val="28"/>
        </w:rPr>
        <w:t>in</w:t>
      </w:r>
      <w:r w:rsidR="008D2860" w:rsidRPr="00BE1C53">
        <w:rPr>
          <w:rFonts w:ascii="Times New Roman" w:hAnsi="Times New Roman" w:cs="Times New Roman"/>
          <w:sz w:val="28"/>
          <w:szCs w:val="28"/>
        </w:rPr>
        <w:t xml:space="preserve"> details </w:t>
      </w:r>
      <w:r w:rsidRPr="00BE1C53">
        <w:rPr>
          <w:rFonts w:ascii="Times New Roman" w:hAnsi="Times New Roman" w:cs="Times New Roman"/>
          <w:sz w:val="28"/>
          <w:szCs w:val="28"/>
        </w:rPr>
        <w:t>of</w:t>
      </w:r>
      <w:r w:rsidR="008D2860" w:rsidRPr="00BE1C53">
        <w:rPr>
          <w:rFonts w:ascii="Times New Roman" w:hAnsi="Times New Roman" w:cs="Times New Roman"/>
          <w:sz w:val="28"/>
          <w:szCs w:val="28"/>
        </w:rPr>
        <w:t xml:space="preserve"> </w:t>
      </w:r>
      <w:r w:rsidRPr="00BE1C53">
        <w:rPr>
          <w:rFonts w:ascii="Times New Roman" w:hAnsi="Times New Roman" w:cs="Times New Roman"/>
          <w:sz w:val="28"/>
          <w:szCs w:val="28"/>
        </w:rPr>
        <w:t>many relevant things that</w:t>
      </w:r>
      <w:r w:rsidR="008D2860" w:rsidRPr="00BE1C53">
        <w:rPr>
          <w:rFonts w:ascii="Times New Roman" w:hAnsi="Times New Roman" w:cs="Times New Roman"/>
          <w:sz w:val="28"/>
          <w:szCs w:val="28"/>
        </w:rPr>
        <w:t xml:space="preserve"> had transpired </w:t>
      </w:r>
      <w:r w:rsidRPr="00BE1C53">
        <w:rPr>
          <w:rFonts w:ascii="Times New Roman" w:hAnsi="Times New Roman" w:cs="Times New Roman"/>
          <w:sz w:val="28"/>
          <w:szCs w:val="28"/>
        </w:rPr>
        <w:t>since the action was commenced</w:t>
      </w:r>
      <w:r w:rsidR="008D2860" w:rsidRPr="00BE1C53">
        <w:rPr>
          <w:rFonts w:ascii="Times New Roman" w:hAnsi="Times New Roman" w:cs="Times New Roman"/>
          <w:sz w:val="28"/>
          <w:szCs w:val="28"/>
        </w:rPr>
        <w:t xml:space="preserve">.  The Plaintiff could not </w:t>
      </w:r>
      <w:r w:rsidRPr="00BE1C53">
        <w:rPr>
          <w:rFonts w:ascii="Times New Roman" w:hAnsi="Times New Roman" w:cs="Times New Roman"/>
          <w:sz w:val="28"/>
          <w:szCs w:val="28"/>
        </w:rPr>
        <w:t xml:space="preserve">have </w:t>
      </w:r>
      <w:r w:rsidR="008D2860" w:rsidRPr="00BE1C53">
        <w:rPr>
          <w:rFonts w:ascii="Times New Roman" w:hAnsi="Times New Roman" w:cs="Times New Roman"/>
          <w:sz w:val="28"/>
          <w:szCs w:val="28"/>
        </w:rPr>
        <w:t>properly ma</w:t>
      </w:r>
      <w:r w:rsidRPr="00BE1C53">
        <w:rPr>
          <w:rFonts w:ascii="Times New Roman" w:hAnsi="Times New Roman" w:cs="Times New Roman"/>
          <w:sz w:val="28"/>
          <w:szCs w:val="28"/>
        </w:rPr>
        <w:t>d</w:t>
      </w:r>
      <w:r w:rsidR="008D2860" w:rsidRPr="00BE1C53">
        <w:rPr>
          <w:rFonts w:ascii="Times New Roman" w:hAnsi="Times New Roman" w:cs="Times New Roman"/>
          <w:sz w:val="28"/>
          <w:szCs w:val="28"/>
        </w:rPr>
        <w:t xml:space="preserve">e its case without </w:t>
      </w:r>
      <w:r w:rsidRPr="00BE1C53">
        <w:rPr>
          <w:rFonts w:ascii="Times New Roman" w:hAnsi="Times New Roman" w:cs="Times New Roman"/>
          <w:sz w:val="28"/>
          <w:szCs w:val="28"/>
        </w:rPr>
        <w:t xml:space="preserve">having </w:t>
      </w:r>
      <w:r w:rsidR="008D2860" w:rsidRPr="00BE1C53">
        <w:rPr>
          <w:rFonts w:ascii="Times New Roman" w:hAnsi="Times New Roman" w:cs="Times New Roman"/>
          <w:sz w:val="28"/>
          <w:szCs w:val="28"/>
        </w:rPr>
        <w:t>first fill</w:t>
      </w:r>
      <w:r w:rsidRPr="00BE1C53">
        <w:rPr>
          <w:rFonts w:ascii="Times New Roman" w:hAnsi="Times New Roman" w:cs="Times New Roman"/>
          <w:sz w:val="28"/>
          <w:szCs w:val="28"/>
        </w:rPr>
        <w:t>ed</w:t>
      </w:r>
      <w:r w:rsidR="008D2860" w:rsidRPr="00BE1C53">
        <w:rPr>
          <w:rFonts w:ascii="Times New Roman" w:hAnsi="Times New Roman" w:cs="Times New Roman"/>
          <w:sz w:val="28"/>
          <w:szCs w:val="28"/>
        </w:rPr>
        <w:t xml:space="preserve"> </w:t>
      </w:r>
      <w:r w:rsidR="00CE449C">
        <w:rPr>
          <w:rFonts w:ascii="Times New Roman" w:hAnsi="Times New Roman" w:cs="Times New Roman"/>
          <w:sz w:val="28"/>
          <w:szCs w:val="28"/>
        </w:rPr>
        <w:t xml:space="preserve">in </w:t>
      </w:r>
      <w:r w:rsidR="008D2860" w:rsidRPr="00BE1C53">
        <w:rPr>
          <w:rFonts w:ascii="Times New Roman" w:hAnsi="Times New Roman" w:cs="Times New Roman"/>
          <w:sz w:val="28"/>
          <w:szCs w:val="28"/>
        </w:rPr>
        <w:t>those evidentiary blanks.</w:t>
      </w:r>
    </w:p>
    <w:p w:rsidR="00BE1C53" w:rsidRPr="00BE1C53" w:rsidRDefault="00BE1C53" w:rsidP="00BE1C53">
      <w:pPr>
        <w:pStyle w:val="ListParagraph"/>
        <w:rPr>
          <w:rFonts w:ascii="Times New Roman" w:hAnsi="Times New Roman" w:cs="Times New Roman"/>
          <w:sz w:val="28"/>
          <w:szCs w:val="28"/>
        </w:rPr>
      </w:pPr>
    </w:p>
    <w:p w:rsidR="00BE1C53" w:rsidRDefault="00F35637"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I</w:t>
      </w:r>
      <w:r w:rsidR="008D2860" w:rsidRPr="00BE1C53">
        <w:rPr>
          <w:rFonts w:ascii="Times New Roman" w:hAnsi="Times New Roman" w:cs="Times New Roman"/>
          <w:sz w:val="28"/>
          <w:szCs w:val="28"/>
        </w:rPr>
        <w:t xml:space="preserve">t </w:t>
      </w:r>
      <w:r w:rsidR="00CB3616" w:rsidRPr="00BE1C53">
        <w:rPr>
          <w:rFonts w:ascii="Times New Roman" w:hAnsi="Times New Roman" w:cs="Times New Roman"/>
          <w:sz w:val="28"/>
          <w:szCs w:val="28"/>
        </w:rPr>
        <w:t>falls to reason</w:t>
      </w:r>
      <w:r w:rsidR="008D2860" w:rsidRPr="00BE1C53">
        <w:rPr>
          <w:rFonts w:ascii="Times New Roman" w:hAnsi="Times New Roman" w:cs="Times New Roman"/>
          <w:sz w:val="28"/>
          <w:szCs w:val="28"/>
        </w:rPr>
        <w:t xml:space="preserve"> that th</w:t>
      </w:r>
      <w:r w:rsidR="00CB3616" w:rsidRPr="00BE1C53">
        <w:rPr>
          <w:rFonts w:ascii="Times New Roman" w:hAnsi="Times New Roman" w:cs="Times New Roman"/>
          <w:sz w:val="28"/>
          <w:szCs w:val="28"/>
        </w:rPr>
        <w:t>is</w:t>
      </w:r>
      <w:r w:rsidR="008D2860" w:rsidRPr="00BE1C53">
        <w:rPr>
          <w:rFonts w:ascii="Times New Roman" w:hAnsi="Times New Roman" w:cs="Times New Roman"/>
          <w:sz w:val="28"/>
          <w:szCs w:val="28"/>
        </w:rPr>
        <w:t xml:space="preserve"> Application was of great importance to the Plaintiff</w:t>
      </w:r>
      <w:r w:rsidR="00CE449C">
        <w:rPr>
          <w:rFonts w:ascii="Times New Roman" w:hAnsi="Times New Roman" w:cs="Times New Roman"/>
          <w:sz w:val="28"/>
          <w:szCs w:val="28"/>
        </w:rPr>
        <w:t>.</w:t>
      </w:r>
      <w:r w:rsidR="008D2860" w:rsidRPr="00BE1C53">
        <w:rPr>
          <w:rFonts w:ascii="Times New Roman" w:hAnsi="Times New Roman" w:cs="Times New Roman"/>
          <w:sz w:val="28"/>
          <w:szCs w:val="28"/>
        </w:rPr>
        <w:t xml:space="preserve"> </w:t>
      </w:r>
      <w:r w:rsidR="00CE449C">
        <w:rPr>
          <w:rFonts w:ascii="Times New Roman" w:hAnsi="Times New Roman" w:cs="Times New Roman"/>
          <w:sz w:val="28"/>
          <w:szCs w:val="28"/>
        </w:rPr>
        <w:t>T</w:t>
      </w:r>
      <w:r w:rsidR="008D2860" w:rsidRPr="00BE1C53">
        <w:rPr>
          <w:rFonts w:ascii="Times New Roman" w:hAnsi="Times New Roman" w:cs="Times New Roman"/>
          <w:sz w:val="28"/>
          <w:szCs w:val="28"/>
        </w:rPr>
        <w:t xml:space="preserve">his litigation, which involves a very large monetary claim, would have come to an end </w:t>
      </w:r>
      <w:r w:rsidR="00855914" w:rsidRPr="00BE1C53">
        <w:rPr>
          <w:rFonts w:ascii="Times New Roman" w:hAnsi="Times New Roman" w:cs="Times New Roman"/>
          <w:sz w:val="28"/>
          <w:szCs w:val="28"/>
        </w:rPr>
        <w:t>had</w:t>
      </w:r>
      <w:r w:rsidR="008D2860" w:rsidRPr="00BE1C53">
        <w:rPr>
          <w:rFonts w:ascii="Times New Roman" w:hAnsi="Times New Roman" w:cs="Times New Roman"/>
          <w:sz w:val="28"/>
          <w:szCs w:val="28"/>
        </w:rPr>
        <w:t xml:space="preserve"> the Defendants’ Application succeeded.  The Plaintiff cannot be faulted for having taken </w:t>
      </w:r>
      <w:r w:rsidR="00CB3616" w:rsidRPr="00BE1C53">
        <w:rPr>
          <w:rFonts w:ascii="Times New Roman" w:hAnsi="Times New Roman" w:cs="Times New Roman"/>
          <w:sz w:val="28"/>
          <w:szCs w:val="28"/>
        </w:rPr>
        <w:t>it</w:t>
      </w:r>
      <w:r w:rsidR="008D2860" w:rsidRPr="00BE1C53">
        <w:rPr>
          <w:rFonts w:ascii="Times New Roman" w:hAnsi="Times New Roman" w:cs="Times New Roman"/>
          <w:sz w:val="28"/>
          <w:szCs w:val="28"/>
        </w:rPr>
        <w:t xml:space="preserve"> seriously and having been as thorough as </w:t>
      </w:r>
      <w:r w:rsidR="00BF30CF" w:rsidRPr="00BE1C53">
        <w:rPr>
          <w:rFonts w:ascii="Times New Roman" w:hAnsi="Times New Roman" w:cs="Times New Roman"/>
          <w:sz w:val="28"/>
          <w:szCs w:val="28"/>
        </w:rPr>
        <w:t>it</w:t>
      </w:r>
      <w:r w:rsidR="008D2860" w:rsidRPr="00BE1C53">
        <w:rPr>
          <w:rFonts w:ascii="Times New Roman" w:hAnsi="Times New Roman" w:cs="Times New Roman"/>
          <w:sz w:val="28"/>
          <w:szCs w:val="28"/>
        </w:rPr>
        <w:t xml:space="preserve"> could be in defending it.</w:t>
      </w:r>
      <w:r w:rsidRPr="00BE1C53">
        <w:rPr>
          <w:rFonts w:ascii="Times New Roman" w:hAnsi="Times New Roman" w:cs="Times New Roman"/>
          <w:sz w:val="28"/>
          <w:szCs w:val="28"/>
        </w:rPr>
        <w:t xml:space="preserve">  </w:t>
      </w:r>
      <w:r w:rsidR="00E22F03" w:rsidRPr="00BE1C53">
        <w:rPr>
          <w:rFonts w:ascii="Times New Roman" w:hAnsi="Times New Roman" w:cs="Times New Roman"/>
          <w:sz w:val="28"/>
          <w:szCs w:val="28"/>
        </w:rPr>
        <w:t>It was t</w:t>
      </w:r>
      <w:r w:rsidRPr="00BE1C53">
        <w:rPr>
          <w:rFonts w:ascii="Times New Roman" w:hAnsi="Times New Roman" w:cs="Times New Roman"/>
          <w:sz w:val="28"/>
          <w:szCs w:val="28"/>
        </w:rPr>
        <w:t xml:space="preserve">he Plaintiff’s very ability to pursue its case </w:t>
      </w:r>
      <w:r w:rsidR="00E22F03" w:rsidRPr="00BE1C53">
        <w:rPr>
          <w:rFonts w:ascii="Times New Roman" w:hAnsi="Times New Roman" w:cs="Times New Roman"/>
          <w:sz w:val="28"/>
          <w:szCs w:val="28"/>
        </w:rPr>
        <w:t xml:space="preserve">that </w:t>
      </w:r>
      <w:r w:rsidRPr="00BE1C53">
        <w:rPr>
          <w:rFonts w:ascii="Times New Roman" w:hAnsi="Times New Roman" w:cs="Times New Roman"/>
          <w:sz w:val="28"/>
          <w:szCs w:val="28"/>
        </w:rPr>
        <w:t>was at stake.</w:t>
      </w:r>
      <w:r w:rsidR="008D2860" w:rsidRPr="00BE1C53">
        <w:rPr>
          <w:rFonts w:ascii="Times New Roman" w:hAnsi="Times New Roman" w:cs="Times New Roman"/>
          <w:sz w:val="28"/>
          <w:szCs w:val="28"/>
        </w:rPr>
        <w:t xml:space="preserve"> </w:t>
      </w:r>
    </w:p>
    <w:p w:rsidR="00BE1C53" w:rsidRPr="00BE1C53" w:rsidRDefault="00BE1C53" w:rsidP="00BE1C53">
      <w:pPr>
        <w:pStyle w:val="ListParagraph"/>
        <w:rPr>
          <w:rFonts w:ascii="Times New Roman" w:hAnsi="Times New Roman" w:cs="Times New Roman"/>
          <w:sz w:val="28"/>
          <w:szCs w:val="28"/>
        </w:rPr>
      </w:pPr>
    </w:p>
    <w:p w:rsidR="00BE1C53" w:rsidRDefault="00E22F03"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In terms of</w:t>
      </w:r>
      <w:r w:rsidR="008D2860" w:rsidRPr="00BE1C53">
        <w:rPr>
          <w:rFonts w:ascii="Times New Roman" w:hAnsi="Times New Roman" w:cs="Times New Roman"/>
          <w:sz w:val="28"/>
          <w:szCs w:val="28"/>
        </w:rPr>
        <w:t xml:space="preserve"> complexity, an Application pursuant to Rule 327 is not, from a legal standpoint, particularly complex; the law that applies to it is reasonably well settled.  But </w:t>
      </w:r>
      <w:r w:rsidR="002C7543" w:rsidRPr="00BE1C53">
        <w:rPr>
          <w:rFonts w:ascii="Times New Roman" w:hAnsi="Times New Roman" w:cs="Times New Roman"/>
          <w:sz w:val="28"/>
          <w:szCs w:val="28"/>
        </w:rPr>
        <w:t>it can</w:t>
      </w:r>
      <w:r w:rsidR="008D2860" w:rsidRPr="00BE1C53">
        <w:rPr>
          <w:rFonts w:ascii="Times New Roman" w:hAnsi="Times New Roman" w:cs="Times New Roman"/>
          <w:sz w:val="28"/>
          <w:szCs w:val="28"/>
        </w:rPr>
        <w:t xml:space="preserve"> </w:t>
      </w:r>
      <w:r w:rsidR="002C7543" w:rsidRPr="00BE1C53">
        <w:rPr>
          <w:rFonts w:ascii="Times New Roman" w:hAnsi="Times New Roman" w:cs="Times New Roman"/>
          <w:sz w:val="28"/>
          <w:szCs w:val="28"/>
        </w:rPr>
        <w:t>be rendered factually complex</w:t>
      </w:r>
      <w:r w:rsidR="008D2860" w:rsidRPr="00BE1C53">
        <w:rPr>
          <w:rFonts w:ascii="Times New Roman" w:hAnsi="Times New Roman" w:cs="Times New Roman"/>
          <w:sz w:val="28"/>
          <w:szCs w:val="28"/>
        </w:rPr>
        <w:t xml:space="preserve"> when it arises </w:t>
      </w:r>
      <w:r w:rsidR="00DF0877">
        <w:rPr>
          <w:rFonts w:ascii="Times New Roman" w:hAnsi="Times New Roman" w:cs="Times New Roman"/>
          <w:sz w:val="28"/>
          <w:szCs w:val="28"/>
        </w:rPr>
        <w:t xml:space="preserve">in a case </w:t>
      </w:r>
      <w:r w:rsidR="002C7543" w:rsidRPr="00BE1C53">
        <w:rPr>
          <w:rFonts w:ascii="Times New Roman" w:hAnsi="Times New Roman" w:cs="Times New Roman"/>
          <w:sz w:val="28"/>
          <w:szCs w:val="28"/>
        </w:rPr>
        <w:t>that</w:t>
      </w:r>
      <w:r w:rsidR="008D2860" w:rsidRPr="00BE1C53">
        <w:rPr>
          <w:rFonts w:ascii="Times New Roman" w:hAnsi="Times New Roman" w:cs="Times New Roman"/>
          <w:sz w:val="28"/>
          <w:szCs w:val="28"/>
        </w:rPr>
        <w:t xml:space="preserve"> ha</w:t>
      </w:r>
      <w:r w:rsidR="002C7543" w:rsidRPr="00BE1C53">
        <w:rPr>
          <w:rFonts w:ascii="Times New Roman" w:hAnsi="Times New Roman" w:cs="Times New Roman"/>
          <w:sz w:val="28"/>
          <w:szCs w:val="28"/>
        </w:rPr>
        <w:t>s</w:t>
      </w:r>
      <w:r w:rsidR="008D2860" w:rsidRPr="00BE1C53">
        <w:rPr>
          <w:rFonts w:ascii="Times New Roman" w:hAnsi="Times New Roman" w:cs="Times New Roman"/>
          <w:sz w:val="28"/>
          <w:szCs w:val="28"/>
        </w:rPr>
        <w:t xml:space="preserve"> an extensive </w:t>
      </w:r>
      <w:r w:rsidR="002C7543" w:rsidRPr="00BE1C53">
        <w:rPr>
          <w:rFonts w:ascii="Times New Roman" w:hAnsi="Times New Roman" w:cs="Times New Roman"/>
          <w:sz w:val="28"/>
          <w:szCs w:val="28"/>
        </w:rPr>
        <w:t xml:space="preserve">litigation </w:t>
      </w:r>
      <w:r w:rsidR="008D2860" w:rsidRPr="00BE1C53">
        <w:rPr>
          <w:rFonts w:ascii="Times New Roman" w:hAnsi="Times New Roman" w:cs="Times New Roman"/>
          <w:sz w:val="28"/>
          <w:szCs w:val="28"/>
        </w:rPr>
        <w:t xml:space="preserve">history.  </w:t>
      </w:r>
      <w:r w:rsidR="002C7543" w:rsidRPr="00BE1C53">
        <w:rPr>
          <w:rFonts w:ascii="Times New Roman" w:hAnsi="Times New Roman" w:cs="Times New Roman"/>
          <w:sz w:val="28"/>
          <w:szCs w:val="28"/>
        </w:rPr>
        <w:t xml:space="preserve"> </w:t>
      </w:r>
      <w:r w:rsidR="00F4420C" w:rsidRPr="00BE1C53">
        <w:rPr>
          <w:rFonts w:ascii="Times New Roman" w:hAnsi="Times New Roman" w:cs="Times New Roman"/>
          <w:sz w:val="28"/>
          <w:szCs w:val="28"/>
        </w:rPr>
        <w:t xml:space="preserve"> </w:t>
      </w:r>
      <w:r w:rsidR="008D2860" w:rsidRPr="00BE1C53">
        <w:rPr>
          <w:rFonts w:ascii="Times New Roman" w:hAnsi="Times New Roman" w:cs="Times New Roman"/>
          <w:sz w:val="28"/>
          <w:szCs w:val="28"/>
        </w:rPr>
        <w:t xml:space="preserve"> </w:t>
      </w:r>
    </w:p>
    <w:p w:rsidR="00BE1C53" w:rsidRPr="00BE1C53" w:rsidRDefault="00BE1C53" w:rsidP="00BE1C53">
      <w:pPr>
        <w:pStyle w:val="ListParagraph"/>
        <w:rPr>
          <w:rFonts w:ascii="Times New Roman" w:hAnsi="Times New Roman" w:cs="Times New Roman"/>
          <w:sz w:val="28"/>
          <w:szCs w:val="28"/>
        </w:rPr>
      </w:pPr>
    </w:p>
    <w:p w:rsidR="00BE1C53" w:rsidRDefault="008D2860"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The last factor to consider is the adequacy of the Tariff.</w:t>
      </w:r>
      <w:r w:rsidR="00F4420C" w:rsidRPr="00BE1C53">
        <w:rPr>
          <w:rFonts w:ascii="Times New Roman" w:hAnsi="Times New Roman" w:cs="Times New Roman"/>
          <w:sz w:val="28"/>
          <w:szCs w:val="28"/>
        </w:rPr>
        <w:t xml:space="preserve"> </w:t>
      </w:r>
      <w:r w:rsidRPr="00BE1C53">
        <w:rPr>
          <w:rFonts w:ascii="Times New Roman" w:hAnsi="Times New Roman" w:cs="Times New Roman"/>
          <w:sz w:val="28"/>
          <w:szCs w:val="28"/>
        </w:rPr>
        <w:t xml:space="preserve"> The sum that would be awarded pursuant to the Tariff</w:t>
      </w:r>
      <w:r w:rsidR="00BF30CF" w:rsidRPr="00BE1C53">
        <w:rPr>
          <w:rFonts w:ascii="Times New Roman" w:hAnsi="Times New Roman" w:cs="Times New Roman"/>
          <w:sz w:val="28"/>
          <w:szCs w:val="28"/>
        </w:rPr>
        <w:t>, $3,000.00,</w:t>
      </w:r>
      <w:r w:rsidRPr="00BE1C53">
        <w:rPr>
          <w:rFonts w:ascii="Times New Roman" w:hAnsi="Times New Roman" w:cs="Times New Roman"/>
          <w:sz w:val="28"/>
          <w:szCs w:val="28"/>
        </w:rPr>
        <w:t xml:space="preserve"> is a small fraction of what it actually cost the Plaintiff to respond to the Application.  </w:t>
      </w:r>
      <w:r w:rsidR="00BF30CF" w:rsidRPr="00BE1C53">
        <w:rPr>
          <w:rFonts w:ascii="Times New Roman" w:hAnsi="Times New Roman" w:cs="Times New Roman"/>
          <w:sz w:val="28"/>
          <w:szCs w:val="28"/>
        </w:rPr>
        <w:t xml:space="preserve">There is often a gap between the Tariff amounts and the costs actually incurred by litigants, but the shortfall to the Plaintiff, in this case, is enormous.  </w:t>
      </w:r>
      <w:r w:rsidRPr="00BE1C53">
        <w:rPr>
          <w:rFonts w:ascii="Times New Roman" w:hAnsi="Times New Roman" w:cs="Times New Roman"/>
          <w:sz w:val="28"/>
          <w:szCs w:val="28"/>
        </w:rPr>
        <w:t xml:space="preserve">More </w:t>
      </w:r>
      <w:r w:rsidR="00BF30CF" w:rsidRPr="00BE1C53">
        <w:rPr>
          <w:rFonts w:ascii="Times New Roman" w:hAnsi="Times New Roman" w:cs="Times New Roman"/>
          <w:sz w:val="28"/>
          <w:szCs w:val="28"/>
        </w:rPr>
        <w:t>importantly</w:t>
      </w:r>
      <w:r w:rsidRPr="00BE1C53">
        <w:rPr>
          <w:rFonts w:ascii="Times New Roman" w:hAnsi="Times New Roman" w:cs="Times New Roman"/>
          <w:sz w:val="28"/>
          <w:szCs w:val="28"/>
        </w:rPr>
        <w:t>, the Plaintiff’s costs could have been greatly reduced if the Defendants had presented</w:t>
      </w:r>
      <w:r w:rsidR="00CB3616" w:rsidRPr="00BE1C53">
        <w:rPr>
          <w:rFonts w:ascii="Times New Roman" w:hAnsi="Times New Roman" w:cs="Times New Roman"/>
          <w:sz w:val="28"/>
          <w:szCs w:val="28"/>
        </w:rPr>
        <w:t xml:space="preserve">, as they should have, a more complete record of </w:t>
      </w:r>
      <w:r w:rsidRPr="00BE1C53">
        <w:rPr>
          <w:rFonts w:ascii="Times New Roman" w:hAnsi="Times New Roman" w:cs="Times New Roman"/>
          <w:sz w:val="28"/>
          <w:szCs w:val="28"/>
        </w:rPr>
        <w:t xml:space="preserve">the history of the litigation.  </w:t>
      </w:r>
    </w:p>
    <w:p w:rsidR="00BE1C53" w:rsidRPr="00BE1C53" w:rsidRDefault="00BE1C53" w:rsidP="00BE1C53">
      <w:pPr>
        <w:pStyle w:val="ListParagraph"/>
        <w:rPr>
          <w:rFonts w:ascii="Times New Roman" w:hAnsi="Times New Roman" w:cs="Times New Roman"/>
          <w:sz w:val="28"/>
          <w:szCs w:val="28"/>
        </w:rPr>
      </w:pPr>
    </w:p>
    <w:p w:rsidR="00BE1C53" w:rsidRDefault="00CB3616"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 xml:space="preserve">Under those circumstances, </w:t>
      </w:r>
      <w:r w:rsidR="008D2860" w:rsidRPr="00BE1C53">
        <w:rPr>
          <w:rFonts w:ascii="Times New Roman" w:hAnsi="Times New Roman" w:cs="Times New Roman"/>
          <w:sz w:val="28"/>
          <w:szCs w:val="28"/>
        </w:rPr>
        <w:t xml:space="preserve">it would be unfair for the Plaintiff to </w:t>
      </w:r>
      <w:r w:rsidRPr="00BE1C53">
        <w:rPr>
          <w:rFonts w:ascii="Times New Roman" w:hAnsi="Times New Roman" w:cs="Times New Roman"/>
          <w:sz w:val="28"/>
          <w:szCs w:val="28"/>
        </w:rPr>
        <w:t xml:space="preserve">have to </w:t>
      </w:r>
      <w:r w:rsidR="008D2860" w:rsidRPr="00BE1C53">
        <w:rPr>
          <w:rFonts w:ascii="Times New Roman" w:hAnsi="Times New Roman" w:cs="Times New Roman"/>
          <w:sz w:val="28"/>
          <w:szCs w:val="28"/>
        </w:rPr>
        <w:t xml:space="preserve">bear </w:t>
      </w:r>
      <w:r w:rsidRPr="00BE1C53">
        <w:rPr>
          <w:rFonts w:ascii="Times New Roman" w:hAnsi="Times New Roman" w:cs="Times New Roman"/>
          <w:sz w:val="28"/>
          <w:szCs w:val="28"/>
        </w:rPr>
        <w:t xml:space="preserve">most of </w:t>
      </w:r>
      <w:r w:rsidR="008D2860" w:rsidRPr="00BE1C53">
        <w:rPr>
          <w:rFonts w:ascii="Times New Roman" w:hAnsi="Times New Roman" w:cs="Times New Roman"/>
          <w:sz w:val="28"/>
          <w:szCs w:val="28"/>
        </w:rPr>
        <w:t xml:space="preserve">the costs of work that was rendered necessary by the shortcomings in the Defendants’ materials.  </w:t>
      </w:r>
      <w:r w:rsidRPr="00BE1C53">
        <w:rPr>
          <w:rFonts w:ascii="Times New Roman" w:hAnsi="Times New Roman" w:cs="Times New Roman"/>
          <w:sz w:val="28"/>
          <w:szCs w:val="28"/>
        </w:rPr>
        <w:t xml:space="preserve">For that reason, </w:t>
      </w:r>
      <w:r w:rsidR="008D2860" w:rsidRPr="00BE1C53">
        <w:rPr>
          <w:rFonts w:ascii="Times New Roman" w:hAnsi="Times New Roman" w:cs="Times New Roman"/>
          <w:sz w:val="28"/>
          <w:szCs w:val="28"/>
        </w:rPr>
        <w:t>I am satisfied that an order for enhanced costs is appropriate.  I set the amount of the costs at $25,000.00.</w:t>
      </w:r>
    </w:p>
    <w:p w:rsidR="00BE1C53" w:rsidRPr="00BE1C53" w:rsidRDefault="00BE1C53" w:rsidP="00BE1C53">
      <w:pPr>
        <w:pStyle w:val="ListParagraph"/>
        <w:rPr>
          <w:rFonts w:ascii="Times New Roman" w:hAnsi="Times New Roman" w:cs="Times New Roman"/>
          <w:sz w:val="28"/>
          <w:szCs w:val="28"/>
        </w:rPr>
      </w:pPr>
    </w:p>
    <w:p w:rsidR="00BE1C53" w:rsidRDefault="00CB3616"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The Plaintiff is seeking to have the costs of this Application payable immediately, despite the general rule that</w:t>
      </w:r>
      <w:r w:rsidR="008D2860" w:rsidRPr="00BE1C53">
        <w:rPr>
          <w:rFonts w:ascii="Times New Roman" w:hAnsi="Times New Roman" w:cs="Times New Roman"/>
          <w:sz w:val="28"/>
          <w:szCs w:val="28"/>
        </w:rPr>
        <w:t xml:space="preserve"> costs of interlocutory motions are dealt with at th</w:t>
      </w:r>
      <w:r w:rsidRPr="00BE1C53">
        <w:rPr>
          <w:rFonts w:ascii="Times New Roman" w:hAnsi="Times New Roman" w:cs="Times New Roman"/>
          <w:sz w:val="28"/>
          <w:szCs w:val="28"/>
        </w:rPr>
        <w:t>e conclusion of the proceedings</w:t>
      </w:r>
      <w:r w:rsidR="008D2860" w:rsidRPr="00BE1C53">
        <w:rPr>
          <w:rFonts w:ascii="Times New Roman" w:hAnsi="Times New Roman" w:cs="Times New Roman"/>
          <w:sz w:val="28"/>
          <w:szCs w:val="28"/>
        </w:rPr>
        <w:t>.</w:t>
      </w:r>
      <w:r w:rsidR="002C7543" w:rsidRPr="00BE1C53">
        <w:rPr>
          <w:rFonts w:ascii="Times New Roman" w:hAnsi="Times New Roman" w:cs="Times New Roman"/>
          <w:sz w:val="28"/>
          <w:szCs w:val="28"/>
        </w:rPr>
        <w:t xml:space="preserve">   </w:t>
      </w:r>
      <w:r w:rsidRPr="00BE1C53">
        <w:rPr>
          <w:rFonts w:ascii="Times New Roman" w:hAnsi="Times New Roman" w:cs="Times New Roman"/>
          <w:sz w:val="28"/>
          <w:szCs w:val="28"/>
        </w:rPr>
        <w:t xml:space="preserve">  </w:t>
      </w:r>
    </w:p>
    <w:p w:rsidR="00BE1C53" w:rsidRPr="00BE1C53" w:rsidRDefault="00BE1C53" w:rsidP="00BE1C53">
      <w:pPr>
        <w:pStyle w:val="ListParagraph"/>
        <w:rPr>
          <w:rFonts w:ascii="Times New Roman" w:hAnsi="Times New Roman" w:cs="Times New Roman"/>
          <w:sz w:val="28"/>
          <w:szCs w:val="28"/>
        </w:rPr>
      </w:pPr>
    </w:p>
    <w:p w:rsidR="00BE1C53" w:rsidRDefault="00CB3616"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lastRenderedPageBreak/>
        <w:t>The Plaintiff</w:t>
      </w:r>
      <w:r w:rsidR="008D2860" w:rsidRPr="00BE1C53">
        <w:rPr>
          <w:rFonts w:ascii="Times New Roman" w:hAnsi="Times New Roman" w:cs="Times New Roman"/>
          <w:sz w:val="28"/>
          <w:szCs w:val="28"/>
        </w:rPr>
        <w:t xml:space="preserve"> argues that there is no indication that an order for costs payable forthwith would impede the Defendants’ ability to continue with this litigation.  That may be the case</w:t>
      </w:r>
      <w:r w:rsidRPr="00BE1C53">
        <w:rPr>
          <w:rFonts w:ascii="Times New Roman" w:hAnsi="Times New Roman" w:cs="Times New Roman"/>
          <w:sz w:val="28"/>
          <w:szCs w:val="28"/>
        </w:rPr>
        <w:t>,</w:t>
      </w:r>
      <w:r w:rsidR="008D2860" w:rsidRPr="00BE1C53">
        <w:rPr>
          <w:rFonts w:ascii="Times New Roman" w:hAnsi="Times New Roman" w:cs="Times New Roman"/>
          <w:sz w:val="28"/>
          <w:szCs w:val="28"/>
        </w:rPr>
        <w:t xml:space="preserve"> but </w:t>
      </w:r>
      <w:r w:rsidR="00CE449C">
        <w:rPr>
          <w:rFonts w:ascii="Times New Roman" w:hAnsi="Times New Roman" w:cs="Times New Roman"/>
          <w:sz w:val="28"/>
          <w:szCs w:val="28"/>
        </w:rPr>
        <w:t>in my view</w:t>
      </w:r>
      <w:r w:rsidRPr="00BE1C53">
        <w:rPr>
          <w:rFonts w:ascii="Times New Roman" w:hAnsi="Times New Roman" w:cs="Times New Roman"/>
          <w:sz w:val="28"/>
          <w:szCs w:val="28"/>
        </w:rPr>
        <w:t xml:space="preserve"> this is beside the point.</w:t>
      </w:r>
      <w:r w:rsidR="00B01A15" w:rsidRPr="00BE1C53">
        <w:rPr>
          <w:rFonts w:ascii="Times New Roman" w:hAnsi="Times New Roman" w:cs="Times New Roman"/>
          <w:sz w:val="28"/>
          <w:szCs w:val="28"/>
        </w:rPr>
        <w:t xml:space="preserve">  The Plaintiff is seeking an exceptional remedy.</w:t>
      </w:r>
      <w:r w:rsidR="008D2860" w:rsidRPr="00BE1C53">
        <w:rPr>
          <w:rFonts w:ascii="Times New Roman" w:hAnsi="Times New Roman" w:cs="Times New Roman"/>
          <w:sz w:val="28"/>
          <w:szCs w:val="28"/>
        </w:rPr>
        <w:t xml:space="preserve"> </w:t>
      </w:r>
      <w:r w:rsidR="00B01A15" w:rsidRPr="00BE1C53">
        <w:rPr>
          <w:rFonts w:ascii="Times New Roman" w:hAnsi="Times New Roman" w:cs="Times New Roman"/>
          <w:sz w:val="28"/>
          <w:szCs w:val="28"/>
        </w:rPr>
        <w:t xml:space="preserve"> The question is not merely whether the Defendants can afford to pay the costs immediately and still continue with the litigation.</w:t>
      </w:r>
      <w:r w:rsidR="002C7543" w:rsidRPr="00BE1C53">
        <w:rPr>
          <w:rFonts w:ascii="Times New Roman" w:hAnsi="Times New Roman" w:cs="Times New Roman"/>
          <w:sz w:val="28"/>
          <w:szCs w:val="28"/>
        </w:rPr>
        <w:t xml:space="preserve">  It is</w:t>
      </w:r>
      <w:r w:rsidR="00BF30CF" w:rsidRPr="00BE1C53">
        <w:rPr>
          <w:rFonts w:ascii="Times New Roman" w:hAnsi="Times New Roman" w:cs="Times New Roman"/>
          <w:sz w:val="28"/>
          <w:szCs w:val="28"/>
        </w:rPr>
        <w:t>, rather,</w:t>
      </w:r>
      <w:r w:rsidR="002C7543" w:rsidRPr="00BE1C53">
        <w:rPr>
          <w:rFonts w:ascii="Times New Roman" w:hAnsi="Times New Roman" w:cs="Times New Roman"/>
          <w:sz w:val="28"/>
          <w:szCs w:val="28"/>
        </w:rPr>
        <w:t xml:space="preserve"> whether the circumstances justify departing from the usual rule that costs are payable at the conclusion of the case.</w:t>
      </w:r>
    </w:p>
    <w:p w:rsidR="00BE1C53" w:rsidRPr="00BE1C53" w:rsidRDefault="00BE1C53" w:rsidP="00BE1C53">
      <w:pPr>
        <w:pStyle w:val="ListParagraph"/>
        <w:rPr>
          <w:rFonts w:ascii="Times New Roman" w:hAnsi="Times New Roman" w:cs="Times New Roman"/>
          <w:sz w:val="28"/>
          <w:szCs w:val="28"/>
        </w:rPr>
      </w:pPr>
    </w:p>
    <w:p w:rsidR="00BE1C53" w:rsidRDefault="00B01A15"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 xml:space="preserve">The Plaintiff relies on </w:t>
      </w:r>
      <w:r w:rsidRPr="00BE1C53">
        <w:rPr>
          <w:rFonts w:ascii="Times New Roman" w:hAnsi="Times New Roman" w:cs="Times New Roman"/>
          <w:i/>
          <w:sz w:val="28"/>
          <w:szCs w:val="28"/>
        </w:rPr>
        <w:t>Anderson v Bell Mobility</w:t>
      </w:r>
      <w:r w:rsidRPr="00BE1C53">
        <w:rPr>
          <w:rFonts w:ascii="Times New Roman" w:hAnsi="Times New Roman" w:cs="Times New Roman"/>
          <w:sz w:val="28"/>
          <w:szCs w:val="28"/>
        </w:rPr>
        <w:t xml:space="preserve">, 2011 NWTSC 28, but that case </w:t>
      </w:r>
      <w:r w:rsidR="002C7543" w:rsidRPr="00BE1C53">
        <w:rPr>
          <w:rFonts w:ascii="Times New Roman" w:hAnsi="Times New Roman" w:cs="Times New Roman"/>
          <w:sz w:val="28"/>
          <w:szCs w:val="28"/>
        </w:rPr>
        <w:t>i</w:t>
      </w:r>
      <w:r w:rsidRPr="00BE1C53">
        <w:rPr>
          <w:rFonts w:ascii="Times New Roman" w:hAnsi="Times New Roman" w:cs="Times New Roman"/>
          <w:sz w:val="28"/>
          <w:szCs w:val="28"/>
        </w:rPr>
        <w:t>s entirely distinguishable from the situation here</w:t>
      </w:r>
      <w:r w:rsidR="00CE449C">
        <w:rPr>
          <w:rFonts w:ascii="Times New Roman" w:hAnsi="Times New Roman" w:cs="Times New Roman"/>
          <w:sz w:val="28"/>
          <w:szCs w:val="28"/>
        </w:rPr>
        <w:t>.</w:t>
      </w:r>
      <w:r w:rsidR="00C44505">
        <w:rPr>
          <w:rFonts w:ascii="Times New Roman" w:hAnsi="Times New Roman" w:cs="Times New Roman"/>
          <w:sz w:val="28"/>
          <w:szCs w:val="28"/>
        </w:rPr>
        <w:t xml:space="preserve"> </w:t>
      </w:r>
      <w:r w:rsidRPr="00BE1C53">
        <w:rPr>
          <w:rFonts w:ascii="Times New Roman" w:hAnsi="Times New Roman" w:cs="Times New Roman"/>
          <w:sz w:val="28"/>
          <w:szCs w:val="28"/>
        </w:rPr>
        <w:t xml:space="preserve"> </w:t>
      </w:r>
      <w:r w:rsidR="00CE449C">
        <w:rPr>
          <w:rFonts w:ascii="Times New Roman" w:hAnsi="Times New Roman" w:cs="Times New Roman"/>
          <w:sz w:val="28"/>
          <w:szCs w:val="28"/>
        </w:rPr>
        <w:t>T</w:t>
      </w:r>
      <w:r w:rsidR="00BF30CF" w:rsidRPr="00BE1C53">
        <w:rPr>
          <w:rFonts w:ascii="Times New Roman" w:hAnsi="Times New Roman" w:cs="Times New Roman"/>
          <w:sz w:val="28"/>
          <w:szCs w:val="28"/>
        </w:rPr>
        <w:t>h</w:t>
      </w:r>
      <w:r w:rsidR="00CE449C">
        <w:rPr>
          <w:rFonts w:ascii="Times New Roman" w:hAnsi="Times New Roman" w:cs="Times New Roman"/>
          <w:sz w:val="28"/>
          <w:szCs w:val="28"/>
        </w:rPr>
        <w:t>at</w:t>
      </w:r>
      <w:r w:rsidR="00BF30CF" w:rsidRPr="00BE1C53">
        <w:rPr>
          <w:rFonts w:ascii="Times New Roman" w:hAnsi="Times New Roman" w:cs="Times New Roman"/>
          <w:sz w:val="28"/>
          <w:szCs w:val="28"/>
        </w:rPr>
        <w:t xml:space="preserve"> costs decision was rendered in the context of</w:t>
      </w:r>
      <w:r w:rsidRPr="00BE1C53">
        <w:rPr>
          <w:rFonts w:ascii="Times New Roman" w:hAnsi="Times New Roman" w:cs="Times New Roman"/>
          <w:sz w:val="28"/>
          <w:szCs w:val="28"/>
        </w:rPr>
        <w:t xml:space="preserve"> a certification application in a class action against a large corporation.  There was considerable powe</w:t>
      </w:r>
      <w:r w:rsidR="00CE449C">
        <w:rPr>
          <w:rFonts w:ascii="Times New Roman" w:hAnsi="Times New Roman" w:cs="Times New Roman"/>
          <w:sz w:val="28"/>
          <w:szCs w:val="28"/>
        </w:rPr>
        <w:t>r imbalance between the parties</w:t>
      </w:r>
      <w:r w:rsidRPr="00BE1C53">
        <w:rPr>
          <w:rFonts w:ascii="Times New Roman" w:hAnsi="Times New Roman" w:cs="Times New Roman"/>
          <w:sz w:val="28"/>
          <w:szCs w:val="28"/>
        </w:rPr>
        <w:t xml:space="preserve"> and significant access to justice issues at stake.  </w:t>
      </w:r>
    </w:p>
    <w:p w:rsidR="00BE1C53" w:rsidRPr="00BE1C53" w:rsidRDefault="00BE1C53" w:rsidP="00BE1C53">
      <w:pPr>
        <w:pStyle w:val="ListParagraph"/>
        <w:rPr>
          <w:rFonts w:ascii="Times New Roman" w:hAnsi="Times New Roman" w:cs="Times New Roman"/>
          <w:sz w:val="28"/>
          <w:szCs w:val="28"/>
        </w:rPr>
      </w:pPr>
    </w:p>
    <w:p w:rsidR="00BE1C53" w:rsidRDefault="00BF30CF"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 xml:space="preserve">That is not the case here.  </w:t>
      </w:r>
      <w:r w:rsidR="008D2860" w:rsidRPr="00BE1C53">
        <w:rPr>
          <w:rFonts w:ascii="Times New Roman" w:hAnsi="Times New Roman" w:cs="Times New Roman"/>
          <w:sz w:val="28"/>
          <w:szCs w:val="28"/>
        </w:rPr>
        <w:t>If there w</w:t>
      </w:r>
      <w:r w:rsidR="00B01A15" w:rsidRPr="00BE1C53">
        <w:rPr>
          <w:rFonts w:ascii="Times New Roman" w:hAnsi="Times New Roman" w:cs="Times New Roman"/>
          <w:sz w:val="28"/>
          <w:szCs w:val="28"/>
        </w:rPr>
        <w:t>as</w:t>
      </w:r>
      <w:r w:rsidR="008D2860" w:rsidRPr="00BE1C53">
        <w:rPr>
          <w:rFonts w:ascii="Times New Roman" w:hAnsi="Times New Roman" w:cs="Times New Roman"/>
          <w:sz w:val="28"/>
          <w:szCs w:val="28"/>
        </w:rPr>
        <w:t xml:space="preserve"> evidence that the Plaintiff, having had to devote </w:t>
      </w:r>
      <w:r w:rsidR="00B01A15" w:rsidRPr="00BE1C53">
        <w:rPr>
          <w:rFonts w:ascii="Times New Roman" w:hAnsi="Times New Roman" w:cs="Times New Roman"/>
          <w:sz w:val="28"/>
          <w:szCs w:val="28"/>
        </w:rPr>
        <w:t xml:space="preserve">significant </w:t>
      </w:r>
      <w:r w:rsidR="008D2860" w:rsidRPr="00BE1C53">
        <w:rPr>
          <w:rFonts w:ascii="Times New Roman" w:hAnsi="Times New Roman" w:cs="Times New Roman"/>
          <w:sz w:val="28"/>
          <w:szCs w:val="28"/>
        </w:rPr>
        <w:t xml:space="preserve">resources to defend the Application, </w:t>
      </w:r>
      <w:r w:rsidR="00B01A15" w:rsidRPr="00BE1C53">
        <w:rPr>
          <w:rFonts w:ascii="Times New Roman" w:hAnsi="Times New Roman" w:cs="Times New Roman"/>
          <w:sz w:val="28"/>
          <w:szCs w:val="28"/>
        </w:rPr>
        <w:t xml:space="preserve">now </w:t>
      </w:r>
      <w:r w:rsidR="008D2860" w:rsidRPr="00BE1C53">
        <w:rPr>
          <w:rFonts w:ascii="Times New Roman" w:hAnsi="Times New Roman" w:cs="Times New Roman"/>
          <w:sz w:val="28"/>
          <w:szCs w:val="28"/>
        </w:rPr>
        <w:t xml:space="preserve">finds itself in a precarious </w:t>
      </w:r>
      <w:r w:rsidR="00B01A15" w:rsidRPr="00BE1C53">
        <w:rPr>
          <w:rFonts w:ascii="Times New Roman" w:hAnsi="Times New Roman" w:cs="Times New Roman"/>
          <w:sz w:val="28"/>
          <w:szCs w:val="28"/>
        </w:rPr>
        <w:t xml:space="preserve">financial </w:t>
      </w:r>
      <w:r w:rsidR="008D2860" w:rsidRPr="00BE1C53">
        <w:rPr>
          <w:rFonts w:ascii="Times New Roman" w:hAnsi="Times New Roman" w:cs="Times New Roman"/>
          <w:sz w:val="28"/>
          <w:szCs w:val="28"/>
        </w:rPr>
        <w:t xml:space="preserve">position </w:t>
      </w:r>
      <w:r w:rsidR="00B01A15" w:rsidRPr="00BE1C53">
        <w:rPr>
          <w:rFonts w:ascii="Times New Roman" w:hAnsi="Times New Roman" w:cs="Times New Roman"/>
          <w:sz w:val="28"/>
          <w:szCs w:val="28"/>
        </w:rPr>
        <w:t>that may impede its ability to go to</w:t>
      </w:r>
      <w:r w:rsidR="008D2860" w:rsidRPr="00BE1C53">
        <w:rPr>
          <w:rFonts w:ascii="Times New Roman" w:hAnsi="Times New Roman" w:cs="Times New Roman"/>
          <w:sz w:val="28"/>
          <w:szCs w:val="28"/>
        </w:rPr>
        <w:t xml:space="preserve"> trial, a</w:t>
      </w:r>
      <w:r w:rsidR="00CE449C">
        <w:rPr>
          <w:rFonts w:ascii="Times New Roman" w:hAnsi="Times New Roman" w:cs="Times New Roman"/>
          <w:sz w:val="28"/>
          <w:szCs w:val="28"/>
        </w:rPr>
        <w:t>n</w:t>
      </w:r>
      <w:r w:rsidR="008D2860" w:rsidRPr="00BE1C53">
        <w:rPr>
          <w:rFonts w:ascii="Times New Roman" w:hAnsi="Times New Roman" w:cs="Times New Roman"/>
          <w:sz w:val="28"/>
          <w:szCs w:val="28"/>
        </w:rPr>
        <w:t xml:space="preserve"> argument </w:t>
      </w:r>
      <w:r w:rsidRPr="00BE1C53">
        <w:rPr>
          <w:rFonts w:ascii="Times New Roman" w:hAnsi="Times New Roman" w:cs="Times New Roman"/>
          <w:sz w:val="28"/>
          <w:szCs w:val="28"/>
        </w:rPr>
        <w:t>that</w:t>
      </w:r>
      <w:r w:rsidR="008D2860" w:rsidRPr="00BE1C53">
        <w:rPr>
          <w:rFonts w:ascii="Times New Roman" w:hAnsi="Times New Roman" w:cs="Times New Roman"/>
          <w:sz w:val="28"/>
          <w:szCs w:val="28"/>
        </w:rPr>
        <w:t xml:space="preserve"> costs </w:t>
      </w:r>
      <w:r w:rsidR="00CE449C">
        <w:rPr>
          <w:rFonts w:ascii="Times New Roman" w:hAnsi="Times New Roman" w:cs="Times New Roman"/>
          <w:sz w:val="28"/>
          <w:szCs w:val="28"/>
        </w:rPr>
        <w:t xml:space="preserve">should </w:t>
      </w:r>
      <w:r w:rsidRPr="00BE1C53">
        <w:rPr>
          <w:rFonts w:ascii="Times New Roman" w:hAnsi="Times New Roman" w:cs="Times New Roman"/>
          <w:sz w:val="28"/>
          <w:szCs w:val="28"/>
        </w:rPr>
        <w:t xml:space="preserve">be </w:t>
      </w:r>
      <w:r w:rsidR="008D2860" w:rsidRPr="00BE1C53">
        <w:rPr>
          <w:rFonts w:ascii="Times New Roman" w:hAnsi="Times New Roman" w:cs="Times New Roman"/>
          <w:sz w:val="28"/>
          <w:szCs w:val="28"/>
        </w:rPr>
        <w:t>pa</w:t>
      </w:r>
      <w:r w:rsidR="00CE449C">
        <w:rPr>
          <w:rFonts w:ascii="Times New Roman" w:hAnsi="Times New Roman" w:cs="Times New Roman"/>
          <w:sz w:val="28"/>
          <w:szCs w:val="28"/>
        </w:rPr>
        <w:t xml:space="preserve">yable </w:t>
      </w:r>
      <w:r w:rsidR="008D2860" w:rsidRPr="00BE1C53">
        <w:rPr>
          <w:rFonts w:ascii="Times New Roman" w:hAnsi="Times New Roman" w:cs="Times New Roman"/>
          <w:sz w:val="28"/>
          <w:szCs w:val="28"/>
        </w:rPr>
        <w:t>immediately</w:t>
      </w:r>
      <w:r w:rsidR="00CE449C">
        <w:rPr>
          <w:rFonts w:ascii="Times New Roman" w:hAnsi="Times New Roman" w:cs="Times New Roman"/>
          <w:sz w:val="28"/>
          <w:szCs w:val="28"/>
        </w:rPr>
        <w:t xml:space="preserve"> may be more compelling</w:t>
      </w:r>
      <w:r w:rsidR="008D2860" w:rsidRPr="00BE1C53">
        <w:rPr>
          <w:rFonts w:ascii="Times New Roman" w:hAnsi="Times New Roman" w:cs="Times New Roman"/>
          <w:sz w:val="28"/>
          <w:szCs w:val="28"/>
        </w:rPr>
        <w:t xml:space="preserve">.  But </w:t>
      </w:r>
      <w:r w:rsidRPr="00BE1C53">
        <w:rPr>
          <w:rFonts w:ascii="Times New Roman" w:hAnsi="Times New Roman" w:cs="Times New Roman"/>
          <w:sz w:val="28"/>
          <w:szCs w:val="28"/>
        </w:rPr>
        <w:t>t</w:t>
      </w:r>
      <w:r w:rsidR="00CE449C">
        <w:rPr>
          <w:rFonts w:ascii="Times New Roman" w:hAnsi="Times New Roman" w:cs="Times New Roman"/>
          <w:sz w:val="28"/>
          <w:szCs w:val="28"/>
        </w:rPr>
        <w:t>he Plaintiff is a government</w:t>
      </w:r>
      <w:r w:rsidR="00B01A15" w:rsidRPr="00BE1C53">
        <w:rPr>
          <w:rFonts w:ascii="Times New Roman" w:hAnsi="Times New Roman" w:cs="Times New Roman"/>
          <w:sz w:val="28"/>
          <w:szCs w:val="28"/>
        </w:rPr>
        <w:t xml:space="preserve"> and there is no indication that its ability to pursue its claim is compromised in any way.</w:t>
      </w:r>
    </w:p>
    <w:p w:rsidR="00BE1C53" w:rsidRPr="00BE1C53" w:rsidRDefault="00BE1C53" w:rsidP="00BE1C53">
      <w:pPr>
        <w:pStyle w:val="ListParagraph"/>
        <w:rPr>
          <w:rFonts w:ascii="Times New Roman" w:hAnsi="Times New Roman" w:cs="Times New Roman"/>
          <w:sz w:val="28"/>
          <w:szCs w:val="28"/>
        </w:rPr>
      </w:pPr>
    </w:p>
    <w:p w:rsidR="00373AC1" w:rsidRPr="00BE1C53" w:rsidRDefault="008D2860" w:rsidP="00BE1C53">
      <w:pPr>
        <w:pStyle w:val="ListParagraph"/>
        <w:numPr>
          <w:ilvl w:val="0"/>
          <w:numId w:val="11"/>
        </w:numPr>
        <w:spacing w:line="240" w:lineRule="auto"/>
        <w:ind w:left="0" w:firstLine="0"/>
        <w:jc w:val="both"/>
        <w:rPr>
          <w:rFonts w:ascii="Times New Roman" w:hAnsi="Times New Roman" w:cs="Times New Roman"/>
          <w:sz w:val="28"/>
          <w:szCs w:val="28"/>
        </w:rPr>
      </w:pPr>
      <w:r w:rsidRPr="00BE1C53">
        <w:rPr>
          <w:rFonts w:ascii="Times New Roman" w:hAnsi="Times New Roman" w:cs="Times New Roman"/>
          <w:sz w:val="28"/>
          <w:szCs w:val="28"/>
        </w:rPr>
        <w:t>Given this, I decline to order</w:t>
      </w:r>
      <w:r w:rsidR="002C7543" w:rsidRPr="00BE1C53">
        <w:rPr>
          <w:rFonts w:ascii="Times New Roman" w:hAnsi="Times New Roman" w:cs="Times New Roman"/>
          <w:sz w:val="28"/>
          <w:szCs w:val="28"/>
        </w:rPr>
        <w:t xml:space="preserve"> that the costs be payable immediately</w:t>
      </w:r>
      <w:r w:rsidRPr="00BE1C53">
        <w:rPr>
          <w:rFonts w:ascii="Times New Roman" w:hAnsi="Times New Roman" w:cs="Times New Roman"/>
          <w:sz w:val="28"/>
          <w:szCs w:val="28"/>
        </w:rPr>
        <w:t>.  The costs ordered as part of this ruling will have to be accounted for at the conclusion of the proceedings, in the ordinary course.</w:t>
      </w:r>
      <w:r w:rsidR="00B01A15" w:rsidRPr="00BE1C53">
        <w:rPr>
          <w:rFonts w:ascii="Times New Roman" w:hAnsi="Times New Roman" w:cs="Times New Roman"/>
          <w:sz w:val="28"/>
          <w:szCs w:val="28"/>
        </w:rPr>
        <w:t xml:space="preserve"> </w:t>
      </w:r>
    </w:p>
    <w:p w:rsidR="00CD3B7F" w:rsidRDefault="00CD3B7F" w:rsidP="00366F71">
      <w:pPr>
        <w:tabs>
          <w:tab w:val="left" w:pos="720"/>
        </w:tabs>
        <w:spacing w:line="360" w:lineRule="auto"/>
        <w:jc w:val="both"/>
        <w:rPr>
          <w:rFonts w:eastAsiaTheme="minorHAnsi"/>
          <w:sz w:val="28"/>
          <w:szCs w:val="28"/>
          <w:lang w:eastAsia="en-US"/>
        </w:rPr>
      </w:pPr>
    </w:p>
    <w:p w:rsidR="00BE1C53" w:rsidRDefault="00BE1C53" w:rsidP="00366F71">
      <w:pPr>
        <w:tabs>
          <w:tab w:val="left" w:pos="720"/>
        </w:tabs>
        <w:spacing w:line="360" w:lineRule="auto"/>
        <w:jc w:val="both"/>
        <w:rPr>
          <w:rFonts w:eastAsiaTheme="minorHAnsi"/>
          <w:sz w:val="28"/>
          <w:szCs w:val="28"/>
          <w:lang w:eastAsia="en-US"/>
        </w:rPr>
      </w:pPr>
    </w:p>
    <w:p w:rsidR="00950408" w:rsidRPr="008D2860" w:rsidRDefault="00B42759" w:rsidP="008D2860">
      <w:pPr>
        <w:tabs>
          <w:tab w:val="left" w:pos="720"/>
        </w:tabs>
        <w:spacing w:line="360" w:lineRule="auto"/>
        <w:jc w:val="both"/>
        <w:rPr>
          <w:sz w:val="28"/>
          <w:szCs w:val="28"/>
          <w:lang w:val="fr-CA"/>
        </w:rPr>
      </w:pPr>
      <w:r w:rsidRPr="008D2860">
        <w:rPr>
          <w:rFonts w:eastAsiaTheme="minorHAnsi"/>
          <w:sz w:val="28"/>
          <w:szCs w:val="28"/>
          <w:lang w:eastAsia="en-US"/>
        </w:rPr>
        <w:tab/>
      </w:r>
      <w:r w:rsidR="009016E9" w:rsidRPr="008D2860">
        <w:rPr>
          <w:rFonts w:eastAsiaTheme="minorHAnsi"/>
          <w:sz w:val="28"/>
          <w:szCs w:val="28"/>
          <w:lang w:eastAsia="en-US"/>
        </w:rPr>
        <w:tab/>
      </w:r>
      <w:r w:rsidR="009016E9" w:rsidRPr="008D2860">
        <w:rPr>
          <w:rFonts w:eastAsiaTheme="minorHAnsi"/>
          <w:sz w:val="28"/>
          <w:szCs w:val="28"/>
          <w:lang w:eastAsia="en-US"/>
        </w:rPr>
        <w:tab/>
      </w:r>
      <w:r w:rsidR="009016E9" w:rsidRPr="008D2860">
        <w:rPr>
          <w:rFonts w:eastAsiaTheme="minorHAnsi"/>
          <w:sz w:val="28"/>
          <w:szCs w:val="28"/>
          <w:lang w:eastAsia="en-US"/>
        </w:rPr>
        <w:tab/>
      </w:r>
      <w:r w:rsidR="009016E9" w:rsidRPr="008D2860">
        <w:rPr>
          <w:rFonts w:eastAsiaTheme="minorHAnsi"/>
          <w:sz w:val="28"/>
          <w:szCs w:val="28"/>
          <w:lang w:eastAsia="en-US"/>
        </w:rPr>
        <w:tab/>
      </w:r>
      <w:r w:rsidR="009016E9" w:rsidRPr="008D2860">
        <w:rPr>
          <w:rFonts w:eastAsiaTheme="minorHAnsi"/>
          <w:sz w:val="28"/>
          <w:szCs w:val="28"/>
          <w:lang w:eastAsia="en-US"/>
        </w:rPr>
        <w:tab/>
      </w:r>
      <w:r w:rsidR="009016E9" w:rsidRPr="008D2860">
        <w:rPr>
          <w:rFonts w:eastAsiaTheme="minorHAnsi"/>
          <w:sz w:val="28"/>
          <w:szCs w:val="28"/>
          <w:lang w:eastAsia="en-US"/>
        </w:rPr>
        <w:tab/>
      </w:r>
      <w:r w:rsidR="009016E9" w:rsidRPr="008D2860">
        <w:rPr>
          <w:rFonts w:eastAsiaTheme="minorHAnsi"/>
          <w:sz w:val="28"/>
          <w:szCs w:val="28"/>
          <w:lang w:eastAsia="en-US"/>
        </w:rPr>
        <w:tab/>
      </w:r>
      <w:r w:rsidR="009016E9" w:rsidRPr="008D2860">
        <w:rPr>
          <w:rFonts w:eastAsiaTheme="minorHAnsi"/>
          <w:sz w:val="28"/>
          <w:szCs w:val="28"/>
          <w:lang w:eastAsia="en-US"/>
        </w:rPr>
        <w:tab/>
      </w:r>
      <w:r w:rsidR="00476553" w:rsidRPr="008D2860">
        <w:rPr>
          <w:sz w:val="28"/>
          <w:szCs w:val="28"/>
          <w:lang w:val="fr-CA"/>
        </w:rPr>
        <w:t>L.A. Charbonneau</w:t>
      </w:r>
    </w:p>
    <w:p w:rsidR="00A07B94" w:rsidRPr="00D75F3C" w:rsidRDefault="009016E9" w:rsidP="0077250F">
      <w:pPr>
        <w:widowControl/>
        <w:tabs>
          <w:tab w:val="left" w:pos="720"/>
        </w:tabs>
        <w:ind w:left="5760" w:right="-36"/>
        <w:jc w:val="both"/>
        <w:rPr>
          <w:sz w:val="28"/>
          <w:szCs w:val="28"/>
          <w:lang w:val="fr-CA"/>
        </w:rPr>
      </w:pPr>
      <w:r w:rsidRPr="00D75F3C">
        <w:rPr>
          <w:sz w:val="28"/>
          <w:szCs w:val="28"/>
          <w:lang w:val="fr-CA"/>
        </w:rPr>
        <w:tab/>
      </w:r>
      <w:r w:rsidR="000A2BCA" w:rsidRPr="00D75F3C">
        <w:rPr>
          <w:sz w:val="28"/>
          <w:szCs w:val="28"/>
          <w:lang w:val="fr-CA"/>
        </w:rPr>
        <w:t xml:space="preserve">    J.S.C.</w:t>
      </w:r>
    </w:p>
    <w:p w:rsidR="000A2BCA" w:rsidRPr="00D75F3C" w:rsidRDefault="000A2BCA" w:rsidP="0077250F">
      <w:pPr>
        <w:widowControl/>
        <w:tabs>
          <w:tab w:val="left" w:pos="720"/>
        </w:tabs>
        <w:ind w:left="5760" w:right="-36"/>
        <w:jc w:val="both"/>
        <w:rPr>
          <w:sz w:val="28"/>
          <w:szCs w:val="28"/>
          <w:lang w:val="fr-CA"/>
        </w:rPr>
      </w:pPr>
    </w:p>
    <w:p w:rsidR="000A2BCA" w:rsidRPr="003D034C" w:rsidRDefault="000A2BCA" w:rsidP="0077250F">
      <w:pPr>
        <w:widowControl/>
        <w:tabs>
          <w:tab w:val="left" w:pos="720"/>
        </w:tabs>
        <w:ind w:right="-36"/>
        <w:jc w:val="both"/>
        <w:rPr>
          <w:sz w:val="28"/>
          <w:szCs w:val="28"/>
          <w:lang w:val="en-CA"/>
        </w:rPr>
      </w:pPr>
      <w:r w:rsidRPr="003D034C">
        <w:rPr>
          <w:sz w:val="28"/>
          <w:szCs w:val="28"/>
          <w:lang w:val="en-CA"/>
        </w:rPr>
        <w:t xml:space="preserve">Dated at Yellowknife, NT, this </w:t>
      </w:r>
    </w:p>
    <w:p w:rsidR="000A2BCA" w:rsidRPr="003D034C" w:rsidRDefault="00F4420C" w:rsidP="0077250F">
      <w:pPr>
        <w:widowControl/>
        <w:tabs>
          <w:tab w:val="left" w:pos="720"/>
        </w:tabs>
        <w:ind w:right="-36"/>
        <w:jc w:val="both"/>
        <w:rPr>
          <w:sz w:val="28"/>
          <w:szCs w:val="28"/>
          <w:lang w:val="en-CA"/>
        </w:rPr>
      </w:pPr>
      <w:r>
        <w:rPr>
          <w:sz w:val="28"/>
          <w:szCs w:val="28"/>
          <w:lang w:val="en-CA"/>
        </w:rPr>
        <w:t>2</w:t>
      </w:r>
      <w:r w:rsidR="002C7543">
        <w:rPr>
          <w:sz w:val="28"/>
          <w:szCs w:val="28"/>
          <w:lang w:val="en-CA"/>
        </w:rPr>
        <w:t>4</w:t>
      </w:r>
      <w:r w:rsidR="002C7C17" w:rsidRPr="003D034C">
        <w:rPr>
          <w:sz w:val="28"/>
          <w:szCs w:val="28"/>
          <w:vertAlign w:val="superscript"/>
          <w:lang w:val="en-CA"/>
        </w:rPr>
        <w:t>th</w:t>
      </w:r>
      <w:r w:rsidR="002C7C17" w:rsidRPr="003D034C">
        <w:rPr>
          <w:sz w:val="28"/>
          <w:szCs w:val="28"/>
          <w:lang w:val="en-CA"/>
        </w:rPr>
        <w:t xml:space="preserve"> </w:t>
      </w:r>
      <w:r w:rsidR="000A2BCA" w:rsidRPr="003D034C">
        <w:rPr>
          <w:sz w:val="28"/>
          <w:szCs w:val="28"/>
          <w:lang w:val="en-CA"/>
        </w:rPr>
        <w:t xml:space="preserve">day of </w:t>
      </w:r>
      <w:r>
        <w:rPr>
          <w:sz w:val="28"/>
          <w:szCs w:val="28"/>
          <w:lang w:val="en-CA"/>
        </w:rPr>
        <w:t>October</w:t>
      </w:r>
      <w:r w:rsidR="000A2BCA" w:rsidRPr="003D034C">
        <w:rPr>
          <w:sz w:val="28"/>
          <w:szCs w:val="28"/>
          <w:lang w:val="en-CA"/>
        </w:rPr>
        <w:t>, 2017</w:t>
      </w:r>
    </w:p>
    <w:p w:rsidR="0050539F" w:rsidRPr="00B245BA" w:rsidRDefault="0050539F" w:rsidP="0077250F">
      <w:pPr>
        <w:widowControl/>
        <w:tabs>
          <w:tab w:val="left" w:pos="720"/>
        </w:tabs>
        <w:ind w:left="5760" w:right="-36"/>
        <w:jc w:val="both"/>
      </w:pPr>
    </w:p>
    <w:p w:rsidR="00A07B94" w:rsidRPr="0077250F" w:rsidRDefault="00376927" w:rsidP="0077250F">
      <w:pPr>
        <w:widowControl/>
        <w:tabs>
          <w:tab w:val="left" w:pos="720"/>
        </w:tabs>
        <w:ind w:right="-36"/>
        <w:jc w:val="both"/>
        <w:rPr>
          <w:sz w:val="28"/>
          <w:szCs w:val="28"/>
        </w:rPr>
      </w:pPr>
      <w:r w:rsidRPr="0077250F">
        <w:rPr>
          <w:sz w:val="28"/>
          <w:szCs w:val="28"/>
        </w:rPr>
        <w:t xml:space="preserve">To: </w:t>
      </w:r>
      <w:r w:rsidRPr="0077250F">
        <w:rPr>
          <w:sz w:val="28"/>
          <w:szCs w:val="28"/>
        </w:rPr>
        <w:tab/>
      </w:r>
      <w:r w:rsidR="0011630E">
        <w:rPr>
          <w:sz w:val="28"/>
          <w:szCs w:val="28"/>
        </w:rPr>
        <w:t>Counsel for the Plaintiff</w:t>
      </w:r>
      <w:r w:rsidR="0011630E">
        <w:rPr>
          <w:sz w:val="28"/>
          <w:szCs w:val="28"/>
        </w:rPr>
        <w:tab/>
      </w:r>
      <w:r w:rsidR="0011630E">
        <w:rPr>
          <w:sz w:val="28"/>
          <w:szCs w:val="28"/>
        </w:rPr>
        <w:tab/>
      </w:r>
      <w:r w:rsidR="0011630E">
        <w:rPr>
          <w:sz w:val="28"/>
          <w:szCs w:val="28"/>
        </w:rPr>
        <w:tab/>
      </w:r>
      <w:r w:rsidR="004307DA" w:rsidRPr="0077250F">
        <w:rPr>
          <w:sz w:val="28"/>
          <w:szCs w:val="28"/>
        </w:rPr>
        <w:t>Gary A. Holan</w:t>
      </w:r>
    </w:p>
    <w:p w:rsidR="00AE2625" w:rsidRPr="0077250F" w:rsidRDefault="00F922A7" w:rsidP="0077250F">
      <w:pPr>
        <w:widowControl/>
        <w:tabs>
          <w:tab w:val="left" w:pos="720"/>
        </w:tabs>
        <w:ind w:right="-36"/>
        <w:jc w:val="both"/>
        <w:rPr>
          <w:sz w:val="28"/>
          <w:szCs w:val="28"/>
        </w:rPr>
        <w:sectPr w:rsidR="00AE2625" w:rsidRPr="0077250F" w:rsidSect="00BF05B1">
          <w:headerReference w:type="default" r:id="rId8"/>
          <w:pgSz w:w="12240" w:h="15840"/>
          <w:pgMar w:top="1170" w:right="1440" w:bottom="1080" w:left="1440" w:header="1170" w:footer="1440" w:gutter="0"/>
          <w:cols w:space="720"/>
          <w:noEndnote/>
          <w:titlePg/>
          <w:docGrid w:linePitch="326"/>
        </w:sectPr>
      </w:pPr>
      <w:r w:rsidRPr="0077250F">
        <w:rPr>
          <w:sz w:val="28"/>
          <w:szCs w:val="28"/>
        </w:rPr>
        <w:tab/>
      </w:r>
      <w:r w:rsidR="0011630E">
        <w:rPr>
          <w:sz w:val="28"/>
          <w:szCs w:val="28"/>
        </w:rPr>
        <w:t>Counsel for the Defendants</w:t>
      </w:r>
      <w:r w:rsidR="0011630E">
        <w:rPr>
          <w:sz w:val="28"/>
          <w:szCs w:val="28"/>
        </w:rPr>
        <w:tab/>
      </w:r>
      <w:r w:rsidR="0011630E">
        <w:rPr>
          <w:sz w:val="28"/>
          <w:szCs w:val="28"/>
        </w:rPr>
        <w:tab/>
      </w:r>
      <w:bookmarkStart w:id="1" w:name="_GoBack"/>
      <w:bookmarkEnd w:id="1"/>
      <w:r w:rsidR="004307DA" w:rsidRPr="0077250F">
        <w:rPr>
          <w:sz w:val="28"/>
          <w:szCs w:val="28"/>
        </w:rPr>
        <w:t xml:space="preserve">Dennis </w:t>
      </w:r>
      <w:proofErr w:type="spellStart"/>
      <w:r w:rsidR="004307DA" w:rsidRPr="0077250F">
        <w:rPr>
          <w:sz w:val="28"/>
          <w:szCs w:val="28"/>
        </w:rPr>
        <w:t>Picco</w:t>
      </w:r>
      <w:proofErr w:type="spellEnd"/>
    </w:p>
    <w:tbl>
      <w:tblPr>
        <w:tblStyle w:val="TableGrid"/>
        <w:tblW w:w="0" w:type="auto"/>
        <w:jc w:val="right"/>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9360"/>
      </w:tblGrid>
      <w:tr w:rsidR="00950408" w:rsidRPr="00B245BA" w:rsidTr="00D94ACF">
        <w:trPr>
          <w:jc w:val="right"/>
        </w:trPr>
        <w:tc>
          <w:tcPr>
            <w:tcW w:w="9360" w:type="dxa"/>
          </w:tcPr>
          <w:p w:rsidR="00950408" w:rsidRPr="00B245BA" w:rsidRDefault="004307DA" w:rsidP="00FC2CE9">
            <w:pPr>
              <w:widowControl/>
              <w:jc w:val="right"/>
              <w:rPr>
                <w:b/>
                <w:bCs/>
                <w:lang w:val="en-CA"/>
              </w:rPr>
            </w:pPr>
            <w:r w:rsidRPr="00B245BA">
              <w:lastRenderedPageBreak/>
              <w:tab/>
            </w:r>
            <w:r w:rsidR="00950408" w:rsidRPr="00B245BA">
              <w:rPr>
                <w:b/>
                <w:bCs/>
                <w:lang w:val="en-CA"/>
              </w:rPr>
              <w:t xml:space="preserve">S 1 </w:t>
            </w:r>
            <w:r w:rsidR="009040DA" w:rsidRPr="00B245BA">
              <w:rPr>
                <w:b/>
                <w:bCs/>
                <w:lang w:val="en-CA"/>
              </w:rPr>
              <w:t>CV</w:t>
            </w:r>
            <w:r w:rsidR="00950408" w:rsidRPr="00B245BA">
              <w:rPr>
                <w:b/>
                <w:bCs/>
                <w:lang w:val="en-CA"/>
              </w:rPr>
              <w:t xml:space="preserve"> </w:t>
            </w:r>
            <w:r w:rsidR="009040DA" w:rsidRPr="00B245BA">
              <w:rPr>
                <w:b/>
                <w:bCs/>
                <w:lang w:val="en-CA"/>
              </w:rPr>
              <w:t>1999 08127</w:t>
            </w:r>
          </w:p>
          <w:p w:rsidR="00950408" w:rsidRPr="00B245BA" w:rsidRDefault="00950408" w:rsidP="00FC2CE9">
            <w:pPr>
              <w:widowControl/>
              <w:jc w:val="both"/>
            </w:pPr>
          </w:p>
        </w:tc>
      </w:tr>
      <w:tr w:rsidR="00950408" w:rsidRPr="00B245BA" w:rsidTr="00D94ACF">
        <w:trPr>
          <w:jc w:val="right"/>
        </w:trPr>
        <w:tc>
          <w:tcPr>
            <w:tcW w:w="9360" w:type="dxa"/>
            <w:tcBorders>
              <w:bottom w:val="single" w:sz="4" w:space="0" w:color="000000" w:themeColor="text1"/>
            </w:tcBorders>
          </w:tcPr>
          <w:p w:rsidR="00950408" w:rsidRPr="00B245BA" w:rsidRDefault="00950408" w:rsidP="00FC2CE9">
            <w:pPr>
              <w:widowControl/>
              <w:jc w:val="center"/>
              <w:rPr>
                <w:b/>
                <w:bCs/>
                <w:lang w:val="en-GB"/>
              </w:rPr>
            </w:pPr>
          </w:p>
          <w:p w:rsidR="00950408" w:rsidRPr="00B245BA" w:rsidRDefault="00950408" w:rsidP="00FC2CE9">
            <w:pPr>
              <w:widowControl/>
              <w:jc w:val="center"/>
              <w:rPr>
                <w:b/>
                <w:bCs/>
                <w:lang w:val="en-GB"/>
              </w:rPr>
            </w:pPr>
            <w:r w:rsidRPr="00B245BA">
              <w:rPr>
                <w:b/>
                <w:bCs/>
                <w:lang w:val="en-GB"/>
              </w:rPr>
              <w:t>IN THE SUPREME COURT OF THE</w:t>
            </w:r>
          </w:p>
          <w:p w:rsidR="00950408" w:rsidRPr="00B245BA" w:rsidRDefault="00950408" w:rsidP="00FC2CE9">
            <w:pPr>
              <w:widowControl/>
              <w:jc w:val="center"/>
              <w:rPr>
                <w:b/>
                <w:bCs/>
                <w:lang w:val="en-GB"/>
              </w:rPr>
            </w:pPr>
            <w:r w:rsidRPr="00B245BA">
              <w:rPr>
                <w:b/>
                <w:bCs/>
                <w:lang w:val="en-GB"/>
              </w:rPr>
              <w:t>NORTHWEST TERRITORIES</w:t>
            </w:r>
          </w:p>
          <w:p w:rsidR="00950408" w:rsidRPr="00B245BA" w:rsidRDefault="00950408" w:rsidP="00FC2CE9">
            <w:pPr>
              <w:pStyle w:val="NoSpacing"/>
              <w:rPr>
                <w:rFonts w:ascii="Times New Roman" w:hAnsi="Times New Roman" w:cs="Times New Roman"/>
                <w:sz w:val="24"/>
                <w:szCs w:val="24"/>
                <w:lang w:val="en-GB"/>
              </w:rPr>
            </w:pPr>
          </w:p>
        </w:tc>
      </w:tr>
      <w:tr w:rsidR="00950408" w:rsidRPr="00B245BA" w:rsidTr="00D94ACF">
        <w:trPr>
          <w:jc w:val="right"/>
        </w:trPr>
        <w:tc>
          <w:tcPr>
            <w:tcW w:w="9360" w:type="dxa"/>
            <w:tcBorders>
              <w:top w:val="single" w:sz="4" w:space="0" w:color="000000" w:themeColor="text1"/>
              <w:bottom w:val="nil"/>
            </w:tcBorders>
          </w:tcPr>
          <w:p w:rsidR="00950408" w:rsidRPr="00B245BA" w:rsidRDefault="00950408" w:rsidP="00FC2CE9">
            <w:pPr>
              <w:widowControl/>
              <w:jc w:val="both"/>
              <w:rPr>
                <w:b/>
                <w:bCs/>
                <w:lang w:val="en-GB"/>
              </w:rPr>
            </w:pPr>
          </w:p>
          <w:p w:rsidR="00950408" w:rsidRPr="00B245BA" w:rsidRDefault="00950408" w:rsidP="00FC2CE9">
            <w:pPr>
              <w:widowControl/>
              <w:jc w:val="both"/>
              <w:rPr>
                <w:lang w:val="en-GB"/>
              </w:rPr>
            </w:pPr>
            <w:r w:rsidRPr="00B245BA">
              <w:rPr>
                <w:lang w:val="en-GB"/>
              </w:rPr>
              <w:t>BETWEEN:</w:t>
            </w:r>
          </w:p>
          <w:p w:rsidR="00950408" w:rsidRPr="00B245BA" w:rsidRDefault="00950408" w:rsidP="00FC2CE9">
            <w:pPr>
              <w:widowControl/>
              <w:jc w:val="both"/>
              <w:rPr>
                <w:lang w:val="en-GB"/>
              </w:rPr>
            </w:pPr>
          </w:p>
          <w:p w:rsidR="007E02E6" w:rsidRPr="00B245BA" w:rsidRDefault="007E02E6" w:rsidP="00123F38">
            <w:pPr>
              <w:widowControl/>
              <w:ind w:left="810"/>
              <w:rPr>
                <w:lang w:val="en-CA"/>
              </w:rPr>
            </w:pPr>
            <w:r w:rsidRPr="00B245BA">
              <w:rPr>
                <w:lang w:val="en-CA"/>
              </w:rPr>
              <w:fldChar w:fldCharType="begin"/>
            </w:r>
            <w:r w:rsidRPr="00B245BA">
              <w:rPr>
                <w:lang w:val="en-CA"/>
              </w:rPr>
              <w:instrText xml:space="preserve"> SEQ CHAPTER \h \r 1</w:instrText>
            </w:r>
            <w:r w:rsidRPr="00B245BA">
              <w:rPr>
                <w:lang w:val="en-CA"/>
              </w:rPr>
              <w:fldChar w:fldCharType="end"/>
            </w:r>
            <w:r w:rsidRPr="00B245BA">
              <w:rPr>
                <w:lang w:val="en-CA"/>
              </w:rPr>
              <w:t xml:space="preserve">THE GOVERNMENT OF THE NORTHWEST TERRITORIES as represented by the </w:t>
            </w:r>
            <w:r w:rsidR="00123F38" w:rsidRPr="00B245BA">
              <w:rPr>
                <w:lang w:val="en-CA"/>
              </w:rPr>
              <w:t xml:space="preserve">  </w:t>
            </w:r>
            <w:r w:rsidRPr="00B245BA">
              <w:rPr>
                <w:lang w:val="en-CA"/>
              </w:rPr>
              <w:t xml:space="preserve">MINISTER OF PUBLIC WORKS AND SERVICES </w:t>
            </w:r>
          </w:p>
          <w:p w:rsidR="007E02E6" w:rsidRPr="00B245BA" w:rsidRDefault="007E02E6" w:rsidP="00123F38">
            <w:pPr>
              <w:widowControl/>
              <w:tabs>
                <w:tab w:val="right" w:pos="9360"/>
              </w:tabs>
              <w:ind w:left="630"/>
              <w:rPr>
                <w:lang w:val="en-CA"/>
              </w:rPr>
            </w:pPr>
            <w:r w:rsidRPr="00B245BA">
              <w:rPr>
                <w:lang w:val="en-CA"/>
              </w:rPr>
              <w:tab/>
              <w:t>Plaintiff</w:t>
            </w:r>
          </w:p>
          <w:p w:rsidR="007E02E6" w:rsidRPr="00B245BA" w:rsidRDefault="007E02E6" w:rsidP="007E02E6">
            <w:pPr>
              <w:widowControl/>
              <w:jc w:val="center"/>
              <w:rPr>
                <w:lang w:val="en-CA"/>
              </w:rPr>
            </w:pPr>
            <w:r w:rsidRPr="00B245BA">
              <w:rPr>
                <w:lang w:val="en-CA"/>
              </w:rPr>
              <w:t>- and -</w:t>
            </w:r>
          </w:p>
          <w:p w:rsidR="007E02E6" w:rsidRPr="00B245BA" w:rsidRDefault="007E02E6" w:rsidP="007E02E6">
            <w:pPr>
              <w:widowControl/>
              <w:rPr>
                <w:lang w:val="en-CA"/>
              </w:rPr>
            </w:pPr>
          </w:p>
          <w:p w:rsidR="007E02E6" w:rsidRPr="00B245BA" w:rsidRDefault="007E02E6" w:rsidP="00123F38">
            <w:pPr>
              <w:widowControl/>
              <w:ind w:left="810"/>
              <w:rPr>
                <w:lang w:val="en-CA"/>
              </w:rPr>
            </w:pPr>
            <w:r w:rsidRPr="00B245BA">
              <w:rPr>
                <w:lang w:val="en-CA"/>
              </w:rPr>
              <w:t>831594 N.W.T. LTD. carrying on business under the name and style of FERGUSON SIMEK CLARK, FERGUSON SIMEK CLARK ENGINEERS AND ARCHITECTS carrying on business under the name and style of FSC GROUP, 831594 N.W.T. LTD., FERGUSON SIMEK CLARK ENGINEERS AND ARCHITECTS, FERGUSON SIMEK CLARK, FSC GROUP, JOHN DOE NO.1, G.P. VALUE ENGINEERING LTD., ANTHONY P. SILVA, JOHN DOE NO. 2, JOHN DOE NO. 3 and JOHN DOE NO. 4, COMARC ARCHITECTS LIMITED and CLIVE HAROLD CLARK</w:t>
            </w:r>
          </w:p>
          <w:p w:rsidR="007E02E6" w:rsidRPr="00B245BA" w:rsidRDefault="007E02E6" w:rsidP="007E02E6">
            <w:pPr>
              <w:widowControl/>
              <w:tabs>
                <w:tab w:val="right" w:pos="9360"/>
              </w:tabs>
              <w:rPr>
                <w:lang w:val="en-CA"/>
              </w:rPr>
            </w:pPr>
            <w:r w:rsidRPr="00B245BA">
              <w:rPr>
                <w:lang w:val="en-CA"/>
              </w:rPr>
              <w:tab/>
              <w:t>Defendants</w:t>
            </w:r>
          </w:p>
          <w:p w:rsidR="007E02E6" w:rsidRPr="00B245BA" w:rsidRDefault="007E02E6" w:rsidP="007E02E6">
            <w:pPr>
              <w:widowControl/>
              <w:jc w:val="center"/>
              <w:rPr>
                <w:lang w:val="en-CA"/>
              </w:rPr>
            </w:pPr>
            <w:r w:rsidRPr="00B245BA">
              <w:rPr>
                <w:lang w:val="en-CA"/>
              </w:rPr>
              <w:t>- and -</w:t>
            </w:r>
          </w:p>
          <w:p w:rsidR="007E02E6" w:rsidRPr="00B245BA" w:rsidRDefault="007E02E6" w:rsidP="007E02E6">
            <w:pPr>
              <w:widowControl/>
              <w:tabs>
                <w:tab w:val="right" w:pos="9360"/>
              </w:tabs>
              <w:rPr>
                <w:lang w:val="en-CA"/>
              </w:rPr>
            </w:pPr>
            <w:r w:rsidRPr="00B245BA">
              <w:rPr>
                <w:lang w:val="en-CA"/>
              </w:rPr>
              <w:tab/>
            </w:r>
          </w:p>
          <w:p w:rsidR="007E02E6" w:rsidRPr="00B245BA" w:rsidRDefault="007E02E6" w:rsidP="007E02E6">
            <w:pPr>
              <w:widowControl/>
              <w:jc w:val="center"/>
              <w:rPr>
                <w:lang w:val="en-CA"/>
              </w:rPr>
            </w:pPr>
            <w:r w:rsidRPr="00B245BA">
              <w:rPr>
                <w:lang w:val="en-CA"/>
              </w:rPr>
              <w:t>NINETY NORTH CONSTRUCTION AND DEVELOPMENT LTD.</w:t>
            </w:r>
          </w:p>
          <w:p w:rsidR="007E02E6" w:rsidRPr="00B245BA" w:rsidRDefault="007E02E6" w:rsidP="007E02E6">
            <w:pPr>
              <w:widowControl/>
              <w:tabs>
                <w:tab w:val="right" w:pos="9360"/>
              </w:tabs>
              <w:rPr>
                <w:lang w:val="en-CA"/>
              </w:rPr>
            </w:pPr>
            <w:r w:rsidRPr="00B245BA">
              <w:rPr>
                <w:lang w:val="en-CA"/>
              </w:rPr>
              <w:tab/>
              <w:t>Third Party</w:t>
            </w:r>
          </w:p>
          <w:p w:rsidR="007E02E6" w:rsidRPr="00B245BA" w:rsidRDefault="007E02E6" w:rsidP="007E02E6">
            <w:pPr>
              <w:widowControl/>
              <w:jc w:val="center"/>
              <w:rPr>
                <w:lang w:val="en-CA"/>
              </w:rPr>
            </w:pPr>
            <w:r w:rsidRPr="00B245BA">
              <w:rPr>
                <w:lang w:val="en-CA"/>
              </w:rPr>
              <w:t>- and -</w:t>
            </w:r>
          </w:p>
          <w:p w:rsidR="007E02E6" w:rsidRPr="00B245BA" w:rsidRDefault="007E02E6" w:rsidP="007E02E6">
            <w:pPr>
              <w:widowControl/>
              <w:jc w:val="center"/>
              <w:rPr>
                <w:lang w:val="en-CA"/>
              </w:rPr>
            </w:pPr>
          </w:p>
          <w:p w:rsidR="007E02E6" w:rsidRPr="00B245BA" w:rsidRDefault="007E02E6" w:rsidP="007E02E6">
            <w:pPr>
              <w:widowControl/>
              <w:jc w:val="center"/>
              <w:rPr>
                <w:lang w:val="en-CA"/>
              </w:rPr>
            </w:pPr>
            <w:r w:rsidRPr="00B245BA">
              <w:rPr>
                <w:lang w:val="en-CA"/>
              </w:rPr>
              <w:t>ANTHONY P. SILVA</w:t>
            </w:r>
          </w:p>
          <w:p w:rsidR="007E02E6" w:rsidRPr="00B245BA" w:rsidRDefault="007E02E6" w:rsidP="007E02E6">
            <w:pPr>
              <w:widowControl/>
              <w:tabs>
                <w:tab w:val="right" w:pos="9360"/>
              </w:tabs>
              <w:rPr>
                <w:lang w:val="en-CA"/>
              </w:rPr>
            </w:pPr>
            <w:r w:rsidRPr="00B245BA">
              <w:rPr>
                <w:lang w:val="en-CA"/>
              </w:rPr>
              <w:tab/>
              <w:t>Third Party</w:t>
            </w:r>
          </w:p>
          <w:p w:rsidR="007E02E6" w:rsidRPr="00B245BA" w:rsidRDefault="007E02E6" w:rsidP="007E02E6">
            <w:pPr>
              <w:widowControl/>
              <w:jc w:val="center"/>
              <w:rPr>
                <w:lang w:val="en-CA"/>
              </w:rPr>
            </w:pPr>
            <w:r w:rsidRPr="00B245BA">
              <w:rPr>
                <w:lang w:val="en-CA"/>
              </w:rPr>
              <w:t>- and -</w:t>
            </w:r>
          </w:p>
          <w:p w:rsidR="007E02E6" w:rsidRPr="00B245BA" w:rsidRDefault="007E02E6" w:rsidP="007E02E6">
            <w:pPr>
              <w:widowControl/>
              <w:rPr>
                <w:lang w:val="en-CA"/>
              </w:rPr>
            </w:pPr>
          </w:p>
          <w:p w:rsidR="007E02E6" w:rsidRPr="00B245BA" w:rsidRDefault="007E02E6" w:rsidP="007E02E6">
            <w:pPr>
              <w:widowControl/>
              <w:jc w:val="center"/>
              <w:rPr>
                <w:lang w:val="en-CA"/>
              </w:rPr>
            </w:pPr>
            <w:r w:rsidRPr="00B245BA">
              <w:rPr>
                <w:lang w:val="en-CA"/>
              </w:rPr>
              <w:t>NINETY NORTH CONSTRUCTION AND DEVELOPMENT LTD.</w:t>
            </w:r>
          </w:p>
          <w:p w:rsidR="007E02E6" w:rsidRPr="00B245BA" w:rsidRDefault="007E02E6" w:rsidP="007E02E6">
            <w:pPr>
              <w:widowControl/>
              <w:tabs>
                <w:tab w:val="right" w:pos="9360"/>
              </w:tabs>
              <w:rPr>
                <w:lang w:val="en-CA"/>
              </w:rPr>
            </w:pPr>
            <w:r w:rsidRPr="00B245BA">
              <w:rPr>
                <w:lang w:val="en-CA"/>
              </w:rPr>
              <w:tab/>
              <w:t>Third Party</w:t>
            </w:r>
          </w:p>
          <w:p w:rsidR="007E02E6" w:rsidRPr="00B245BA" w:rsidRDefault="007E02E6" w:rsidP="007E02E6">
            <w:pPr>
              <w:widowControl/>
              <w:jc w:val="center"/>
              <w:rPr>
                <w:lang w:val="en-CA"/>
              </w:rPr>
            </w:pPr>
            <w:r w:rsidRPr="00B245BA">
              <w:rPr>
                <w:lang w:val="en-CA"/>
              </w:rPr>
              <w:t>- and -</w:t>
            </w:r>
          </w:p>
          <w:p w:rsidR="007E02E6" w:rsidRPr="00B245BA" w:rsidRDefault="007E02E6" w:rsidP="007E02E6">
            <w:pPr>
              <w:widowControl/>
              <w:rPr>
                <w:lang w:val="en-CA"/>
              </w:rPr>
            </w:pPr>
          </w:p>
          <w:p w:rsidR="007E02E6" w:rsidRPr="00B245BA" w:rsidRDefault="007E02E6" w:rsidP="00123F38">
            <w:pPr>
              <w:widowControl/>
              <w:ind w:left="900"/>
              <w:rPr>
                <w:lang w:val="en-CA"/>
              </w:rPr>
            </w:pPr>
            <w:r w:rsidRPr="00B245BA">
              <w:rPr>
                <w:lang w:val="en-CA"/>
              </w:rPr>
              <w:t xml:space="preserve">THE GOVERNMENT OF THE NORTHWEST TERRITORIES as represented by the MINISTER OF PUBLIC WORKS AND SERVICES </w:t>
            </w:r>
          </w:p>
          <w:p w:rsidR="007E02E6" w:rsidRPr="00B245BA" w:rsidRDefault="007E02E6" w:rsidP="007E02E6">
            <w:pPr>
              <w:widowControl/>
              <w:tabs>
                <w:tab w:val="right" w:pos="9360"/>
              </w:tabs>
              <w:rPr>
                <w:lang w:val="en-CA"/>
              </w:rPr>
            </w:pPr>
            <w:r w:rsidRPr="00B245BA">
              <w:rPr>
                <w:lang w:val="en-CA"/>
              </w:rPr>
              <w:tab/>
              <w:t>Fourth Party</w:t>
            </w:r>
          </w:p>
          <w:p w:rsidR="00950408" w:rsidRPr="00B245BA" w:rsidRDefault="00950408" w:rsidP="00FC2CE9">
            <w:pPr>
              <w:widowControl/>
              <w:jc w:val="both"/>
            </w:pPr>
          </w:p>
        </w:tc>
      </w:tr>
      <w:tr w:rsidR="00950408" w:rsidRPr="00B245BA" w:rsidTr="00D94ACF">
        <w:trPr>
          <w:jc w:val="right"/>
        </w:trPr>
        <w:tc>
          <w:tcPr>
            <w:tcW w:w="9360" w:type="dxa"/>
          </w:tcPr>
          <w:p w:rsidR="00950408" w:rsidRPr="00B245BA" w:rsidRDefault="00950408" w:rsidP="00FC2CE9">
            <w:pPr>
              <w:widowControl/>
              <w:jc w:val="both"/>
              <w:rPr>
                <w:lang w:val="en-GB"/>
              </w:rPr>
            </w:pPr>
          </w:p>
          <w:p w:rsidR="004D356C" w:rsidRDefault="00F4420C" w:rsidP="00F4420C">
            <w:pPr>
              <w:widowControl/>
              <w:jc w:val="center"/>
            </w:pPr>
            <w:r w:rsidRPr="00F4420C">
              <w:t xml:space="preserve">RULING ON COSTS OF APPLICATION </w:t>
            </w:r>
            <w:r w:rsidR="004D356C">
              <w:t xml:space="preserve">TO DISMISS BY REASON OF DELAY </w:t>
            </w:r>
          </w:p>
          <w:p w:rsidR="00F4420C" w:rsidRPr="00F4420C" w:rsidRDefault="004D356C" w:rsidP="00F4420C">
            <w:pPr>
              <w:widowControl/>
              <w:jc w:val="center"/>
            </w:pPr>
            <w:r>
              <w:t>(RULE</w:t>
            </w:r>
            <w:r w:rsidR="00F4420C" w:rsidRPr="00F4420C">
              <w:t xml:space="preserve"> 327</w:t>
            </w:r>
            <w:r>
              <w:t>)</w:t>
            </w:r>
          </w:p>
          <w:p w:rsidR="00AE2625" w:rsidRDefault="00AE2625" w:rsidP="000A2BCA">
            <w:pPr>
              <w:widowControl/>
              <w:jc w:val="center"/>
              <w:rPr>
                <w:lang w:val="en-GB"/>
              </w:rPr>
            </w:pPr>
            <w:r>
              <w:rPr>
                <w:lang w:val="en-GB"/>
              </w:rPr>
              <w:t xml:space="preserve">OF </w:t>
            </w:r>
          </w:p>
          <w:p w:rsidR="00950408" w:rsidRPr="00B245BA" w:rsidRDefault="00AE2625" w:rsidP="00AE2625">
            <w:pPr>
              <w:widowControl/>
              <w:jc w:val="center"/>
              <w:rPr>
                <w:lang w:val="en-GB"/>
              </w:rPr>
            </w:pPr>
            <w:r>
              <w:rPr>
                <w:lang w:val="en-GB"/>
              </w:rPr>
              <w:t>THE HONOURABLE JUSTICE L.A. CHARBONNEAU</w:t>
            </w:r>
          </w:p>
        </w:tc>
      </w:tr>
    </w:tbl>
    <w:p w:rsidR="00A07B94" w:rsidRPr="00B245BA" w:rsidRDefault="00A07B94" w:rsidP="00AE2625">
      <w:pPr>
        <w:widowControl/>
        <w:autoSpaceDE/>
        <w:autoSpaceDN/>
        <w:adjustRightInd/>
        <w:spacing w:after="200" w:line="276" w:lineRule="auto"/>
        <w:jc w:val="both"/>
      </w:pPr>
    </w:p>
    <w:sectPr w:rsidR="00A07B94" w:rsidRPr="00B245BA" w:rsidSect="00AE2625">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35" w:rsidRDefault="00030E35" w:rsidP="00A07B94">
      <w:r>
        <w:separator/>
      </w:r>
    </w:p>
  </w:endnote>
  <w:endnote w:type="continuationSeparator" w:id="0">
    <w:p w:rsidR="00030E35" w:rsidRDefault="00030E35" w:rsidP="00A0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35" w:rsidRDefault="00030E35" w:rsidP="00A07B94">
      <w:r>
        <w:separator/>
      </w:r>
    </w:p>
  </w:footnote>
  <w:footnote w:type="continuationSeparator" w:id="0">
    <w:p w:rsidR="00030E35" w:rsidRDefault="00030E35" w:rsidP="00A07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701325"/>
      <w:docPartObj>
        <w:docPartGallery w:val="Page Numbers (Top of Page)"/>
        <w:docPartUnique/>
      </w:docPartObj>
    </w:sdtPr>
    <w:sdtEndPr>
      <w:rPr>
        <w:noProof/>
      </w:rPr>
    </w:sdtEndPr>
    <w:sdtContent>
      <w:p w:rsidR="00AE2625" w:rsidRDefault="00AE2625">
        <w:pPr>
          <w:pStyle w:val="Header"/>
          <w:jc w:val="right"/>
        </w:pPr>
        <w:r>
          <w:t xml:space="preserve">Page: </w:t>
        </w:r>
        <w:r>
          <w:fldChar w:fldCharType="begin"/>
        </w:r>
        <w:r>
          <w:instrText xml:space="preserve"> PAGE   \* MERGEFORMAT </w:instrText>
        </w:r>
        <w:r>
          <w:fldChar w:fldCharType="separate"/>
        </w:r>
        <w:r w:rsidR="0011630E">
          <w:rPr>
            <w:noProof/>
          </w:rPr>
          <w:t>4</w:t>
        </w:r>
        <w:r>
          <w:rPr>
            <w:noProof/>
          </w:rPr>
          <w:fldChar w:fldCharType="end"/>
        </w:r>
      </w:p>
    </w:sdtContent>
  </w:sdt>
  <w:p w:rsidR="00FC2CE9" w:rsidRDefault="00FC2C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1D5"/>
    <w:multiLevelType w:val="hybridMultilevel"/>
    <w:tmpl w:val="FF841AA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12186"/>
    <w:multiLevelType w:val="hybridMultilevel"/>
    <w:tmpl w:val="BCFE032C"/>
    <w:lvl w:ilvl="0" w:tplc="1A326E24">
      <w:start w:val="1"/>
      <w:numFmt w:val="decimal"/>
      <w:lvlText w:val="[%1]"/>
      <w:lvlJc w:val="left"/>
      <w:pPr>
        <w:ind w:left="630" w:hanging="360"/>
      </w:pPr>
      <w:rPr>
        <w:rFonts w:ascii="Times New Roman" w:hAnsi="Times New Roman" w:cs="Times New Roman" w:hint="default"/>
        <w:spacing w:val="0"/>
        <w:w w:val="100"/>
        <w:position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8E530A"/>
    <w:multiLevelType w:val="hybridMultilevel"/>
    <w:tmpl w:val="A20041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8C2986"/>
    <w:multiLevelType w:val="hybridMultilevel"/>
    <w:tmpl w:val="E90C1AD0"/>
    <w:lvl w:ilvl="0" w:tplc="7EBC7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F38EA"/>
    <w:multiLevelType w:val="hybridMultilevel"/>
    <w:tmpl w:val="5D7CDBD0"/>
    <w:lvl w:ilvl="0" w:tplc="D584ACDE">
      <w:start w:val="1"/>
      <w:numFmt w:val="decimal"/>
      <w:lvlText w:val="[%1]"/>
      <w:lvlJc w:val="left"/>
      <w:pPr>
        <w:ind w:left="990" w:hanging="360"/>
      </w:pPr>
      <w:rPr>
        <w:rFonts w:ascii="Times New Roman" w:hAnsi="Times New Roman"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0130B"/>
    <w:multiLevelType w:val="hybridMultilevel"/>
    <w:tmpl w:val="CEA41244"/>
    <w:lvl w:ilvl="0" w:tplc="6F98AD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76383"/>
    <w:multiLevelType w:val="hybridMultilevel"/>
    <w:tmpl w:val="558AF638"/>
    <w:lvl w:ilvl="0" w:tplc="A6EE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C249AE"/>
    <w:multiLevelType w:val="hybridMultilevel"/>
    <w:tmpl w:val="6D0606D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1EF76F7"/>
    <w:multiLevelType w:val="hybridMultilevel"/>
    <w:tmpl w:val="0994C1EE"/>
    <w:lvl w:ilvl="0" w:tplc="CBF294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59C768C"/>
    <w:multiLevelType w:val="hybridMultilevel"/>
    <w:tmpl w:val="FFF2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A0EE4"/>
    <w:multiLevelType w:val="hybridMultilevel"/>
    <w:tmpl w:val="1922A492"/>
    <w:lvl w:ilvl="0" w:tplc="440030A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37C62A1"/>
    <w:multiLevelType w:val="hybridMultilevel"/>
    <w:tmpl w:val="DCBE0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96E11"/>
    <w:multiLevelType w:val="hybridMultilevel"/>
    <w:tmpl w:val="B6927AFE"/>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02CAB"/>
    <w:multiLevelType w:val="hybridMultilevel"/>
    <w:tmpl w:val="B5F05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85E09"/>
    <w:multiLevelType w:val="hybridMultilevel"/>
    <w:tmpl w:val="0C8EF868"/>
    <w:lvl w:ilvl="0" w:tplc="61CC2EC6">
      <w:start w:val="1"/>
      <w:numFmt w:val="lowerLetter"/>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1A77371"/>
    <w:multiLevelType w:val="hybridMultilevel"/>
    <w:tmpl w:val="DF8A6730"/>
    <w:lvl w:ilvl="0" w:tplc="C1906996">
      <w:start w:val="1"/>
      <w:numFmt w:val="decimal"/>
      <w:lvlText w:val="[%1]"/>
      <w:lvlJc w:val="left"/>
      <w:pPr>
        <w:ind w:left="630" w:hanging="360"/>
      </w:pPr>
      <w:rPr>
        <w:rFonts w:ascii="Times New Roman" w:hAnsi="Times New Roman" w:cs="Times New Roman" w:hint="default"/>
        <w:spacing w:val="0"/>
        <w:w w:val="100"/>
        <w:position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1EE19B9"/>
    <w:multiLevelType w:val="hybridMultilevel"/>
    <w:tmpl w:val="B044B4D6"/>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53D12"/>
    <w:multiLevelType w:val="hybridMultilevel"/>
    <w:tmpl w:val="21F2C7A0"/>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7"/>
  </w:num>
  <w:num w:numId="5">
    <w:abstractNumId w:val="5"/>
  </w:num>
  <w:num w:numId="6">
    <w:abstractNumId w:val="11"/>
  </w:num>
  <w:num w:numId="7">
    <w:abstractNumId w:val="6"/>
  </w:num>
  <w:num w:numId="8">
    <w:abstractNumId w:val="3"/>
  </w:num>
  <w:num w:numId="9">
    <w:abstractNumId w:val="16"/>
  </w:num>
  <w:num w:numId="10">
    <w:abstractNumId w:val="17"/>
  </w:num>
  <w:num w:numId="11">
    <w:abstractNumId w:val="1"/>
  </w:num>
  <w:num w:numId="12">
    <w:abstractNumId w:val="12"/>
  </w:num>
  <w:num w:numId="13">
    <w:abstractNumId w:val="10"/>
  </w:num>
  <w:num w:numId="14">
    <w:abstractNumId w:val="0"/>
  </w:num>
  <w:num w:numId="15">
    <w:abstractNumId w:val="4"/>
  </w:num>
  <w:num w:numId="16">
    <w:abstractNumId w:val="8"/>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94"/>
    <w:rsid w:val="00005559"/>
    <w:rsid w:val="000077D2"/>
    <w:rsid w:val="0002272F"/>
    <w:rsid w:val="00023E09"/>
    <w:rsid w:val="00026768"/>
    <w:rsid w:val="00030E35"/>
    <w:rsid w:val="000447D5"/>
    <w:rsid w:val="00070107"/>
    <w:rsid w:val="000A2BCA"/>
    <w:rsid w:val="000B08CB"/>
    <w:rsid w:val="000B45CE"/>
    <w:rsid w:val="000E289F"/>
    <w:rsid w:val="000E4D9C"/>
    <w:rsid w:val="000E6BB6"/>
    <w:rsid w:val="000E71F2"/>
    <w:rsid w:val="00107A4A"/>
    <w:rsid w:val="0011630E"/>
    <w:rsid w:val="00123F38"/>
    <w:rsid w:val="00132D92"/>
    <w:rsid w:val="00140A65"/>
    <w:rsid w:val="0016214F"/>
    <w:rsid w:val="0019191F"/>
    <w:rsid w:val="001A28FF"/>
    <w:rsid w:val="001A7230"/>
    <w:rsid w:val="001B0AAD"/>
    <w:rsid w:val="001C1965"/>
    <w:rsid w:val="001D077D"/>
    <w:rsid w:val="001E0FDD"/>
    <w:rsid w:val="001E2F1A"/>
    <w:rsid w:val="00203A1A"/>
    <w:rsid w:val="002211DD"/>
    <w:rsid w:val="002318D3"/>
    <w:rsid w:val="00234EE6"/>
    <w:rsid w:val="00240A7D"/>
    <w:rsid w:val="0024380F"/>
    <w:rsid w:val="002B5F6B"/>
    <w:rsid w:val="002C1A5C"/>
    <w:rsid w:val="002C7543"/>
    <w:rsid w:val="002C7C17"/>
    <w:rsid w:val="002D0743"/>
    <w:rsid w:val="002F76C4"/>
    <w:rsid w:val="00301D5C"/>
    <w:rsid w:val="003029E4"/>
    <w:rsid w:val="003135C1"/>
    <w:rsid w:val="00320685"/>
    <w:rsid w:val="0034082B"/>
    <w:rsid w:val="00351EAF"/>
    <w:rsid w:val="00355ACF"/>
    <w:rsid w:val="00366F71"/>
    <w:rsid w:val="0036709E"/>
    <w:rsid w:val="00370BDD"/>
    <w:rsid w:val="00371EA2"/>
    <w:rsid w:val="00373AC1"/>
    <w:rsid w:val="0037484D"/>
    <w:rsid w:val="00376927"/>
    <w:rsid w:val="00385F8F"/>
    <w:rsid w:val="003A51EF"/>
    <w:rsid w:val="003B3673"/>
    <w:rsid w:val="003C11BE"/>
    <w:rsid w:val="003C1B6F"/>
    <w:rsid w:val="003C46BD"/>
    <w:rsid w:val="003C55D4"/>
    <w:rsid w:val="003C7745"/>
    <w:rsid w:val="003D034C"/>
    <w:rsid w:val="003F6CBB"/>
    <w:rsid w:val="00401B3D"/>
    <w:rsid w:val="00403BC9"/>
    <w:rsid w:val="00406AEB"/>
    <w:rsid w:val="004307DA"/>
    <w:rsid w:val="00445ED9"/>
    <w:rsid w:val="00456756"/>
    <w:rsid w:val="00456EE9"/>
    <w:rsid w:val="004617AB"/>
    <w:rsid w:val="00476206"/>
    <w:rsid w:val="00476553"/>
    <w:rsid w:val="004C2FA4"/>
    <w:rsid w:val="004D04D7"/>
    <w:rsid w:val="004D356C"/>
    <w:rsid w:val="004D5701"/>
    <w:rsid w:val="004E13B6"/>
    <w:rsid w:val="004E3714"/>
    <w:rsid w:val="0050159B"/>
    <w:rsid w:val="0050539F"/>
    <w:rsid w:val="005066F6"/>
    <w:rsid w:val="005165D8"/>
    <w:rsid w:val="005220DE"/>
    <w:rsid w:val="0052421A"/>
    <w:rsid w:val="0055134E"/>
    <w:rsid w:val="00563FDB"/>
    <w:rsid w:val="00572900"/>
    <w:rsid w:val="005976D7"/>
    <w:rsid w:val="005A0A5A"/>
    <w:rsid w:val="005A277E"/>
    <w:rsid w:val="005B2F04"/>
    <w:rsid w:val="005C270A"/>
    <w:rsid w:val="005E3494"/>
    <w:rsid w:val="005E7F44"/>
    <w:rsid w:val="006143BE"/>
    <w:rsid w:val="00627EAE"/>
    <w:rsid w:val="00634ACE"/>
    <w:rsid w:val="00651CFA"/>
    <w:rsid w:val="006609B9"/>
    <w:rsid w:val="00664036"/>
    <w:rsid w:val="006700D8"/>
    <w:rsid w:val="006925E2"/>
    <w:rsid w:val="006A5844"/>
    <w:rsid w:val="006B0870"/>
    <w:rsid w:val="006B3E24"/>
    <w:rsid w:val="006B40D1"/>
    <w:rsid w:val="006C22B8"/>
    <w:rsid w:val="006C2CCE"/>
    <w:rsid w:val="006E4CFC"/>
    <w:rsid w:val="006E68CA"/>
    <w:rsid w:val="006F2135"/>
    <w:rsid w:val="006F69F7"/>
    <w:rsid w:val="00707BB1"/>
    <w:rsid w:val="00714CA5"/>
    <w:rsid w:val="0075731B"/>
    <w:rsid w:val="00765163"/>
    <w:rsid w:val="00770185"/>
    <w:rsid w:val="0077250F"/>
    <w:rsid w:val="007768AA"/>
    <w:rsid w:val="00776F79"/>
    <w:rsid w:val="007A104A"/>
    <w:rsid w:val="007A65C3"/>
    <w:rsid w:val="007C03AA"/>
    <w:rsid w:val="007D77A2"/>
    <w:rsid w:val="007E02E6"/>
    <w:rsid w:val="007E0397"/>
    <w:rsid w:val="007E35B1"/>
    <w:rsid w:val="00800A92"/>
    <w:rsid w:val="008037FA"/>
    <w:rsid w:val="008117CF"/>
    <w:rsid w:val="008176F2"/>
    <w:rsid w:val="00843D3F"/>
    <w:rsid w:val="00855914"/>
    <w:rsid w:val="008608AC"/>
    <w:rsid w:val="00876B31"/>
    <w:rsid w:val="0087724D"/>
    <w:rsid w:val="008946E5"/>
    <w:rsid w:val="00894C1F"/>
    <w:rsid w:val="008A2CC6"/>
    <w:rsid w:val="008B7E28"/>
    <w:rsid w:val="008D2860"/>
    <w:rsid w:val="008D2A0F"/>
    <w:rsid w:val="008D3840"/>
    <w:rsid w:val="008F1533"/>
    <w:rsid w:val="008F5298"/>
    <w:rsid w:val="009016E9"/>
    <w:rsid w:val="009040DA"/>
    <w:rsid w:val="009327A6"/>
    <w:rsid w:val="00940BB3"/>
    <w:rsid w:val="00950408"/>
    <w:rsid w:val="0095222E"/>
    <w:rsid w:val="00953C84"/>
    <w:rsid w:val="00964B46"/>
    <w:rsid w:val="009A075B"/>
    <w:rsid w:val="009A3CF3"/>
    <w:rsid w:val="009A65B6"/>
    <w:rsid w:val="009B0A7E"/>
    <w:rsid w:val="009D771B"/>
    <w:rsid w:val="009E41C5"/>
    <w:rsid w:val="009F7A45"/>
    <w:rsid w:val="00A07B94"/>
    <w:rsid w:val="00A14E76"/>
    <w:rsid w:val="00A164EA"/>
    <w:rsid w:val="00A31D93"/>
    <w:rsid w:val="00A416D2"/>
    <w:rsid w:val="00A47EE0"/>
    <w:rsid w:val="00A52E3A"/>
    <w:rsid w:val="00A62D36"/>
    <w:rsid w:val="00A67080"/>
    <w:rsid w:val="00A726E3"/>
    <w:rsid w:val="00A8644F"/>
    <w:rsid w:val="00AB66E8"/>
    <w:rsid w:val="00AB71AC"/>
    <w:rsid w:val="00AB7575"/>
    <w:rsid w:val="00AC3806"/>
    <w:rsid w:val="00AC749E"/>
    <w:rsid w:val="00AD08DF"/>
    <w:rsid w:val="00AD201F"/>
    <w:rsid w:val="00AE2625"/>
    <w:rsid w:val="00B01A15"/>
    <w:rsid w:val="00B05510"/>
    <w:rsid w:val="00B245BA"/>
    <w:rsid w:val="00B24FE2"/>
    <w:rsid w:val="00B27A1C"/>
    <w:rsid w:val="00B31113"/>
    <w:rsid w:val="00B34CDD"/>
    <w:rsid w:val="00B370F4"/>
    <w:rsid w:val="00B42327"/>
    <w:rsid w:val="00B42759"/>
    <w:rsid w:val="00B62B48"/>
    <w:rsid w:val="00B67396"/>
    <w:rsid w:val="00B747B5"/>
    <w:rsid w:val="00B825C0"/>
    <w:rsid w:val="00B91EAF"/>
    <w:rsid w:val="00BB30C7"/>
    <w:rsid w:val="00BC2090"/>
    <w:rsid w:val="00BE1C53"/>
    <w:rsid w:val="00BE293E"/>
    <w:rsid w:val="00BF05B1"/>
    <w:rsid w:val="00BF30CF"/>
    <w:rsid w:val="00BF6C81"/>
    <w:rsid w:val="00C20CAE"/>
    <w:rsid w:val="00C2718C"/>
    <w:rsid w:val="00C44505"/>
    <w:rsid w:val="00C50FE4"/>
    <w:rsid w:val="00C57B06"/>
    <w:rsid w:val="00C60F8E"/>
    <w:rsid w:val="00C62467"/>
    <w:rsid w:val="00C66D15"/>
    <w:rsid w:val="00C83B8B"/>
    <w:rsid w:val="00CA5EBE"/>
    <w:rsid w:val="00CB3616"/>
    <w:rsid w:val="00CD3B7F"/>
    <w:rsid w:val="00CE449C"/>
    <w:rsid w:val="00CF4339"/>
    <w:rsid w:val="00D14C47"/>
    <w:rsid w:val="00D278A1"/>
    <w:rsid w:val="00D61710"/>
    <w:rsid w:val="00D75F3C"/>
    <w:rsid w:val="00D935F7"/>
    <w:rsid w:val="00D94ACF"/>
    <w:rsid w:val="00DD1D31"/>
    <w:rsid w:val="00DF0877"/>
    <w:rsid w:val="00E13323"/>
    <w:rsid w:val="00E22F03"/>
    <w:rsid w:val="00E24071"/>
    <w:rsid w:val="00E40390"/>
    <w:rsid w:val="00E44396"/>
    <w:rsid w:val="00E539E2"/>
    <w:rsid w:val="00E66DB4"/>
    <w:rsid w:val="00E7050A"/>
    <w:rsid w:val="00E75B6B"/>
    <w:rsid w:val="00E87932"/>
    <w:rsid w:val="00E9123C"/>
    <w:rsid w:val="00E96D11"/>
    <w:rsid w:val="00E97E45"/>
    <w:rsid w:val="00EB66BC"/>
    <w:rsid w:val="00ED1AB8"/>
    <w:rsid w:val="00ED7A12"/>
    <w:rsid w:val="00EE213A"/>
    <w:rsid w:val="00EF400D"/>
    <w:rsid w:val="00F1194C"/>
    <w:rsid w:val="00F22A28"/>
    <w:rsid w:val="00F27E73"/>
    <w:rsid w:val="00F305B8"/>
    <w:rsid w:val="00F35637"/>
    <w:rsid w:val="00F35B63"/>
    <w:rsid w:val="00F4420C"/>
    <w:rsid w:val="00F6086F"/>
    <w:rsid w:val="00F7600F"/>
    <w:rsid w:val="00F82C93"/>
    <w:rsid w:val="00F847C8"/>
    <w:rsid w:val="00F86B5F"/>
    <w:rsid w:val="00F922A7"/>
    <w:rsid w:val="00F95299"/>
    <w:rsid w:val="00FA4A15"/>
    <w:rsid w:val="00FC283E"/>
    <w:rsid w:val="00FC2CE9"/>
    <w:rsid w:val="00FC3C33"/>
    <w:rsid w:val="00FC6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555E5843-36AF-499C-AE9E-D71720E1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9123C"/>
    <w:pPr>
      <w:tabs>
        <w:tab w:val="center" w:pos="4680"/>
        <w:tab w:val="right" w:pos="9360"/>
      </w:tabs>
    </w:pPr>
  </w:style>
  <w:style w:type="character" w:customStyle="1" w:styleId="HeaderChar">
    <w:name w:val="Header Char"/>
    <w:basedOn w:val="DefaultParagraphFont"/>
    <w:link w:val="Header"/>
    <w:uiPriority w:val="99"/>
    <w:rsid w:val="00E9123C"/>
    <w:rPr>
      <w:rFonts w:ascii="Times New Roman" w:hAnsi="Times New Roman" w:cs="Times New Roman"/>
      <w:sz w:val="24"/>
      <w:szCs w:val="24"/>
      <w:lang w:val="en-US"/>
    </w:rPr>
  </w:style>
  <w:style w:type="paragraph" w:styleId="Footer">
    <w:name w:val="footer"/>
    <w:basedOn w:val="Normal"/>
    <w:link w:val="FooterChar"/>
    <w:uiPriority w:val="99"/>
    <w:unhideWhenUsed/>
    <w:rsid w:val="00E9123C"/>
    <w:pPr>
      <w:tabs>
        <w:tab w:val="center" w:pos="4680"/>
        <w:tab w:val="right" w:pos="9360"/>
      </w:tabs>
    </w:pPr>
  </w:style>
  <w:style w:type="character" w:customStyle="1" w:styleId="FooterChar">
    <w:name w:val="Footer Char"/>
    <w:basedOn w:val="DefaultParagraphFont"/>
    <w:link w:val="Footer"/>
    <w:uiPriority w:val="99"/>
    <w:rsid w:val="00E9123C"/>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B91EAF"/>
    <w:rPr>
      <w:rFonts w:ascii="Tahoma" w:hAnsi="Tahoma" w:cs="Tahoma"/>
      <w:sz w:val="16"/>
      <w:szCs w:val="16"/>
    </w:rPr>
  </w:style>
  <w:style w:type="character" w:customStyle="1" w:styleId="BalloonTextChar">
    <w:name w:val="Balloon Text Char"/>
    <w:basedOn w:val="DefaultParagraphFont"/>
    <w:link w:val="BalloonText"/>
    <w:uiPriority w:val="99"/>
    <w:semiHidden/>
    <w:rsid w:val="00B91EAF"/>
    <w:rPr>
      <w:rFonts w:ascii="Tahoma" w:hAnsi="Tahoma" w:cs="Tahoma"/>
      <w:sz w:val="16"/>
      <w:szCs w:val="16"/>
      <w:lang w:val="en-US"/>
    </w:rPr>
  </w:style>
  <w:style w:type="paragraph" w:styleId="ListParagraph">
    <w:name w:val="List Paragraph"/>
    <w:basedOn w:val="Normal"/>
    <w:uiPriority w:val="34"/>
    <w:qFormat/>
    <w:rsid w:val="00B0551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376927"/>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376927"/>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1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3C41-F4B1-4E89-A38C-7838B9AA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1906</Words>
  <Characters>9752</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O'Rourke</dc:creator>
  <cp:lastModifiedBy>Shirley Mair</cp:lastModifiedBy>
  <cp:revision>7</cp:revision>
  <cp:lastPrinted>2017-10-24T19:54:00Z</cp:lastPrinted>
  <dcterms:created xsi:type="dcterms:W3CDTF">2017-10-24T20:04:00Z</dcterms:created>
  <dcterms:modified xsi:type="dcterms:W3CDTF">2017-10-24T21:09:00Z</dcterms:modified>
</cp:coreProperties>
</file>