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17" w:rsidRPr="00C83B8B" w:rsidRDefault="00CF4339" w:rsidP="002C7C17">
      <w:pPr>
        <w:widowControl/>
        <w:ind w:right="-36"/>
        <w:rPr>
          <w:sz w:val="28"/>
          <w:szCs w:val="28"/>
          <w:lang w:val="fr-CA"/>
        </w:rPr>
      </w:pPr>
      <w:r>
        <w:rPr>
          <w:i/>
          <w:sz w:val="28"/>
          <w:szCs w:val="28"/>
          <w:lang w:val="fr-CA"/>
        </w:rPr>
        <w:t>G</w:t>
      </w:r>
      <w:bookmarkStart w:id="0" w:name="_GoBack"/>
      <w:bookmarkEnd w:id="0"/>
      <w:r w:rsidR="002C7C17" w:rsidRPr="00C83B8B">
        <w:rPr>
          <w:i/>
          <w:sz w:val="28"/>
          <w:szCs w:val="28"/>
          <w:lang w:val="fr-CA"/>
        </w:rPr>
        <w:t>NWT v 831594 et al</w:t>
      </w:r>
      <w:r w:rsidR="00456EE9" w:rsidRPr="00C83B8B">
        <w:rPr>
          <w:sz w:val="28"/>
          <w:szCs w:val="28"/>
          <w:lang w:val="fr-CA"/>
        </w:rPr>
        <w:t xml:space="preserve">, </w:t>
      </w:r>
      <w:r w:rsidR="002C7C17" w:rsidRPr="00C83B8B">
        <w:rPr>
          <w:sz w:val="28"/>
          <w:szCs w:val="28"/>
          <w:lang w:val="fr-CA"/>
        </w:rPr>
        <w:t>2017 NWTSC 57</w:t>
      </w:r>
    </w:p>
    <w:p w:rsidR="002C7C17" w:rsidRPr="00C83B8B" w:rsidRDefault="00C83B8B" w:rsidP="00FC2CE9">
      <w:pPr>
        <w:widowControl/>
        <w:ind w:right="-36"/>
        <w:jc w:val="right"/>
        <w:rPr>
          <w:sz w:val="28"/>
          <w:szCs w:val="28"/>
          <w:lang w:val="en-GB"/>
        </w:rPr>
      </w:pPr>
      <w:r w:rsidRPr="00C83B8B">
        <w:rPr>
          <w:sz w:val="28"/>
          <w:szCs w:val="28"/>
          <w:lang w:val="en-GB"/>
        </w:rPr>
        <w:t>Date:  2017 08 1</w:t>
      </w:r>
      <w:r w:rsidR="001E0FDD">
        <w:rPr>
          <w:sz w:val="28"/>
          <w:szCs w:val="28"/>
          <w:lang w:val="en-GB"/>
        </w:rPr>
        <w:t>6</w:t>
      </w:r>
    </w:p>
    <w:p w:rsidR="00E9123C" w:rsidRPr="00C83B8B" w:rsidRDefault="002C7C17" w:rsidP="00FC2CE9">
      <w:pPr>
        <w:widowControl/>
        <w:ind w:right="-36"/>
        <w:jc w:val="right"/>
        <w:rPr>
          <w:sz w:val="28"/>
          <w:szCs w:val="28"/>
          <w:lang w:val="en-GB"/>
        </w:rPr>
      </w:pPr>
      <w:r w:rsidRPr="00C83B8B">
        <w:rPr>
          <w:sz w:val="28"/>
          <w:szCs w:val="28"/>
          <w:lang w:val="en-GB"/>
        </w:rPr>
        <w:t xml:space="preserve">Docket:  </w:t>
      </w:r>
      <w:r w:rsidR="00B747B5" w:rsidRPr="00C83B8B">
        <w:rPr>
          <w:sz w:val="28"/>
          <w:szCs w:val="28"/>
          <w:lang w:val="en-GB"/>
        </w:rPr>
        <w:t>S</w:t>
      </w:r>
      <w:r w:rsidRPr="00C83B8B">
        <w:rPr>
          <w:sz w:val="28"/>
          <w:szCs w:val="28"/>
          <w:lang w:val="en-GB"/>
        </w:rPr>
        <w:t>-</w:t>
      </w:r>
      <w:r w:rsidR="00B747B5" w:rsidRPr="00C83B8B">
        <w:rPr>
          <w:sz w:val="28"/>
          <w:szCs w:val="28"/>
          <w:lang w:val="en-GB"/>
        </w:rPr>
        <w:t>1</w:t>
      </w:r>
      <w:r w:rsidRPr="00C83B8B">
        <w:rPr>
          <w:sz w:val="28"/>
          <w:szCs w:val="28"/>
          <w:lang w:val="en-GB"/>
        </w:rPr>
        <w:t>-CV-</w:t>
      </w:r>
      <w:r w:rsidR="008B7E28" w:rsidRPr="00C83B8B">
        <w:rPr>
          <w:sz w:val="28"/>
          <w:szCs w:val="28"/>
          <w:lang w:val="en-GB"/>
        </w:rPr>
        <w:t>1999-08127</w:t>
      </w:r>
    </w:p>
    <w:p w:rsidR="00E9123C" w:rsidRPr="00C83B8B" w:rsidRDefault="00E9123C" w:rsidP="00FC2CE9">
      <w:pPr>
        <w:widowControl/>
        <w:tabs>
          <w:tab w:val="left" w:pos="-1440"/>
          <w:tab w:val="left" w:pos="-720"/>
        </w:tabs>
        <w:ind w:right="-36"/>
        <w:jc w:val="both"/>
        <w:rPr>
          <w:sz w:val="28"/>
          <w:szCs w:val="28"/>
          <w:lang w:val="en-GB"/>
        </w:rPr>
      </w:pPr>
    </w:p>
    <w:p w:rsidR="00E9123C" w:rsidRPr="00C83B8B" w:rsidRDefault="00E9123C" w:rsidP="00FC2CE9">
      <w:pPr>
        <w:widowControl/>
        <w:ind w:right="-36"/>
        <w:jc w:val="center"/>
        <w:rPr>
          <w:sz w:val="28"/>
          <w:szCs w:val="28"/>
          <w:lang w:val="en-GB"/>
        </w:rPr>
      </w:pPr>
      <w:r w:rsidRPr="00C83B8B">
        <w:rPr>
          <w:sz w:val="28"/>
          <w:szCs w:val="28"/>
          <w:lang w:val="en-GB"/>
        </w:rPr>
        <w:t>IN THE SUPREME COURT OF THE NORTHWEST TERRITORIES</w:t>
      </w:r>
    </w:p>
    <w:p w:rsidR="00E9123C" w:rsidRPr="00C83B8B" w:rsidRDefault="00E9123C" w:rsidP="00FC2CE9">
      <w:pPr>
        <w:widowControl/>
        <w:tabs>
          <w:tab w:val="left" w:pos="-1440"/>
          <w:tab w:val="left" w:pos="-720"/>
        </w:tabs>
        <w:ind w:right="-36"/>
        <w:jc w:val="both"/>
        <w:rPr>
          <w:sz w:val="28"/>
          <w:szCs w:val="28"/>
          <w:lang w:val="en-GB"/>
        </w:rPr>
      </w:pPr>
    </w:p>
    <w:p w:rsidR="00E9123C" w:rsidRPr="00C83B8B" w:rsidRDefault="00E9123C" w:rsidP="00FC2CE9">
      <w:pPr>
        <w:widowControl/>
        <w:ind w:right="-36"/>
        <w:jc w:val="both"/>
        <w:rPr>
          <w:sz w:val="28"/>
          <w:szCs w:val="28"/>
          <w:lang w:val="en-GB"/>
        </w:rPr>
      </w:pPr>
      <w:r w:rsidRPr="00C83B8B">
        <w:rPr>
          <w:sz w:val="28"/>
          <w:szCs w:val="28"/>
          <w:lang w:val="en-GB"/>
        </w:rPr>
        <w:t>BETWEEN:</w:t>
      </w:r>
    </w:p>
    <w:p w:rsidR="00E9123C" w:rsidRPr="00C83B8B" w:rsidRDefault="00E9123C" w:rsidP="00FC2CE9">
      <w:pPr>
        <w:widowControl/>
        <w:tabs>
          <w:tab w:val="left" w:pos="-1440"/>
          <w:tab w:val="left" w:pos="-720"/>
        </w:tabs>
        <w:ind w:right="-36"/>
        <w:jc w:val="both"/>
        <w:rPr>
          <w:sz w:val="28"/>
          <w:szCs w:val="28"/>
          <w:lang w:val="en-GB"/>
        </w:rPr>
      </w:pPr>
    </w:p>
    <w:bookmarkStart w:id="1" w:name="QuickMark"/>
    <w:bookmarkEnd w:id="1"/>
    <w:p w:rsidR="006B3E24" w:rsidRPr="00C83B8B" w:rsidRDefault="006B3E24" w:rsidP="006B3E24">
      <w:pPr>
        <w:widowControl/>
        <w:jc w:val="center"/>
        <w:rPr>
          <w:sz w:val="28"/>
          <w:szCs w:val="28"/>
          <w:lang w:val="en-CA"/>
        </w:rPr>
      </w:pPr>
      <w:r w:rsidRPr="00C83B8B">
        <w:rPr>
          <w:sz w:val="28"/>
          <w:szCs w:val="28"/>
          <w:lang w:val="en-CA"/>
        </w:rPr>
        <w:fldChar w:fldCharType="begin"/>
      </w:r>
      <w:r w:rsidRPr="00C83B8B">
        <w:rPr>
          <w:sz w:val="28"/>
          <w:szCs w:val="28"/>
          <w:lang w:val="en-CA"/>
        </w:rPr>
        <w:instrText xml:space="preserve"> SEQ CHAPTER \h \r 1</w:instrText>
      </w:r>
      <w:r w:rsidRPr="00C83B8B">
        <w:rPr>
          <w:sz w:val="28"/>
          <w:szCs w:val="28"/>
          <w:lang w:val="en-CA"/>
        </w:rPr>
        <w:fldChar w:fldCharType="end"/>
      </w:r>
      <w:r w:rsidRPr="00C83B8B">
        <w:rPr>
          <w:sz w:val="28"/>
          <w:szCs w:val="28"/>
          <w:lang w:val="en-CA"/>
        </w:rPr>
        <w:t>THE GOVERNMENT OF THE NORTHWEST TERRITORIES</w:t>
      </w:r>
    </w:p>
    <w:p w:rsidR="006B3E24" w:rsidRPr="00C83B8B" w:rsidRDefault="006B3E24" w:rsidP="006B3E24">
      <w:pPr>
        <w:widowControl/>
        <w:jc w:val="center"/>
        <w:rPr>
          <w:sz w:val="28"/>
          <w:szCs w:val="28"/>
          <w:lang w:val="en-CA"/>
        </w:rPr>
      </w:pPr>
      <w:r w:rsidRPr="00C83B8B">
        <w:rPr>
          <w:sz w:val="28"/>
          <w:szCs w:val="28"/>
          <w:lang w:val="en-CA"/>
        </w:rPr>
        <w:t xml:space="preserve">as represented by the MINISTER OF PUBLIC WORKS AND SERVICES </w:t>
      </w:r>
    </w:p>
    <w:p w:rsidR="006B3E24" w:rsidRPr="00C83B8B" w:rsidRDefault="006B3E24" w:rsidP="006B3E24">
      <w:pPr>
        <w:widowControl/>
        <w:tabs>
          <w:tab w:val="right" w:pos="9360"/>
        </w:tabs>
        <w:rPr>
          <w:sz w:val="28"/>
          <w:szCs w:val="28"/>
          <w:lang w:val="en-CA"/>
        </w:rPr>
      </w:pPr>
      <w:r w:rsidRPr="00C83B8B">
        <w:rPr>
          <w:sz w:val="28"/>
          <w:szCs w:val="28"/>
          <w:lang w:val="en-CA"/>
        </w:rPr>
        <w:tab/>
        <w:t>Plaintiff</w:t>
      </w:r>
    </w:p>
    <w:p w:rsidR="006B3E24" w:rsidRPr="00C83B8B" w:rsidRDefault="006B3E24" w:rsidP="006B3E24">
      <w:pPr>
        <w:widowControl/>
        <w:jc w:val="center"/>
        <w:rPr>
          <w:sz w:val="28"/>
          <w:szCs w:val="28"/>
          <w:lang w:val="en-CA"/>
        </w:rPr>
      </w:pPr>
      <w:r w:rsidRPr="00C83B8B">
        <w:rPr>
          <w:sz w:val="28"/>
          <w:szCs w:val="28"/>
          <w:lang w:val="en-CA"/>
        </w:rPr>
        <w:t>- and -</w:t>
      </w:r>
    </w:p>
    <w:p w:rsidR="006B3E24" w:rsidRPr="00C83B8B" w:rsidRDefault="006B3E24" w:rsidP="006B3E24">
      <w:pPr>
        <w:widowControl/>
        <w:rPr>
          <w:sz w:val="28"/>
          <w:szCs w:val="28"/>
          <w:lang w:val="en-CA"/>
        </w:rPr>
      </w:pPr>
    </w:p>
    <w:p w:rsidR="006B3E24" w:rsidRPr="00C83B8B" w:rsidRDefault="006B3E24" w:rsidP="006B3E24">
      <w:pPr>
        <w:widowControl/>
        <w:jc w:val="center"/>
        <w:rPr>
          <w:sz w:val="28"/>
          <w:szCs w:val="28"/>
          <w:lang w:val="en-CA"/>
        </w:rPr>
      </w:pPr>
      <w:r w:rsidRPr="00C83B8B">
        <w:rPr>
          <w:sz w:val="28"/>
          <w:szCs w:val="28"/>
          <w:lang w:val="en-CA"/>
        </w:rPr>
        <w:t>831594 N.W.T. LTD. carrying on business under the name and style of FERGUSON SIMEK CLARK, FERGUSON SIMEK CLARK ENGINEERS AND ARCHITECTS carrying on business under the name and style of FSC GROUP, 831594 N.W.T. LTD., FERGUSON SIMEK CLARK ENGINEERS AND ARCHITECTS, FERGUSON SIMEK CLARK, FSC GROUP, JOHN DOE NO.1, G.P. VALUE ENGINEERING LTD., ANTHONY P. SILVA, JOHN DOE NO. 2, JOHN DOE NO. 3 and JOHN DOE NO. 4, COMARC ARCHITECTS LIMITED and CLIVE HAROLD CLARK</w:t>
      </w:r>
    </w:p>
    <w:p w:rsidR="006B3E24" w:rsidRPr="00C83B8B" w:rsidRDefault="006B3E24" w:rsidP="006B3E24">
      <w:pPr>
        <w:widowControl/>
        <w:tabs>
          <w:tab w:val="right" w:pos="9360"/>
        </w:tabs>
        <w:rPr>
          <w:sz w:val="28"/>
          <w:szCs w:val="28"/>
          <w:lang w:val="en-CA"/>
        </w:rPr>
      </w:pPr>
      <w:r w:rsidRPr="00C83B8B">
        <w:rPr>
          <w:sz w:val="28"/>
          <w:szCs w:val="28"/>
          <w:lang w:val="en-CA"/>
        </w:rPr>
        <w:tab/>
        <w:t>Defendants</w:t>
      </w:r>
    </w:p>
    <w:p w:rsidR="006B3E24" w:rsidRPr="00C83B8B" w:rsidRDefault="006B3E24" w:rsidP="006B3E24">
      <w:pPr>
        <w:widowControl/>
        <w:jc w:val="center"/>
        <w:rPr>
          <w:sz w:val="28"/>
          <w:szCs w:val="28"/>
          <w:lang w:val="en-CA"/>
        </w:rPr>
      </w:pPr>
      <w:r w:rsidRPr="00C83B8B">
        <w:rPr>
          <w:sz w:val="28"/>
          <w:szCs w:val="28"/>
          <w:lang w:val="en-CA"/>
        </w:rPr>
        <w:t>- and -</w:t>
      </w:r>
    </w:p>
    <w:p w:rsidR="006B3E24" w:rsidRPr="00C83B8B" w:rsidRDefault="006B3E24" w:rsidP="006B3E24">
      <w:pPr>
        <w:widowControl/>
        <w:tabs>
          <w:tab w:val="right" w:pos="9360"/>
        </w:tabs>
        <w:rPr>
          <w:sz w:val="28"/>
          <w:szCs w:val="28"/>
          <w:lang w:val="en-CA"/>
        </w:rPr>
      </w:pPr>
      <w:r w:rsidRPr="00C83B8B">
        <w:rPr>
          <w:sz w:val="28"/>
          <w:szCs w:val="28"/>
          <w:lang w:val="en-CA"/>
        </w:rPr>
        <w:tab/>
      </w:r>
    </w:p>
    <w:p w:rsidR="006B3E24" w:rsidRPr="00C83B8B" w:rsidRDefault="006B3E24" w:rsidP="006B3E24">
      <w:pPr>
        <w:widowControl/>
        <w:jc w:val="center"/>
        <w:rPr>
          <w:sz w:val="28"/>
          <w:szCs w:val="28"/>
          <w:lang w:val="en-CA"/>
        </w:rPr>
      </w:pPr>
      <w:r w:rsidRPr="00C83B8B">
        <w:rPr>
          <w:sz w:val="28"/>
          <w:szCs w:val="28"/>
          <w:lang w:val="en-CA"/>
        </w:rPr>
        <w:t>NINETY NORTH CONSTRUCTION AND DEVELOPMENT LTD.</w:t>
      </w:r>
    </w:p>
    <w:p w:rsidR="006B3E24" w:rsidRPr="00C83B8B" w:rsidRDefault="006B3E24" w:rsidP="006B3E24">
      <w:pPr>
        <w:widowControl/>
        <w:tabs>
          <w:tab w:val="right" w:pos="9360"/>
        </w:tabs>
        <w:rPr>
          <w:sz w:val="28"/>
          <w:szCs w:val="28"/>
          <w:lang w:val="en-CA"/>
        </w:rPr>
      </w:pPr>
      <w:r w:rsidRPr="00C83B8B">
        <w:rPr>
          <w:sz w:val="28"/>
          <w:szCs w:val="28"/>
          <w:lang w:val="en-CA"/>
        </w:rPr>
        <w:tab/>
        <w:t>Third Party</w:t>
      </w:r>
    </w:p>
    <w:p w:rsidR="006B3E24" w:rsidRPr="00C83B8B" w:rsidRDefault="006B3E24" w:rsidP="006B3E24">
      <w:pPr>
        <w:widowControl/>
        <w:jc w:val="center"/>
        <w:rPr>
          <w:sz w:val="28"/>
          <w:szCs w:val="28"/>
          <w:lang w:val="en-CA"/>
        </w:rPr>
      </w:pPr>
      <w:r w:rsidRPr="00C83B8B">
        <w:rPr>
          <w:sz w:val="28"/>
          <w:szCs w:val="28"/>
          <w:lang w:val="en-CA"/>
        </w:rPr>
        <w:t>- and -</w:t>
      </w:r>
    </w:p>
    <w:p w:rsidR="006B3E24" w:rsidRPr="00C83B8B" w:rsidRDefault="006B3E24" w:rsidP="006B3E24">
      <w:pPr>
        <w:widowControl/>
        <w:jc w:val="center"/>
        <w:rPr>
          <w:sz w:val="28"/>
          <w:szCs w:val="28"/>
          <w:lang w:val="en-CA"/>
        </w:rPr>
      </w:pPr>
    </w:p>
    <w:p w:rsidR="006B3E24" w:rsidRPr="00C83B8B" w:rsidRDefault="006B3E24" w:rsidP="006B3E24">
      <w:pPr>
        <w:widowControl/>
        <w:jc w:val="center"/>
        <w:rPr>
          <w:sz w:val="28"/>
          <w:szCs w:val="28"/>
          <w:lang w:val="en-CA"/>
        </w:rPr>
      </w:pPr>
      <w:r w:rsidRPr="00C83B8B">
        <w:rPr>
          <w:sz w:val="28"/>
          <w:szCs w:val="28"/>
          <w:lang w:val="en-CA"/>
        </w:rPr>
        <w:t>ANTHONY P. SILVA</w:t>
      </w:r>
    </w:p>
    <w:p w:rsidR="006B3E24" w:rsidRPr="00C83B8B" w:rsidRDefault="006B3E24" w:rsidP="006B3E24">
      <w:pPr>
        <w:widowControl/>
        <w:tabs>
          <w:tab w:val="right" w:pos="9360"/>
        </w:tabs>
        <w:rPr>
          <w:sz w:val="28"/>
          <w:szCs w:val="28"/>
          <w:lang w:val="en-CA"/>
        </w:rPr>
      </w:pPr>
      <w:r w:rsidRPr="00C83B8B">
        <w:rPr>
          <w:sz w:val="28"/>
          <w:szCs w:val="28"/>
          <w:lang w:val="en-CA"/>
        </w:rPr>
        <w:tab/>
        <w:t>Third Party</w:t>
      </w:r>
    </w:p>
    <w:p w:rsidR="006B3E24" w:rsidRPr="00C83B8B" w:rsidRDefault="006B3E24" w:rsidP="006B3E24">
      <w:pPr>
        <w:widowControl/>
        <w:jc w:val="center"/>
        <w:rPr>
          <w:sz w:val="28"/>
          <w:szCs w:val="28"/>
          <w:lang w:val="en-CA"/>
        </w:rPr>
      </w:pPr>
      <w:r w:rsidRPr="00C83B8B">
        <w:rPr>
          <w:sz w:val="28"/>
          <w:szCs w:val="28"/>
          <w:lang w:val="en-CA"/>
        </w:rPr>
        <w:t>- and -</w:t>
      </w:r>
    </w:p>
    <w:p w:rsidR="006B3E24" w:rsidRPr="00C83B8B" w:rsidRDefault="006B3E24" w:rsidP="006B3E24">
      <w:pPr>
        <w:widowControl/>
        <w:rPr>
          <w:sz w:val="28"/>
          <w:szCs w:val="28"/>
          <w:lang w:val="en-CA"/>
        </w:rPr>
      </w:pPr>
    </w:p>
    <w:p w:rsidR="006B3E24" w:rsidRPr="00C83B8B" w:rsidRDefault="006B3E24" w:rsidP="006B3E24">
      <w:pPr>
        <w:widowControl/>
        <w:jc w:val="center"/>
        <w:rPr>
          <w:sz w:val="28"/>
          <w:szCs w:val="28"/>
          <w:lang w:val="en-CA"/>
        </w:rPr>
      </w:pPr>
      <w:r w:rsidRPr="00C83B8B">
        <w:rPr>
          <w:sz w:val="28"/>
          <w:szCs w:val="28"/>
          <w:lang w:val="en-CA"/>
        </w:rPr>
        <w:t>NINETY NORTH CONSTRUCTION AND DEVELOPMENT LTD.</w:t>
      </w:r>
    </w:p>
    <w:p w:rsidR="006B3E24" w:rsidRPr="00C83B8B" w:rsidRDefault="006B3E24" w:rsidP="006B3E24">
      <w:pPr>
        <w:widowControl/>
        <w:tabs>
          <w:tab w:val="right" w:pos="9360"/>
        </w:tabs>
        <w:rPr>
          <w:sz w:val="28"/>
          <w:szCs w:val="28"/>
          <w:lang w:val="en-CA"/>
        </w:rPr>
      </w:pPr>
      <w:r w:rsidRPr="00C83B8B">
        <w:rPr>
          <w:sz w:val="28"/>
          <w:szCs w:val="28"/>
          <w:lang w:val="en-CA"/>
        </w:rPr>
        <w:tab/>
        <w:t>Third Party</w:t>
      </w:r>
    </w:p>
    <w:p w:rsidR="006B3E24" w:rsidRPr="00C83B8B" w:rsidRDefault="006B3E24" w:rsidP="006B3E24">
      <w:pPr>
        <w:widowControl/>
        <w:jc w:val="center"/>
        <w:rPr>
          <w:sz w:val="28"/>
          <w:szCs w:val="28"/>
          <w:lang w:val="en-CA"/>
        </w:rPr>
      </w:pPr>
      <w:r w:rsidRPr="00C83B8B">
        <w:rPr>
          <w:sz w:val="28"/>
          <w:szCs w:val="28"/>
          <w:lang w:val="en-CA"/>
        </w:rPr>
        <w:t>- and -</w:t>
      </w:r>
    </w:p>
    <w:p w:rsidR="006B3E24" w:rsidRPr="00C83B8B" w:rsidRDefault="006B3E24" w:rsidP="006B3E24">
      <w:pPr>
        <w:widowControl/>
        <w:rPr>
          <w:sz w:val="28"/>
          <w:szCs w:val="28"/>
          <w:lang w:val="en-CA"/>
        </w:rPr>
      </w:pPr>
    </w:p>
    <w:p w:rsidR="006B3E24" w:rsidRPr="00C83B8B" w:rsidRDefault="006B3E24" w:rsidP="006B3E24">
      <w:pPr>
        <w:widowControl/>
        <w:jc w:val="center"/>
        <w:rPr>
          <w:sz w:val="28"/>
          <w:szCs w:val="28"/>
          <w:lang w:val="en-CA"/>
        </w:rPr>
      </w:pPr>
      <w:r w:rsidRPr="00C83B8B">
        <w:rPr>
          <w:sz w:val="28"/>
          <w:szCs w:val="28"/>
          <w:lang w:val="en-CA"/>
        </w:rPr>
        <w:t>THE GOVERNMENT OF THE NORTHWEST TERRITORIES</w:t>
      </w:r>
    </w:p>
    <w:p w:rsidR="006B3E24" w:rsidRPr="00C83B8B" w:rsidRDefault="006B3E24" w:rsidP="006B3E24">
      <w:pPr>
        <w:widowControl/>
        <w:jc w:val="center"/>
        <w:rPr>
          <w:sz w:val="28"/>
          <w:szCs w:val="28"/>
          <w:lang w:val="en-CA"/>
        </w:rPr>
      </w:pPr>
      <w:r w:rsidRPr="00C83B8B">
        <w:rPr>
          <w:sz w:val="28"/>
          <w:szCs w:val="28"/>
          <w:lang w:val="en-CA"/>
        </w:rPr>
        <w:t xml:space="preserve">as represented by the MINISTER OF PUBLIC WORKS AND SERVICES </w:t>
      </w:r>
    </w:p>
    <w:p w:rsidR="009040DA" w:rsidRPr="00C83B8B" w:rsidRDefault="0016214F" w:rsidP="0016214F">
      <w:pPr>
        <w:widowControl/>
        <w:tabs>
          <w:tab w:val="right" w:pos="9360"/>
        </w:tabs>
        <w:rPr>
          <w:sz w:val="28"/>
          <w:szCs w:val="28"/>
          <w:lang w:val="en-CA"/>
        </w:rPr>
      </w:pPr>
      <w:r w:rsidRPr="00C83B8B">
        <w:rPr>
          <w:sz w:val="28"/>
          <w:szCs w:val="28"/>
          <w:lang w:val="en-CA"/>
        </w:rPr>
        <w:tab/>
        <w:t>Fourth Party</w:t>
      </w:r>
    </w:p>
    <w:p w:rsidR="003D034C" w:rsidRDefault="00E44396" w:rsidP="003D034C">
      <w:pPr>
        <w:widowControl/>
        <w:spacing w:line="275" w:lineRule="auto"/>
        <w:ind w:right="-36"/>
        <w:jc w:val="center"/>
        <w:rPr>
          <w:sz w:val="28"/>
          <w:szCs w:val="28"/>
          <w:u w:val="single"/>
        </w:rPr>
      </w:pPr>
      <w:r w:rsidRPr="00C83B8B">
        <w:rPr>
          <w:sz w:val="28"/>
          <w:szCs w:val="28"/>
          <w:u w:val="single"/>
        </w:rPr>
        <w:t xml:space="preserve">MEMORANDUM </w:t>
      </w:r>
      <w:r w:rsidR="002C7C17" w:rsidRPr="00C83B8B">
        <w:rPr>
          <w:sz w:val="28"/>
          <w:szCs w:val="28"/>
          <w:u w:val="single"/>
        </w:rPr>
        <w:t>OF JUDGMENT</w:t>
      </w:r>
    </w:p>
    <w:p w:rsidR="00BF05B1" w:rsidRPr="00C83B8B" w:rsidRDefault="00BF05B1" w:rsidP="003D034C">
      <w:pPr>
        <w:widowControl/>
        <w:spacing w:line="275" w:lineRule="auto"/>
        <w:ind w:right="-36"/>
        <w:jc w:val="center"/>
        <w:rPr>
          <w:sz w:val="28"/>
          <w:szCs w:val="28"/>
          <w:u w:val="single"/>
        </w:rPr>
      </w:pPr>
    </w:p>
    <w:p w:rsidR="009A075B" w:rsidRDefault="009A075B" w:rsidP="0077250F">
      <w:pPr>
        <w:pStyle w:val="ListParagraph"/>
        <w:tabs>
          <w:tab w:val="left" w:pos="360"/>
        </w:tabs>
        <w:spacing w:after="0" w:line="240" w:lineRule="auto"/>
        <w:ind w:left="0"/>
        <w:jc w:val="both"/>
        <w:rPr>
          <w:rFonts w:ascii="Times New Roman" w:hAnsi="Times New Roman" w:cs="Times New Roman"/>
          <w:sz w:val="28"/>
          <w:szCs w:val="28"/>
        </w:rPr>
      </w:pPr>
      <w:r w:rsidRPr="00C83B8B">
        <w:rPr>
          <w:rFonts w:ascii="Times New Roman" w:hAnsi="Times New Roman" w:cs="Times New Roman"/>
          <w:sz w:val="28"/>
          <w:szCs w:val="28"/>
        </w:rPr>
        <w:lastRenderedPageBreak/>
        <w:t xml:space="preserve">l) </w:t>
      </w:r>
      <w:r w:rsidR="003D034C" w:rsidRPr="00C83B8B">
        <w:rPr>
          <w:rFonts w:ascii="Times New Roman" w:hAnsi="Times New Roman" w:cs="Times New Roman"/>
          <w:sz w:val="28"/>
          <w:szCs w:val="28"/>
        </w:rPr>
        <w:t xml:space="preserve"> INTRODUCTION</w:t>
      </w:r>
    </w:p>
    <w:p w:rsidR="0077250F" w:rsidRPr="00C83B8B" w:rsidRDefault="0077250F" w:rsidP="0077250F">
      <w:pPr>
        <w:pStyle w:val="ListParagraph"/>
        <w:tabs>
          <w:tab w:val="left" w:pos="360"/>
        </w:tabs>
        <w:spacing w:after="0" w:line="240" w:lineRule="auto"/>
        <w:ind w:left="0"/>
        <w:jc w:val="both"/>
        <w:rPr>
          <w:rFonts w:ascii="Times New Roman" w:hAnsi="Times New Roman" w:cs="Times New Roman"/>
          <w:sz w:val="28"/>
          <w:szCs w:val="28"/>
        </w:rPr>
      </w:pPr>
    </w:p>
    <w:p w:rsidR="009A075B" w:rsidRDefault="003D034C" w:rsidP="0077250F">
      <w:pPr>
        <w:pStyle w:val="ListParagraph"/>
        <w:numPr>
          <w:ilvl w:val="0"/>
          <w:numId w:val="11"/>
        </w:numPr>
        <w:tabs>
          <w:tab w:val="left" w:pos="360"/>
        </w:tabs>
        <w:spacing w:after="0" w:line="240" w:lineRule="auto"/>
        <w:ind w:left="0" w:firstLine="0"/>
        <w:jc w:val="both"/>
        <w:rPr>
          <w:rFonts w:ascii="Times New Roman" w:hAnsi="Times New Roman" w:cs="Times New Roman"/>
          <w:sz w:val="28"/>
          <w:szCs w:val="28"/>
        </w:rPr>
      </w:pPr>
      <w:r w:rsidRPr="009A075B">
        <w:rPr>
          <w:sz w:val="28"/>
          <w:szCs w:val="28"/>
        </w:rPr>
        <w:tab/>
      </w:r>
      <w:r w:rsidRPr="009A075B">
        <w:rPr>
          <w:rFonts w:ascii="Times New Roman" w:hAnsi="Times New Roman" w:cs="Times New Roman"/>
          <w:sz w:val="28"/>
          <w:szCs w:val="28"/>
        </w:rPr>
        <w:t xml:space="preserve">This action arises from significant financial loss to the Plaintiff as a result of a fire that destroyed the Attagoyuk school in Pangnirtung on March 9, 1997.  The Plaintiff alleges that the Defendants are liable for this loss because they failed to design and renovate the school </w:t>
      </w:r>
      <w:r w:rsidR="00C20CAE">
        <w:rPr>
          <w:rFonts w:ascii="Times New Roman" w:hAnsi="Times New Roman" w:cs="Times New Roman"/>
          <w:sz w:val="28"/>
          <w:szCs w:val="28"/>
        </w:rPr>
        <w:t>in accordance with relevant</w:t>
      </w:r>
      <w:r w:rsidRPr="009A075B">
        <w:rPr>
          <w:rFonts w:ascii="Times New Roman" w:hAnsi="Times New Roman" w:cs="Times New Roman"/>
          <w:sz w:val="28"/>
          <w:szCs w:val="28"/>
        </w:rPr>
        <w:t xml:space="preserve"> building </w:t>
      </w:r>
      <w:r w:rsidR="00C20CAE">
        <w:rPr>
          <w:rFonts w:ascii="Times New Roman" w:hAnsi="Times New Roman" w:cs="Times New Roman"/>
          <w:sz w:val="28"/>
          <w:szCs w:val="28"/>
        </w:rPr>
        <w:t xml:space="preserve">codes and </w:t>
      </w:r>
      <w:r w:rsidRPr="009A075B">
        <w:rPr>
          <w:rFonts w:ascii="Times New Roman" w:hAnsi="Times New Roman" w:cs="Times New Roman"/>
          <w:sz w:val="28"/>
          <w:szCs w:val="28"/>
        </w:rPr>
        <w:t xml:space="preserve">standards.  </w:t>
      </w:r>
    </w:p>
    <w:p w:rsidR="009A075B" w:rsidRDefault="009A075B" w:rsidP="0077250F">
      <w:pPr>
        <w:pStyle w:val="ListParagraph"/>
        <w:tabs>
          <w:tab w:val="left" w:pos="360"/>
        </w:tabs>
        <w:spacing w:after="0" w:line="240" w:lineRule="auto"/>
        <w:ind w:left="0"/>
        <w:jc w:val="both"/>
        <w:rPr>
          <w:rFonts w:ascii="Times New Roman" w:hAnsi="Times New Roman" w:cs="Times New Roman"/>
          <w:sz w:val="28"/>
          <w:szCs w:val="28"/>
        </w:rPr>
      </w:pPr>
    </w:p>
    <w:p w:rsidR="003D034C" w:rsidRDefault="003D034C" w:rsidP="0077250F">
      <w:pPr>
        <w:pStyle w:val="ListParagraph"/>
        <w:numPr>
          <w:ilvl w:val="0"/>
          <w:numId w:val="11"/>
        </w:numPr>
        <w:tabs>
          <w:tab w:val="left" w:pos="360"/>
        </w:tabs>
        <w:spacing w:after="0" w:line="240" w:lineRule="auto"/>
        <w:ind w:left="0" w:firstLine="0"/>
        <w:jc w:val="both"/>
        <w:rPr>
          <w:rFonts w:ascii="Times New Roman" w:hAnsi="Times New Roman" w:cs="Times New Roman"/>
          <w:sz w:val="28"/>
          <w:szCs w:val="28"/>
        </w:rPr>
      </w:pPr>
      <w:r w:rsidRPr="009A075B">
        <w:rPr>
          <w:sz w:val="28"/>
          <w:szCs w:val="28"/>
        </w:rPr>
        <w:tab/>
      </w:r>
      <w:r w:rsidR="001E0FDD">
        <w:rPr>
          <w:rFonts w:ascii="Times New Roman" w:hAnsi="Times New Roman" w:cs="Times New Roman"/>
          <w:sz w:val="28"/>
          <w:szCs w:val="28"/>
        </w:rPr>
        <w:t xml:space="preserve">The Defendants </w:t>
      </w:r>
      <w:r w:rsidRPr="009A075B">
        <w:rPr>
          <w:rFonts w:ascii="Times New Roman" w:hAnsi="Times New Roman" w:cs="Times New Roman"/>
          <w:sz w:val="28"/>
          <w:szCs w:val="28"/>
        </w:rPr>
        <w:t xml:space="preserve">filed an Application to have the claim dismissed on the basis of delay, pursuant to Rule 327 of the </w:t>
      </w:r>
      <w:r w:rsidRPr="009A075B">
        <w:rPr>
          <w:rFonts w:ascii="Times New Roman" w:hAnsi="Times New Roman" w:cs="Times New Roman"/>
          <w:i/>
          <w:sz w:val="28"/>
          <w:szCs w:val="28"/>
        </w:rPr>
        <w:t>Rules of the Supreme Court of the Northwest Territories</w:t>
      </w:r>
      <w:r w:rsidRPr="009A075B">
        <w:rPr>
          <w:rFonts w:ascii="Times New Roman" w:hAnsi="Times New Roman" w:cs="Times New Roman"/>
          <w:sz w:val="28"/>
          <w:szCs w:val="28"/>
        </w:rPr>
        <w:t xml:space="preserve"> R-010-96, as amended (the </w:t>
      </w:r>
      <w:r w:rsidRPr="009A075B">
        <w:rPr>
          <w:rFonts w:ascii="Times New Roman" w:hAnsi="Times New Roman" w:cs="Times New Roman"/>
          <w:i/>
          <w:sz w:val="28"/>
          <w:szCs w:val="28"/>
        </w:rPr>
        <w:t>Rules of Court</w:t>
      </w:r>
      <w:r w:rsidRPr="009A075B">
        <w:rPr>
          <w:rFonts w:ascii="Times New Roman" w:hAnsi="Times New Roman" w:cs="Times New Roman"/>
          <w:sz w:val="28"/>
          <w:szCs w:val="28"/>
        </w:rPr>
        <w:t xml:space="preserve">).  The Application was heard on May 10, 2017. </w:t>
      </w:r>
      <w:r w:rsidR="00F35B63">
        <w:rPr>
          <w:rFonts w:ascii="Times New Roman" w:hAnsi="Times New Roman" w:cs="Times New Roman"/>
          <w:sz w:val="28"/>
          <w:szCs w:val="28"/>
        </w:rPr>
        <w:t xml:space="preserve"> </w:t>
      </w:r>
      <w:r w:rsidRPr="009A075B">
        <w:rPr>
          <w:rFonts w:ascii="Times New Roman" w:hAnsi="Times New Roman" w:cs="Times New Roman"/>
          <w:sz w:val="28"/>
          <w:szCs w:val="28"/>
        </w:rPr>
        <w:t xml:space="preserve">On May 23, 2017, I filed a Memorandum advising the parties that the Application </w:t>
      </w:r>
      <w:r w:rsidR="001E0FDD">
        <w:rPr>
          <w:rFonts w:ascii="Times New Roman" w:hAnsi="Times New Roman" w:cs="Times New Roman"/>
          <w:sz w:val="28"/>
          <w:szCs w:val="28"/>
        </w:rPr>
        <w:t xml:space="preserve">was dismissed </w:t>
      </w:r>
      <w:r w:rsidRPr="009A075B">
        <w:rPr>
          <w:rFonts w:ascii="Times New Roman" w:hAnsi="Times New Roman" w:cs="Times New Roman"/>
          <w:sz w:val="28"/>
          <w:szCs w:val="28"/>
        </w:rPr>
        <w:t xml:space="preserve">and that written Reasons would follow.  </w:t>
      </w:r>
      <w:r w:rsidR="009A075B">
        <w:rPr>
          <w:rFonts w:ascii="Times New Roman" w:hAnsi="Times New Roman" w:cs="Times New Roman"/>
          <w:sz w:val="28"/>
          <w:szCs w:val="28"/>
        </w:rPr>
        <w:tab/>
      </w:r>
    </w:p>
    <w:p w:rsidR="0077250F" w:rsidRDefault="0077250F" w:rsidP="0077250F">
      <w:pPr>
        <w:pStyle w:val="ListParagraph"/>
        <w:tabs>
          <w:tab w:val="left" w:pos="360"/>
        </w:tabs>
        <w:spacing w:after="0" w:line="240" w:lineRule="auto"/>
        <w:ind w:left="0"/>
        <w:jc w:val="both"/>
        <w:rPr>
          <w:rFonts w:ascii="Times New Roman" w:hAnsi="Times New Roman" w:cs="Times New Roman"/>
          <w:sz w:val="28"/>
          <w:szCs w:val="28"/>
        </w:rPr>
      </w:pPr>
    </w:p>
    <w:p w:rsidR="003D034C" w:rsidRPr="003D034C" w:rsidRDefault="003D034C" w:rsidP="0077250F">
      <w:pPr>
        <w:tabs>
          <w:tab w:val="left" w:pos="720"/>
        </w:tabs>
        <w:jc w:val="both"/>
        <w:rPr>
          <w:rFonts w:eastAsiaTheme="minorHAnsi"/>
          <w:sz w:val="28"/>
          <w:szCs w:val="28"/>
          <w:lang w:eastAsia="en-US"/>
        </w:rPr>
      </w:pPr>
      <w:r w:rsidRPr="003D034C">
        <w:rPr>
          <w:rFonts w:eastAsiaTheme="minorHAnsi"/>
          <w:sz w:val="28"/>
          <w:szCs w:val="28"/>
          <w:lang w:eastAsia="en-US"/>
        </w:rPr>
        <w:t>II) ANALYSIS</w:t>
      </w:r>
    </w:p>
    <w:p w:rsidR="003D034C" w:rsidRPr="003D034C" w:rsidRDefault="003D034C" w:rsidP="0077250F">
      <w:pPr>
        <w:tabs>
          <w:tab w:val="left" w:pos="720"/>
        </w:tabs>
        <w:jc w:val="both"/>
        <w:rPr>
          <w:rFonts w:eastAsiaTheme="minorHAnsi"/>
          <w:sz w:val="28"/>
          <w:szCs w:val="28"/>
          <w:lang w:eastAsia="en-US"/>
        </w:rPr>
      </w:pPr>
    </w:p>
    <w:p w:rsidR="003D034C" w:rsidRPr="003D034C" w:rsidRDefault="003D034C" w:rsidP="0077250F">
      <w:pPr>
        <w:tabs>
          <w:tab w:val="left" w:pos="720"/>
        </w:tabs>
        <w:jc w:val="both"/>
        <w:rPr>
          <w:rFonts w:eastAsiaTheme="minorHAnsi"/>
          <w:sz w:val="28"/>
          <w:szCs w:val="28"/>
          <w:lang w:eastAsia="en-US"/>
        </w:rPr>
      </w:pPr>
      <w:r w:rsidRPr="003D034C">
        <w:rPr>
          <w:rFonts w:eastAsiaTheme="minorHAnsi"/>
          <w:sz w:val="28"/>
          <w:szCs w:val="28"/>
          <w:lang w:eastAsia="en-US"/>
        </w:rPr>
        <w:t>1. Legal Framework</w:t>
      </w:r>
    </w:p>
    <w:p w:rsidR="003D034C" w:rsidRPr="003D034C" w:rsidRDefault="003D034C" w:rsidP="0077250F">
      <w:pPr>
        <w:tabs>
          <w:tab w:val="left" w:pos="720"/>
        </w:tabs>
        <w:jc w:val="both"/>
        <w:rPr>
          <w:rFonts w:eastAsiaTheme="minorHAnsi"/>
          <w:sz w:val="28"/>
          <w:szCs w:val="28"/>
          <w:lang w:eastAsia="en-US"/>
        </w:rPr>
      </w:pPr>
    </w:p>
    <w:p w:rsidR="003D034C" w:rsidRDefault="009A075B" w:rsidP="00A47EE0">
      <w:pPr>
        <w:pStyle w:val="ListParagraph"/>
        <w:numPr>
          <w:ilvl w:val="0"/>
          <w:numId w:val="11"/>
        </w:numPr>
        <w:tabs>
          <w:tab w:val="left"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D034C" w:rsidRPr="009A075B">
        <w:rPr>
          <w:rFonts w:ascii="Times New Roman" w:hAnsi="Times New Roman" w:cs="Times New Roman"/>
          <w:sz w:val="28"/>
          <w:szCs w:val="28"/>
        </w:rPr>
        <w:t>The relevant portion of Rule 327 reads as follows:</w:t>
      </w:r>
    </w:p>
    <w:p w:rsidR="00B34CDD" w:rsidRDefault="00B34CDD" w:rsidP="00B34CDD">
      <w:pPr>
        <w:tabs>
          <w:tab w:val="left" w:pos="360"/>
        </w:tabs>
        <w:jc w:val="both"/>
        <w:rPr>
          <w:sz w:val="28"/>
          <w:szCs w:val="28"/>
        </w:rPr>
      </w:pPr>
    </w:p>
    <w:p w:rsidR="00B34CDD" w:rsidRDefault="00B34CDD" w:rsidP="00B370F4">
      <w:pPr>
        <w:tabs>
          <w:tab w:val="left" w:pos="360"/>
          <w:tab w:val="left" w:pos="1980"/>
        </w:tabs>
        <w:ind w:left="1440" w:right="720"/>
        <w:jc w:val="both"/>
      </w:pPr>
      <w:r w:rsidRPr="00B34CDD">
        <w:t>327. (1) A party may at any time apply to the Court for a determination that there has been a delay on the part of another party in action or proceeding and, where the Court so determines, the Court</w:t>
      </w:r>
    </w:p>
    <w:p w:rsidR="00B34CDD" w:rsidRDefault="00B34CDD" w:rsidP="00B34CDD">
      <w:pPr>
        <w:tabs>
          <w:tab w:val="left" w:pos="360"/>
        </w:tabs>
        <w:ind w:left="1440" w:right="720"/>
        <w:jc w:val="both"/>
      </w:pPr>
    </w:p>
    <w:p w:rsidR="00B34CDD" w:rsidRDefault="00B34CDD" w:rsidP="00B34CDD">
      <w:pPr>
        <w:pStyle w:val="ListParagraph"/>
        <w:numPr>
          <w:ilvl w:val="0"/>
          <w:numId w:val="17"/>
        </w:numPr>
        <w:tabs>
          <w:tab w:val="left" w:pos="360"/>
        </w:tabs>
        <w:ind w:right="720"/>
        <w:jc w:val="both"/>
        <w:rPr>
          <w:rFonts w:ascii="Times New Roman" w:eastAsiaTheme="minorEastAsia" w:hAnsi="Times New Roman" w:cs="Times New Roman"/>
          <w:sz w:val="24"/>
          <w:szCs w:val="24"/>
          <w:lang w:eastAsia="en-CA"/>
        </w:rPr>
      </w:pPr>
      <w:r w:rsidRPr="00B34CDD">
        <w:rPr>
          <w:rFonts w:ascii="Times New Roman" w:eastAsiaTheme="minorEastAsia" w:hAnsi="Times New Roman" w:cs="Times New Roman"/>
          <w:sz w:val="24"/>
          <w:szCs w:val="24"/>
          <w:lang w:eastAsia="en-CA"/>
        </w:rPr>
        <w:t xml:space="preserve">May, with or without terms, </w:t>
      </w:r>
      <w:r>
        <w:rPr>
          <w:rFonts w:ascii="Times New Roman" w:eastAsiaTheme="minorEastAsia" w:hAnsi="Times New Roman" w:cs="Times New Roman"/>
          <w:sz w:val="24"/>
          <w:szCs w:val="24"/>
          <w:lang w:eastAsia="en-CA"/>
        </w:rPr>
        <w:t>dismiss the action or proceeding for want of prosecution or give direction for the speedy determination of the action or proceeding; or</w:t>
      </w:r>
    </w:p>
    <w:p w:rsidR="00B34CDD" w:rsidRDefault="00B34CDD" w:rsidP="00B34CDD">
      <w:pPr>
        <w:pStyle w:val="ListParagraph"/>
        <w:tabs>
          <w:tab w:val="left" w:pos="360"/>
        </w:tabs>
        <w:ind w:left="2520" w:right="720"/>
        <w:jc w:val="both"/>
        <w:rPr>
          <w:rFonts w:ascii="Times New Roman" w:eastAsiaTheme="minorEastAsia" w:hAnsi="Times New Roman" w:cs="Times New Roman"/>
          <w:sz w:val="24"/>
          <w:szCs w:val="24"/>
          <w:lang w:eastAsia="en-CA"/>
        </w:rPr>
      </w:pPr>
    </w:p>
    <w:p w:rsidR="003D034C" w:rsidRPr="00BE293E" w:rsidRDefault="00B34CDD" w:rsidP="00BE293E">
      <w:pPr>
        <w:pStyle w:val="ListParagraph"/>
        <w:numPr>
          <w:ilvl w:val="0"/>
          <w:numId w:val="17"/>
        </w:numPr>
        <w:tabs>
          <w:tab w:val="left" w:pos="360"/>
        </w:tabs>
        <w:ind w:right="720"/>
        <w:jc w:val="both"/>
        <w:rPr>
          <w:rFonts w:ascii="Times New Roman" w:eastAsiaTheme="minorEastAsia" w:hAnsi="Times New Roman" w:cs="Times New Roman"/>
          <w:sz w:val="24"/>
          <w:szCs w:val="24"/>
          <w:lang w:eastAsia="en-CA"/>
        </w:rPr>
      </w:pPr>
      <w:r>
        <w:rPr>
          <w:rFonts w:ascii="Times New Roman" w:eastAsiaTheme="minorEastAsia" w:hAnsi="Times New Roman" w:cs="Times New Roman"/>
          <w:sz w:val="24"/>
          <w:szCs w:val="24"/>
          <w:lang w:eastAsia="en-CA"/>
        </w:rPr>
        <w:t>shall dismiss so much of the action of proceedings as relates to the Defendants, where for five or more years no step has been taken that materially advances the action or proceeding.</w:t>
      </w:r>
    </w:p>
    <w:p w:rsidR="003D034C" w:rsidRDefault="00BE293E" w:rsidP="006E68CA">
      <w:pPr>
        <w:tabs>
          <w:tab w:val="left" w:pos="720"/>
        </w:tabs>
        <w:ind w:left="720" w:right="720" w:firstLine="720"/>
        <w:jc w:val="both"/>
        <w:rPr>
          <w:rFonts w:eastAsiaTheme="minorHAnsi"/>
          <w:lang w:eastAsia="en-US"/>
        </w:rPr>
      </w:pPr>
      <w:r>
        <w:rPr>
          <w:rFonts w:eastAsiaTheme="minorHAnsi"/>
          <w:lang w:eastAsia="en-US"/>
        </w:rPr>
        <w:t xml:space="preserve">    (…)</w:t>
      </w:r>
    </w:p>
    <w:p w:rsidR="00BE293E" w:rsidRPr="00406AEB" w:rsidRDefault="00BE293E" w:rsidP="006E68CA">
      <w:pPr>
        <w:tabs>
          <w:tab w:val="left" w:pos="720"/>
        </w:tabs>
        <w:ind w:left="720" w:right="720" w:firstLine="720"/>
        <w:jc w:val="both"/>
        <w:rPr>
          <w:rFonts w:eastAsiaTheme="minorHAnsi"/>
          <w:lang w:eastAsia="en-US"/>
        </w:rPr>
      </w:pPr>
    </w:p>
    <w:p w:rsidR="003D034C" w:rsidRPr="00406AEB" w:rsidRDefault="00A47EE0" w:rsidP="006E68CA">
      <w:pPr>
        <w:tabs>
          <w:tab w:val="left" w:pos="720"/>
          <w:tab w:val="left" w:pos="1890"/>
          <w:tab w:val="left" w:pos="2160"/>
        </w:tabs>
        <w:ind w:left="1440" w:right="720"/>
        <w:jc w:val="both"/>
        <w:rPr>
          <w:rFonts w:eastAsiaTheme="minorHAnsi"/>
          <w:lang w:eastAsia="en-US"/>
        </w:rPr>
      </w:pPr>
      <w:r>
        <w:rPr>
          <w:rFonts w:eastAsiaTheme="minorHAnsi"/>
          <w:lang w:eastAsia="en-US"/>
        </w:rPr>
        <w:t xml:space="preserve">   </w:t>
      </w:r>
      <w:r w:rsidR="006E68CA">
        <w:rPr>
          <w:rFonts w:eastAsiaTheme="minorHAnsi"/>
          <w:lang w:eastAsia="en-US"/>
        </w:rPr>
        <w:t xml:space="preserve"> </w:t>
      </w:r>
      <w:r w:rsidR="0019191F" w:rsidRPr="00A47EE0">
        <w:rPr>
          <w:rFonts w:eastAsiaTheme="minorHAnsi"/>
          <w:lang w:eastAsia="en-US"/>
        </w:rPr>
        <w:t>(</w:t>
      </w:r>
      <w:r w:rsidR="003D034C" w:rsidRPr="00A47EE0">
        <w:rPr>
          <w:rFonts w:eastAsiaTheme="minorHAnsi"/>
          <w:lang w:eastAsia="en-US"/>
        </w:rPr>
        <w:t>4)</w:t>
      </w:r>
      <w:r w:rsidR="00707BB1">
        <w:rPr>
          <w:rFonts w:eastAsiaTheme="minorHAnsi"/>
          <w:lang w:eastAsia="en-US"/>
        </w:rPr>
        <w:t xml:space="preserve"> </w:t>
      </w:r>
      <w:r w:rsidR="00BE293E">
        <w:rPr>
          <w:rFonts w:eastAsiaTheme="minorHAnsi"/>
          <w:lang w:eastAsia="en-US"/>
        </w:rPr>
        <w:t>Where</w:t>
      </w:r>
      <w:r w:rsidR="003D034C" w:rsidRPr="00A47EE0">
        <w:rPr>
          <w:rFonts w:eastAsiaTheme="minorHAnsi"/>
          <w:lang w:eastAsia="en-US"/>
        </w:rPr>
        <w:t xml:space="preserve">, in determining an application under this rule, the Court finds that the delay in action or proceeding is inordinate and inexcusable, that delay shall be </w:t>
      </w:r>
      <w:r w:rsidR="003D034C" w:rsidRPr="00A47EE0">
        <w:rPr>
          <w:rFonts w:eastAsiaTheme="minorHAnsi"/>
          <w:i/>
          <w:lang w:eastAsia="en-US"/>
        </w:rPr>
        <w:t>prima faciae</w:t>
      </w:r>
      <w:r w:rsidR="003D034C" w:rsidRPr="00A47EE0">
        <w:rPr>
          <w:rFonts w:eastAsiaTheme="minorHAnsi"/>
          <w:lang w:eastAsia="en-US"/>
        </w:rPr>
        <w:t xml:space="preserve"> evidence of serious prejudice to the party bringing the application.</w:t>
      </w:r>
    </w:p>
    <w:p w:rsidR="00770185" w:rsidRDefault="00770185" w:rsidP="006E68CA">
      <w:pPr>
        <w:tabs>
          <w:tab w:val="left" w:pos="720"/>
        </w:tabs>
        <w:ind w:left="720" w:right="720" w:firstLine="720"/>
        <w:jc w:val="both"/>
        <w:rPr>
          <w:rFonts w:eastAsiaTheme="minorHAnsi"/>
          <w:i/>
          <w:sz w:val="28"/>
          <w:szCs w:val="28"/>
          <w:lang w:eastAsia="en-US"/>
        </w:rPr>
      </w:pPr>
    </w:p>
    <w:p w:rsidR="009A075B" w:rsidRPr="001D077D" w:rsidRDefault="003D034C" w:rsidP="0077250F">
      <w:pPr>
        <w:tabs>
          <w:tab w:val="left" w:pos="720"/>
        </w:tabs>
        <w:ind w:left="720" w:right="720"/>
        <w:jc w:val="both"/>
        <w:rPr>
          <w:rFonts w:eastAsiaTheme="minorHAnsi"/>
          <w:sz w:val="28"/>
          <w:szCs w:val="28"/>
          <w:lang w:eastAsia="en-US"/>
        </w:rPr>
      </w:pPr>
      <w:r w:rsidRPr="001D077D">
        <w:rPr>
          <w:rFonts w:eastAsiaTheme="minorHAnsi"/>
          <w:i/>
          <w:sz w:val="28"/>
          <w:szCs w:val="28"/>
          <w:lang w:eastAsia="en-US"/>
        </w:rPr>
        <w:t>Rules of Court</w:t>
      </w:r>
      <w:r w:rsidRPr="001D077D">
        <w:rPr>
          <w:rFonts w:eastAsiaTheme="minorHAnsi"/>
          <w:sz w:val="28"/>
          <w:szCs w:val="28"/>
          <w:lang w:eastAsia="en-US"/>
        </w:rPr>
        <w:t>, Rule 327.</w:t>
      </w:r>
    </w:p>
    <w:p w:rsidR="00A47EE0" w:rsidRDefault="00A47EE0" w:rsidP="00A47EE0">
      <w:pPr>
        <w:tabs>
          <w:tab w:val="left" w:pos="0"/>
          <w:tab w:val="left" w:pos="720"/>
        </w:tabs>
        <w:jc w:val="both"/>
        <w:rPr>
          <w:sz w:val="28"/>
          <w:szCs w:val="28"/>
        </w:rPr>
      </w:pPr>
    </w:p>
    <w:p w:rsidR="009A075B" w:rsidRPr="00B370F4" w:rsidRDefault="003D034C" w:rsidP="00B370F4">
      <w:pPr>
        <w:pStyle w:val="ListParagraph"/>
        <w:numPr>
          <w:ilvl w:val="0"/>
          <w:numId w:val="11"/>
        </w:numPr>
        <w:tabs>
          <w:tab w:val="left" w:pos="0"/>
          <w:tab w:val="left" w:pos="720"/>
        </w:tabs>
        <w:ind w:left="0" w:firstLine="0"/>
        <w:jc w:val="both"/>
        <w:rPr>
          <w:rFonts w:ascii="Times New Roman" w:hAnsi="Times New Roman" w:cs="Times New Roman"/>
          <w:sz w:val="28"/>
          <w:szCs w:val="28"/>
        </w:rPr>
      </w:pPr>
      <w:r w:rsidRPr="00A47EE0">
        <w:rPr>
          <w:rFonts w:ascii="Times New Roman" w:hAnsi="Times New Roman" w:cs="Times New Roman"/>
          <w:sz w:val="28"/>
          <w:szCs w:val="28"/>
        </w:rPr>
        <w:lastRenderedPageBreak/>
        <w:t>The Notice of Motion filed by the Defendants refers to Paragraphs 327(1)(a) and 327(1)(b).  At the hearing of the Application, the Defendants did not attempt to argue that Paragraph 327(1</w:t>
      </w:r>
      <w:r w:rsidR="00F27E73" w:rsidRPr="00A47EE0">
        <w:rPr>
          <w:rFonts w:ascii="Times New Roman" w:hAnsi="Times New Roman" w:cs="Times New Roman"/>
          <w:sz w:val="28"/>
          <w:szCs w:val="28"/>
        </w:rPr>
        <w:t>) (</w:t>
      </w:r>
      <w:r w:rsidRPr="00A47EE0">
        <w:rPr>
          <w:rFonts w:ascii="Times New Roman" w:hAnsi="Times New Roman" w:cs="Times New Roman"/>
          <w:sz w:val="28"/>
          <w:szCs w:val="28"/>
        </w:rPr>
        <w:t xml:space="preserve">b) was engaged.  </w:t>
      </w:r>
      <w:r w:rsidR="001E0FDD" w:rsidRPr="00A47EE0">
        <w:rPr>
          <w:rFonts w:ascii="Times New Roman" w:hAnsi="Times New Roman" w:cs="Times New Roman"/>
          <w:sz w:val="28"/>
          <w:szCs w:val="28"/>
        </w:rPr>
        <w:t>O</w:t>
      </w:r>
      <w:r w:rsidRPr="00A47EE0">
        <w:rPr>
          <w:rFonts w:ascii="Times New Roman" w:hAnsi="Times New Roman" w:cs="Times New Roman"/>
          <w:sz w:val="28"/>
          <w:szCs w:val="28"/>
        </w:rPr>
        <w:t>n the evidence</w:t>
      </w:r>
      <w:r w:rsidR="001E0FDD" w:rsidRPr="00A47EE0">
        <w:rPr>
          <w:rFonts w:ascii="Times New Roman" w:hAnsi="Times New Roman" w:cs="Times New Roman"/>
          <w:sz w:val="28"/>
          <w:szCs w:val="28"/>
        </w:rPr>
        <w:t>,</w:t>
      </w:r>
      <w:r w:rsidRPr="00A47EE0">
        <w:rPr>
          <w:rFonts w:ascii="Times New Roman" w:hAnsi="Times New Roman" w:cs="Times New Roman"/>
          <w:sz w:val="28"/>
          <w:szCs w:val="28"/>
        </w:rPr>
        <w:t xml:space="preserve"> it clearly is not</w:t>
      </w:r>
      <w:r w:rsidR="001E0FDD" w:rsidRPr="00A47EE0">
        <w:rPr>
          <w:rFonts w:ascii="Times New Roman" w:hAnsi="Times New Roman" w:cs="Times New Roman"/>
          <w:sz w:val="28"/>
          <w:szCs w:val="28"/>
        </w:rPr>
        <w:t>.</w:t>
      </w:r>
      <w:r w:rsidR="00B370F4">
        <w:rPr>
          <w:rFonts w:ascii="Times New Roman" w:hAnsi="Times New Roman" w:cs="Times New Roman"/>
          <w:sz w:val="28"/>
          <w:szCs w:val="28"/>
        </w:rPr>
        <w:t xml:space="preserve"> </w:t>
      </w:r>
      <w:r w:rsidR="001D077D" w:rsidRPr="00B370F4">
        <w:rPr>
          <w:rFonts w:ascii="Times New Roman" w:hAnsi="Times New Roman" w:cs="Times New Roman"/>
          <w:sz w:val="28"/>
          <w:szCs w:val="28"/>
        </w:rPr>
        <w:t xml:space="preserve"> </w:t>
      </w:r>
      <w:r w:rsidR="001E0FDD" w:rsidRPr="00B370F4">
        <w:rPr>
          <w:rFonts w:ascii="Times New Roman" w:hAnsi="Times New Roman" w:cs="Times New Roman"/>
          <w:sz w:val="28"/>
          <w:szCs w:val="28"/>
        </w:rPr>
        <w:t>I will not</w:t>
      </w:r>
      <w:r w:rsidR="001D077D" w:rsidRPr="00B370F4">
        <w:rPr>
          <w:rFonts w:ascii="Times New Roman" w:hAnsi="Times New Roman" w:cs="Times New Roman"/>
          <w:sz w:val="28"/>
          <w:szCs w:val="28"/>
        </w:rPr>
        <w:t xml:space="preserve"> address it further</w:t>
      </w:r>
      <w:r w:rsidRPr="00B370F4">
        <w:rPr>
          <w:rFonts w:ascii="Times New Roman" w:hAnsi="Times New Roman" w:cs="Times New Roman"/>
          <w:sz w:val="28"/>
          <w:szCs w:val="28"/>
        </w:rPr>
        <w:t xml:space="preserve">. </w:t>
      </w:r>
    </w:p>
    <w:p w:rsidR="009A075B" w:rsidRPr="009A075B" w:rsidRDefault="009A075B" w:rsidP="0077250F">
      <w:pPr>
        <w:pStyle w:val="ListParagraph"/>
        <w:tabs>
          <w:tab w:val="left" w:pos="0"/>
          <w:tab w:val="left" w:pos="720"/>
        </w:tabs>
        <w:spacing w:after="0" w:line="240" w:lineRule="auto"/>
        <w:ind w:left="0"/>
        <w:jc w:val="both"/>
        <w:rPr>
          <w:sz w:val="28"/>
          <w:szCs w:val="28"/>
        </w:rPr>
      </w:pPr>
    </w:p>
    <w:p w:rsidR="009A075B"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9A075B">
        <w:rPr>
          <w:rFonts w:ascii="Times New Roman" w:hAnsi="Times New Roman" w:cs="Times New Roman"/>
          <w:sz w:val="28"/>
          <w:szCs w:val="28"/>
        </w:rPr>
        <w:t xml:space="preserve">Rule 327(1)(a) gives the </w:t>
      </w:r>
      <w:r w:rsidR="00F27E73" w:rsidRPr="009A075B">
        <w:rPr>
          <w:rFonts w:ascii="Times New Roman" w:hAnsi="Times New Roman" w:cs="Times New Roman"/>
          <w:sz w:val="28"/>
          <w:szCs w:val="28"/>
        </w:rPr>
        <w:t>Court a</w:t>
      </w:r>
      <w:r w:rsidRPr="009A075B">
        <w:rPr>
          <w:rFonts w:ascii="Times New Roman" w:hAnsi="Times New Roman" w:cs="Times New Roman"/>
          <w:sz w:val="28"/>
          <w:szCs w:val="28"/>
        </w:rPr>
        <w:t xml:space="preserve"> discretionary power.  That power is exercised through the examination of three questions: whether there has been an inordinate delay in the prosecution of the action; whether this delay is inexcusable; and whether the </w:t>
      </w:r>
      <w:r w:rsidR="00F22A28">
        <w:rPr>
          <w:rFonts w:ascii="Times New Roman" w:hAnsi="Times New Roman" w:cs="Times New Roman"/>
          <w:sz w:val="28"/>
          <w:szCs w:val="28"/>
        </w:rPr>
        <w:t>moving party</w:t>
      </w:r>
      <w:r w:rsidRPr="009A075B">
        <w:rPr>
          <w:rFonts w:ascii="Times New Roman" w:hAnsi="Times New Roman" w:cs="Times New Roman"/>
          <w:sz w:val="28"/>
          <w:szCs w:val="28"/>
        </w:rPr>
        <w:t xml:space="preserve"> is likely to be seriously prejudiced by the delay.  All three must be established for the moving party to succeed.  </w:t>
      </w:r>
      <w:r w:rsidRPr="009A075B">
        <w:rPr>
          <w:rFonts w:ascii="Times New Roman" w:hAnsi="Times New Roman" w:cs="Times New Roman"/>
          <w:i/>
          <w:sz w:val="28"/>
          <w:szCs w:val="28"/>
        </w:rPr>
        <w:t>Watsyk v GNWT (Financial Board Secretariat),</w:t>
      </w:r>
      <w:r w:rsidRPr="009A075B">
        <w:rPr>
          <w:rFonts w:ascii="Times New Roman" w:hAnsi="Times New Roman" w:cs="Times New Roman"/>
          <w:sz w:val="28"/>
          <w:szCs w:val="28"/>
        </w:rPr>
        <w:t xml:space="preserve"> 2010 NWTSC 74, para 29.   </w:t>
      </w:r>
    </w:p>
    <w:p w:rsidR="009A075B" w:rsidRPr="009A075B" w:rsidRDefault="009A075B" w:rsidP="0077250F">
      <w:pPr>
        <w:pStyle w:val="ListParagraph"/>
        <w:spacing w:after="0" w:line="240" w:lineRule="auto"/>
        <w:rPr>
          <w:rFonts w:ascii="Times New Roman" w:hAnsi="Times New Roman" w:cs="Times New Roman"/>
          <w:sz w:val="28"/>
          <w:szCs w:val="28"/>
        </w:rPr>
      </w:pPr>
    </w:p>
    <w:p w:rsidR="003D034C" w:rsidRPr="009A075B"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D75F3C">
        <w:rPr>
          <w:rFonts w:ascii="Times New Roman" w:hAnsi="Times New Roman" w:cs="Times New Roman"/>
          <w:sz w:val="28"/>
          <w:szCs w:val="28"/>
        </w:rPr>
        <w:t>If the moving party establishes i</w:t>
      </w:r>
      <w:r w:rsidR="00D75F3C" w:rsidRPr="00D75F3C">
        <w:rPr>
          <w:rFonts w:ascii="Times New Roman" w:hAnsi="Times New Roman" w:cs="Times New Roman"/>
          <w:sz w:val="28"/>
          <w:szCs w:val="28"/>
        </w:rPr>
        <w:t>nordinate and inexcusable delay,</w:t>
      </w:r>
      <w:r w:rsidRPr="00D75F3C">
        <w:rPr>
          <w:rFonts w:ascii="Times New Roman" w:hAnsi="Times New Roman" w:cs="Times New Roman"/>
          <w:sz w:val="28"/>
          <w:szCs w:val="28"/>
        </w:rPr>
        <w:t xml:space="preserve"> it benefits from a </w:t>
      </w:r>
      <w:r w:rsidR="00D75F3C">
        <w:rPr>
          <w:rFonts w:ascii="Times New Roman" w:hAnsi="Times New Roman" w:cs="Times New Roman"/>
          <w:sz w:val="28"/>
          <w:szCs w:val="28"/>
        </w:rPr>
        <w:t>presumption</w:t>
      </w:r>
      <w:r w:rsidRPr="00D75F3C">
        <w:rPr>
          <w:rFonts w:ascii="Times New Roman" w:hAnsi="Times New Roman" w:cs="Times New Roman"/>
          <w:sz w:val="28"/>
          <w:szCs w:val="28"/>
        </w:rPr>
        <w:t xml:space="preserve"> that the delay has resulted in serious prejudice.</w:t>
      </w:r>
      <w:r w:rsidRPr="009A075B">
        <w:rPr>
          <w:rFonts w:ascii="Times New Roman" w:hAnsi="Times New Roman" w:cs="Times New Roman"/>
          <w:sz w:val="28"/>
          <w:szCs w:val="28"/>
        </w:rPr>
        <w:t xml:space="preserve">  It then falls to the responding party to rebut that presumption and show that the delay did not result in any serious prejudice.</w:t>
      </w:r>
    </w:p>
    <w:p w:rsidR="003D034C" w:rsidRPr="003D034C" w:rsidRDefault="003D034C" w:rsidP="0077250F">
      <w:pPr>
        <w:tabs>
          <w:tab w:val="left" w:pos="720"/>
        </w:tabs>
        <w:jc w:val="both"/>
        <w:rPr>
          <w:rFonts w:eastAsiaTheme="minorHAnsi"/>
          <w:sz w:val="28"/>
          <w:szCs w:val="28"/>
          <w:lang w:eastAsia="en-US"/>
        </w:rPr>
      </w:pPr>
    </w:p>
    <w:p w:rsidR="009A075B" w:rsidRDefault="009A075B" w:rsidP="0077250F">
      <w:pPr>
        <w:pStyle w:val="ListParagraph"/>
        <w:numPr>
          <w:ilvl w:val="0"/>
          <w:numId w:val="11"/>
        </w:numPr>
        <w:tabs>
          <w:tab w:val="left" w:pos="360"/>
          <w:tab w:val="left" w:pos="720"/>
        </w:tabs>
        <w:spacing w:after="0" w:line="240" w:lineRule="auto"/>
        <w:ind w:left="0" w:firstLine="0"/>
        <w:jc w:val="both"/>
        <w:rPr>
          <w:rFonts w:ascii="Times New Roman" w:hAnsi="Times New Roman" w:cs="Times New Roman"/>
          <w:sz w:val="28"/>
          <w:szCs w:val="28"/>
        </w:rPr>
      </w:pPr>
      <w:r w:rsidRPr="009A075B">
        <w:rPr>
          <w:rFonts w:ascii="Times New Roman" w:hAnsi="Times New Roman" w:cs="Times New Roman"/>
          <w:sz w:val="28"/>
          <w:szCs w:val="28"/>
        </w:rPr>
        <w:t xml:space="preserve">   </w:t>
      </w:r>
      <w:r w:rsidR="001E0FDD">
        <w:rPr>
          <w:rFonts w:ascii="Times New Roman" w:hAnsi="Times New Roman" w:cs="Times New Roman"/>
          <w:sz w:val="28"/>
          <w:szCs w:val="28"/>
        </w:rPr>
        <w:t>W</w:t>
      </w:r>
      <w:r w:rsidR="003D034C" w:rsidRPr="009A075B">
        <w:rPr>
          <w:rFonts w:ascii="Times New Roman" w:hAnsi="Times New Roman" w:cs="Times New Roman"/>
          <w:sz w:val="28"/>
          <w:szCs w:val="28"/>
        </w:rPr>
        <w:t xml:space="preserve">hat constitutes an </w:t>
      </w:r>
      <w:r w:rsidR="001E0FDD">
        <w:rPr>
          <w:rFonts w:ascii="Times New Roman" w:hAnsi="Times New Roman" w:cs="Times New Roman"/>
          <w:sz w:val="28"/>
          <w:szCs w:val="28"/>
        </w:rPr>
        <w:t>“</w:t>
      </w:r>
      <w:r w:rsidR="003D034C" w:rsidRPr="009A075B">
        <w:rPr>
          <w:rFonts w:ascii="Times New Roman" w:hAnsi="Times New Roman" w:cs="Times New Roman"/>
          <w:sz w:val="28"/>
          <w:szCs w:val="28"/>
        </w:rPr>
        <w:t>inordinate</w:t>
      </w:r>
      <w:r w:rsidR="001E0FDD">
        <w:rPr>
          <w:rFonts w:ascii="Times New Roman" w:hAnsi="Times New Roman" w:cs="Times New Roman"/>
          <w:sz w:val="28"/>
          <w:szCs w:val="28"/>
        </w:rPr>
        <w:t>”</w:t>
      </w:r>
      <w:r w:rsidR="003D034C" w:rsidRPr="009A075B">
        <w:rPr>
          <w:rFonts w:ascii="Times New Roman" w:hAnsi="Times New Roman" w:cs="Times New Roman"/>
          <w:sz w:val="28"/>
          <w:szCs w:val="28"/>
        </w:rPr>
        <w:t xml:space="preserve"> delay has recently been described as a </w:t>
      </w:r>
      <w:r w:rsidR="00F22A28">
        <w:rPr>
          <w:rFonts w:ascii="Times New Roman" w:hAnsi="Times New Roman" w:cs="Times New Roman"/>
          <w:sz w:val="28"/>
          <w:szCs w:val="28"/>
        </w:rPr>
        <w:t>“</w:t>
      </w:r>
      <w:r w:rsidR="003D034C" w:rsidRPr="009A075B">
        <w:rPr>
          <w:rFonts w:ascii="Times New Roman" w:hAnsi="Times New Roman" w:cs="Times New Roman"/>
          <w:sz w:val="28"/>
          <w:szCs w:val="28"/>
        </w:rPr>
        <w:t>differential between the norm and the actual progress of an action that is so large as to be unreasonable or unjustifiable</w:t>
      </w:r>
      <w:r w:rsidR="00F22A28">
        <w:rPr>
          <w:rFonts w:ascii="Times New Roman" w:hAnsi="Times New Roman" w:cs="Times New Roman"/>
          <w:sz w:val="28"/>
          <w:szCs w:val="28"/>
        </w:rPr>
        <w:t>”</w:t>
      </w:r>
      <w:r w:rsidR="003D034C" w:rsidRPr="009A075B">
        <w:rPr>
          <w:rFonts w:ascii="Times New Roman" w:hAnsi="Times New Roman" w:cs="Times New Roman"/>
          <w:sz w:val="28"/>
          <w:szCs w:val="28"/>
        </w:rPr>
        <w:t xml:space="preserve">.  </w:t>
      </w:r>
      <w:r w:rsidR="003D034C" w:rsidRPr="009A075B">
        <w:rPr>
          <w:rFonts w:ascii="Times New Roman" w:hAnsi="Times New Roman" w:cs="Times New Roman"/>
          <w:i/>
          <w:sz w:val="28"/>
          <w:szCs w:val="28"/>
        </w:rPr>
        <w:t xml:space="preserve">Humphreys v </w:t>
      </w:r>
      <w:r w:rsidR="00E97E45">
        <w:rPr>
          <w:rFonts w:ascii="Times New Roman" w:hAnsi="Times New Roman" w:cs="Times New Roman"/>
          <w:i/>
          <w:sz w:val="28"/>
          <w:szCs w:val="28"/>
        </w:rPr>
        <w:t>Trebilcock</w:t>
      </w:r>
      <w:r w:rsidR="00EF400D">
        <w:rPr>
          <w:rFonts w:ascii="Times New Roman" w:hAnsi="Times New Roman" w:cs="Times New Roman"/>
          <w:sz w:val="28"/>
          <w:szCs w:val="28"/>
        </w:rPr>
        <w:t>, 2017 ABCA 116, para 120.</w:t>
      </w:r>
      <w:r w:rsidR="003D034C" w:rsidRPr="009A075B">
        <w:rPr>
          <w:rFonts w:ascii="Times New Roman" w:hAnsi="Times New Roman" w:cs="Times New Roman"/>
          <w:sz w:val="28"/>
          <w:szCs w:val="28"/>
        </w:rPr>
        <w:t xml:space="preserve">  The Defendants argue that a delay of over two decades clearly falls within this description</w:t>
      </w:r>
      <w:r w:rsidR="00F22A28">
        <w:rPr>
          <w:rFonts w:ascii="Times New Roman" w:hAnsi="Times New Roman" w:cs="Times New Roman"/>
          <w:sz w:val="28"/>
          <w:szCs w:val="28"/>
        </w:rPr>
        <w:t>.</w:t>
      </w:r>
      <w:r w:rsidR="003D034C" w:rsidRPr="009A075B">
        <w:rPr>
          <w:rFonts w:ascii="Times New Roman" w:hAnsi="Times New Roman" w:cs="Times New Roman"/>
          <w:sz w:val="28"/>
          <w:szCs w:val="28"/>
        </w:rPr>
        <w:t xml:space="preserve"> </w:t>
      </w:r>
    </w:p>
    <w:p w:rsidR="009A075B" w:rsidRDefault="009A075B" w:rsidP="0077250F">
      <w:pPr>
        <w:pStyle w:val="ListParagraph"/>
        <w:tabs>
          <w:tab w:val="left" w:pos="360"/>
          <w:tab w:val="left" w:pos="720"/>
        </w:tabs>
        <w:spacing w:after="0" w:line="240" w:lineRule="auto"/>
        <w:ind w:left="0"/>
        <w:jc w:val="both"/>
        <w:rPr>
          <w:rFonts w:ascii="Times New Roman" w:hAnsi="Times New Roman" w:cs="Times New Roman"/>
          <w:sz w:val="28"/>
          <w:szCs w:val="28"/>
        </w:rPr>
      </w:pPr>
    </w:p>
    <w:p w:rsidR="009A075B" w:rsidRDefault="009A075B" w:rsidP="0077250F">
      <w:pPr>
        <w:pStyle w:val="ListParagraph"/>
        <w:numPr>
          <w:ilvl w:val="0"/>
          <w:numId w:val="11"/>
        </w:numPr>
        <w:tabs>
          <w:tab w:val="left" w:pos="360"/>
          <w:tab w:val="left" w:pos="720"/>
        </w:tabs>
        <w:spacing w:after="0" w:line="240" w:lineRule="auto"/>
        <w:ind w:left="0" w:firstLine="0"/>
        <w:jc w:val="both"/>
        <w:rPr>
          <w:rFonts w:ascii="Times New Roman" w:hAnsi="Times New Roman" w:cs="Times New Roman"/>
          <w:sz w:val="28"/>
          <w:szCs w:val="28"/>
        </w:rPr>
      </w:pPr>
      <w:r w:rsidRPr="009A075B">
        <w:rPr>
          <w:rFonts w:ascii="Times New Roman" w:hAnsi="Times New Roman" w:cs="Times New Roman"/>
          <w:sz w:val="28"/>
          <w:szCs w:val="28"/>
        </w:rPr>
        <w:t xml:space="preserve">   </w:t>
      </w:r>
      <w:r w:rsidR="003D034C" w:rsidRPr="009A075B">
        <w:rPr>
          <w:rFonts w:ascii="Times New Roman" w:hAnsi="Times New Roman" w:cs="Times New Roman"/>
          <w:sz w:val="28"/>
          <w:szCs w:val="28"/>
        </w:rPr>
        <w:t xml:space="preserve">The Defendants </w:t>
      </w:r>
      <w:r w:rsidR="00F1194C">
        <w:rPr>
          <w:rFonts w:ascii="Times New Roman" w:hAnsi="Times New Roman" w:cs="Times New Roman"/>
          <w:sz w:val="28"/>
          <w:szCs w:val="28"/>
        </w:rPr>
        <w:t>place considerable emphasis on the length of the delay, and very little on what</w:t>
      </w:r>
      <w:r w:rsidR="003D034C" w:rsidRPr="009A075B">
        <w:rPr>
          <w:rFonts w:ascii="Times New Roman" w:hAnsi="Times New Roman" w:cs="Times New Roman"/>
          <w:sz w:val="28"/>
          <w:szCs w:val="28"/>
        </w:rPr>
        <w:t xml:space="preserve"> cause</w:t>
      </w:r>
      <w:r w:rsidR="00F1194C">
        <w:rPr>
          <w:rFonts w:ascii="Times New Roman" w:hAnsi="Times New Roman" w:cs="Times New Roman"/>
          <w:sz w:val="28"/>
          <w:szCs w:val="28"/>
        </w:rPr>
        <w:t>d it</w:t>
      </w:r>
      <w:r w:rsidR="003D034C" w:rsidRPr="009A075B">
        <w:rPr>
          <w:rFonts w:ascii="Times New Roman" w:hAnsi="Times New Roman" w:cs="Times New Roman"/>
          <w:sz w:val="28"/>
          <w:szCs w:val="28"/>
        </w:rPr>
        <w:t xml:space="preserve">.  </w:t>
      </w:r>
      <w:r w:rsidR="003D034C" w:rsidRPr="00D75F3C">
        <w:rPr>
          <w:rFonts w:ascii="Times New Roman" w:hAnsi="Times New Roman" w:cs="Times New Roman"/>
          <w:sz w:val="28"/>
          <w:szCs w:val="28"/>
        </w:rPr>
        <w:t xml:space="preserve">They </w:t>
      </w:r>
      <w:r w:rsidR="003D034C" w:rsidRPr="009A075B">
        <w:rPr>
          <w:rFonts w:ascii="Times New Roman" w:hAnsi="Times New Roman" w:cs="Times New Roman"/>
          <w:sz w:val="28"/>
          <w:szCs w:val="28"/>
        </w:rPr>
        <w:t xml:space="preserve">argue that </w:t>
      </w:r>
      <w:r w:rsidR="003D034C" w:rsidRPr="009A075B">
        <w:rPr>
          <w:rFonts w:ascii="Times New Roman" w:hAnsi="Times New Roman" w:cs="Times New Roman"/>
          <w:i/>
          <w:sz w:val="28"/>
          <w:szCs w:val="28"/>
        </w:rPr>
        <w:t>Humphreys</w:t>
      </w:r>
      <w:r w:rsidR="003D034C" w:rsidRPr="009A075B">
        <w:rPr>
          <w:rFonts w:ascii="Times New Roman" w:hAnsi="Times New Roman" w:cs="Times New Roman"/>
          <w:sz w:val="28"/>
          <w:szCs w:val="28"/>
        </w:rPr>
        <w:t xml:space="preserve"> has altered the legal framework that governs these types of applications</w:t>
      </w:r>
      <w:r w:rsidR="001E0FDD">
        <w:rPr>
          <w:rFonts w:ascii="Times New Roman" w:hAnsi="Times New Roman" w:cs="Times New Roman"/>
          <w:sz w:val="28"/>
          <w:szCs w:val="28"/>
        </w:rPr>
        <w:t>.</w:t>
      </w:r>
      <w:r w:rsidR="00F1194C">
        <w:rPr>
          <w:rFonts w:ascii="Times New Roman" w:hAnsi="Times New Roman" w:cs="Times New Roman"/>
          <w:sz w:val="28"/>
          <w:szCs w:val="28"/>
        </w:rPr>
        <w:t xml:space="preserve"> </w:t>
      </w:r>
      <w:r w:rsidR="001E0FDD">
        <w:rPr>
          <w:rFonts w:ascii="Times New Roman" w:hAnsi="Times New Roman" w:cs="Times New Roman"/>
          <w:sz w:val="28"/>
          <w:szCs w:val="28"/>
        </w:rPr>
        <w:t xml:space="preserve"> They </w:t>
      </w:r>
      <w:r w:rsidR="00F22A28">
        <w:rPr>
          <w:rFonts w:ascii="Times New Roman" w:hAnsi="Times New Roman" w:cs="Times New Roman"/>
          <w:sz w:val="28"/>
          <w:szCs w:val="28"/>
        </w:rPr>
        <w:t xml:space="preserve">appear to </w:t>
      </w:r>
      <w:r w:rsidR="00F1194C">
        <w:rPr>
          <w:rFonts w:ascii="Times New Roman" w:hAnsi="Times New Roman" w:cs="Times New Roman"/>
          <w:sz w:val="28"/>
          <w:szCs w:val="28"/>
        </w:rPr>
        <w:t>suggest that</w:t>
      </w:r>
      <w:r w:rsidR="003D034C" w:rsidRPr="009A075B">
        <w:rPr>
          <w:rFonts w:ascii="Times New Roman" w:hAnsi="Times New Roman" w:cs="Times New Roman"/>
          <w:sz w:val="28"/>
          <w:szCs w:val="28"/>
        </w:rPr>
        <w:t xml:space="preserve"> the broad societal concerns that arise when stale actions are allowed to proceed can, alone, justify dismissal</w:t>
      </w:r>
      <w:r w:rsidR="001E0FDD">
        <w:rPr>
          <w:rFonts w:ascii="Times New Roman" w:hAnsi="Times New Roman" w:cs="Times New Roman"/>
          <w:sz w:val="28"/>
          <w:szCs w:val="28"/>
        </w:rPr>
        <w:t>, irrespective of what caused the delay</w:t>
      </w:r>
      <w:r w:rsidR="003D034C" w:rsidRPr="009A075B">
        <w:rPr>
          <w:rFonts w:ascii="Times New Roman" w:hAnsi="Times New Roman" w:cs="Times New Roman"/>
          <w:sz w:val="28"/>
          <w:szCs w:val="28"/>
        </w:rPr>
        <w:t xml:space="preserve">.    </w:t>
      </w:r>
    </w:p>
    <w:p w:rsidR="009A075B" w:rsidRPr="009A075B" w:rsidRDefault="009A075B" w:rsidP="0077250F">
      <w:pPr>
        <w:pStyle w:val="ListParagraph"/>
        <w:spacing w:after="0" w:line="240" w:lineRule="auto"/>
        <w:rPr>
          <w:rFonts w:ascii="Times New Roman" w:hAnsi="Times New Roman" w:cs="Times New Roman"/>
          <w:sz w:val="28"/>
          <w:szCs w:val="28"/>
        </w:rPr>
      </w:pPr>
    </w:p>
    <w:p w:rsidR="00EF400D" w:rsidRDefault="009A075B" w:rsidP="0077250F">
      <w:pPr>
        <w:pStyle w:val="ListParagraph"/>
        <w:numPr>
          <w:ilvl w:val="0"/>
          <w:numId w:val="11"/>
        </w:numPr>
        <w:tabs>
          <w:tab w:val="left" w:pos="360"/>
          <w:tab w:val="left" w:pos="720"/>
        </w:tabs>
        <w:spacing w:after="0" w:line="240" w:lineRule="auto"/>
        <w:ind w:left="0" w:firstLine="0"/>
        <w:jc w:val="both"/>
        <w:rPr>
          <w:rFonts w:ascii="Times New Roman" w:hAnsi="Times New Roman" w:cs="Times New Roman"/>
          <w:sz w:val="28"/>
          <w:szCs w:val="28"/>
        </w:rPr>
      </w:pPr>
      <w:r w:rsidRPr="009A075B">
        <w:rPr>
          <w:rFonts w:ascii="Times New Roman" w:hAnsi="Times New Roman" w:cs="Times New Roman"/>
          <w:sz w:val="28"/>
          <w:szCs w:val="28"/>
        </w:rPr>
        <w:t xml:space="preserve">   </w:t>
      </w:r>
      <w:r w:rsidR="00F1194C">
        <w:rPr>
          <w:rFonts w:ascii="Times New Roman" w:hAnsi="Times New Roman" w:cs="Times New Roman"/>
          <w:sz w:val="28"/>
          <w:szCs w:val="28"/>
        </w:rPr>
        <w:t xml:space="preserve">In my view, </w:t>
      </w:r>
      <w:r w:rsidR="00EF400D" w:rsidRPr="00EF400D">
        <w:rPr>
          <w:rFonts w:ascii="Times New Roman" w:hAnsi="Times New Roman" w:cs="Times New Roman"/>
          <w:i/>
          <w:sz w:val="28"/>
          <w:szCs w:val="28"/>
        </w:rPr>
        <w:t>Humphreys</w:t>
      </w:r>
      <w:r w:rsidR="00EF400D">
        <w:rPr>
          <w:rFonts w:ascii="Times New Roman" w:hAnsi="Times New Roman" w:cs="Times New Roman"/>
          <w:sz w:val="28"/>
          <w:szCs w:val="28"/>
        </w:rPr>
        <w:t xml:space="preserve"> does not support this position.  </w:t>
      </w:r>
      <w:r w:rsidR="00F1194C">
        <w:rPr>
          <w:rFonts w:ascii="Times New Roman" w:hAnsi="Times New Roman" w:cs="Times New Roman"/>
          <w:sz w:val="28"/>
          <w:szCs w:val="28"/>
        </w:rPr>
        <w:t>R</w:t>
      </w:r>
      <w:r w:rsidR="00EF400D">
        <w:rPr>
          <w:rFonts w:ascii="Times New Roman" w:hAnsi="Times New Roman" w:cs="Times New Roman"/>
          <w:sz w:val="28"/>
          <w:szCs w:val="28"/>
        </w:rPr>
        <w:t xml:space="preserve">eferring to the equivalent of Rule 327 in the Alberta rules, the Court </w:t>
      </w:r>
      <w:r w:rsidR="00F1194C">
        <w:rPr>
          <w:rFonts w:ascii="Times New Roman" w:hAnsi="Times New Roman" w:cs="Times New Roman"/>
          <w:sz w:val="28"/>
          <w:szCs w:val="28"/>
        </w:rPr>
        <w:t>made i</w:t>
      </w:r>
      <w:r w:rsidR="001E0FDD">
        <w:rPr>
          <w:rFonts w:ascii="Times New Roman" w:hAnsi="Times New Roman" w:cs="Times New Roman"/>
          <w:sz w:val="28"/>
          <w:szCs w:val="28"/>
        </w:rPr>
        <w:t>t clear that the relevant delay</w:t>
      </w:r>
      <w:r w:rsidR="00F1194C">
        <w:rPr>
          <w:rFonts w:ascii="Times New Roman" w:hAnsi="Times New Roman" w:cs="Times New Roman"/>
          <w:sz w:val="28"/>
          <w:szCs w:val="28"/>
        </w:rPr>
        <w:t xml:space="preserve"> does </w:t>
      </w:r>
      <w:r w:rsidR="00F1194C" w:rsidRPr="001E0FDD">
        <w:rPr>
          <w:rFonts w:ascii="Times New Roman" w:hAnsi="Times New Roman" w:cs="Times New Roman"/>
          <w:sz w:val="28"/>
          <w:szCs w:val="28"/>
        </w:rPr>
        <w:t>not</w:t>
      </w:r>
      <w:r w:rsidR="00F1194C">
        <w:rPr>
          <w:rFonts w:ascii="Times New Roman" w:hAnsi="Times New Roman" w:cs="Times New Roman"/>
          <w:sz w:val="28"/>
          <w:szCs w:val="28"/>
        </w:rPr>
        <w:t xml:space="preserve"> include delay caused by the moving party</w:t>
      </w:r>
      <w:r w:rsidR="00EF400D">
        <w:rPr>
          <w:rFonts w:ascii="Times New Roman" w:hAnsi="Times New Roman" w:cs="Times New Roman"/>
          <w:sz w:val="28"/>
          <w:szCs w:val="28"/>
        </w:rPr>
        <w:t>:</w:t>
      </w:r>
    </w:p>
    <w:p w:rsidR="00EF400D" w:rsidRPr="00EF400D" w:rsidRDefault="00EF400D" w:rsidP="0077250F">
      <w:pPr>
        <w:pStyle w:val="ListParagraph"/>
        <w:spacing w:after="0" w:line="240" w:lineRule="auto"/>
        <w:rPr>
          <w:rFonts w:ascii="Times New Roman" w:hAnsi="Times New Roman" w:cs="Times New Roman"/>
          <w:sz w:val="28"/>
          <w:szCs w:val="28"/>
        </w:rPr>
      </w:pPr>
    </w:p>
    <w:p w:rsidR="00EF400D" w:rsidRDefault="00EF400D" w:rsidP="00B31113">
      <w:pPr>
        <w:pStyle w:val="ListParagraph"/>
        <w:tabs>
          <w:tab w:val="left" w:pos="360"/>
          <w:tab w:val="left" w:pos="720"/>
        </w:tabs>
        <w:spacing w:after="0"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Rule 4.31(1) authorizes a court to dismiss an action if the </w:t>
      </w:r>
      <w:r w:rsidRPr="009A65B6">
        <w:rPr>
          <w:rFonts w:ascii="Times New Roman" w:hAnsi="Times New Roman" w:cs="Times New Roman"/>
          <w:sz w:val="24"/>
          <w:szCs w:val="24"/>
        </w:rPr>
        <w:t>nonmoving</w:t>
      </w:r>
      <w:r>
        <w:rPr>
          <w:rFonts w:ascii="Times New Roman" w:hAnsi="Times New Roman" w:cs="Times New Roman"/>
          <w:sz w:val="24"/>
          <w:szCs w:val="24"/>
        </w:rPr>
        <w:t xml:space="preserve"> party has prosecuted at such a slow pace that delay has occurred and the delay has resulted in significant prejudice to the other party. To make r. 4.31(1) more effective, r. 4.31(2) introduces a rebuttable legal presumption: proof of inordinate and inexcusable delay is proof of significant prejudice.</w:t>
      </w:r>
    </w:p>
    <w:p w:rsidR="00770185" w:rsidRDefault="00770185" w:rsidP="0077250F">
      <w:pPr>
        <w:pStyle w:val="ListParagraph"/>
        <w:tabs>
          <w:tab w:val="left" w:pos="360"/>
          <w:tab w:val="left" w:pos="720"/>
        </w:tabs>
        <w:spacing w:after="0" w:line="240" w:lineRule="auto"/>
        <w:ind w:left="0"/>
        <w:jc w:val="both"/>
        <w:rPr>
          <w:rFonts w:ascii="Times New Roman" w:hAnsi="Times New Roman" w:cs="Times New Roman"/>
          <w:i/>
          <w:sz w:val="28"/>
          <w:szCs w:val="28"/>
        </w:rPr>
      </w:pPr>
    </w:p>
    <w:p w:rsidR="00EF400D" w:rsidRDefault="00EF400D" w:rsidP="0077250F">
      <w:pPr>
        <w:pStyle w:val="ListParagraph"/>
        <w:tabs>
          <w:tab w:val="left" w:pos="360"/>
          <w:tab w:val="left" w:pos="720"/>
        </w:tabs>
        <w:spacing w:after="0" w:line="240" w:lineRule="auto"/>
        <w:ind w:left="0"/>
        <w:jc w:val="both"/>
        <w:rPr>
          <w:rFonts w:ascii="Times New Roman" w:hAnsi="Times New Roman" w:cs="Times New Roman"/>
          <w:sz w:val="28"/>
          <w:szCs w:val="28"/>
        </w:rPr>
      </w:pPr>
      <w:r w:rsidRPr="00EF400D">
        <w:rPr>
          <w:rFonts w:ascii="Times New Roman" w:hAnsi="Times New Roman" w:cs="Times New Roman"/>
          <w:i/>
          <w:sz w:val="28"/>
          <w:szCs w:val="28"/>
        </w:rPr>
        <w:t>Humphreys</w:t>
      </w:r>
      <w:r>
        <w:rPr>
          <w:rFonts w:ascii="Times New Roman" w:hAnsi="Times New Roman" w:cs="Times New Roman"/>
          <w:i/>
          <w:sz w:val="28"/>
          <w:szCs w:val="28"/>
        </w:rPr>
        <w:t xml:space="preserve"> v </w:t>
      </w:r>
      <w:r w:rsidR="00E97E45">
        <w:rPr>
          <w:rFonts w:ascii="Times New Roman" w:hAnsi="Times New Roman" w:cs="Times New Roman"/>
          <w:i/>
          <w:sz w:val="28"/>
          <w:szCs w:val="28"/>
        </w:rPr>
        <w:t>Trebilcock</w:t>
      </w:r>
      <w:r>
        <w:rPr>
          <w:rFonts w:ascii="Times New Roman" w:hAnsi="Times New Roman" w:cs="Times New Roman"/>
          <w:sz w:val="28"/>
          <w:szCs w:val="28"/>
        </w:rPr>
        <w:t xml:space="preserve">, </w:t>
      </w:r>
      <w:r w:rsidRPr="00EF400D">
        <w:rPr>
          <w:rFonts w:ascii="Times New Roman" w:hAnsi="Times New Roman" w:cs="Times New Roman"/>
          <w:i/>
          <w:sz w:val="28"/>
          <w:szCs w:val="28"/>
        </w:rPr>
        <w:t>supra</w:t>
      </w:r>
      <w:r>
        <w:rPr>
          <w:rFonts w:ascii="Times New Roman" w:hAnsi="Times New Roman" w:cs="Times New Roman"/>
          <w:sz w:val="28"/>
          <w:szCs w:val="28"/>
        </w:rPr>
        <w:t>, para 105.</w:t>
      </w:r>
    </w:p>
    <w:p w:rsidR="00B31113" w:rsidRDefault="00B31113" w:rsidP="0077250F">
      <w:pPr>
        <w:pStyle w:val="ListParagraph"/>
        <w:tabs>
          <w:tab w:val="left" w:pos="360"/>
          <w:tab w:val="left" w:pos="720"/>
        </w:tabs>
        <w:spacing w:after="0" w:line="240" w:lineRule="auto"/>
        <w:ind w:left="0"/>
        <w:jc w:val="both"/>
        <w:rPr>
          <w:rFonts w:ascii="Times New Roman" w:hAnsi="Times New Roman" w:cs="Times New Roman"/>
          <w:sz w:val="28"/>
          <w:szCs w:val="28"/>
        </w:rPr>
      </w:pPr>
    </w:p>
    <w:p w:rsidR="009A075B" w:rsidRPr="00EF400D" w:rsidRDefault="003D034C" w:rsidP="009A3CF3">
      <w:pPr>
        <w:pStyle w:val="ListParagraph"/>
        <w:numPr>
          <w:ilvl w:val="0"/>
          <w:numId w:val="11"/>
        </w:numPr>
        <w:tabs>
          <w:tab w:val="left" w:pos="360"/>
          <w:tab w:val="left" w:pos="720"/>
        </w:tabs>
        <w:spacing w:after="0" w:line="240" w:lineRule="auto"/>
        <w:ind w:left="0" w:firstLine="0"/>
        <w:jc w:val="both"/>
        <w:rPr>
          <w:rFonts w:ascii="Times New Roman" w:hAnsi="Times New Roman" w:cs="Times New Roman"/>
          <w:sz w:val="28"/>
          <w:szCs w:val="28"/>
        </w:rPr>
      </w:pPr>
      <w:r w:rsidRPr="00EF400D">
        <w:rPr>
          <w:rFonts w:ascii="Times New Roman" w:hAnsi="Times New Roman" w:cs="Times New Roman"/>
          <w:sz w:val="28"/>
          <w:szCs w:val="28"/>
        </w:rPr>
        <w:t>Th</w:t>
      </w:r>
      <w:r w:rsidR="00EF400D">
        <w:rPr>
          <w:rFonts w:ascii="Times New Roman" w:hAnsi="Times New Roman" w:cs="Times New Roman"/>
          <w:sz w:val="28"/>
          <w:szCs w:val="28"/>
        </w:rPr>
        <w:t>is is nothing new</w:t>
      </w:r>
      <w:r w:rsidRPr="00EF400D">
        <w:rPr>
          <w:rFonts w:ascii="Times New Roman" w:hAnsi="Times New Roman" w:cs="Times New Roman"/>
          <w:sz w:val="28"/>
          <w:szCs w:val="28"/>
        </w:rPr>
        <w:t xml:space="preserve">: courts </w:t>
      </w:r>
      <w:r w:rsidR="00385F8F">
        <w:rPr>
          <w:rFonts w:ascii="Times New Roman" w:hAnsi="Times New Roman" w:cs="Times New Roman"/>
          <w:sz w:val="28"/>
          <w:szCs w:val="28"/>
        </w:rPr>
        <w:t>do not</w:t>
      </w:r>
      <w:r w:rsidRPr="00EF400D">
        <w:rPr>
          <w:rFonts w:ascii="Times New Roman" w:hAnsi="Times New Roman" w:cs="Times New Roman"/>
          <w:sz w:val="28"/>
          <w:szCs w:val="28"/>
        </w:rPr>
        <w:t xml:space="preserve"> </w:t>
      </w:r>
      <w:r w:rsidR="00385F8F">
        <w:rPr>
          <w:rFonts w:ascii="Times New Roman" w:hAnsi="Times New Roman" w:cs="Times New Roman"/>
          <w:sz w:val="28"/>
          <w:szCs w:val="28"/>
        </w:rPr>
        <w:t>usual</w:t>
      </w:r>
      <w:r w:rsidRPr="00EF400D">
        <w:rPr>
          <w:rFonts w:ascii="Times New Roman" w:hAnsi="Times New Roman" w:cs="Times New Roman"/>
          <w:sz w:val="28"/>
          <w:szCs w:val="28"/>
        </w:rPr>
        <w:t>ly allow a party who causes delay to</w:t>
      </w:r>
      <w:r w:rsidR="00F22A28">
        <w:rPr>
          <w:rFonts w:ascii="Times New Roman" w:hAnsi="Times New Roman" w:cs="Times New Roman"/>
          <w:sz w:val="28"/>
          <w:szCs w:val="28"/>
        </w:rPr>
        <w:t xml:space="preserve"> later</w:t>
      </w:r>
      <w:r w:rsidRPr="00EF400D">
        <w:rPr>
          <w:rFonts w:ascii="Times New Roman" w:hAnsi="Times New Roman" w:cs="Times New Roman"/>
          <w:sz w:val="28"/>
          <w:szCs w:val="28"/>
        </w:rPr>
        <w:t xml:space="preserve"> </w:t>
      </w:r>
      <w:r w:rsidR="00385F8F">
        <w:rPr>
          <w:rFonts w:ascii="Times New Roman" w:hAnsi="Times New Roman" w:cs="Times New Roman"/>
          <w:sz w:val="28"/>
          <w:szCs w:val="28"/>
        </w:rPr>
        <w:t>use that delay as a weapon against the other party</w:t>
      </w:r>
      <w:r w:rsidRPr="00EF400D">
        <w:rPr>
          <w:rFonts w:ascii="Times New Roman" w:hAnsi="Times New Roman" w:cs="Times New Roman"/>
          <w:sz w:val="28"/>
          <w:szCs w:val="28"/>
        </w:rPr>
        <w:t>.</w:t>
      </w:r>
      <w:r w:rsidR="00EF400D">
        <w:rPr>
          <w:rFonts w:ascii="Times New Roman" w:hAnsi="Times New Roman" w:cs="Times New Roman"/>
          <w:sz w:val="28"/>
          <w:szCs w:val="28"/>
        </w:rPr>
        <w:t xml:space="preserve">  </w:t>
      </w:r>
      <w:r w:rsidR="00385F8F" w:rsidRPr="00EF400D">
        <w:rPr>
          <w:rFonts w:ascii="Times New Roman" w:hAnsi="Times New Roman" w:cs="Times New Roman"/>
          <w:i/>
          <w:sz w:val="28"/>
          <w:szCs w:val="28"/>
        </w:rPr>
        <w:t>32262 BC Ltd. v Cleaning by Page Ltd.</w:t>
      </w:r>
      <w:r w:rsidR="00385F8F">
        <w:rPr>
          <w:rFonts w:ascii="Times New Roman" w:hAnsi="Times New Roman" w:cs="Times New Roman"/>
          <w:sz w:val="28"/>
          <w:szCs w:val="28"/>
        </w:rPr>
        <w:t>, Unreported, No.8903-13334, October 22, 1993 (ABQB);</w:t>
      </w:r>
      <w:r w:rsidR="00385F8F" w:rsidRPr="00EF400D">
        <w:rPr>
          <w:rFonts w:ascii="Times New Roman" w:hAnsi="Times New Roman" w:cs="Times New Roman"/>
          <w:i/>
          <w:sz w:val="28"/>
          <w:szCs w:val="28"/>
        </w:rPr>
        <w:t xml:space="preserve"> </w:t>
      </w:r>
      <w:r w:rsidR="00EF400D" w:rsidRPr="00EF400D">
        <w:rPr>
          <w:rFonts w:ascii="Times New Roman" w:hAnsi="Times New Roman" w:cs="Times New Roman"/>
          <w:i/>
          <w:sz w:val="28"/>
          <w:szCs w:val="28"/>
        </w:rPr>
        <w:t>Young (Next Friend of) v A. D</w:t>
      </w:r>
      <w:r w:rsidR="00EF400D">
        <w:rPr>
          <w:rFonts w:ascii="Times New Roman" w:hAnsi="Times New Roman" w:cs="Times New Roman"/>
          <w:i/>
          <w:sz w:val="28"/>
          <w:szCs w:val="28"/>
        </w:rPr>
        <w:t>ei-Ba</w:t>
      </w:r>
      <w:r w:rsidR="00EF400D" w:rsidRPr="00EF400D">
        <w:rPr>
          <w:rFonts w:ascii="Times New Roman" w:hAnsi="Times New Roman" w:cs="Times New Roman"/>
          <w:i/>
          <w:sz w:val="28"/>
          <w:szCs w:val="28"/>
        </w:rPr>
        <w:t>ning Professional Corp.</w:t>
      </w:r>
      <w:r w:rsidR="00EF400D">
        <w:rPr>
          <w:rFonts w:ascii="Times New Roman" w:hAnsi="Times New Roman" w:cs="Times New Roman"/>
          <w:sz w:val="28"/>
          <w:szCs w:val="28"/>
        </w:rPr>
        <w:t xml:space="preserve"> (1996), 184 A.R. 209 (ABCA);</w:t>
      </w:r>
      <w:r w:rsidRPr="00EF400D">
        <w:rPr>
          <w:rFonts w:ascii="Times New Roman" w:hAnsi="Times New Roman" w:cs="Times New Roman"/>
          <w:sz w:val="28"/>
          <w:szCs w:val="28"/>
        </w:rPr>
        <w:t xml:space="preserve"> </w:t>
      </w:r>
      <w:r w:rsidRPr="00EF400D">
        <w:rPr>
          <w:rFonts w:ascii="Times New Roman" w:hAnsi="Times New Roman" w:cs="Times New Roman"/>
          <w:i/>
          <w:sz w:val="28"/>
          <w:szCs w:val="28"/>
        </w:rPr>
        <w:t xml:space="preserve">Maligne Lodge Ltd. </w:t>
      </w:r>
      <w:r w:rsidR="009A65B6" w:rsidRPr="009A65B6">
        <w:rPr>
          <w:rFonts w:ascii="Times New Roman" w:hAnsi="Times New Roman" w:cs="Times New Roman"/>
          <w:i/>
          <w:sz w:val="28"/>
          <w:szCs w:val="28"/>
        </w:rPr>
        <w:t>v</w:t>
      </w:r>
      <w:r w:rsidRPr="00EF400D">
        <w:rPr>
          <w:rFonts w:ascii="Times New Roman" w:hAnsi="Times New Roman" w:cs="Times New Roman"/>
          <w:i/>
          <w:sz w:val="28"/>
          <w:szCs w:val="28"/>
        </w:rPr>
        <w:t xml:space="preserve"> Stuart Olson Construction Ltd.</w:t>
      </w:r>
      <w:r w:rsidRPr="00EF400D">
        <w:rPr>
          <w:rFonts w:ascii="Times New Roman" w:hAnsi="Times New Roman" w:cs="Times New Roman"/>
          <w:sz w:val="28"/>
          <w:szCs w:val="28"/>
        </w:rPr>
        <w:t xml:space="preserve">, 2015 ABQB 451.  </w:t>
      </w:r>
    </w:p>
    <w:p w:rsidR="009A075B" w:rsidRPr="009A075B" w:rsidRDefault="009A075B" w:rsidP="0077250F">
      <w:pPr>
        <w:pStyle w:val="ListParagraph"/>
        <w:spacing w:after="0" w:line="240" w:lineRule="auto"/>
        <w:rPr>
          <w:rFonts w:ascii="Times New Roman" w:hAnsi="Times New Roman" w:cs="Times New Roman"/>
          <w:sz w:val="28"/>
          <w:szCs w:val="28"/>
        </w:rPr>
      </w:pPr>
    </w:p>
    <w:p w:rsidR="009A075B" w:rsidRDefault="00F1194C" w:rsidP="0077250F">
      <w:pPr>
        <w:pStyle w:val="ListParagraph"/>
        <w:numPr>
          <w:ilvl w:val="0"/>
          <w:numId w:val="11"/>
        </w:numPr>
        <w:tabs>
          <w:tab w:val="left" w:pos="36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In the Northwest Territories, t</w:t>
      </w:r>
      <w:r w:rsidR="00ED1AB8">
        <w:rPr>
          <w:rFonts w:ascii="Times New Roman" w:hAnsi="Times New Roman" w:cs="Times New Roman"/>
          <w:sz w:val="28"/>
          <w:szCs w:val="28"/>
        </w:rPr>
        <w:t xml:space="preserve">hat </w:t>
      </w:r>
      <w:r w:rsidR="00F22A28">
        <w:rPr>
          <w:rFonts w:ascii="Times New Roman" w:hAnsi="Times New Roman" w:cs="Times New Roman"/>
          <w:sz w:val="28"/>
          <w:szCs w:val="28"/>
        </w:rPr>
        <w:t xml:space="preserve">principle </w:t>
      </w:r>
      <w:r w:rsidR="00ED1AB8">
        <w:rPr>
          <w:rFonts w:ascii="Times New Roman" w:hAnsi="Times New Roman" w:cs="Times New Roman"/>
          <w:sz w:val="28"/>
          <w:szCs w:val="28"/>
        </w:rPr>
        <w:t xml:space="preserve">is </w:t>
      </w:r>
      <w:r w:rsidR="00F22A28">
        <w:rPr>
          <w:rFonts w:ascii="Times New Roman" w:hAnsi="Times New Roman" w:cs="Times New Roman"/>
          <w:sz w:val="28"/>
          <w:szCs w:val="28"/>
        </w:rPr>
        <w:t xml:space="preserve">actually </w:t>
      </w:r>
      <w:r w:rsidR="0055134E">
        <w:rPr>
          <w:rFonts w:ascii="Times New Roman" w:hAnsi="Times New Roman" w:cs="Times New Roman"/>
          <w:sz w:val="28"/>
          <w:szCs w:val="28"/>
        </w:rPr>
        <w:t xml:space="preserve">reflected in </w:t>
      </w:r>
      <w:r>
        <w:rPr>
          <w:rFonts w:ascii="Times New Roman" w:hAnsi="Times New Roman" w:cs="Times New Roman"/>
          <w:sz w:val="28"/>
          <w:szCs w:val="28"/>
        </w:rPr>
        <w:t>the wording of the rule</w:t>
      </w:r>
      <w:r w:rsidR="001E0FDD">
        <w:rPr>
          <w:rFonts w:ascii="Times New Roman" w:hAnsi="Times New Roman" w:cs="Times New Roman"/>
          <w:sz w:val="28"/>
          <w:szCs w:val="28"/>
        </w:rPr>
        <w:t>.</w:t>
      </w:r>
      <w:r w:rsidR="00B31113">
        <w:rPr>
          <w:rFonts w:ascii="Times New Roman" w:hAnsi="Times New Roman" w:cs="Times New Roman"/>
          <w:sz w:val="28"/>
          <w:szCs w:val="28"/>
        </w:rPr>
        <w:t xml:space="preserve"> </w:t>
      </w:r>
      <w:r w:rsidR="003D034C" w:rsidRPr="009A075B">
        <w:rPr>
          <w:rFonts w:ascii="Times New Roman" w:hAnsi="Times New Roman" w:cs="Times New Roman"/>
          <w:sz w:val="28"/>
          <w:szCs w:val="28"/>
        </w:rPr>
        <w:t xml:space="preserve"> </w:t>
      </w:r>
      <w:r w:rsidR="00F22A28">
        <w:rPr>
          <w:rFonts w:ascii="Times New Roman" w:hAnsi="Times New Roman" w:cs="Times New Roman"/>
          <w:sz w:val="28"/>
          <w:szCs w:val="28"/>
        </w:rPr>
        <w:t>T</w:t>
      </w:r>
      <w:r w:rsidR="003D034C" w:rsidRPr="009A075B">
        <w:rPr>
          <w:rFonts w:ascii="Times New Roman" w:hAnsi="Times New Roman" w:cs="Times New Roman"/>
          <w:sz w:val="28"/>
          <w:szCs w:val="28"/>
        </w:rPr>
        <w:t>he rule</w:t>
      </w:r>
      <w:r w:rsidR="008D2A0F">
        <w:rPr>
          <w:rFonts w:ascii="Times New Roman" w:hAnsi="Times New Roman" w:cs="Times New Roman"/>
          <w:sz w:val="28"/>
          <w:szCs w:val="28"/>
        </w:rPr>
        <w:t>s</w:t>
      </w:r>
      <w:r w:rsidR="00ED1AB8">
        <w:rPr>
          <w:rFonts w:ascii="Times New Roman" w:hAnsi="Times New Roman" w:cs="Times New Roman"/>
          <w:sz w:val="28"/>
          <w:szCs w:val="28"/>
        </w:rPr>
        <w:t xml:space="preserve"> that </w:t>
      </w:r>
      <w:r w:rsidR="008D2A0F">
        <w:rPr>
          <w:rFonts w:ascii="Times New Roman" w:hAnsi="Times New Roman" w:cs="Times New Roman"/>
          <w:sz w:val="28"/>
          <w:szCs w:val="28"/>
        </w:rPr>
        <w:t>were engaged</w:t>
      </w:r>
      <w:r w:rsidR="00ED1AB8">
        <w:rPr>
          <w:rFonts w:ascii="Times New Roman" w:hAnsi="Times New Roman" w:cs="Times New Roman"/>
          <w:sz w:val="28"/>
          <w:szCs w:val="28"/>
        </w:rPr>
        <w:t xml:space="preserve"> in </w:t>
      </w:r>
      <w:r w:rsidR="00ED1AB8" w:rsidRPr="00ED1AB8">
        <w:rPr>
          <w:rFonts w:ascii="Times New Roman" w:hAnsi="Times New Roman" w:cs="Times New Roman"/>
          <w:i/>
          <w:sz w:val="28"/>
          <w:szCs w:val="28"/>
        </w:rPr>
        <w:t>Humphreys</w:t>
      </w:r>
      <w:r w:rsidR="003D034C" w:rsidRPr="009A075B">
        <w:rPr>
          <w:rFonts w:ascii="Times New Roman" w:hAnsi="Times New Roman" w:cs="Times New Roman"/>
          <w:sz w:val="28"/>
          <w:szCs w:val="28"/>
        </w:rPr>
        <w:t xml:space="preserve"> refer </w:t>
      </w:r>
      <w:r w:rsidR="00385F8F">
        <w:rPr>
          <w:rFonts w:ascii="Times New Roman" w:hAnsi="Times New Roman" w:cs="Times New Roman"/>
          <w:sz w:val="28"/>
          <w:szCs w:val="28"/>
        </w:rPr>
        <w:t>on</w:t>
      </w:r>
      <w:r w:rsidR="003D034C" w:rsidRPr="009A075B">
        <w:rPr>
          <w:rFonts w:ascii="Times New Roman" w:hAnsi="Times New Roman" w:cs="Times New Roman"/>
          <w:sz w:val="28"/>
          <w:szCs w:val="28"/>
        </w:rPr>
        <w:t>ly to “delay”</w:t>
      </w:r>
      <w:r w:rsidR="00ED1AB8">
        <w:rPr>
          <w:rFonts w:ascii="Times New Roman" w:hAnsi="Times New Roman" w:cs="Times New Roman"/>
          <w:sz w:val="28"/>
          <w:szCs w:val="28"/>
        </w:rPr>
        <w:t xml:space="preserve"> (</w:t>
      </w:r>
      <w:r w:rsidR="00ED1AB8" w:rsidRPr="008D2A0F">
        <w:rPr>
          <w:rFonts w:ascii="Times New Roman" w:hAnsi="Times New Roman" w:cs="Times New Roman"/>
          <w:i/>
          <w:sz w:val="28"/>
          <w:szCs w:val="28"/>
        </w:rPr>
        <w:t>Humphreys</w:t>
      </w:r>
      <w:r w:rsidR="00ED1AB8">
        <w:rPr>
          <w:rFonts w:ascii="Times New Roman" w:hAnsi="Times New Roman" w:cs="Times New Roman"/>
          <w:sz w:val="28"/>
          <w:szCs w:val="28"/>
        </w:rPr>
        <w:t>, para</w:t>
      </w:r>
      <w:r w:rsidR="008D2A0F">
        <w:rPr>
          <w:rFonts w:ascii="Times New Roman" w:hAnsi="Times New Roman" w:cs="Times New Roman"/>
          <w:sz w:val="28"/>
          <w:szCs w:val="28"/>
        </w:rPr>
        <w:t>s 84-88)</w:t>
      </w:r>
      <w:r w:rsidR="001E0FDD">
        <w:rPr>
          <w:rFonts w:ascii="Times New Roman" w:hAnsi="Times New Roman" w:cs="Times New Roman"/>
          <w:sz w:val="28"/>
          <w:szCs w:val="28"/>
        </w:rPr>
        <w:t>,</w:t>
      </w:r>
      <w:r w:rsidR="003D034C" w:rsidRPr="009A075B">
        <w:rPr>
          <w:rFonts w:ascii="Times New Roman" w:hAnsi="Times New Roman" w:cs="Times New Roman"/>
          <w:sz w:val="28"/>
          <w:szCs w:val="28"/>
        </w:rPr>
        <w:t xml:space="preserve"> </w:t>
      </w:r>
      <w:r w:rsidR="00F22A28">
        <w:rPr>
          <w:rFonts w:ascii="Times New Roman" w:hAnsi="Times New Roman" w:cs="Times New Roman"/>
          <w:sz w:val="28"/>
          <w:szCs w:val="28"/>
        </w:rPr>
        <w:t xml:space="preserve">but </w:t>
      </w:r>
      <w:r w:rsidR="003D034C" w:rsidRPr="009A075B">
        <w:rPr>
          <w:rFonts w:ascii="Times New Roman" w:hAnsi="Times New Roman" w:cs="Times New Roman"/>
          <w:sz w:val="28"/>
          <w:szCs w:val="28"/>
        </w:rPr>
        <w:t xml:space="preserve">Rule 327 refers to delay </w:t>
      </w:r>
      <w:r w:rsidR="003D034C" w:rsidRPr="009A075B">
        <w:rPr>
          <w:rFonts w:ascii="Times New Roman" w:hAnsi="Times New Roman" w:cs="Times New Roman"/>
          <w:i/>
          <w:sz w:val="28"/>
          <w:szCs w:val="28"/>
        </w:rPr>
        <w:t>on the part of another party</w:t>
      </w:r>
      <w:r w:rsidR="003D034C" w:rsidRPr="009A075B">
        <w:rPr>
          <w:rFonts w:ascii="Times New Roman" w:hAnsi="Times New Roman" w:cs="Times New Roman"/>
          <w:sz w:val="28"/>
          <w:szCs w:val="28"/>
        </w:rPr>
        <w:t xml:space="preserve">.  </w:t>
      </w:r>
      <w:r w:rsidR="00C2718C">
        <w:rPr>
          <w:rFonts w:ascii="Times New Roman" w:hAnsi="Times New Roman" w:cs="Times New Roman"/>
          <w:sz w:val="28"/>
          <w:szCs w:val="28"/>
        </w:rPr>
        <w:t>This makes it very clear</w:t>
      </w:r>
      <w:r w:rsidR="001E0FDD">
        <w:rPr>
          <w:rFonts w:ascii="Times New Roman" w:hAnsi="Times New Roman" w:cs="Times New Roman"/>
          <w:sz w:val="28"/>
          <w:szCs w:val="28"/>
        </w:rPr>
        <w:t xml:space="preserve"> that</w:t>
      </w:r>
      <w:r w:rsidR="003D034C" w:rsidRPr="009A075B">
        <w:rPr>
          <w:rFonts w:ascii="Times New Roman" w:hAnsi="Times New Roman" w:cs="Times New Roman"/>
          <w:sz w:val="28"/>
          <w:szCs w:val="28"/>
        </w:rPr>
        <w:t xml:space="preserve"> a party cannot rely on </w:t>
      </w:r>
      <w:r w:rsidR="001E0FDD">
        <w:rPr>
          <w:rFonts w:ascii="Times New Roman" w:hAnsi="Times New Roman" w:cs="Times New Roman"/>
          <w:sz w:val="28"/>
          <w:szCs w:val="28"/>
        </w:rPr>
        <w:t xml:space="preserve">its own </w:t>
      </w:r>
      <w:r w:rsidR="003D034C" w:rsidRPr="009A075B">
        <w:rPr>
          <w:rFonts w:ascii="Times New Roman" w:hAnsi="Times New Roman" w:cs="Times New Roman"/>
          <w:sz w:val="28"/>
          <w:szCs w:val="28"/>
        </w:rPr>
        <w:t xml:space="preserve">delay </w:t>
      </w:r>
      <w:r w:rsidR="00C2718C">
        <w:rPr>
          <w:rFonts w:ascii="Times New Roman" w:hAnsi="Times New Roman" w:cs="Times New Roman"/>
          <w:sz w:val="28"/>
          <w:szCs w:val="28"/>
        </w:rPr>
        <w:t>when seeking dismissal under that Rule</w:t>
      </w:r>
      <w:r w:rsidR="003D034C" w:rsidRPr="009A075B">
        <w:rPr>
          <w:rFonts w:ascii="Times New Roman" w:hAnsi="Times New Roman" w:cs="Times New Roman"/>
          <w:sz w:val="28"/>
          <w:szCs w:val="28"/>
        </w:rPr>
        <w:t>.</w:t>
      </w:r>
    </w:p>
    <w:p w:rsidR="009A075B" w:rsidRPr="009A075B" w:rsidRDefault="009A075B" w:rsidP="0077250F">
      <w:pPr>
        <w:pStyle w:val="ListParagraph"/>
        <w:spacing w:after="0" w:line="240" w:lineRule="auto"/>
        <w:rPr>
          <w:rFonts w:ascii="Times New Roman" w:hAnsi="Times New Roman" w:cs="Times New Roman"/>
          <w:sz w:val="28"/>
          <w:szCs w:val="28"/>
        </w:rPr>
      </w:pPr>
    </w:p>
    <w:p w:rsidR="00373AC1" w:rsidRDefault="008D2A0F"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short, </w:t>
      </w:r>
      <w:r w:rsidR="00F1194C">
        <w:rPr>
          <w:rFonts w:ascii="Times New Roman" w:hAnsi="Times New Roman" w:cs="Times New Roman"/>
          <w:sz w:val="28"/>
          <w:szCs w:val="28"/>
        </w:rPr>
        <w:t xml:space="preserve">merely </w:t>
      </w:r>
      <w:r>
        <w:rPr>
          <w:rFonts w:ascii="Times New Roman" w:hAnsi="Times New Roman" w:cs="Times New Roman"/>
          <w:sz w:val="28"/>
          <w:szCs w:val="28"/>
        </w:rPr>
        <w:t xml:space="preserve">focusing on the </w:t>
      </w:r>
      <w:r w:rsidR="00F1194C">
        <w:rPr>
          <w:rFonts w:ascii="Times New Roman" w:hAnsi="Times New Roman" w:cs="Times New Roman"/>
          <w:sz w:val="28"/>
          <w:szCs w:val="28"/>
        </w:rPr>
        <w:t xml:space="preserve">length of the </w:t>
      </w:r>
      <w:r>
        <w:rPr>
          <w:rFonts w:ascii="Times New Roman" w:hAnsi="Times New Roman" w:cs="Times New Roman"/>
          <w:sz w:val="28"/>
          <w:szCs w:val="28"/>
        </w:rPr>
        <w:t xml:space="preserve">delay, even a </w:t>
      </w:r>
      <w:r w:rsidR="00F1194C">
        <w:rPr>
          <w:rFonts w:ascii="Times New Roman" w:hAnsi="Times New Roman" w:cs="Times New Roman"/>
          <w:sz w:val="28"/>
          <w:szCs w:val="28"/>
        </w:rPr>
        <w:t xml:space="preserve">very </w:t>
      </w:r>
      <w:r>
        <w:rPr>
          <w:rFonts w:ascii="Times New Roman" w:hAnsi="Times New Roman" w:cs="Times New Roman"/>
          <w:sz w:val="28"/>
          <w:szCs w:val="28"/>
        </w:rPr>
        <w:t xml:space="preserve">lengthy delay, </w:t>
      </w:r>
      <w:r w:rsidR="00F1194C">
        <w:rPr>
          <w:rFonts w:ascii="Times New Roman" w:hAnsi="Times New Roman" w:cs="Times New Roman"/>
          <w:sz w:val="28"/>
          <w:szCs w:val="28"/>
        </w:rPr>
        <w:t>is</w:t>
      </w:r>
      <w:r>
        <w:rPr>
          <w:rFonts w:ascii="Times New Roman" w:hAnsi="Times New Roman" w:cs="Times New Roman"/>
          <w:sz w:val="28"/>
          <w:szCs w:val="28"/>
        </w:rPr>
        <w:t xml:space="preserve"> not the correct approach</w:t>
      </w:r>
      <w:r w:rsidR="003D034C" w:rsidRPr="00373AC1">
        <w:rPr>
          <w:rFonts w:ascii="Times New Roman" w:hAnsi="Times New Roman" w:cs="Times New Roman"/>
          <w:sz w:val="28"/>
          <w:szCs w:val="28"/>
        </w:rPr>
        <w:t>.</w:t>
      </w:r>
      <w:r w:rsidR="00D94ACF">
        <w:rPr>
          <w:rFonts w:ascii="Times New Roman" w:hAnsi="Times New Roman" w:cs="Times New Roman"/>
          <w:sz w:val="28"/>
          <w:szCs w:val="28"/>
        </w:rPr>
        <w:t xml:space="preserve"> </w:t>
      </w:r>
      <w:r w:rsidR="003D034C" w:rsidRPr="00373AC1">
        <w:rPr>
          <w:rFonts w:ascii="Times New Roman" w:hAnsi="Times New Roman" w:cs="Times New Roman"/>
          <w:sz w:val="28"/>
          <w:szCs w:val="28"/>
        </w:rPr>
        <w:t xml:space="preserve"> </w:t>
      </w:r>
      <w:r>
        <w:rPr>
          <w:rFonts w:ascii="Times New Roman" w:hAnsi="Times New Roman" w:cs="Times New Roman"/>
          <w:sz w:val="28"/>
          <w:szCs w:val="28"/>
        </w:rPr>
        <w:t>Regard must be had for the causes for the delay and which party</w:t>
      </w:r>
      <w:r w:rsidR="003D034C" w:rsidRPr="008D2A0F">
        <w:rPr>
          <w:rFonts w:ascii="Times New Roman" w:hAnsi="Times New Roman" w:cs="Times New Roman"/>
          <w:sz w:val="28"/>
          <w:szCs w:val="28"/>
        </w:rPr>
        <w:t xml:space="preserve"> bears the responsibility for it.  </w:t>
      </w:r>
    </w:p>
    <w:p w:rsidR="00F1194C" w:rsidRPr="00F1194C" w:rsidRDefault="00F1194C" w:rsidP="0077250F">
      <w:pPr>
        <w:pStyle w:val="ListParagraph"/>
        <w:spacing w:after="0" w:line="240" w:lineRule="auto"/>
        <w:rPr>
          <w:rFonts w:ascii="Times New Roman" w:hAnsi="Times New Roman" w:cs="Times New Roman"/>
          <w:sz w:val="28"/>
          <w:szCs w:val="28"/>
        </w:rPr>
      </w:pPr>
    </w:p>
    <w:p w:rsidR="00F1194C" w:rsidRPr="00F1194C" w:rsidRDefault="00F1194C" w:rsidP="0077250F">
      <w:pPr>
        <w:tabs>
          <w:tab w:val="left" w:pos="0"/>
          <w:tab w:val="left" w:pos="720"/>
        </w:tabs>
        <w:jc w:val="both"/>
        <w:rPr>
          <w:sz w:val="28"/>
          <w:szCs w:val="28"/>
        </w:rPr>
      </w:pPr>
      <w:r>
        <w:rPr>
          <w:sz w:val="28"/>
          <w:szCs w:val="28"/>
        </w:rPr>
        <w:t xml:space="preserve">2. </w:t>
      </w:r>
      <w:r w:rsidR="00BC2090">
        <w:rPr>
          <w:sz w:val="28"/>
          <w:szCs w:val="28"/>
        </w:rPr>
        <w:t>Application of Legal Framework to t</w:t>
      </w:r>
      <w:r>
        <w:rPr>
          <w:sz w:val="28"/>
          <w:szCs w:val="28"/>
        </w:rPr>
        <w:t xml:space="preserve">he </w:t>
      </w:r>
      <w:r w:rsidR="00385F8F">
        <w:rPr>
          <w:sz w:val="28"/>
          <w:szCs w:val="28"/>
        </w:rPr>
        <w:t>Facts</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373AC1">
        <w:rPr>
          <w:rFonts w:ascii="Times New Roman" w:hAnsi="Times New Roman" w:cs="Times New Roman"/>
          <w:sz w:val="28"/>
          <w:szCs w:val="28"/>
        </w:rPr>
        <w:t>The Defendants rely on the Affidavit sworn by Ross A</w:t>
      </w:r>
      <w:r w:rsidR="005165D8">
        <w:rPr>
          <w:rFonts w:ascii="Times New Roman" w:hAnsi="Times New Roman" w:cs="Times New Roman"/>
          <w:sz w:val="28"/>
          <w:szCs w:val="28"/>
        </w:rPr>
        <w:t>bd</w:t>
      </w:r>
      <w:r w:rsidRPr="00373AC1">
        <w:rPr>
          <w:rFonts w:ascii="Times New Roman" w:hAnsi="Times New Roman" w:cs="Times New Roman"/>
          <w:sz w:val="28"/>
          <w:szCs w:val="28"/>
        </w:rPr>
        <w:t>urahman, their corporate litigation representative.  Aspects of the Affidavit address the delay, and others</w:t>
      </w:r>
      <w:r w:rsidR="00F1194C">
        <w:rPr>
          <w:rFonts w:ascii="Times New Roman" w:hAnsi="Times New Roman" w:cs="Times New Roman"/>
          <w:sz w:val="28"/>
          <w:szCs w:val="28"/>
        </w:rPr>
        <w:t xml:space="preserve"> address</w:t>
      </w:r>
      <w:r w:rsidRPr="00373AC1">
        <w:rPr>
          <w:rFonts w:ascii="Times New Roman" w:hAnsi="Times New Roman" w:cs="Times New Roman"/>
          <w:sz w:val="28"/>
          <w:szCs w:val="28"/>
        </w:rPr>
        <w:t xml:space="preserve"> the </w:t>
      </w:r>
      <w:r w:rsidR="001E0FDD">
        <w:rPr>
          <w:rFonts w:ascii="Times New Roman" w:hAnsi="Times New Roman" w:cs="Times New Roman"/>
          <w:sz w:val="28"/>
          <w:szCs w:val="28"/>
        </w:rPr>
        <w:t xml:space="preserve">issue of </w:t>
      </w:r>
      <w:r w:rsidRPr="00373AC1">
        <w:rPr>
          <w:rFonts w:ascii="Times New Roman" w:hAnsi="Times New Roman" w:cs="Times New Roman"/>
          <w:sz w:val="28"/>
          <w:szCs w:val="28"/>
        </w:rPr>
        <w:t>prejudice.</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Pr="007C03AA"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373AC1">
        <w:rPr>
          <w:rFonts w:ascii="Times New Roman" w:hAnsi="Times New Roman" w:cs="Times New Roman"/>
          <w:sz w:val="28"/>
          <w:szCs w:val="28"/>
        </w:rPr>
        <w:t>Mr. A</w:t>
      </w:r>
      <w:r w:rsidR="005165D8">
        <w:rPr>
          <w:rFonts w:ascii="Times New Roman" w:hAnsi="Times New Roman" w:cs="Times New Roman"/>
          <w:sz w:val="28"/>
          <w:szCs w:val="28"/>
        </w:rPr>
        <w:t>bd</w:t>
      </w:r>
      <w:r w:rsidRPr="00373AC1">
        <w:rPr>
          <w:rFonts w:ascii="Times New Roman" w:hAnsi="Times New Roman" w:cs="Times New Roman"/>
          <w:sz w:val="28"/>
          <w:szCs w:val="28"/>
        </w:rPr>
        <w:t xml:space="preserve">urahman’s Affidavit refers to dates when some </w:t>
      </w:r>
      <w:r w:rsidR="004E13B6">
        <w:rPr>
          <w:rFonts w:ascii="Times New Roman" w:hAnsi="Times New Roman" w:cs="Times New Roman"/>
          <w:sz w:val="28"/>
          <w:szCs w:val="28"/>
        </w:rPr>
        <w:t xml:space="preserve">of the </w:t>
      </w:r>
      <w:r w:rsidRPr="00373AC1">
        <w:rPr>
          <w:rFonts w:ascii="Times New Roman" w:hAnsi="Times New Roman" w:cs="Times New Roman"/>
          <w:sz w:val="28"/>
          <w:szCs w:val="28"/>
        </w:rPr>
        <w:t>steps in the litigation took place.  But it is far from detailed</w:t>
      </w:r>
      <w:r w:rsidR="001E0FDD">
        <w:rPr>
          <w:rFonts w:ascii="Times New Roman" w:hAnsi="Times New Roman" w:cs="Times New Roman"/>
          <w:sz w:val="28"/>
          <w:szCs w:val="28"/>
        </w:rPr>
        <w:t>: i</w:t>
      </w:r>
      <w:r w:rsidRPr="00373AC1">
        <w:rPr>
          <w:rFonts w:ascii="Times New Roman" w:hAnsi="Times New Roman" w:cs="Times New Roman"/>
          <w:sz w:val="28"/>
          <w:szCs w:val="28"/>
        </w:rPr>
        <w:t xml:space="preserve">t </w:t>
      </w:r>
      <w:r w:rsidR="004E13B6">
        <w:rPr>
          <w:rFonts w:ascii="Times New Roman" w:hAnsi="Times New Roman" w:cs="Times New Roman"/>
          <w:sz w:val="28"/>
          <w:szCs w:val="28"/>
        </w:rPr>
        <w:t>sum</w:t>
      </w:r>
      <w:r w:rsidR="001E0FDD">
        <w:rPr>
          <w:rFonts w:ascii="Times New Roman" w:hAnsi="Times New Roman" w:cs="Times New Roman"/>
          <w:sz w:val="28"/>
          <w:szCs w:val="28"/>
        </w:rPr>
        <w:t>s</w:t>
      </w:r>
      <w:r w:rsidR="004E13B6">
        <w:rPr>
          <w:rFonts w:ascii="Times New Roman" w:hAnsi="Times New Roman" w:cs="Times New Roman"/>
          <w:sz w:val="28"/>
          <w:szCs w:val="28"/>
        </w:rPr>
        <w:t xml:space="preserve"> up, in</w:t>
      </w:r>
      <w:r w:rsidRPr="00373AC1">
        <w:rPr>
          <w:rFonts w:ascii="Times New Roman" w:hAnsi="Times New Roman" w:cs="Times New Roman"/>
          <w:sz w:val="28"/>
          <w:szCs w:val="28"/>
        </w:rPr>
        <w:t xml:space="preserve"> ten </w:t>
      </w:r>
      <w:r w:rsidR="001E0FDD">
        <w:rPr>
          <w:rFonts w:ascii="Times New Roman" w:hAnsi="Times New Roman" w:cs="Times New Roman"/>
          <w:sz w:val="28"/>
          <w:szCs w:val="28"/>
        </w:rPr>
        <w:t>p</w:t>
      </w:r>
      <w:r w:rsidRPr="00373AC1">
        <w:rPr>
          <w:rFonts w:ascii="Times New Roman" w:hAnsi="Times New Roman" w:cs="Times New Roman"/>
          <w:sz w:val="28"/>
          <w:szCs w:val="28"/>
        </w:rPr>
        <w:t>aragraphs</w:t>
      </w:r>
      <w:r w:rsidR="004E13B6">
        <w:rPr>
          <w:rFonts w:ascii="Times New Roman" w:hAnsi="Times New Roman" w:cs="Times New Roman"/>
          <w:sz w:val="28"/>
          <w:szCs w:val="28"/>
        </w:rPr>
        <w:t>, a</w:t>
      </w:r>
      <w:r w:rsidR="001E0FDD">
        <w:rPr>
          <w:rFonts w:ascii="Times New Roman" w:hAnsi="Times New Roman" w:cs="Times New Roman"/>
          <w:sz w:val="28"/>
          <w:szCs w:val="28"/>
        </w:rPr>
        <w:t>n action</w:t>
      </w:r>
      <w:r w:rsidR="004E13B6">
        <w:rPr>
          <w:rFonts w:ascii="Times New Roman" w:hAnsi="Times New Roman" w:cs="Times New Roman"/>
          <w:sz w:val="28"/>
          <w:szCs w:val="28"/>
        </w:rPr>
        <w:t xml:space="preserve"> that</w:t>
      </w:r>
      <w:r w:rsidR="004E13B6" w:rsidRPr="00373AC1">
        <w:rPr>
          <w:rFonts w:ascii="Times New Roman" w:hAnsi="Times New Roman" w:cs="Times New Roman"/>
          <w:sz w:val="28"/>
          <w:szCs w:val="28"/>
        </w:rPr>
        <w:t xml:space="preserve"> ha</w:t>
      </w:r>
      <w:r w:rsidR="007C03AA">
        <w:rPr>
          <w:rFonts w:ascii="Times New Roman" w:hAnsi="Times New Roman" w:cs="Times New Roman"/>
          <w:sz w:val="28"/>
          <w:szCs w:val="28"/>
        </w:rPr>
        <w:t>s been ongoing for twenty years</w:t>
      </w:r>
      <w:r w:rsidRPr="00373AC1">
        <w:rPr>
          <w:rFonts w:ascii="Times New Roman" w:hAnsi="Times New Roman" w:cs="Times New Roman"/>
          <w:sz w:val="28"/>
          <w:szCs w:val="28"/>
        </w:rPr>
        <w:t xml:space="preserve">. </w:t>
      </w:r>
      <w:r w:rsidRPr="007C03AA">
        <w:rPr>
          <w:rFonts w:ascii="Times New Roman" w:hAnsi="Times New Roman" w:cs="Times New Roman"/>
          <w:sz w:val="28"/>
          <w:szCs w:val="28"/>
        </w:rPr>
        <w:t xml:space="preserve">  </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1E0FDD"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evidence filed in response by the Plaintiff is </w:t>
      </w:r>
      <w:r w:rsidR="00C2718C">
        <w:rPr>
          <w:rFonts w:ascii="Times New Roman" w:hAnsi="Times New Roman" w:cs="Times New Roman"/>
          <w:sz w:val="28"/>
          <w:szCs w:val="28"/>
        </w:rPr>
        <w:t>much</w:t>
      </w:r>
      <w:r>
        <w:rPr>
          <w:rFonts w:ascii="Times New Roman" w:hAnsi="Times New Roman" w:cs="Times New Roman"/>
          <w:sz w:val="28"/>
          <w:szCs w:val="28"/>
        </w:rPr>
        <w:t xml:space="preserve"> more detailed</w:t>
      </w:r>
      <w:r w:rsidR="00C2718C">
        <w:rPr>
          <w:rFonts w:ascii="Times New Roman" w:hAnsi="Times New Roman" w:cs="Times New Roman"/>
          <w:sz w:val="28"/>
          <w:szCs w:val="28"/>
        </w:rPr>
        <w:t>:</w:t>
      </w:r>
      <w:r>
        <w:rPr>
          <w:rFonts w:ascii="Times New Roman" w:hAnsi="Times New Roman" w:cs="Times New Roman"/>
          <w:sz w:val="28"/>
          <w:szCs w:val="28"/>
        </w:rPr>
        <w:t xml:space="preserve"> </w:t>
      </w:r>
      <w:r w:rsidR="00C2718C">
        <w:rPr>
          <w:rFonts w:ascii="Times New Roman" w:hAnsi="Times New Roman" w:cs="Times New Roman"/>
          <w:sz w:val="28"/>
          <w:szCs w:val="28"/>
        </w:rPr>
        <w:t>t</w:t>
      </w:r>
      <w:r>
        <w:rPr>
          <w:rFonts w:ascii="Times New Roman" w:hAnsi="Times New Roman" w:cs="Times New Roman"/>
          <w:sz w:val="28"/>
          <w:szCs w:val="28"/>
        </w:rPr>
        <w:t xml:space="preserve">he Affidavit of </w:t>
      </w:r>
      <w:r w:rsidR="003D034C" w:rsidRPr="00373AC1">
        <w:rPr>
          <w:rFonts w:ascii="Times New Roman" w:hAnsi="Times New Roman" w:cs="Times New Roman"/>
          <w:sz w:val="28"/>
          <w:szCs w:val="28"/>
        </w:rPr>
        <w:t xml:space="preserve">Brian Nagel, </w:t>
      </w:r>
      <w:r>
        <w:rPr>
          <w:rFonts w:ascii="Times New Roman" w:hAnsi="Times New Roman" w:cs="Times New Roman"/>
          <w:sz w:val="28"/>
          <w:szCs w:val="28"/>
        </w:rPr>
        <w:t>the Plaintiff’s</w:t>
      </w:r>
      <w:r w:rsidR="003D034C" w:rsidRPr="00373AC1">
        <w:rPr>
          <w:rFonts w:ascii="Times New Roman" w:hAnsi="Times New Roman" w:cs="Times New Roman"/>
          <w:sz w:val="28"/>
          <w:szCs w:val="28"/>
        </w:rPr>
        <w:t xml:space="preserve"> </w:t>
      </w:r>
      <w:r w:rsidR="00F22A28">
        <w:rPr>
          <w:rFonts w:ascii="Times New Roman" w:hAnsi="Times New Roman" w:cs="Times New Roman"/>
          <w:sz w:val="28"/>
          <w:szCs w:val="28"/>
        </w:rPr>
        <w:t>l</w:t>
      </w:r>
      <w:r w:rsidR="003D034C" w:rsidRPr="00373AC1">
        <w:rPr>
          <w:rFonts w:ascii="Times New Roman" w:hAnsi="Times New Roman" w:cs="Times New Roman"/>
          <w:sz w:val="28"/>
          <w:szCs w:val="28"/>
        </w:rPr>
        <w:t xml:space="preserve">itigation </w:t>
      </w:r>
      <w:r w:rsidR="00F22A28">
        <w:rPr>
          <w:rFonts w:ascii="Times New Roman" w:hAnsi="Times New Roman" w:cs="Times New Roman"/>
          <w:sz w:val="28"/>
          <w:szCs w:val="28"/>
        </w:rPr>
        <w:t>r</w:t>
      </w:r>
      <w:r w:rsidR="003D034C" w:rsidRPr="00373AC1">
        <w:rPr>
          <w:rFonts w:ascii="Times New Roman" w:hAnsi="Times New Roman" w:cs="Times New Roman"/>
          <w:sz w:val="28"/>
          <w:szCs w:val="28"/>
        </w:rPr>
        <w:t>epresentative</w:t>
      </w:r>
      <w:r>
        <w:rPr>
          <w:rFonts w:ascii="Times New Roman" w:hAnsi="Times New Roman" w:cs="Times New Roman"/>
          <w:sz w:val="28"/>
          <w:szCs w:val="28"/>
        </w:rPr>
        <w:t>,</w:t>
      </w:r>
      <w:r w:rsidR="004E13B6">
        <w:rPr>
          <w:rFonts w:ascii="Times New Roman" w:hAnsi="Times New Roman" w:cs="Times New Roman"/>
          <w:sz w:val="28"/>
          <w:szCs w:val="28"/>
        </w:rPr>
        <w:t xml:space="preserve"> includes</w:t>
      </w:r>
      <w:r w:rsidR="00F22A28">
        <w:rPr>
          <w:rFonts w:ascii="Times New Roman" w:hAnsi="Times New Roman" w:cs="Times New Roman"/>
          <w:sz w:val="28"/>
          <w:szCs w:val="28"/>
        </w:rPr>
        <w:t xml:space="preserve"> two hundred and twenty-</w:t>
      </w:r>
      <w:r w:rsidR="00E87932">
        <w:rPr>
          <w:rFonts w:ascii="Times New Roman" w:hAnsi="Times New Roman" w:cs="Times New Roman"/>
          <w:sz w:val="28"/>
          <w:szCs w:val="28"/>
        </w:rPr>
        <w:t>one</w:t>
      </w:r>
      <w:r w:rsidR="003D034C" w:rsidRPr="00373AC1">
        <w:rPr>
          <w:rFonts w:ascii="Times New Roman" w:hAnsi="Times New Roman" w:cs="Times New Roman"/>
          <w:sz w:val="28"/>
          <w:szCs w:val="28"/>
        </w:rPr>
        <w:t xml:space="preserve"> </w:t>
      </w:r>
      <w:r>
        <w:rPr>
          <w:rFonts w:ascii="Times New Roman" w:hAnsi="Times New Roman" w:cs="Times New Roman"/>
          <w:sz w:val="28"/>
          <w:szCs w:val="28"/>
        </w:rPr>
        <w:t>p</w:t>
      </w:r>
      <w:r w:rsidR="003D034C" w:rsidRPr="00373AC1">
        <w:rPr>
          <w:rFonts w:ascii="Times New Roman" w:hAnsi="Times New Roman" w:cs="Times New Roman"/>
          <w:sz w:val="28"/>
          <w:szCs w:val="28"/>
        </w:rPr>
        <w:t xml:space="preserve">aragraphs </w:t>
      </w:r>
      <w:r w:rsidR="004E13B6">
        <w:rPr>
          <w:rFonts w:ascii="Times New Roman" w:hAnsi="Times New Roman" w:cs="Times New Roman"/>
          <w:sz w:val="28"/>
          <w:szCs w:val="28"/>
        </w:rPr>
        <w:t xml:space="preserve">and </w:t>
      </w:r>
      <w:r w:rsidR="00F22A28">
        <w:rPr>
          <w:rFonts w:ascii="Times New Roman" w:hAnsi="Times New Roman" w:cs="Times New Roman"/>
          <w:sz w:val="28"/>
          <w:szCs w:val="28"/>
        </w:rPr>
        <w:t>one hundred and sixty-</w:t>
      </w:r>
      <w:r w:rsidR="00E87932">
        <w:rPr>
          <w:rFonts w:ascii="Times New Roman" w:hAnsi="Times New Roman" w:cs="Times New Roman"/>
          <w:sz w:val="28"/>
          <w:szCs w:val="28"/>
        </w:rPr>
        <w:t>four</w:t>
      </w:r>
      <w:r w:rsidR="00D75F3C">
        <w:rPr>
          <w:rFonts w:ascii="Times New Roman" w:hAnsi="Times New Roman" w:cs="Times New Roman"/>
          <w:sz w:val="28"/>
          <w:szCs w:val="28"/>
        </w:rPr>
        <w:t xml:space="preserve"> E</w:t>
      </w:r>
      <w:r w:rsidR="003D034C" w:rsidRPr="00373AC1">
        <w:rPr>
          <w:rFonts w:ascii="Times New Roman" w:hAnsi="Times New Roman" w:cs="Times New Roman"/>
          <w:sz w:val="28"/>
          <w:szCs w:val="28"/>
        </w:rPr>
        <w:t>xhibits</w:t>
      </w:r>
      <w:r w:rsidR="00E87932">
        <w:rPr>
          <w:rFonts w:ascii="Times New Roman" w:hAnsi="Times New Roman" w:cs="Times New Roman"/>
          <w:sz w:val="28"/>
          <w:szCs w:val="28"/>
        </w:rPr>
        <w:t>.</w:t>
      </w:r>
      <w:r w:rsidR="009A3CF3">
        <w:rPr>
          <w:rFonts w:ascii="Times New Roman" w:hAnsi="Times New Roman" w:cs="Times New Roman"/>
          <w:sz w:val="28"/>
          <w:szCs w:val="28"/>
        </w:rPr>
        <w:t xml:space="preserve"> </w:t>
      </w:r>
      <w:r w:rsidR="004E13B6">
        <w:rPr>
          <w:rFonts w:ascii="Times New Roman" w:hAnsi="Times New Roman" w:cs="Times New Roman"/>
          <w:sz w:val="28"/>
          <w:szCs w:val="28"/>
        </w:rPr>
        <w:t xml:space="preserve"> </w:t>
      </w:r>
      <w:r w:rsidR="00E87932">
        <w:rPr>
          <w:rFonts w:ascii="Times New Roman" w:hAnsi="Times New Roman" w:cs="Times New Roman"/>
          <w:sz w:val="28"/>
          <w:szCs w:val="28"/>
        </w:rPr>
        <w:t>It</w:t>
      </w:r>
      <w:r w:rsidR="004E13B6">
        <w:rPr>
          <w:rFonts w:ascii="Times New Roman" w:hAnsi="Times New Roman" w:cs="Times New Roman"/>
          <w:sz w:val="28"/>
          <w:szCs w:val="28"/>
        </w:rPr>
        <w:t xml:space="preserve"> </w:t>
      </w:r>
      <w:r w:rsidR="003D034C" w:rsidRPr="00373AC1">
        <w:rPr>
          <w:rFonts w:ascii="Times New Roman" w:hAnsi="Times New Roman" w:cs="Times New Roman"/>
          <w:sz w:val="28"/>
          <w:szCs w:val="28"/>
        </w:rPr>
        <w:t>goes over virtually every procedural step that has occurred during this litigation</w:t>
      </w:r>
      <w:r w:rsidR="004E13B6">
        <w:rPr>
          <w:rFonts w:ascii="Times New Roman" w:hAnsi="Times New Roman" w:cs="Times New Roman"/>
          <w:sz w:val="28"/>
          <w:szCs w:val="28"/>
        </w:rPr>
        <w:t xml:space="preserve">.  It also refers to </w:t>
      </w:r>
      <w:r w:rsidR="003D034C" w:rsidRPr="00373AC1">
        <w:rPr>
          <w:rFonts w:ascii="Times New Roman" w:hAnsi="Times New Roman" w:cs="Times New Roman"/>
          <w:sz w:val="28"/>
          <w:szCs w:val="28"/>
        </w:rPr>
        <w:t>communications between counsel</w:t>
      </w:r>
      <w:r w:rsidR="00E87932">
        <w:rPr>
          <w:rFonts w:ascii="Times New Roman" w:hAnsi="Times New Roman" w:cs="Times New Roman"/>
          <w:sz w:val="28"/>
          <w:szCs w:val="28"/>
        </w:rPr>
        <w:t xml:space="preserve"> at various points in time</w:t>
      </w:r>
      <w:r w:rsidR="003D034C" w:rsidRPr="00373AC1">
        <w:rPr>
          <w:rFonts w:ascii="Times New Roman" w:hAnsi="Times New Roman" w:cs="Times New Roman"/>
          <w:sz w:val="28"/>
          <w:szCs w:val="28"/>
        </w:rPr>
        <w:t xml:space="preserve">.  For the most part, </w:t>
      </w:r>
      <w:r w:rsidR="00D75F3C">
        <w:rPr>
          <w:rFonts w:ascii="Times New Roman" w:hAnsi="Times New Roman" w:cs="Times New Roman"/>
          <w:sz w:val="28"/>
          <w:szCs w:val="28"/>
        </w:rPr>
        <w:t>Mr. Nagel’s</w:t>
      </w:r>
      <w:r w:rsidR="003D034C" w:rsidRPr="00373AC1">
        <w:rPr>
          <w:rFonts w:ascii="Times New Roman" w:hAnsi="Times New Roman" w:cs="Times New Roman"/>
          <w:sz w:val="28"/>
          <w:szCs w:val="28"/>
        </w:rPr>
        <w:t xml:space="preserve"> assertions about</w:t>
      </w:r>
      <w:r w:rsidR="00373AC1" w:rsidRPr="00373AC1">
        <w:rPr>
          <w:rFonts w:ascii="Times New Roman" w:hAnsi="Times New Roman" w:cs="Times New Roman"/>
          <w:sz w:val="28"/>
          <w:szCs w:val="28"/>
        </w:rPr>
        <w:t xml:space="preserve"> </w:t>
      </w:r>
      <w:r w:rsidR="003D034C" w:rsidRPr="00373AC1">
        <w:rPr>
          <w:rFonts w:ascii="Times New Roman" w:hAnsi="Times New Roman" w:cs="Times New Roman"/>
          <w:sz w:val="28"/>
          <w:szCs w:val="28"/>
        </w:rPr>
        <w:t xml:space="preserve">what has transpired </w:t>
      </w:r>
      <w:r w:rsidR="004E13B6">
        <w:rPr>
          <w:rFonts w:ascii="Times New Roman" w:hAnsi="Times New Roman" w:cs="Times New Roman"/>
          <w:sz w:val="28"/>
          <w:szCs w:val="28"/>
        </w:rPr>
        <w:t xml:space="preserve">in this action </w:t>
      </w:r>
      <w:r w:rsidR="003D034C" w:rsidRPr="00373AC1">
        <w:rPr>
          <w:rFonts w:ascii="Times New Roman" w:hAnsi="Times New Roman" w:cs="Times New Roman"/>
          <w:sz w:val="28"/>
          <w:szCs w:val="28"/>
        </w:rPr>
        <w:t>since the Statement of Claim was filed</w:t>
      </w:r>
      <w:r w:rsidR="00F22A28">
        <w:rPr>
          <w:rFonts w:ascii="Times New Roman" w:hAnsi="Times New Roman" w:cs="Times New Roman"/>
          <w:sz w:val="28"/>
          <w:szCs w:val="28"/>
        </w:rPr>
        <w:t xml:space="preserve"> are supported by the pleadings</w:t>
      </w:r>
      <w:r w:rsidR="003D034C" w:rsidRPr="00373AC1">
        <w:rPr>
          <w:rFonts w:ascii="Times New Roman" w:hAnsi="Times New Roman" w:cs="Times New Roman"/>
          <w:sz w:val="28"/>
          <w:szCs w:val="28"/>
        </w:rPr>
        <w:t xml:space="preserve"> or by Exhibits to his Affidavit.   </w:t>
      </w:r>
    </w:p>
    <w:p w:rsidR="00373AC1" w:rsidRPr="00373AC1" w:rsidRDefault="00373AC1" w:rsidP="0077250F">
      <w:pPr>
        <w:pStyle w:val="ListParagraph"/>
        <w:spacing w:after="0" w:line="240" w:lineRule="auto"/>
        <w:rPr>
          <w:rFonts w:ascii="Times New Roman" w:hAnsi="Times New Roman" w:cs="Times New Roman"/>
          <w:sz w:val="28"/>
          <w:szCs w:val="28"/>
        </w:rPr>
      </w:pPr>
    </w:p>
    <w:p w:rsidR="00E87932" w:rsidRPr="001E0FDD" w:rsidRDefault="001E0FDD" w:rsidP="001E0FDD">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The assessment of evidence is not merely quantitative, of course</w:t>
      </w:r>
      <w:r w:rsidR="00C20CAE">
        <w:rPr>
          <w:rFonts w:ascii="Times New Roman" w:hAnsi="Times New Roman" w:cs="Times New Roman"/>
          <w:sz w:val="28"/>
          <w:szCs w:val="28"/>
        </w:rPr>
        <w:t>;</w:t>
      </w:r>
      <w:r w:rsidR="003D034C" w:rsidRPr="00373AC1">
        <w:rPr>
          <w:rFonts w:ascii="Times New Roman" w:hAnsi="Times New Roman" w:cs="Times New Roman"/>
          <w:sz w:val="28"/>
          <w:szCs w:val="28"/>
        </w:rPr>
        <w:t xml:space="preserve"> “</w:t>
      </w:r>
      <w:r w:rsidR="00C2718C">
        <w:rPr>
          <w:rFonts w:ascii="Times New Roman" w:hAnsi="Times New Roman" w:cs="Times New Roman"/>
          <w:sz w:val="28"/>
          <w:szCs w:val="28"/>
        </w:rPr>
        <w:t>m</w:t>
      </w:r>
      <w:r w:rsidR="003D034C" w:rsidRPr="00373AC1">
        <w:rPr>
          <w:rFonts w:ascii="Times New Roman" w:hAnsi="Times New Roman" w:cs="Times New Roman"/>
          <w:sz w:val="28"/>
          <w:szCs w:val="28"/>
        </w:rPr>
        <w:t>ore” is not necessarily “better”.  But</w:t>
      </w:r>
      <w:r w:rsidR="00C20CAE">
        <w:rPr>
          <w:rFonts w:ascii="Times New Roman" w:hAnsi="Times New Roman" w:cs="Times New Roman"/>
          <w:sz w:val="28"/>
          <w:szCs w:val="28"/>
        </w:rPr>
        <w:t>,</w:t>
      </w:r>
      <w:r w:rsidR="003D034C" w:rsidRPr="00373AC1">
        <w:rPr>
          <w:rFonts w:ascii="Times New Roman" w:hAnsi="Times New Roman" w:cs="Times New Roman"/>
          <w:sz w:val="28"/>
          <w:szCs w:val="28"/>
        </w:rPr>
        <w:t xml:space="preserve"> in this</w:t>
      </w:r>
      <w:r w:rsidR="00D75F3C">
        <w:rPr>
          <w:rFonts w:ascii="Times New Roman" w:hAnsi="Times New Roman" w:cs="Times New Roman"/>
          <w:sz w:val="28"/>
          <w:szCs w:val="28"/>
        </w:rPr>
        <w:t xml:space="preserve"> case, the level of detail</w:t>
      </w:r>
      <w:r w:rsidR="003D034C" w:rsidRPr="00373AC1">
        <w:rPr>
          <w:rFonts w:ascii="Times New Roman" w:hAnsi="Times New Roman" w:cs="Times New Roman"/>
          <w:sz w:val="28"/>
          <w:szCs w:val="28"/>
        </w:rPr>
        <w:t xml:space="preserve"> and </w:t>
      </w:r>
      <w:r w:rsidR="00D75F3C">
        <w:rPr>
          <w:rFonts w:ascii="Times New Roman" w:hAnsi="Times New Roman" w:cs="Times New Roman"/>
          <w:sz w:val="28"/>
          <w:szCs w:val="28"/>
        </w:rPr>
        <w:t xml:space="preserve">the </w:t>
      </w:r>
      <w:r w:rsidR="003D034C" w:rsidRPr="00373AC1">
        <w:rPr>
          <w:rFonts w:ascii="Times New Roman" w:hAnsi="Times New Roman" w:cs="Times New Roman"/>
          <w:sz w:val="28"/>
          <w:szCs w:val="28"/>
        </w:rPr>
        <w:t xml:space="preserve">supporting documents in the </w:t>
      </w:r>
      <w:r w:rsidR="004E13B6">
        <w:rPr>
          <w:rFonts w:ascii="Times New Roman" w:hAnsi="Times New Roman" w:cs="Times New Roman"/>
          <w:sz w:val="28"/>
          <w:szCs w:val="28"/>
        </w:rPr>
        <w:t xml:space="preserve">evidence adduced by the </w:t>
      </w:r>
      <w:r w:rsidR="003D034C" w:rsidRPr="00373AC1">
        <w:rPr>
          <w:rFonts w:ascii="Times New Roman" w:hAnsi="Times New Roman" w:cs="Times New Roman"/>
          <w:sz w:val="28"/>
          <w:szCs w:val="28"/>
        </w:rPr>
        <w:t xml:space="preserve">Plaintiff highlights the shortcomings and gaps in the </w:t>
      </w:r>
      <w:r w:rsidR="004E13B6">
        <w:rPr>
          <w:rFonts w:ascii="Times New Roman" w:hAnsi="Times New Roman" w:cs="Times New Roman"/>
          <w:sz w:val="28"/>
          <w:szCs w:val="28"/>
        </w:rPr>
        <w:t xml:space="preserve">evidence adduced by the </w:t>
      </w:r>
      <w:r>
        <w:rPr>
          <w:rFonts w:ascii="Times New Roman" w:hAnsi="Times New Roman" w:cs="Times New Roman"/>
          <w:sz w:val="28"/>
          <w:szCs w:val="28"/>
        </w:rPr>
        <w:t>Defendants.  It highlights how</w:t>
      </w:r>
      <w:r w:rsidR="004E13B6" w:rsidRPr="001E0FDD">
        <w:rPr>
          <w:rFonts w:ascii="Times New Roman" w:hAnsi="Times New Roman" w:cs="Times New Roman"/>
          <w:sz w:val="28"/>
          <w:szCs w:val="28"/>
        </w:rPr>
        <w:t xml:space="preserve"> the lack of </w:t>
      </w:r>
      <w:r w:rsidR="004E13B6" w:rsidRPr="001E0FDD">
        <w:rPr>
          <w:rFonts w:ascii="Times New Roman" w:hAnsi="Times New Roman" w:cs="Times New Roman"/>
          <w:sz w:val="28"/>
          <w:szCs w:val="28"/>
        </w:rPr>
        <w:lastRenderedPageBreak/>
        <w:t>detail and context in Mr. Abdu</w:t>
      </w:r>
      <w:r w:rsidR="005165D8">
        <w:rPr>
          <w:rFonts w:ascii="Times New Roman" w:hAnsi="Times New Roman" w:cs="Times New Roman"/>
          <w:sz w:val="28"/>
          <w:szCs w:val="28"/>
        </w:rPr>
        <w:t>rah</w:t>
      </w:r>
      <w:r w:rsidR="004E13B6" w:rsidRPr="001E0FDD">
        <w:rPr>
          <w:rFonts w:ascii="Times New Roman" w:hAnsi="Times New Roman" w:cs="Times New Roman"/>
          <w:sz w:val="28"/>
          <w:szCs w:val="28"/>
        </w:rPr>
        <w:t>man's Affidavit</w:t>
      </w:r>
      <w:r w:rsidR="003C55D4">
        <w:rPr>
          <w:rFonts w:ascii="Times New Roman" w:hAnsi="Times New Roman" w:cs="Times New Roman"/>
          <w:sz w:val="28"/>
          <w:szCs w:val="28"/>
        </w:rPr>
        <w:t xml:space="preserve"> renders</w:t>
      </w:r>
      <w:r w:rsidR="004E13B6" w:rsidRPr="001E0FDD">
        <w:rPr>
          <w:rFonts w:ascii="Times New Roman" w:hAnsi="Times New Roman" w:cs="Times New Roman"/>
          <w:sz w:val="28"/>
          <w:szCs w:val="28"/>
        </w:rPr>
        <w:t xml:space="preserve"> some of his assertions misleading.</w:t>
      </w:r>
    </w:p>
    <w:p w:rsidR="00E87932" w:rsidRPr="00E87932" w:rsidRDefault="00E87932" w:rsidP="0077250F">
      <w:pPr>
        <w:pStyle w:val="ListParagraph"/>
        <w:spacing w:after="0" w:line="240" w:lineRule="auto"/>
        <w:rPr>
          <w:rFonts w:ascii="Times New Roman" w:hAnsi="Times New Roman" w:cs="Times New Roman"/>
          <w:sz w:val="28"/>
          <w:szCs w:val="28"/>
        </w:rPr>
      </w:pPr>
    </w:p>
    <w:p w:rsidR="00373AC1" w:rsidRDefault="004E13B6"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D034C" w:rsidRPr="00373AC1">
        <w:rPr>
          <w:rFonts w:ascii="Times New Roman" w:hAnsi="Times New Roman" w:cs="Times New Roman"/>
          <w:sz w:val="28"/>
          <w:szCs w:val="28"/>
        </w:rPr>
        <w:t xml:space="preserve">For example, </w:t>
      </w:r>
      <w:r w:rsidR="003C55D4" w:rsidRPr="001E0FDD">
        <w:rPr>
          <w:rFonts w:ascii="Times New Roman" w:hAnsi="Times New Roman" w:cs="Times New Roman"/>
          <w:sz w:val="28"/>
          <w:szCs w:val="28"/>
        </w:rPr>
        <w:t>Mr. Abdurahman</w:t>
      </w:r>
      <w:r w:rsidR="003D034C" w:rsidRPr="00373AC1">
        <w:rPr>
          <w:rFonts w:ascii="Times New Roman" w:hAnsi="Times New Roman" w:cs="Times New Roman"/>
          <w:sz w:val="28"/>
          <w:szCs w:val="28"/>
        </w:rPr>
        <w:t xml:space="preserve"> deposes that the Plaintiff did not file its Statement as to Documents until 2003, nearly six years after the fire at the school.  That assertion is correct</w:t>
      </w:r>
      <w:r w:rsidR="003C55D4">
        <w:rPr>
          <w:rFonts w:ascii="Times New Roman" w:hAnsi="Times New Roman" w:cs="Times New Roman"/>
          <w:sz w:val="28"/>
          <w:szCs w:val="28"/>
        </w:rPr>
        <w:t>.</w:t>
      </w:r>
      <w:r w:rsidR="003D034C" w:rsidRPr="00373AC1">
        <w:rPr>
          <w:rFonts w:ascii="Times New Roman" w:hAnsi="Times New Roman" w:cs="Times New Roman"/>
          <w:sz w:val="28"/>
          <w:szCs w:val="28"/>
        </w:rPr>
        <w:t xml:space="preserve"> </w:t>
      </w:r>
      <w:r w:rsidR="003C55D4">
        <w:rPr>
          <w:rFonts w:ascii="Times New Roman" w:hAnsi="Times New Roman" w:cs="Times New Roman"/>
          <w:sz w:val="28"/>
          <w:szCs w:val="28"/>
        </w:rPr>
        <w:t xml:space="preserve"> B</w:t>
      </w:r>
      <w:r w:rsidR="003D034C" w:rsidRPr="00373AC1">
        <w:rPr>
          <w:rFonts w:ascii="Times New Roman" w:hAnsi="Times New Roman" w:cs="Times New Roman"/>
          <w:sz w:val="28"/>
          <w:szCs w:val="28"/>
        </w:rPr>
        <w:t xml:space="preserve">ut Mr. Abdurahman </w:t>
      </w:r>
      <w:r w:rsidR="00D75F3C">
        <w:rPr>
          <w:rFonts w:ascii="Times New Roman" w:hAnsi="Times New Roman" w:cs="Times New Roman"/>
          <w:sz w:val="28"/>
          <w:szCs w:val="28"/>
        </w:rPr>
        <w:t>makes no</w:t>
      </w:r>
      <w:r w:rsidR="003D034C" w:rsidRPr="00373AC1">
        <w:rPr>
          <w:rFonts w:ascii="Times New Roman" w:hAnsi="Times New Roman" w:cs="Times New Roman"/>
          <w:sz w:val="28"/>
          <w:szCs w:val="28"/>
        </w:rPr>
        <w:t xml:space="preserve"> mention </w:t>
      </w:r>
      <w:r w:rsidR="00D75F3C">
        <w:rPr>
          <w:rFonts w:ascii="Times New Roman" w:hAnsi="Times New Roman" w:cs="Times New Roman"/>
          <w:sz w:val="28"/>
          <w:szCs w:val="28"/>
        </w:rPr>
        <w:t xml:space="preserve">of the fact </w:t>
      </w:r>
      <w:r w:rsidR="003D034C" w:rsidRPr="00373AC1">
        <w:rPr>
          <w:rFonts w:ascii="Times New Roman" w:hAnsi="Times New Roman" w:cs="Times New Roman"/>
          <w:sz w:val="28"/>
          <w:szCs w:val="28"/>
        </w:rPr>
        <w:t>that the Defendants did not file their Statement of Defence until 2003</w:t>
      </w:r>
      <w:r w:rsidR="003C55D4">
        <w:rPr>
          <w:rFonts w:ascii="Times New Roman" w:hAnsi="Times New Roman" w:cs="Times New Roman"/>
          <w:sz w:val="28"/>
          <w:szCs w:val="28"/>
        </w:rPr>
        <w:t>, or of the fact that</w:t>
      </w:r>
      <w:r w:rsidR="003D034C" w:rsidRPr="00373AC1">
        <w:rPr>
          <w:rFonts w:ascii="Times New Roman" w:hAnsi="Times New Roman" w:cs="Times New Roman"/>
          <w:sz w:val="28"/>
          <w:szCs w:val="28"/>
        </w:rPr>
        <w:t xml:space="preserve"> the Plaintiff’s counsel requested multiple times that the Statement of Defence be filed.   </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373AC1">
        <w:rPr>
          <w:rFonts w:ascii="Times New Roman" w:hAnsi="Times New Roman" w:cs="Times New Roman"/>
          <w:sz w:val="28"/>
          <w:szCs w:val="28"/>
        </w:rPr>
        <w:t xml:space="preserve">Mr. Abduraham also deposes that the discovery process in this matter spanned </w:t>
      </w:r>
      <w:r w:rsidR="00F22A28">
        <w:rPr>
          <w:rFonts w:ascii="Times New Roman" w:hAnsi="Times New Roman" w:cs="Times New Roman"/>
          <w:sz w:val="28"/>
          <w:szCs w:val="28"/>
        </w:rPr>
        <w:t>thirteen-and-a-</w:t>
      </w:r>
      <w:r w:rsidR="00E87932">
        <w:rPr>
          <w:rFonts w:ascii="Times New Roman" w:hAnsi="Times New Roman" w:cs="Times New Roman"/>
          <w:sz w:val="28"/>
          <w:szCs w:val="28"/>
        </w:rPr>
        <w:t>half</w:t>
      </w:r>
      <w:r w:rsidRPr="00373AC1">
        <w:rPr>
          <w:rFonts w:ascii="Times New Roman" w:hAnsi="Times New Roman" w:cs="Times New Roman"/>
          <w:sz w:val="28"/>
          <w:szCs w:val="28"/>
        </w:rPr>
        <w:t xml:space="preserve"> years, with the most recent steps having taken place in January 2017.  </w:t>
      </w:r>
      <w:r w:rsidR="00D75F3C">
        <w:rPr>
          <w:rFonts w:ascii="Times New Roman" w:hAnsi="Times New Roman" w:cs="Times New Roman"/>
          <w:sz w:val="28"/>
          <w:szCs w:val="28"/>
        </w:rPr>
        <w:t>H</w:t>
      </w:r>
      <w:r w:rsidRPr="00373AC1">
        <w:rPr>
          <w:rFonts w:ascii="Times New Roman" w:hAnsi="Times New Roman" w:cs="Times New Roman"/>
          <w:sz w:val="28"/>
          <w:szCs w:val="28"/>
        </w:rPr>
        <w:t xml:space="preserve">e fails to </w:t>
      </w:r>
      <w:r w:rsidR="00E87932">
        <w:rPr>
          <w:rFonts w:ascii="Times New Roman" w:hAnsi="Times New Roman" w:cs="Times New Roman"/>
          <w:sz w:val="28"/>
          <w:szCs w:val="28"/>
        </w:rPr>
        <w:t>mention</w:t>
      </w:r>
      <w:r w:rsidRPr="00373AC1">
        <w:rPr>
          <w:rFonts w:ascii="Times New Roman" w:hAnsi="Times New Roman" w:cs="Times New Roman"/>
          <w:sz w:val="28"/>
          <w:szCs w:val="28"/>
        </w:rPr>
        <w:t xml:space="preserve"> that the Plaintiff’s discovery process was completed by the end of 2006.  It was the Defendants</w:t>
      </w:r>
      <w:r w:rsidR="003C55D4">
        <w:rPr>
          <w:rFonts w:ascii="Times New Roman" w:hAnsi="Times New Roman" w:cs="Times New Roman"/>
          <w:sz w:val="28"/>
          <w:szCs w:val="28"/>
        </w:rPr>
        <w:t xml:space="preserve">’ discovery process that was not completed </w:t>
      </w:r>
      <w:r w:rsidRPr="00373AC1">
        <w:rPr>
          <w:rFonts w:ascii="Times New Roman" w:hAnsi="Times New Roman" w:cs="Times New Roman"/>
          <w:sz w:val="28"/>
          <w:szCs w:val="28"/>
        </w:rPr>
        <w:t xml:space="preserve">in a timely manner.  </w:t>
      </w:r>
      <w:r w:rsidR="003C55D4">
        <w:rPr>
          <w:rFonts w:ascii="Times New Roman" w:hAnsi="Times New Roman" w:cs="Times New Roman"/>
          <w:sz w:val="28"/>
          <w:szCs w:val="28"/>
        </w:rPr>
        <w:t>A</w:t>
      </w:r>
      <w:r w:rsidR="00C20CAE">
        <w:rPr>
          <w:rFonts w:ascii="Times New Roman" w:hAnsi="Times New Roman" w:cs="Times New Roman"/>
          <w:sz w:val="28"/>
          <w:szCs w:val="28"/>
        </w:rPr>
        <w:t>s well,</w:t>
      </w:r>
      <w:r w:rsidR="003C55D4">
        <w:rPr>
          <w:rFonts w:ascii="Times New Roman" w:hAnsi="Times New Roman" w:cs="Times New Roman"/>
          <w:sz w:val="28"/>
          <w:szCs w:val="28"/>
        </w:rPr>
        <w:t xml:space="preserve"> the evidence shows that this was not the Plaintiff’s doing.</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373AC1">
        <w:rPr>
          <w:rFonts w:ascii="Times New Roman" w:hAnsi="Times New Roman" w:cs="Times New Roman"/>
          <w:sz w:val="28"/>
          <w:szCs w:val="28"/>
        </w:rPr>
        <w:t xml:space="preserve">Mr. Abduraham deposes that “no significant steps were taken on this matter between March 2010 and September 2014”. </w:t>
      </w:r>
      <w:r w:rsidR="00D75F3C">
        <w:rPr>
          <w:rFonts w:ascii="Times New Roman" w:hAnsi="Times New Roman" w:cs="Times New Roman"/>
          <w:sz w:val="28"/>
          <w:szCs w:val="28"/>
        </w:rPr>
        <w:t xml:space="preserve"> If th</w:t>
      </w:r>
      <w:r w:rsidR="00C20CAE">
        <w:rPr>
          <w:rFonts w:ascii="Times New Roman" w:hAnsi="Times New Roman" w:cs="Times New Roman"/>
          <w:sz w:val="28"/>
          <w:szCs w:val="28"/>
        </w:rPr>
        <w:t>is</w:t>
      </w:r>
      <w:r w:rsidR="00D75F3C">
        <w:rPr>
          <w:rFonts w:ascii="Times New Roman" w:hAnsi="Times New Roman" w:cs="Times New Roman"/>
          <w:sz w:val="28"/>
          <w:szCs w:val="28"/>
        </w:rPr>
        <w:t xml:space="preserve"> were the case, </w:t>
      </w:r>
      <w:r w:rsidR="003C55D4">
        <w:rPr>
          <w:rFonts w:ascii="Times New Roman" w:hAnsi="Times New Roman" w:cs="Times New Roman"/>
          <w:sz w:val="28"/>
          <w:szCs w:val="28"/>
        </w:rPr>
        <w:t>i</w:t>
      </w:r>
      <w:r w:rsidR="00D75F3C">
        <w:rPr>
          <w:rFonts w:ascii="Times New Roman" w:hAnsi="Times New Roman" w:cs="Times New Roman"/>
          <w:sz w:val="28"/>
          <w:szCs w:val="28"/>
        </w:rPr>
        <w:t>t would</w:t>
      </w:r>
      <w:r w:rsidRPr="00373AC1">
        <w:rPr>
          <w:rFonts w:ascii="Times New Roman" w:hAnsi="Times New Roman" w:cs="Times New Roman"/>
          <w:sz w:val="28"/>
          <w:szCs w:val="28"/>
        </w:rPr>
        <w:t xml:space="preserve"> be</w:t>
      </w:r>
      <w:r w:rsidR="00D75F3C">
        <w:rPr>
          <w:rFonts w:ascii="Times New Roman" w:hAnsi="Times New Roman" w:cs="Times New Roman"/>
          <w:sz w:val="28"/>
          <w:szCs w:val="28"/>
        </w:rPr>
        <w:t xml:space="preserve"> disturbing.</w:t>
      </w:r>
      <w:r w:rsidR="007C03AA">
        <w:rPr>
          <w:rFonts w:ascii="Times New Roman" w:hAnsi="Times New Roman" w:cs="Times New Roman"/>
          <w:sz w:val="28"/>
          <w:szCs w:val="28"/>
        </w:rPr>
        <w:t xml:space="preserve">  </w:t>
      </w:r>
      <w:r w:rsidR="00C20CAE">
        <w:rPr>
          <w:rFonts w:ascii="Times New Roman" w:hAnsi="Times New Roman" w:cs="Times New Roman"/>
          <w:sz w:val="28"/>
          <w:szCs w:val="28"/>
        </w:rPr>
        <w:t>O</w:t>
      </w:r>
      <w:r w:rsidR="007C03AA">
        <w:rPr>
          <w:rFonts w:ascii="Times New Roman" w:hAnsi="Times New Roman" w:cs="Times New Roman"/>
          <w:sz w:val="28"/>
          <w:szCs w:val="28"/>
        </w:rPr>
        <w:t xml:space="preserve">n </w:t>
      </w:r>
      <w:r w:rsidR="00C2718C">
        <w:rPr>
          <w:rFonts w:ascii="Times New Roman" w:hAnsi="Times New Roman" w:cs="Times New Roman"/>
          <w:sz w:val="28"/>
          <w:szCs w:val="28"/>
        </w:rPr>
        <w:t>my review of the evidence,</w:t>
      </w:r>
      <w:r w:rsidR="007C03AA">
        <w:rPr>
          <w:rFonts w:ascii="Times New Roman" w:hAnsi="Times New Roman" w:cs="Times New Roman"/>
          <w:sz w:val="28"/>
          <w:szCs w:val="28"/>
        </w:rPr>
        <w:t xml:space="preserve"> </w:t>
      </w:r>
      <w:r w:rsidR="00C20CAE">
        <w:rPr>
          <w:rFonts w:ascii="Times New Roman" w:hAnsi="Times New Roman" w:cs="Times New Roman"/>
          <w:sz w:val="28"/>
          <w:szCs w:val="28"/>
        </w:rPr>
        <w:t>however, this</w:t>
      </w:r>
      <w:r w:rsidR="007C03AA">
        <w:rPr>
          <w:rFonts w:ascii="Times New Roman" w:hAnsi="Times New Roman" w:cs="Times New Roman"/>
          <w:sz w:val="28"/>
          <w:szCs w:val="28"/>
        </w:rPr>
        <w:t xml:space="preserve"> is not </w:t>
      </w:r>
      <w:r w:rsidR="00C2718C">
        <w:rPr>
          <w:rFonts w:ascii="Times New Roman" w:hAnsi="Times New Roman" w:cs="Times New Roman"/>
          <w:sz w:val="28"/>
          <w:szCs w:val="28"/>
        </w:rPr>
        <w:t xml:space="preserve">in fact </w:t>
      </w:r>
      <w:r w:rsidR="003C55D4">
        <w:rPr>
          <w:rFonts w:ascii="Times New Roman" w:hAnsi="Times New Roman" w:cs="Times New Roman"/>
          <w:sz w:val="28"/>
          <w:szCs w:val="28"/>
        </w:rPr>
        <w:t>the case</w:t>
      </w:r>
      <w:r w:rsidR="007C03AA">
        <w:rPr>
          <w:rFonts w:ascii="Times New Roman" w:hAnsi="Times New Roman" w:cs="Times New Roman"/>
          <w:sz w:val="28"/>
          <w:szCs w:val="28"/>
        </w:rPr>
        <w:t>.</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Pr="00C2718C" w:rsidRDefault="00C2718C" w:rsidP="00C2718C">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3D034C" w:rsidRPr="00373AC1">
        <w:rPr>
          <w:rFonts w:ascii="Times New Roman" w:hAnsi="Times New Roman" w:cs="Times New Roman"/>
          <w:sz w:val="28"/>
          <w:szCs w:val="28"/>
        </w:rPr>
        <w:t xml:space="preserve">he </w:t>
      </w:r>
      <w:r>
        <w:rPr>
          <w:rFonts w:ascii="Times New Roman" w:hAnsi="Times New Roman" w:cs="Times New Roman"/>
          <w:sz w:val="28"/>
          <w:szCs w:val="28"/>
        </w:rPr>
        <w:t xml:space="preserve">Plaintiff’s evidence shows that the </w:t>
      </w:r>
      <w:r w:rsidR="003D034C" w:rsidRPr="00373AC1">
        <w:rPr>
          <w:rFonts w:ascii="Times New Roman" w:hAnsi="Times New Roman" w:cs="Times New Roman"/>
          <w:sz w:val="28"/>
          <w:szCs w:val="28"/>
        </w:rPr>
        <w:t xml:space="preserve">parties engaged in settlement discussions during this time frame.  </w:t>
      </w:r>
      <w:r>
        <w:rPr>
          <w:rFonts w:ascii="Times New Roman" w:hAnsi="Times New Roman" w:cs="Times New Roman"/>
          <w:sz w:val="28"/>
          <w:szCs w:val="28"/>
        </w:rPr>
        <w:t>They</w:t>
      </w:r>
      <w:r w:rsidR="00D75F3C">
        <w:rPr>
          <w:rFonts w:ascii="Times New Roman" w:hAnsi="Times New Roman" w:cs="Times New Roman"/>
          <w:sz w:val="28"/>
          <w:szCs w:val="28"/>
        </w:rPr>
        <w:t xml:space="preserve"> agree</w:t>
      </w:r>
      <w:r>
        <w:rPr>
          <w:rFonts w:ascii="Times New Roman" w:hAnsi="Times New Roman" w:cs="Times New Roman"/>
          <w:sz w:val="28"/>
          <w:szCs w:val="28"/>
        </w:rPr>
        <w:t>d</w:t>
      </w:r>
      <w:r w:rsidR="00D75F3C">
        <w:rPr>
          <w:rFonts w:ascii="Times New Roman" w:hAnsi="Times New Roman" w:cs="Times New Roman"/>
          <w:sz w:val="28"/>
          <w:szCs w:val="28"/>
        </w:rPr>
        <w:t xml:space="preserve"> to schedule a settlement meeting.  </w:t>
      </w:r>
      <w:r>
        <w:rPr>
          <w:rFonts w:ascii="Times New Roman" w:hAnsi="Times New Roman" w:cs="Times New Roman"/>
          <w:sz w:val="28"/>
          <w:szCs w:val="28"/>
        </w:rPr>
        <w:t xml:space="preserve">Identifying a date for that meeting proved difficult.  </w:t>
      </w:r>
      <w:r w:rsidR="003D034C" w:rsidRPr="00C2718C">
        <w:rPr>
          <w:rFonts w:ascii="Times New Roman" w:hAnsi="Times New Roman" w:cs="Times New Roman"/>
          <w:sz w:val="28"/>
          <w:szCs w:val="28"/>
        </w:rPr>
        <w:t xml:space="preserve">On a number of occasions during the year 2011, in the face of the challenges in </w:t>
      </w:r>
      <w:r w:rsidR="007C03AA" w:rsidRPr="00C2718C">
        <w:rPr>
          <w:rFonts w:ascii="Times New Roman" w:hAnsi="Times New Roman" w:cs="Times New Roman"/>
          <w:sz w:val="28"/>
          <w:szCs w:val="28"/>
        </w:rPr>
        <w:t>identifying a date for</w:t>
      </w:r>
      <w:r w:rsidR="003D034C" w:rsidRPr="00C2718C">
        <w:rPr>
          <w:rFonts w:ascii="Times New Roman" w:hAnsi="Times New Roman" w:cs="Times New Roman"/>
          <w:sz w:val="28"/>
          <w:szCs w:val="28"/>
        </w:rPr>
        <w:t xml:space="preserve"> the settlement meeting, the Plaintiff’s counsel expressed concern about </w:t>
      </w:r>
      <w:r w:rsidR="003C55D4" w:rsidRPr="00C2718C">
        <w:rPr>
          <w:rFonts w:ascii="Times New Roman" w:hAnsi="Times New Roman" w:cs="Times New Roman"/>
          <w:sz w:val="28"/>
          <w:szCs w:val="28"/>
        </w:rPr>
        <w:t>delay</w:t>
      </w:r>
      <w:r w:rsidR="007C03AA" w:rsidRPr="00C2718C">
        <w:rPr>
          <w:rFonts w:ascii="Times New Roman" w:hAnsi="Times New Roman" w:cs="Times New Roman"/>
          <w:sz w:val="28"/>
          <w:szCs w:val="28"/>
        </w:rPr>
        <w:t>.  He</w:t>
      </w:r>
      <w:r w:rsidR="003D034C" w:rsidRPr="00C2718C">
        <w:rPr>
          <w:rFonts w:ascii="Times New Roman" w:hAnsi="Times New Roman" w:cs="Times New Roman"/>
          <w:sz w:val="28"/>
          <w:szCs w:val="28"/>
        </w:rPr>
        <w:t xml:space="preserve"> suggested that the Defendants proceed with their examinations for discovery </w:t>
      </w:r>
      <w:r w:rsidR="007C03AA" w:rsidRPr="00C2718C">
        <w:rPr>
          <w:rFonts w:ascii="Times New Roman" w:hAnsi="Times New Roman" w:cs="Times New Roman"/>
          <w:sz w:val="28"/>
          <w:szCs w:val="28"/>
        </w:rPr>
        <w:t>to get the matter ready for trial</w:t>
      </w:r>
      <w:r w:rsidR="003D034C" w:rsidRPr="00C2718C">
        <w:rPr>
          <w:rFonts w:ascii="Times New Roman" w:hAnsi="Times New Roman" w:cs="Times New Roman"/>
          <w:sz w:val="28"/>
          <w:szCs w:val="28"/>
        </w:rPr>
        <w:t xml:space="preserve"> in the event that </w:t>
      </w:r>
      <w:r w:rsidR="003C55D4" w:rsidRPr="00C2718C">
        <w:rPr>
          <w:rFonts w:ascii="Times New Roman" w:hAnsi="Times New Roman" w:cs="Times New Roman"/>
          <w:sz w:val="28"/>
          <w:szCs w:val="28"/>
        </w:rPr>
        <w:t>a settlement was not reached</w:t>
      </w:r>
      <w:r w:rsidR="003D034C" w:rsidRPr="00C2718C">
        <w:rPr>
          <w:rFonts w:ascii="Times New Roman" w:hAnsi="Times New Roman" w:cs="Times New Roman"/>
          <w:sz w:val="28"/>
          <w:szCs w:val="28"/>
        </w:rPr>
        <w:t>.</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373AC1">
        <w:rPr>
          <w:rFonts w:ascii="Times New Roman" w:hAnsi="Times New Roman" w:cs="Times New Roman"/>
          <w:sz w:val="28"/>
          <w:szCs w:val="28"/>
        </w:rPr>
        <w:t xml:space="preserve">In early 2012, the Plaintiff’s counsel </w:t>
      </w:r>
      <w:r w:rsidR="00D75F3C">
        <w:rPr>
          <w:rFonts w:ascii="Times New Roman" w:hAnsi="Times New Roman" w:cs="Times New Roman"/>
          <w:sz w:val="28"/>
          <w:szCs w:val="28"/>
        </w:rPr>
        <w:t xml:space="preserve">followed up again and </w:t>
      </w:r>
      <w:r w:rsidRPr="00373AC1">
        <w:rPr>
          <w:rFonts w:ascii="Times New Roman" w:hAnsi="Times New Roman" w:cs="Times New Roman"/>
          <w:sz w:val="28"/>
          <w:szCs w:val="28"/>
        </w:rPr>
        <w:t xml:space="preserve">asked </w:t>
      </w:r>
      <w:r w:rsidR="00D75F3C">
        <w:rPr>
          <w:rFonts w:ascii="Times New Roman" w:hAnsi="Times New Roman" w:cs="Times New Roman"/>
          <w:sz w:val="28"/>
          <w:szCs w:val="28"/>
        </w:rPr>
        <w:t>the Defendants’ counsel which witnesses he wanted</w:t>
      </w:r>
      <w:r w:rsidRPr="00373AC1">
        <w:rPr>
          <w:rFonts w:ascii="Times New Roman" w:hAnsi="Times New Roman" w:cs="Times New Roman"/>
          <w:sz w:val="28"/>
          <w:szCs w:val="28"/>
        </w:rPr>
        <w:t xml:space="preserve"> to examine.  Examinations were scheduled in November 2012</w:t>
      </w:r>
      <w:r w:rsidR="00D75F3C">
        <w:rPr>
          <w:rFonts w:ascii="Times New Roman" w:hAnsi="Times New Roman" w:cs="Times New Roman"/>
          <w:sz w:val="28"/>
          <w:szCs w:val="28"/>
        </w:rPr>
        <w:t>.</w:t>
      </w:r>
      <w:r w:rsidRPr="00373AC1">
        <w:rPr>
          <w:rFonts w:ascii="Times New Roman" w:hAnsi="Times New Roman" w:cs="Times New Roman"/>
          <w:sz w:val="28"/>
          <w:szCs w:val="28"/>
        </w:rPr>
        <w:t xml:space="preserve"> </w:t>
      </w:r>
      <w:r w:rsidR="00D75F3C">
        <w:rPr>
          <w:rFonts w:ascii="Times New Roman" w:hAnsi="Times New Roman" w:cs="Times New Roman"/>
          <w:sz w:val="28"/>
          <w:szCs w:val="28"/>
        </w:rPr>
        <w:t xml:space="preserve"> They</w:t>
      </w:r>
      <w:r w:rsidRPr="00373AC1">
        <w:rPr>
          <w:rFonts w:ascii="Times New Roman" w:hAnsi="Times New Roman" w:cs="Times New Roman"/>
          <w:sz w:val="28"/>
          <w:szCs w:val="28"/>
        </w:rPr>
        <w:t xml:space="preserve"> were </w:t>
      </w:r>
      <w:r w:rsidR="00D75F3C">
        <w:rPr>
          <w:rFonts w:ascii="Times New Roman" w:hAnsi="Times New Roman" w:cs="Times New Roman"/>
          <w:sz w:val="28"/>
          <w:szCs w:val="28"/>
        </w:rPr>
        <w:t>cancelled by the Defendant</w:t>
      </w:r>
      <w:r w:rsidRPr="00373AC1">
        <w:rPr>
          <w:rFonts w:ascii="Times New Roman" w:hAnsi="Times New Roman" w:cs="Times New Roman"/>
          <w:sz w:val="28"/>
          <w:szCs w:val="28"/>
        </w:rPr>
        <w:t>s</w:t>
      </w:r>
      <w:r w:rsidR="00D75F3C">
        <w:rPr>
          <w:rFonts w:ascii="Times New Roman" w:hAnsi="Times New Roman" w:cs="Times New Roman"/>
          <w:sz w:val="28"/>
          <w:szCs w:val="28"/>
        </w:rPr>
        <w:t>’</w:t>
      </w:r>
      <w:r w:rsidRPr="00373AC1">
        <w:rPr>
          <w:rFonts w:ascii="Times New Roman" w:hAnsi="Times New Roman" w:cs="Times New Roman"/>
          <w:sz w:val="28"/>
          <w:szCs w:val="28"/>
        </w:rPr>
        <w:t xml:space="preserve"> counsel.</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3D034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373AC1">
        <w:rPr>
          <w:rFonts w:ascii="Times New Roman" w:hAnsi="Times New Roman" w:cs="Times New Roman"/>
          <w:sz w:val="28"/>
          <w:szCs w:val="28"/>
        </w:rPr>
        <w:t>In 2013, the Plaintiff’s counsel continued to communicate with the Defendant</w:t>
      </w:r>
      <w:r w:rsidR="00F22A28">
        <w:rPr>
          <w:rFonts w:ascii="Times New Roman" w:hAnsi="Times New Roman" w:cs="Times New Roman"/>
          <w:sz w:val="28"/>
          <w:szCs w:val="28"/>
        </w:rPr>
        <w:t>s</w:t>
      </w:r>
      <w:r w:rsidRPr="00373AC1">
        <w:rPr>
          <w:rFonts w:ascii="Times New Roman" w:hAnsi="Times New Roman" w:cs="Times New Roman"/>
          <w:sz w:val="28"/>
          <w:szCs w:val="28"/>
        </w:rPr>
        <w:t xml:space="preserve"> with a view of having</w:t>
      </w:r>
      <w:r w:rsidR="007C03AA">
        <w:rPr>
          <w:rFonts w:ascii="Times New Roman" w:hAnsi="Times New Roman" w:cs="Times New Roman"/>
          <w:sz w:val="28"/>
          <w:szCs w:val="28"/>
        </w:rPr>
        <w:t xml:space="preserve"> the discovery process continue</w:t>
      </w:r>
      <w:r w:rsidRPr="00373AC1">
        <w:rPr>
          <w:rFonts w:ascii="Times New Roman" w:hAnsi="Times New Roman" w:cs="Times New Roman"/>
          <w:sz w:val="28"/>
          <w:szCs w:val="28"/>
        </w:rPr>
        <w:t xml:space="preserve"> and secur</w:t>
      </w:r>
      <w:r w:rsidR="00F22A28">
        <w:rPr>
          <w:rFonts w:ascii="Times New Roman" w:hAnsi="Times New Roman" w:cs="Times New Roman"/>
          <w:sz w:val="28"/>
          <w:szCs w:val="28"/>
        </w:rPr>
        <w:t>ing</w:t>
      </w:r>
      <w:r w:rsidRPr="00373AC1">
        <w:rPr>
          <w:rFonts w:ascii="Times New Roman" w:hAnsi="Times New Roman" w:cs="Times New Roman"/>
          <w:sz w:val="28"/>
          <w:szCs w:val="28"/>
        </w:rPr>
        <w:t xml:space="preserve"> a trial date.  </w:t>
      </w:r>
      <w:r w:rsidR="007C03AA">
        <w:rPr>
          <w:rFonts w:ascii="Times New Roman" w:hAnsi="Times New Roman" w:cs="Times New Roman"/>
          <w:sz w:val="28"/>
          <w:szCs w:val="28"/>
        </w:rPr>
        <w:t>The Plaintiff</w:t>
      </w:r>
      <w:r w:rsidRPr="00373AC1">
        <w:rPr>
          <w:rFonts w:ascii="Times New Roman" w:hAnsi="Times New Roman" w:cs="Times New Roman"/>
          <w:sz w:val="28"/>
          <w:szCs w:val="28"/>
        </w:rPr>
        <w:t xml:space="preserve"> also engaged in settlement discussions with one of the other Defendants.  The Plaintiff’s counsel eventually requested to have </w:t>
      </w:r>
      <w:r w:rsidR="007C03AA">
        <w:rPr>
          <w:rFonts w:ascii="Times New Roman" w:hAnsi="Times New Roman" w:cs="Times New Roman"/>
          <w:sz w:val="28"/>
          <w:szCs w:val="28"/>
        </w:rPr>
        <w:t>the matter go into</w:t>
      </w:r>
      <w:r w:rsidRPr="00373AC1">
        <w:rPr>
          <w:rFonts w:ascii="Times New Roman" w:hAnsi="Times New Roman" w:cs="Times New Roman"/>
          <w:sz w:val="28"/>
          <w:szCs w:val="28"/>
        </w:rPr>
        <w:t xml:space="preserve"> </w:t>
      </w:r>
      <w:r w:rsidR="00C2718C">
        <w:rPr>
          <w:rFonts w:ascii="Times New Roman" w:hAnsi="Times New Roman" w:cs="Times New Roman"/>
          <w:sz w:val="28"/>
          <w:szCs w:val="28"/>
        </w:rPr>
        <w:t>c</w:t>
      </w:r>
      <w:r w:rsidRPr="00373AC1">
        <w:rPr>
          <w:rFonts w:ascii="Times New Roman" w:hAnsi="Times New Roman" w:cs="Times New Roman"/>
          <w:sz w:val="28"/>
          <w:szCs w:val="28"/>
        </w:rPr>
        <w:t xml:space="preserve">ase </w:t>
      </w:r>
      <w:r w:rsidR="00C2718C">
        <w:rPr>
          <w:rFonts w:ascii="Times New Roman" w:hAnsi="Times New Roman" w:cs="Times New Roman"/>
          <w:sz w:val="28"/>
          <w:szCs w:val="28"/>
        </w:rPr>
        <w:t>m</w:t>
      </w:r>
      <w:r w:rsidRPr="00373AC1">
        <w:rPr>
          <w:rFonts w:ascii="Times New Roman" w:hAnsi="Times New Roman" w:cs="Times New Roman"/>
          <w:sz w:val="28"/>
          <w:szCs w:val="28"/>
        </w:rPr>
        <w:t>anagement</w:t>
      </w:r>
      <w:r w:rsidR="00D75F3C">
        <w:rPr>
          <w:rFonts w:ascii="Times New Roman" w:hAnsi="Times New Roman" w:cs="Times New Roman"/>
          <w:sz w:val="28"/>
          <w:szCs w:val="28"/>
        </w:rPr>
        <w:t>.</w:t>
      </w:r>
      <w:r w:rsidRPr="00373AC1">
        <w:rPr>
          <w:rFonts w:ascii="Times New Roman" w:hAnsi="Times New Roman" w:cs="Times New Roman"/>
          <w:sz w:val="28"/>
          <w:szCs w:val="28"/>
        </w:rPr>
        <w:t xml:space="preserve">  </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Pr="00E87932" w:rsidRDefault="00C2718C"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In my view, t</w:t>
      </w:r>
      <w:r w:rsidR="003D034C" w:rsidRPr="00373AC1">
        <w:rPr>
          <w:rFonts w:ascii="Times New Roman" w:hAnsi="Times New Roman" w:cs="Times New Roman"/>
          <w:sz w:val="28"/>
          <w:szCs w:val="28"/>
        </w:rPr>
        <w:t xml:space="preserve">his evidence establishes that the Plaintiff </w:t>
      </w:r>
      <w:r w:rsidR="007C03AA">
        <w:rPr>
          <w:rFonts w:ascii="Times New Roman" w:hAnsi="Times New Roman" w:cs="Times New Roman"/>
          <w:sz w:val="28"/>
          <w:szCs w:val="28"/>
        </w:rPr>
        <w:t>completed its discovery process within a reasonable time frame, having regard to the complex</w:t>
      </w:r>
      <w:r>
        <w:rPr>
          <w:rFonts w:ascii="Times New Roman" w:hAnsi="Times New Roman" w:cs="Times New Roman"/>
          <w:sz w:val="28"/>
          <w:szCs w:val="28"/>
        </w:rPr>
        <w:t>ity of</w:t>
      </w:r>
      <w:r w:rsidR="007C03AA">
        <w:rPr>
          <w:rFonts w:ascii="Times New Roman" w:hAnsi="Times New Roman" w:cs="Times New Roman"/>
          <w:sz w:val="28"/>
          <w:szCs w:val="28"/>
        </w:rPr>
        <w:t xml:space="preserve"> the case.  </w:t>
      </w:r>
      <w:r>
        <w:rPr>
          <w:rFonts w:ascii="Times New Roman" w:hAnsi="Times New Roman" w:cs="Times New Roman"/>
          <w:sz w:val="28"/>
          <w:szCs w:val="28"/>
        </w:rPr>
        <w:t>O</w:t>
      </w:r>
      <w:r w:rsidR="007C03AA">
        <w:rPr>
          <w:rFonts w:ascii="Times New Roman" w:hAnsi="Times New Roman" w:cs="Times New Roman"/>
          <w:sz w:val="28"/>
          <w:szCs w:val="28"/>
        </w:rPr>
        <w:t xml:space="preserve">nce that was done, the Plaintiff </w:t>
      </w:r>
      <w:r w:rsidR="003D034C" w:rsidRPr="00373AC1">
        <w:rPr>
          <w:rFonts w:ascii="Times New Roman" w:hAnsi="Times New Roman" w:cs="Times New Roman"/>
          <w:sz w:val="28"/>
          <w:szCs w:val="28"/>
        </w:rPr>
        <w:t>did not sit idl</w:t>
      </w:r>
      <w:r w:rsidR="00F22A28">
        <w:rPr>
          <w:rFonts w:ascii="Times New Roman" w:hAnsi="Times New Roman" w:cs="Times New Roman"/>
          <w:sz w:val="28"/>
          <w:szCs w:val="28"/>
        </w:rPr>
        <w:t>y</w:t>
      </w:r>
      <w:r w:rsidR="003D034C" w:rsidRPr="00373AC1">
        <w:rPr>
          <w:rFonts w:ascii="Times New Roman" w:hAnsi="Times New Roman" w:cs="Times New Roman"/>
          <w:sz w:val="28"/>
          <w:szCs w:val="28"/>
        </w:rPr>
        <w:t xml:space="preserve">.  </w:t>
      </w:r>
      <w:r w:rsidR="000B45CE">
        <w:rPr>
          <w:rFonts w:ascii="Times New Roman" w:hAnsi="Times New Roman" w:cs="Times New Roman"/>
          <w:sz w:val="28"/>
          <w:szCs w:val="28"/>
        </w:rPr>
        <w:t>It</w:t>
      </w:r>
      <w:r w:rsidR="007C03AA">
        <w:rPr>
          <w:rFonts w:ascii="Times New Roman" w:hAnsi="Times New Roman" w:cs="Times New Roman"/>
          <w:sz w:val="28"/>
          <w:szCs w:val="28"/>
        </w:rPr>
        <w:t xml:space="preserve"> did several things in an effort to</w:t>
      </w:r>
      <w:r w:rsidR="00F22A28">
        <w:rPr>
          <w:rFonts w:ascii="Times New Roman" w:hAnsi="Times New Roman" w:cs="Times New Roman"/>
          <w:sz w:val="28"/>
          <w:szCs w:val="28"/>
        </w:rPr>
        <w:t xml:space="preserve"> move </w:t>
      </w:r>
      <w:r w:rsidR="003D034C" w:rsidRPr="00373AC1">
        <w:rPr>
          <w:rFonts w:ascii="Times New Roman" w:hAnsi="Times New Roman" w:cs="Times New Roman"/>
          <w:sz w:val="28"/>
          <w:szCs w:val="28"/>
        </w:rPr>
        <w:t>matter</w:t>
      </w:r>
      <w:r w:rsidR="00F22A28">
        <w:rPr>
          <w:rFonts w:ascii="Times New Roman" w:hAnsi="Times New Roman" w:cs="Times New Roman"/>
          <w:sz w:val="28"/>
          <w:szCs w:val="28"/>
        </w:rPr>
        <w:t>s</w:t>
      </w:r>
      <w:r w:rsidR="003D034C" w:rsidRPr="00373AC1">
        <w:rPr>
          <w:rFonts w:ascii="Times New Roman" w:hAnsi="Times New Roman" w:cs="Times New Roman"/>
          <w:sz w:val="28"/>
          <w:szCs w:val="28"/>
        </w:rPr>
        <w:t xml:space="preserve"> along</w:t>
      </w:r>
      <w:r w:rsidR="00D75F3C">
        <w:rPr>
          <w:rFonts w:ascii="Times New Roman" w:hAnsi="Times New Roman" w:cs="Times New Roman"/>
          <w:sz w:val="28"/>
          <w:szCs w:val="28"/>
        </w:rPr>
        <w:t>.</w:t>
      </w:r>
      <w:r w:rsidR="009A3CF3">
        <w:rPr>
          <w:rFonts w:ascii="Times New Roman" w:hAnsi="Times New Roman" w:cs="Times New Roman"/>
          <w:sz w:val="28"/>
          <w:szCs w:val="28"/>
        </w:rPr>
        <w:t xml:space="preserve"> </w:t>
      </w:r>
      <w:r w:rsidR="003D034C" w:rsidRPr="00373AC1">
        <w:rPr>
          <w:rFonts w:ascii="Times New Roman" w:hAnsi="Times New Roman" w:cs="Times New Roman"/>
          <w:sz w:val="28"/>
          <w:szCs w:val="28"/>
        </w:rPr>
        <w:t xml:space="preserve"> </w:t>
      </w:r>
      <w:r w:rsidR="00D75F3C">
        <w:rPr>
          <w:rFonts w:ascii="Times New Roman" w:hAnsi="Times New Roman" w:cs="Times New Roman"/>
          <w:sz w:val="28"/>
          <w:szCs w:val="28"/>
        </w:rPr>
        <w:t>C</w:t>
      </w:r>
      <w:r w:rsidR="003D034C" w:rsidRPr="00373AC1">
        <w:rPr>
          <w:rFonts w:ascii="Times New Roman" w:hAnsi="Times New Roman" w:cs="Times New Roman"/>
          <w:sz w:val="28"/>
          <w:szCs w:val="28"/>
        </w:rPr>
        <w:t xml:space="preserve">ounsel attempted to secure earlier dates for </w:t>
      </w:r>
      <w:r w:rsidR="00C20CAE">
        <w:rPr>
          <w:rFonts w:ascii="Times New Roman" w:hAnsi="Times New Roman" w:cs="Times New Roman"/>
          <w:sz w:val="28"/>
          <w:szCs w:val="28"/>
        </w:rPr>
        <w:t xml:space="preserve">a </w:t>
      </w:r>
      <w:r w:rsidR="003D034C" w:rsidRPr="00373AC1">
        <w:rPr>
          <w:rFonts w:ascii="Times New Roman" w:hAnsi="Times New Roman" w:cs="Times New Roman"/>
          <w:sz w:val="28"/>
          <w:szCs w:val="28"/>
        </w:rPr>
        <w:t xml:space="preserve">settlement meeting; suggested that the Defendants proceed with </w:t>
      </w:r>
      <w:r w:rsidR="00C20CAE">
        <w:rPr>
          <w:rFonts w:ascii="Times New Roman" w:hAnsi="Times New Roman" w:cs="Times New Roman"/>
          <w:sz w:val="28"/>
          <w:szCs w:val="28"/>
        </w:rPr>
        <w:t>their</w:t>
      </w:r>
      <w:r w:rsidR="003D034C" w:rsidRPr="00373AC1">
        <w:rPr>
          <w:rFonts w:ascii="Times New Roman" w:hAnsi="Times New Roman" w:cs="Times New Roman"/>
          <w:sz w:val="28"/>
          <w:szCs w:val="28"/>
        </w:rPr>
        <w:t xml:space="preserve"> discoveries in case the </w:t>
      </w:r>
      <w:r w:rsidR="00E87932">
        <w:rPr>
          <w:rFonts w:ascii="Times New Roman" w:hAnsi="Times New Roman" w:cs="Times New Roman"/>
          <w:sz w:val="28"/>
          <w:szCs w:val="28"/>
        </w:rPr>
        <w:t>matter</w:t>
      </w:r>
      <w:r w:rsidR="003D034C" w:rsidRPr="00373AC1">
        <w:rPr>
          <w:rFonts w:ascii="Times New Roman" w:hAnsi="Times New Roman" w:cs="Times New Roman"/>
          <w:sz w:val="28"/>
          <w:szCs w:val="28"/>
        </w:rPr>
        <w:t xml:space="preserve"> did not settle; expressed concerns about the delay and his wish to secure a trial date; made settlement proposals and actually settled with one of the De</w:t>
      </w:r>
      <w:r w:rsidR="00D75F3C">
        <w:rPr>
          <w:rFonts w:ascii="Times New Roman" w:hAnsi="Times New Roman" w:cs="Times New Roman"/>
          <w:sz w:val="28"/>
          <w:szCs w:val="28"/>
        </w:rPr>
        <w:t>fendants;</w:t>
      </w:r>
      <w:r w:rsidR="000B45CE">
        <w:rPr>
          <w:rFonts w:ascii="Times New Roman" w:hAnsi="Times New Roman" w:cs="Times New Roman"/>
          <w:sz w:val="28"/>
          <w:szCs w:val="28"/>
        </w:rPr>
        <w:t xml:space="preserve"> and, ultimately,</w:t>
      </w:r>
      <w:r w:rsidR="00D75F3C">
        <w:rPr>
          <w:rFonts w:ascii="Times New Roman" w:hAnsi="Times New Roman" w:cs="Times New Roman"/>
          <w:sz w:val="28"/>
          <w:szCs w:val="28"/>
        </w:rPr>
        <w:t xml:space="preserve"> </w:t>
      </w:r>
      <w:r w:rsidR="003D034C" w:rsidRPr="00373AC1">
        <w:rPr>
          <w:rFonts w:ascii="Times New Roman" w:hAnsi="Times New Roman" w:cs="Times New Roman"/>
          <w:sz w:val="28"/>
          <w:szCs w:val="28"/>
        </w:rPr>
        <w:t xml:space="preserve">applied for </w:t>
      </w:r>
      <w:r w:rsidR="000B45CE">
        <w:rPr>
          <w:rFonts w:ascii="Times New Roman" w:hAnsi="Times New Roman" w:cs="Times New Roman"/>
          <w:sz w:val="28"/>
          <w:szCs w:val="28"/>
        </w:rPr>
        <w:t>c</w:t>
      </w:r>
      <w:r w:rsidR="003D034C" w:rsidRPr="00373AC1">
        <w:rPr>
          <w:rFonts w:ascii="Times New Roman" w:hAnsi="Times New Roman" w:cs="Times New Roman"/>
          <w:sz w:val="28"/>
          <w:szCs w:val="28"/>
        </w:rPr>
        <w:t xml:space="preserve">ase </w:t>
      </w:r>
      <w:r w:rsidR="000B45CE">
        <w:rPr>
          <w:rFonts w:ascii="Times New Roman" w:hAnsi="Times New Roman" w:cs="Times New Roman"/>
          <w:sz w:val="28"/>
          <w:szCs w:val="28"/>
        </w:rPr>
        <w:t>m</w:t>
      </w:r>
      <w:r w:rsidR="003D034C" w:rsidRPr="00373AC1">
        <w:rPr>
          <w:rFonts w:ascii="Times New Roman" w:hAnsi="Times New Roman" w:cs="Times New Roman"/>
          <w:sz w:val="28"/>
          <w:szCs w:val="28"/>
        </w:rPr>
        <w:t>anagement.</w:t>
      </w:r>
      <w:r w:rsidR="00E87932">
        <w:rPr>
          <w:rFonts w:ascii="Times New Roman" w:hAnsi="Times New Roman" w:cs="Times New Roman"/>
          <w:sz w:val="28"/>
          <w:szCs w:val="28"/>
        </w:rPr>
        <w:t xml:space="preserve"> </w:t>
      </w:r>
      <w:r w:rsidR="00A67080">
        <w:rPr>
          <w:rFonts w:ascii="Times New Roman" w:hAnsi="Times New Roman" w:cs="Times New Roman"/>
          <w:sz w:val="28"/>
          <w:szCs w:val="28"/>
        </w:rPr>
        <w:t xml:space="preserve"> </w:t>
      </w:r>
      <w:r w:rsidR="003D034C" w:rsidRPr="00E87932">
        <w:rPr>
          <w:rFonts w:ascii="Times New Roman" w:hAnsi="Times New Roman" w:cs="Times New Roman"/>
          <w:sz w:val="28"/>
          <w:szCs w:val="28"/>
        </w:rPr>
        <w:t>In light of all of this, it is entirely inaccurate to say that “no steps were taken in this action between March 2010 and September 2014”.</w:t>
      </w:r>
    </w:p>
    <w:p w:rsidR="00373AC1" w:rsidRPr="00373AC1" w:rsidRDefault="00373AC1" w:rsidP="0077250F">
      <w:pPr>
        <w:pStyle w:val="ListParagraph"/>
        <w:spacing w:after="0" w:line="240" w:lineRule="auto"/>
        <w:rPr>
          <w:rFonts w:ascii="Times New Roman" w:hAnsi="Times New Roman" w:cs="Times New Roman"/>
          <w:sz w:val="28"/>
          <w:szCs w:val="28"/>
        </w:rPr>
      </w:pPr>
    </w:p>
    <w:p w:rsidR="007D77A2" w:rsidRPr="004D5701" w:rsidRDefault="003C55D4" w:rsidP="004D5701">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There is no evidence that the Defendants raised the issue of delay, at any time, before the matter was placed in </w:t>
      </w:r>
      <w:r w:rsidR="000B45CE">
        <w:rPr>
          <w:rFonts w:ascii="Times New Roman" w:hAnsi="Times New Roman" w:cs="Times New Roman"/>
          <w:sz w:val="28"/>
          <w:szCs w:val="28"/>
        </w:rPr>
        <w:t>c</w:t>
      </w:r>
      <w:r>
        <w:rPr>
          <w:rFonts w:ascii="Times New Roman" w:hAnsi="Times New Roman" w:cs="Times New Roman"/>
          <w:sz w:val="28"/>
          <w:szCs w:val="28"/>
        </w:rPr>
        <w:t xml:space="preserve">ase </w:t>
      </w:r>
      <w:r w:rsidR="000B45CE">
        <w:rPr>
          <w:rFonts w:ascii="Times New Roman" w:hAnsi="Times New Roman" w:cs="Times New Roman"/>
          <w:sz w:val="28"/>
          <w:szCs w:val="28"/>
        </w:rPr>
        <w:t>m</w:t>
      </w:r>
      <w:r>
        <w:rPr>
          <w:rFonts w:ascii="Times New Roman" w:hAnsi="Times New Roman" w:cs="Times New Roman"/>
          <w:sz w:val="28"/>
          <w:szCs w:val="28"/>
        </w:rPr>
        <w:t>anagement.</w:t>
      </w:r>
      <w:r w:rsidR="00F22A28">
        <w:rPr>
          <w:rFonts w:ascii="Times New Roman" w:hAnsi="Times New Roman" w:cs="Times New Roman"/>
          <w:sz w:val="28"/>
          <w:szCs w:val="28"/>
        </w:rPr>
        <w:t xml:space="preserve">  The action has now been in case management for close to three years.  </w:t>
      </w:r>
      <w:r w:rsidR="000B45CE" w:rsidRPr="00F22A28">
        <w:rPr>
          <w:rFonts w:ascii="Times New Roman" w:hAnsi="Times New Roman" w:cs="Times New Roman"/>
          <w:sz w:val="28"/>
          <w:szCs w:val="28"/>
        </w:rPr>
        <w:t>C</w:t>
      </w:r>
      <w:r w:rsidRPr="00F22A28">
        <w:rPr>
          <w:rFonts w:ascii="Times New Roman" w:hAnsi="Times New Roman" w:cs="Times New Roman"/>
          <w:sz w:val="28"/>
          <w:szCs w:val="28"/>
        </w:rPr>
        <w:t xml:space="preserve">ase </w:t>
      </w:r>
      <w:r w:rsidR="000B45CE" w:rsidRPr="00F22A28">
        <w:rPr>
          <w:rFonts w:ascii="Times New Roman" w:hAnsi="Times New Roman" w:cs="Times New Roman"/>
          <w:sz w:val="28"/>
          <w:szCs w:val="28"/>
        </w:rPr>
        <w:t xml:space="preserve">management </w:t>
      </w:r>
      <w:r w:rsidRPr="00F22A28">
        <w:rPr>
          <w:rFonts w:ascii="Times New Roman" w:hAnsi="Times New Roman" w:cs="Times New Roman"/>
          <w:sz w:val="28"/>
          <w:szCs w:val="28"/>
        </w:rPr>
        <w:t xml:space="preserve">conferences were held on </w:t>
      </w:r>
      <w:r w:rsidR="003D034C" w:rsidRPr="00F22A28">
        <w:rPr>
          <w:rFonts w:ascii="Times New Roman" w:hAnsi="Times New Roman" w:cs="Times New Roman"/>
          <w:sz w:val="28"/>
          <w:szCs w:val="28"/>
        </w:rPr>
        <w:t xml:space="preserve">October </w:t>
      </w:r>
      <w:r w:rsidR="00A67080" w:rsidRPr="00F22A28">
        <w:rPr>
          <w:rFonts w:ascii="Times New Roman" w:hAnsi="Times New Roman" w:cs="Times New Roman"/>
          <w:sz w:val="28"/>
          <w:szCs w:val="28"/>
        </w:rPr>
        <w:t xml:space="preserve">30, </w:t>
      </w:r>
      <w:r w:rsidR="003D034C" w:rsidRPr="00F22A28">
        <w:rPr>
          <w:rFonts w:ascii="Times New Roman" w:hAnsi="Times New Roman" w:cs="Times New Roman"/>
          <w:sz w:val="28"/>
          <w:szCs w:val="28"/>
        </w:rPr>
        <w:t>2014</w:t>
      </w:r>
      <w:r w:rsidR="007D77A2" w:rsidRPr="00F22A28">
        <w:rPr>
          <w:rFonts w:ascii="Times New Roman" w:hAnsi="Times New Roman" w:cs="Times New Roman"/>
          <w:sz w:val="28"/>
          <w:szCs w:val="28"/>
        </w:rPr>
        <w:t>;</w:t>
      </w:r>
      <w:r w:rsidR="003D034C" w:rsidRPr="00F22A28">
        <w:rPr>
          <w:rFonts w:ascii="Times New Roman" w:hAnsi="Times New Roman" w:cs="Times New Roman"/>
          <w:sz w:val="28"/>
          <w:szCs w:val="28"/>
        </w:rPr>
        <w:t xml:space="preserve"> May </w:t>
      </w:r>
      <w:r w:rsidR="00A67080" w:rsidRPr="00F22A28">
        <w:rPr>
          <w:rFonts w:ascii="Times New Roman" w:hAnsi="Times New Roman" w:cs="Times New Roman"/>
          <w:sz w:val="28"/>
          <w:szCs w:val="28"/>
        </w:rPr>
        <w:t xml:space="preserve">4, </w:t>
      </w:r>
      <w:r w:rsidR="003D034C" w:rsidRPr="00F22A28">
        <w:rPr>
          <w:rFonts w:ascii="Times New Roman" w:hAnsi="Times New Roman" w:cs="Times New Roman"/>
          <w:sz w:val="28"/>
          <w:szCs w:val="28"/>
        </w:rPr>
        <w:t>2015</w:t>
      </w:r>
      <w:r w:rsidR="00A67080" w:rsidRPr="00F22A28">
        <w:rPr>
          <w:rFonts w:ascii="Times New Roman" w:hAnsi="Times New Roman" w:cs="Times New Roman"/>
          <w:sz w:val="28"/>
          <w:szCs w:val="28"/>
        </w:rPr>
        <w:t>;</w:t>
      </w:r>
      <w:r w:rsidR="003D034C" w:rsidRPr="00F22A28">
        <w:rPr>
          <w:rFonts w:ascii="Times New Roman" w:hAnsi="Times New Roman" w:cs="Times New Roman"/>
          <w:sz w:val="28"/>
          <w:szCs w:val="28"/>
        </w:rPr>
        <w:t xml:space="preserve"> October </w:t>
      </w:r>
      <w:r w:rsidR="00A67080" w:rsidRPr="00F22A28">
        <w:rPr>
          <w:rFonts w:ascii="Times New Roman" w:hAnsi="Times New Roman" w:cs="Times New Roman"/>
          <w:sz w:val="28"/>
          <w:szCs w:val="28"/>
        </w:rPr>
        <w:t xml:space="preserve">20, </w:t>
      </w:r>
      <w:r w:rsidR="003D034C" w:rsidRPr="00F22A28">
        <w:rPr>
          <w:rFonts w:ascii="Times New Roman" w:hAnsi="Times New Roman" w:cs="Times New Roman"/>
          <w:sz w:val="28"/>
          <w:szCs w:val="28"/>
        </w:rPr>
        <w:t>2015</w:t>
      </w:r>
      <w:r w:rsidR="00A67080" w:rsidRPr="00F22A28">
        <w:rPr>
          <w:rFonts w:ascii="Times New Roman" w:hAnsi="Times New Roman" w:cs="Times New Roman"/>
          <w:sz w:val="28"/>
          <w:szCs w:val="28"/>
        </w:rPr>
        <w:t>;</w:t>
      </w:r>
      <w:r w:rsidR="003D034C" w:rsidRPr="00F22A28">
        <w:rPr>
          <w:rFonts w:ascii="Times New Roman" w:hAnsi="Times New Roman" w:cs="Times New Roman"/>
          <w:sz w:val="28"/>
          <w:szCs w:val="28"/>
        </w:rPr>
        <w:t xml:space="preserve"> April </w:t>
      </w:r>
      <w:r w:rsidR="00A67080" w:rsidRPr="00F22A28">
        <w:rPr>
          <w:rFonts w:ascii="Times New Roman" w:hAnsi="Times New Roman" w:cs="Times New Roman"/>
          <w:sz w:val="28"/>
          <w:szCs w:val="28"/>
        </w:rPr>
        <w:t xml:space="preserve">26, </w:t>
      </w:r>
      <w:r w:rsidR="003D034C" w:rsidRPr="00F22A28">
        <w:rPr>
          <w:rFonts w:ascii="Times New Roman" w:hAnsi="Times New Roman" w:cs="Times New Roman"/>
          <w:sz w:val="28"/>
          <w:szCs w:val="28"/>
        </w:rPr>
        <w:t>2016</w:t>
      </w:r>
      <w:r w:rsidR="00A67080" w:rsidRPr="00F22A28">
        <w:rPr>
          <w:rFonts w:ascii="Times New Roman" w:hAnsi="Times New Roman" w:cs="Times New Roman"/>
          <w:sz w:val="28"/>
          <w:szCs w:val="28"/>
        </w:rPr>
        <w:t>;</w:t>
      </w:r>
      <w:r w:rsidR="003D034C" w:rsidRPr="00F22A28">
        <w:rPr>
          <w:rFonts w:ascii="Times New Roman" w:hAnsi="Times New Roman" w:cs="Times New Roman"/>
          <w:sz w:val="28"/>
          <w:szCs w:val="28"/>
        </w:rPr>
        <w:t xml:space="preserve"> September </w:t>
      </w:r>
      <w:r w:rsidR="00A67080" w:rsidRPr="00F22A28">
        <w:rPr>
          <w:rFonts w:ascii="Times New Roman" w:hAnsi="Times New Roman" w:cs="Times New Roman"/>
          <w:sz w:val="28"/>
          <w:szCs w:val="28"/>
        </w:rPr>
        <w:t xml:space="preserve">7, </w:t>
      </w:r>
      <w:r w:rsidR="003D034C" w:rsidRPr="00F22A28">
        <w:rPr>
          <w:rFonts w:ascii="Times New Roman" w:hAnsi="Times New Roman" w:cs="Times New Roman"/>
          <w:sz w:val="28"/>
          <w:szCs w:val="28"/>
        </w:rPr>
        <w:t>2016</w:t>
      </w:r>
      <w:r w:rsidR="00A67080" w:rsidRPr="00F22A28">
        <w:rPr>
          <w:rFonts w:ascii="Times New Roman" w:hAnsi="Times New Roman" w:cs="Times New Roman"/>
          <w:sz w:val="28"/>
          <w:szCs w:val="28"/>
        </w:rPr>
        <w:t>;</w:t>
      </w:r>
      <w:r w:rsidR="003D034C" w:rsidRPr="00F22A28">
        <w:rPr>
          <w:rFonts w:ascii="Times New Roman" w:hAnsi="Times New Roman" w:cs="Times New Roman"/>
          <w:sz w:val="28"/>
          <w:szCs w:val="28"/>
        </w:rPr>
        <w:t xml:space="preserve"> </w:t>
      </w:r>
      <w:r w:rsidR="00F86B5F" w:rsidRPr="00F22A28">
        <w:rPr>
          <w:rFonts w:ascii="Times New Roman" w:hAnsi="Times New Roman" w:cs="Times New Roman"/>
          <w:sz w:val="28"/>
          <w:szCs w:val="28"/>
        </w:rPr>
        <w:t>F</w:t>
      </w:r>
      <w:r w:rsidR="003D034C" w:rsidRPr="00F22A28">
        <w:rPr>
          <w:rFonts w:ascii="Times New Roman" w:hAnsi="Times New Roman" w:cs="Times New Roman"/>
          <w:sz w:val="28"/>
          <w:szCs w:val="28"/>
        </w:rPr>
        <w:t xml:space="preserve">ebruary </w:t>
      </w:r>
      <w:r w:rsidR="00A67080" w:rsidRPr="00F22A28">
        <w:rPr>
          <w:rFonts w:ascii="Times New Roman" w:hAnsi="Times New Roman" w:cs="Times New Roman"/>
          <w:sz w:val="28"/>
          <w:szCs w:val="28"/>
        </w:rPr>
        <w:t xml:space="preserve">8, </w:t>
      </w:r>
      <w:r w:rsidR="003D034C" w:rsidRPr="00F22A28">
        <w:rPr>
          <w:rFonts w:ascii="Times New Roman" w:hAnsi="Times New Roman" w:cs="Times New Roman"/>
          <w:sz w:val="28"/>
          <w:szCs w:val="28"/>
        </w:rPr>
        <w:t>2017</w:t>
      </w:r>
      <w:r w:rsidR="00A67080" w:rsidRPr="00F22A28">
        <w:rPr>
          <w:rFonts w:ascii="Times New Roman" w:hAnsi="Times New Roman" w:cs="Times New Roman"/>
          <w:sz w:val="28"/>
          <w:szCs w:val="28"/>
        </w:rPr>
        <w:t xml:space="preserve">; </w:t>
      </w:r>
      <w:r w:rsidR="00F86B5F" w:rsidRPr="00F22A28">
        <w:rPr>
          <w:rFonts w:ascii="Times New Roman" w:hAnsi="Times New Roman" w:cs="Times New Roman"/>
          <w:sz w:val="28"/>
          <w:szCs w:val="28"/>
        </w:rPr>
        <w:t xml:space="preserve">March </w:t>
      </w:r>
      <w:r w:rsidR="00A67080" w:rsidRPr="00F22A28">
        <w:rPr>
          <w:rFonts w:ascii="Times New Roman" w:hAnsi="Times New Roman" w:cs="Times New Roman"/>
          <w:sz w:val="28"/>
          <w:szCs w:val="28"/>
        </w:rPr>
        <w:t xml:space="preserve">7, </w:t>
      </w:r>
      <w:r w:rsidR="00F86B5F" w:rsidRPr="00F22A28">
        <w:rPr>
          <w:rFonts w:ascii="Times New Roman" w:hAnsi="Times New Roman" w:cs="Times New Roman"/>
          <w:sz w:val="28"/>
          <w:szCs w:val="28"/>
        </w:rPr>
        <w:t>2017</w:t>
      </w:r>
      <w:r w:rsidR="00A67080" w:rsidRPr="00F22A28">
        <w:rPr>
          <w:rFonts w:ascii="Times New Roman" w:hAnsi="Times New Roman" w:cs="Times New Roman"/>
          <w:sz w:val="28"/>
          <w:szCs w:val="28"/>
        </w:rPr>
        <w:t>;</w:t>
      </w:r>
      <w:r w:rsidR="00F86B5F" w:rsidRPr="00F22A28">
        <w:rPr>
          <w:rFonts w:ascii="Times New Roman" w:hAnsi="Times New Roman" w:cs="Times New Roman"/>
          <w:sz w:val="28"/>
          <w:szCs w:val="28"/>
        </w:rPr>
        <w:t xml:space="preserve"> and May</w:t>
      </w:r>
      <w:r w:rsidR="00A67080" w:rsidRPr="00F22A28">
        <w:rPr>
          <w:rFonts w:ascii="Times New Roman" w:hAnsi="Times New Roman" w:cs="Times New Roman"/>
          <w:sz w:val="28"/>
          <w:szCs w:val="28"/>
        </w:rPr>
        <w:t xml:space="preserve"> 26,</w:t>
      </w:r>
      <w:r w:rsidR="00F86B5F" w:rsidRPr="00F22A28">
        <w:rPr>
          <w:rFonts w:ascii="Times New Roman" w:hAnsi="Times New Roman" w:cs="Times New Roman"/>
          <w:sz w:val="28"/>
          <w:szCs w:val="28"/>
        </w:rPr>
        <w:t xml:space="preserve"> 2017</w:t>
      </w:r>
      <w:r w:rsidR="003D034C" w:rsidRPr="00F22A28">
        <w:rPr>
          <w:rFonts w:ascii="Times New Roman" w:hAnsi="Times New Roman" w:cs="Times New Roman"/>
          <w:sz w:val="28"/>
          <w:szCs w:val="28"/>
        </w:rPr>
        <w:t xml:space="preserve">.  </w:t>
      </w:r>
      <w:r w:rsidRPr="00F22A28">
        <w:rPr>
          <w:rFonts w:ascii="Times New Roman" w:hAnsi="Times New Roman" w:cs="Times New Roman"/>
          <w:sz w:val="28"/>
          <w:szCs w:val="28"/>
        </w:rPr>
        <w:t xml:space="preserve">The Defendants </w:t>
      </w:r>
      <w:r w:rsidR="004D5701">
        <w:rPr>
          <w:rFonts w:ascii="Times New Roman" w:hAnsi="Times New Roman" w:cs="Times New Roman"/>
          <w:sz w:val="28"/>
          <w:szCs w:val="28"/>
        </w:rPr>
        <w:t>brought up the issue of delay for the first time at</w:t>
      </w:r>
      <w:r w:rsidRPr="00F22A28">
        <w:rPr>
          <w:rFonts w:ascii="Times New Roman" w:hAnsi="Times New Roman" w:cs="Times New Roman"/>
          <w:sz w:val="28"/>
          <w:szCs w:val="28"/>
        </w:rPr>
        <w:t xml:space="preserve"> the February 2017 conference, when counsel indicated that </w:t>
      </w:r>
      <w:r w:rsidR="004D5701">
        <w:rPr>
          <w:rFonts w:ascii="Times New Roman" w:hAnsi="Times New Roman" w:cs="Times New Roman"/>
          <w:sz w:val="28"/>
          <w:szCs w:val="28"/>
        </w:rPr>
        <w:t>t</w:t>
      </w:r>
      <w:r w:rsidR="00F22A28">
        <w:rPr>
          <w:rFonts w:ascii="Times New Roman" w:hAnsi="Times New Roman" w:cs="Times New Roman"/>
          <w:sz w:val="28"/>
          <w:szCs w:val="28"/>
        </w:rPr>
        <w:t>he</w:t>
      </w:r>
      <w:r w:rsidR="004D5701">
        <w:rPr>
          <w:rFonts w:ascii="Times New Roman" w:hAnsi="Times New Roman" w:cs="Times New Roman"/>
          <w:sz w:val="28"/>
          <w:szCs w:val="28"/>
        </w:rPr>
        <w:t>re</w:t>
      </w:r>
      <w:r w:rsidR="00F22A28">
        <w:rPr>
          <w:rFonts w:ascii="Times New Roman" w:hAnsi="Times New Roman" w:cs="Times New Roman"/>
          <w:sz w:val="28"/>
          <w:szCs w:val="28"/>
        </w:rPr>
        <w:t xml:space="preserve"> may b</w:t>
      </w:r>
      <w:r w:rsidR="004D5701">
        <w:rPr>
          <w:rFonts w:ascii="Times New Roman" w:hAnsi="Times New Roman" w:cs="Times New Roman"/>
          <w:sz w:val="28"/>
          <w:szCs w:val="28"/>
        </w:rPr>
        <w:t>e</w:t>
      </w:r>
      <w:r w:rsidRPr="00F22A28">
        <w:rPr>
          <w:rFonts w:ascii="Times New Roman" w:hAnsi="Times New Roman" w:cs="Times New Roman"/>
          <w:sz w:val="28"/>
          <w:szCs w:val="28"/>
        </w:rPr>
        <w:t xml:space="preserve"> an application pursuant to Rule 327.  </w:t>
      </w:r>
      <w:r w:rsidR="00F22A28">
        <w:rPr>
          <w:rFonts w:ascii="Times New Roman" w:hAnsi="Times New Roman" w:cs="Times New Roman"/>
          <w:sz w:val="28"/>
          <w:szCs w:val="28"/>
        </w:rPr>
        <w:t>At that point,</w:t>
      </w:r>
      <w:r w:rsidRPr="00F22A28">
        <w:rPr>
          <w:rFonts w:ascii="Times New Roman" w:hAnsi="Times New Roman" w:cs="Times New Roman"/>
          <w:sz w:val="28"/>
          <w:szCs w:val="28"/>
        </w:rPr>
        <w:t xml:space="preserve"> the matter had been in ca</w:t>
      </w:r>
      <w:r w:rsidR="007D77A2" w:rsidRPr="00F22A28">
        <w:rPr>
          <w:rFonts w:ascii="Times New Roman" w:hAnsi="Times New Roman" w:cs="Times New Roman"/>
          <w:sz w:val="28"/>
          <w:szCs w:val="28"/>
        </w:rPr>
        <w:t>se management for almost two and a half years</w:t>
      </w:r>
      <w:r w:rsidR="004D5701">
        <w:rPr>
          <w:rFonts w:ascii="Times New Roman" w:hAnsi="Times New Roman" w:cs="Times New Roman"/>
          <w:sz w:val="28"/>
          <w:szCs w:val="28"/>
        </w:rPr>
        <w:t xml:space="preserve"> and</w:t>
      </w:r>
      <w:r w:rsidR="007D77A2" w:rsidRPr="00F22A28">
        <w:rPr>
          <w:rFonts w:ascii="Times New Roman" w:hAnsi="Times New Roman" w:cs="Times New Roman"/>
          <w:sz w:val="28"/>
          <w:szCs w:val="28"/>
        </w:rPr>
        <w:t xml:space="preserve"> </w:t>
      </w:r>
      <w:r w:rsidR="004D5701">
        <w:rPr>
          <w:rFonts w:ascii="Times New Roman" w:hAnsi="Times New Roman" w:cs="Times New Roman"/>
          <w:sz w:val="28"/>
          <w:szCs w:val="28"/>
        </w:rPr>
        <w:t>t</w:t>
      </w:r>
      <w:r w:rsidR="007D77A2" w:rsidRPr="00F22A28">
        <w:rPr>
          <w:rFonts w:ascii="Times New Roman" w:hAnsi="Times New Roman" w:cs="Times New Roman"/>
          <w:sz w:val="28"/>
          <w:szCs w:val="28"/>
        </w:rPr>
        <w:t>entative trial dates had been i</w:t>
      </w:r>
      <w:r w:rsidR="004D5701">
        <w:rPr>
          <w:rFonts w:ascii="Times New Roman" w:hAnsi="Times New Roman" w:cs="Times New Roman"/>
          <w:sz w:val="28"/>
          <w:szCs w:val="28"/>
        </w:rPr>
        <w:t>n place for five months</w:t>
      </w:r>
      <w:r w:rsidR="007D77A2" w:rsidRPr="00F22A28">
        <w:rPr>
          <w:rFonts w:ascii="Times New Roman" w:hAnsi="Times New Roman" w:cs="Times New Roman"/>
          <w:sz w:val="28"/>
          <w:szCs w:val="28"/>
        </w:rPr>
        <w:t>.</w:t>
      </w:r>
    </w:p>
    <w:p w:rsidR="00373AC1" w:rsidRPr="00373AC1" w:rsidRDefault="007D77A2" w:rsidP="007D77A2">
      <w:pPr>
        <w:pStyle w:val="ListParagraph"/>
        <w:tabs>
          <w:tab w:val="left" w:pos="0"/>
          <w:tab w:val="left" w:pos="720"/>
        </w:tabs>
        <w:spacing w:after="0" w:line="240" w:lineRule="auto"/>
        <w:ind w:left="0"/>
        <w:jc w:val="both"/>
        <w:rPr>
          <w:rFonts w:ascii="Times New Roman" w:hAnsi="Times New Roman" w:cs="Times New Roman"/>
          <w:sz w:val="28"/>
          <w:szCs w:val="28"/>
        </w:rPr>
      </w:pPr>
      <w:r w:rsidRPr="00373AC1">
        <w:rPr>
          <w:rFonts w:ascii="Times New Roman" w:hAnsi="Times New Roman" w:cs="Times New Roman"/>
          <w:sz w:val="28"/>
          <w:szCs w:val="28"/>
        </w:rPr>
        <w:t xml:space="preserve"> </w:t>
      </w:r>
    </w:p>
    <w:p w:rsidR="00634ACE" w:rsidRDefault="00634ACE"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At the hearing of the Application, </w:t>
      </w:r>
      <w:r w:rsidR="007D77A2">
        <w:rPr>
          <w:rFonts w:ascii="Times New Roman" w:hAnsi="Times New Roman" w:cs="Times New Roman"/>
          <w:sz w:val="28"/>
          <w:szCs w:val="28"/>
        </w:rPr>
        <w:t>in response to a question I asked about the timing of th</w:t>
      </w:r>
      <w:r w:rsidR="004D5701">
        <w:rPr>
          <w:rFonts w:ascii="Times New Roman" w:hAnsi="Times New Roman" w:cs="Times New Roman"/>
          <w:sz w:val="28"/>
          <w:szCs w:val="28"/>
        </w:rPr>
        <w:t>e</w:t>
      </w:r>
      <w:r w:rsidR="007D77A2">
        <w:rPr>
          <w:rFonts w:ascii="Times New Roman" w:hAnsi="Times New Roman" w:cs="Times New Roman"/>
          <w:sz w:val="28"/>
          <w:szCs w:val="28"/>
        </w:rPr>
        <w:t xml:space="preserve"> Application, </w:t>
      </w:r>
      <w:r>
        <w:rPr>
          <w:rFonts w:ascii="Times New Roman" w:hAnsi="Times New Roman" w:cs="Times New Roman"/>
          <w:sz w:val="28"/>
          <w:szCs w:val="28"/>
        </w:rPr>
        <w:t>counsel</w:t>
      </w:r>
      <w:r w:rsidR="00A14E76">
        <w:rPr>
          <w:rFonts w:ascii="Times New Roman" w:hAnsi="Times New Roman" w:cs="Times New Roman"/>
          <w:sz w:val="28"/>
          <w:szCs w:val="28"/>
        </w:rPr>
        <w:t>’</w:t>
      </w:r>
      <w:r w:rsidR="004D5701">
        <w:rPr>
          <w:rFonts w:ascii="Times New Roman" w:hAnsi="Times New Roman" w:cs="Times New Roman"/>
          <w:sz w:val="28"/>
          <w:szCs w:val="28"/>
        </w:rPr>
        <w:t>s response was</w:t>
      </w:r>
      <w:r>
        <w:rPr>
          <w:rFonts w:ascii="Times New Roman" w:hAnsi="Times New Roman" w:cs="Times New Roman"/>
          <w:sz w:val="28"/>
          <w:szCs w:val="28"/>
        </w:rPr>
        <w:t xml:space="preserve"> that</w:t>
      </w:r>
      <w:r w:rsidR="003D034C" w:rsidRPr="00373AC1">
        <w:rPr>
          <w:rFonts w:ascii="Times New Roman" w:hAnsi="Times New Roman" w:cs="Times New Roman"/>
          <w:sz w:val="28"/>
          <w:szCs w:val="28"/>
        </w:rPr>
        <w:t xml:space="preserve"> what prompted the</w:t>
      </w:r>
      <w:r>
        <w:rPr>
          <w:rFonts w:ascii="Times New Roman" w:hAnsi="Times New Roman" w:cs="Times New Roman"/>
          <w:sz w:val="28"/>
          <w:szCs w:val="28"/>
        </w:rPr>
        <w:t xml:space="preserve"> Defendants</w:t>
      </w:r>
      <w:r w:rsidR="003D034C" w:rsidRPr="00373AC1">
        <w:rPr>
          <w:rFonts w:ascii="Times New Roman" w:hAnsi="Times New Roman" w:cs="Times New Roman"/>
          <w:sz w:val="28"/>
          <w:szCs w:val="28"/>
        </w:rPr>
        <w:t xml:space="preserve"> to bring the delay application was the Plaintiff</w:t>
      </w:r>
      <w:r>
        <w:rPr>
          <w:rFonts w:ascii="Times New Roman" w:hAnsi="Times New Roman" w:cs="Times New Roman"/>
          <w:sz w:val="28"/>
          <w:szCs w:val="28"/>
        </w:rPr>
        <w:t>’s failure</w:t>
      </w:r>
      <w:r w:rsidR="003D034C" w:rsidRPr="00373AC1">
        <w:rPr>
          <w:rFonts w:ascii="Times New Roman" w:hAnsi="Times New Roman" w:cs="Times New Roman"/>
          <w:sz w:val="28"/>
          <w:szCs w:val="28"/>
        </w:rPr>
        <w:t xml:space="preserve"> </w:t>
      </w:r>
      <w:r>
        <w:rPr>
          <w:rFonts w:ascii="Times New Roman" w:hAnsi="Times New Roman" w:cs="Times New Roman"/>
          <w:sz w:val="28"/>
          <w:szCs w:val="28"/>
        </w:rPr>
        <w:t>to</w:t>
      </w:r>
      <w:r w:rsidR="003D034C" w:rsidRPr="00373AC1">
        <w:rPr>
          <w:rFonts w:ascii="Times New Roman" w:hAnsi="Times New Roman" w:cs="Times New Roman"/>
          <w:sz w:val="28"/>
          <w:szCs w:val="28"/>
        </w:rPr>
        <w:t xml:space="preserve"> comply with the </w:t>
      </w:r>
      <w:r>
        <w:rPr>
          <w:rFonts w:ascii="Times New Roman" w:hAnsi="Times New Roman" w:cs="Times New Roman"/>
          <w:sz w:val="28"/>
          <w:szCs w:val="28"/>
        </w:rPr>
        <w:t>d</w:t>
      </w:r>
      <w:r w:rsidR="007D77A2">
        <w:rPr>
          <w:rFonts w:ascii="Times New Roman" w:hAnsi="Times New Roman" w:cs="Times New Roman"/>
          <w:sz w:val="28"/>
          <w:szCs w:val="28"/>
        </w:rPr>
        <w:t>irection,</w:t>
      </w:r>
      <w:r>
        <w:rPr>
          <w:rFonts w:ascii="Times New Roman" w:hAnsi="Times New Roman" w:cs="Times New Roman"/>
          <w:sz w:val="28"/>
          <w:szCs w:val="28"/>
        </w:rPr>
        <w:t xml:space="preserve"> given at the April 2016 </w:t>
      </w:r>
      <w:r w:rsidR="000B45CE">
        <w:rPr>
          <w:rFonts w:ascii="Times New Roman" w:hAnsi="Times New Roman" w:cs="Times New Roman"/>
          <w:sz w:val="28"/>
          <w:szCs w:val="28"/>
        </w:rPr>
        <w:t xml:space="preserve">case management </w:t>
      </w:r>
      <w:r>
        <w:rPr>
          <w:rFonts w:ascii="Times New Roman" w:hAnsi="Times New Roman" w:cs="Times New Roman"/>
          <w:sz w:val="28"/>
          <w:szCs w:val="28"/>
        </w:rPr>
        <w:t>conference</w:t>
      </w:r>
      <w:r w:rsidR="007D77A2">
        <w:rPr>
          <w:rFonts w:ascii="Times New Roman" w:hAnsi="Times New Roman" w:cs="Times New Roman"/>
          <w:sz w:val="28"/>
          <w:szCs w:val="28"/>
        </w:rPr>
        <w:t>, t</w:t>
      </w:r>
      <w:r w:rsidR="004D5701">
        <w:rPr>
          <w:rFonts w:ascii="Times New Roman" w:hAnsi="Times New Roman" w:cs="Times New Roman"/>
          <w:sz w:val="28"/>
          <w:szCs w:val="28"/>
        </w:rPr>
        <w:t>o</w:t>
      </w:r>
      <w:r w:rsidR="007D77A2">
        <w:rPr>
          <w:rFonts w:ascii="Times New Roman" w:hAnsi="Times New Roman" w:cs="Times New Roman"/>
          <w:sz w:val="28"/>
          <w:szCs w:val="28"/>
        </w:rPr>
        <w:t xml:space="preserve"> provide the Defendants its witness list no later than</w:t>
      </w:r>
      <w:r>
        <w:rPr>
          <w:rFonts w:ascii="Times New Roman" w:hAnsi="Times New Roman" w:cs="Times New Roman"/>
          <w:sz w:val="28"/>
          <w:szCs w:val="28"/>
        </w:rPr>
        <w:t xml:space="preserve"> July 31, 2016.  Th</w:t>
      </w:r>
      <w:r w:rsidR="007D77A2">
        <w:rPr>
          <w:rFonts w:ascii="Times New Roman" w:hAnsi="Times New Roman" w:cs="Times New Roman"/>
          <w:sz w:val="28"/>
          <w:szCs w:val="28"/>
        </w:rPr>
        <w:t>e Plaintiff acknowledges that this deadline was not met</w:t>
      </w:r>
      <w:r>
        <w:rPr>
          <w:rFonts w:ascii="Times New Roman" w:hAnsi="Times New Roman" w:cs="Times New Roman"/>
          <w:sz w:val="28"/>
          <w:szCs w:val="28"/>
        </w:rPr>
        <w:t>.</w:t>
      </w:r>
    </w:p>
    <w:p w:rsidR="007D77A2" w:rsidRDefault="007D77A2" w:rsidP="007D77A2">
      <w:pPr>
        <w:pStyle w:val="ListParagraph"/>
        <w:tabs>
          <w:tab w:val="left" w:pos="0"/>
          <w:tab w:val="left" w:pos="720"/>
        </w:tabs>
        <w:spacing w:after="0" w:line="240" w:lineRule="auto"/>
        <w:ind w:left="0"/>
        <w:jc w:val="both"/>
        <w:rPr>
          <w:rFonts w:ascii="Times New Roman" w:hAnsi="Times New Roman" w:cs="Times New Roman"/>
          <w:sz w:val="28"/>
          <w:szCs w:val="28"/>
        </w:rPr>
      </w:pPr>
    </w:p>
    <w:p w:rsidR="000B45CE" w:rsidRDefault="00634ACE"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Defendants’ assertion that the Plaintiff’s delay in providing its witness list was </w:t>
      </w:r>
      <w:r w:rsidR="00371EA2">
        <w:rPr>
          <w:rFonts w:ascii="Times New Roman" w:hAnsi="Times New Roman" w:cs="Times New Roman"/>
          <w:sz w:val="28"/>
          <w:szCs w:val="28"/>
        </w:rPr>
        <w:t>the proverbial “straw that broke the camel’s back</w:t>
      </w:r>
      <w:r w:rsidR="00C20CAE">
        <w:rPr>
          <w:rFonts w:ascii="Times New Roman" w:hAnsi="Times New Roman" w:cs="Times New Roman"/>
          <w:sz w:val="28"/>
          <w:szCs w:val="28"/>
        </w:rPr>
        <w:t>”</w:t>
      </w:r>
      <w:r w:rsidR="00371EA2">
        <w:rPr>
          <w:rFonts w:ascii="Times New Roman" w:hAnsi="Times New Roman" w:cs="Times New Roman"/>
          <w:sz w:val="28"/>
          <w:szCs w:val="28"/>
        </w:rPr>
        <w:t xml:space="preserve"> and was </w:t>
      </w:r>
      <w:r>
        <w:rPr>
          <w:rFonts w:ascii="Times New Roman" w:hAnsi="Times New Roman" w:cs="Times New Roman"/>
          <w:sz w:val="28"/>
          <w:szCs w:val="28"/>
        </w:rPr>
        <w:t>what prompted this Applicatio</w:t>
      </w:r>
      <w:r w:rsidR="007D77A2">
        <w:rPr>
          <w:rFonts w:ascii="Times New Roman" w:hAnsi="Times New Roman" w:cs="Times New Roman"/>
          <w:sz w:val="28"/>
          <w:szCs w:val="28"/>
        </w:rPr>
        <w:t>n is somewhat surprising</w:t>
      </w:r>
      <w:r>
        <w:rPr>
          <w:rFonts w:ascii="Times New Roman" w:hAnsi="Times New Roman" w:cs="Times New Roman"/>
          <w:sz w:val="28"/>
          <w:szCs w:val="28"/>
        </w:rPr>
        <w:t xml:space="preserve">.  </w:t>
      </w:r>
      <w:r w:rsidR="007D77A2">
        <w:rPr>
          <w:rFonts w:ascii="Times New Roman" w:hAnsi="Times New Roman" w:cs="Times New Roman"/>
          <w:sz w:val="28"/>
          <w:szCs w:val="28"/>
        </w:rPr>
        <w:t xml:space="preserve">The </w:t>
      </w:r>
      <w:r w:rsidR="00371EA2">
        <w:rPr>
          <w:rFonts w:ascii="Times New Roman" w:hAnsi="Times New Roman" w:cs="Times New Roman"/>
          <w:sz w:val="28"/>
          <w:szCs w:val="28"/>
        </w:rPr>
        <w:t>missed deadline was mentioned at</w:t>
      </w:r>
      <w:r w:rsidR="007D77A2">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7D77A2">
        <w:rPr>
          <w:rFonts w:ascii="Times New Roman" w:hAnsi="Times New Roman" w:cs="Times New Roman"/>
          <w:sz w:val="28"/>
          <w:szCs w:val="28"/>
        </w:rPr>
        <w:t xml:space="preserve">September 2016 </w:t>
      </w:r>
      <w:r>
        <w:rPr>
          <w:rFonts w:ascii="Times New Roman" w:hAnsi="Times New Roman" w:cs="Times New Roman"/>
          <w:sz w:val="28"/>
          <w:szCs w:val="28"/>
        </w:rPr>
        <w:t>case management conference</w:t>
      </w:r>
      <w:r w:rsidR="000B45CE">
        <w:rPr>
          <w:rFonts w:ascii="Times New Roman" w:hAnsi="Times New Roman" w:cs="Times New Roman"/>
          <w:sz w:val="28"/>
          <w:szCs w:val="28"/>
        </w:rPr>
        <w:t>.</w:t>
      </w:r>
      <w:r w:rsidR="004D04D7">
        <w:rPr>
          <w:rFonts w:ascii="Times New Roman" w:hAnsi="Times New Roman" w:cs="Times New Roman"/>
          <w:sz w:val="28"/>
          <w:szCs w:val="28"/>
        </w:rPr>
        <w:t xml:space="preserve"> </w:t>
      </w:r>
      <w:r w:rsidR="007D77A2">
        <w:rPr>
          <w:rFonts w:ascii="Times New Roman" w:hAnsi="Times New Roman" w:cs="Times New Roman"/>
          <w:sz w:val="28"/>
          <w:szCs w:val="28"/>
        </w:rPr>
        <w:t xml:space="preserve"> I gave a direction that the witness list be provided by the end of that month</w:t>
      </w:r>
      <w:r>
        <w:rPr>
          <w:rFonts w:ascii="Times New Roman" w:hAnsi="Times New Roman" w:cs="Times New Roman"/>
          <w:sz w:val="28"/>
          <w:szCs w:val="28"/>
        </w:rPr>
        <w:t>.</w:t>
      </w:r>
      <w:r w:rsidR="007D77A2">
        <w:rPr>
          <w:rFonts w:ascii="Times New Roman" w:hAnsi="Times New Roman" w:cs="Times New Roman"/>
          <w:sz w:val="28"/>
          <w:szCs w:val="28"/>
        </w:rPr>
        <w:t xml:space="preserve">  </w:t>
      </w:r>
      <w:r w:rsidR="00371EA2">
        <w:rPr>
          <w:rFonts w:ascii="Times New Roman" w:hAnsi="Times New Roman" w:cs="Times New Roman"/>
          <w:sz w:val="28"/>
          <w:szCs w:val="28"/>
        </w:rPr>
        <w:t xml:space="preserve">At the same case management conference, </w:t>
      </w:r>
      <w:r w:rsidR="000B45CE">
        <w:rPr>
          <w:rFonts w:ascii="Times New Roman" w:hAnsi="Times New Roman" w:cs="Times New Roman"/>
          <w:sz w:val="28"/>
          <w:szCs w:val="28"/>
        </w:rPr>
        <w:t xml:space="preserve">counsel were advised that </w:t>
      </w:r>
      <w:r w:rsidR="004D5701">
        <w:rPr>
          <w:rFonts w:ascii="Times New Roman" w:hAnsi="Times New Roman" w:cs="Times New Roman"/>
          <w:sz w:val="28"/>
          <w:szCs w:val="28"/>
        </w:rPr>
        <w:t xml:space="preserve">the time frame of </w:t>
      </w:r>
      <w:r w:rsidR="00371EA2">
        <w:rPr>
          <w:rFonts w:ascii="Times New Roman" w:hAnsi="Times New Roman" w:cs="Times New Roman"/>
          <w:sz w:val="28"/>
          <w:szCs w:val="28"/>
        </w:rPr>
        <w:t>November 6 to 24</w:t>
      </w:r>
      <w:r w:rsidR="004D5701">
        <w:rPr>
          <w:rFonts w:ascii="Times New Roman" w:hAnsi="Times New Roman" w:cs="Times New Roman"/>
          <w:sz w:val="28"/>
          <w:szCs w:val="28"/>
        </w:rPr>
        <w:t>, 2017,</w:t>
      </w:r>
      <w:r w:rsidR="00A14E76">
        <w:rPr>
          <w:rFonts w:ascii="Times New Roman" w:hAnsi="Times New Roman" w:cs="Times New Roman"/>
          <w:sz w:val="28"/>
          <w:szCs w:val="28"/>
        </w:rPr>
        <w:t xml:space="preserve"> was</w:t>
      </w:r>
      <w:r w:rsidR="000B45CE">
        <w:rPr>
          <w:rFonts w:ascii="Times New Roman" w:hAnsi="Times New Roman" w:cs="Times New Roman"/>
          <w:sz w:val="28"/>
          <w:szCs w:val="28"/>
        </w:rPr>
        <w:t xml:space="preserve"> set aside as the tentative trial</w:t>
      </w:r>
      <w:r w:rsidR="004D5701">
        <w:rPr>
          <w:rFonts w:ascii="Times New Roman" w:hAnsi="Times New Roman" w:cs="Times New Roman"/>
          <w:sz w:val="28"/>
          <w:szCs w:val="28"/>
        </w:rPr>
        <w:t>.</w:t>
      </w:r>
      <w:r w:rsidR="00371EA2">
        <w:rPr>
          <w:rFonts w:ascii="Times New Roman" w:hAnsi="Times New Roman" w:cs="Times New Roman"/>
          <w:sz w:val="28"/>
          <w:szCs w:val="28"/>
        </w:rPr>
        <w:t xml:space="preserve">  </w:t>
      </w:r>
      <w:r w:rsidR="004D5701">
        <w:rPr>
          <w:rFonts w:ascii="Times New Roman" w:hAnsi="Times New Roman" w:cs="Times New Roman"/>
          <w:sz w:val="28"/>
          <w:szCs w:val="28"/>
        </w:rPr>
        <w:t>Accordingly, under</w:t>
      </w:r>
      <w:r w:rsidR="00371EA2">
        <w:rPr>
          <w:rFonts w:ascii="Times New Roman" w:hAnsi="Times New Roman" w:cs="Times New Roman"/>
          <w:sz w:val="28"/>
          <w:szCs w:val="28"/>
        </w:rPr>
        <w:t xml:space="preserve"> the new </w:t>
      </w:r>
      <w:r w:rsidR="004D5701">
        <w:rPr>
          <w:rFonts w:ascii="Times New Roman" w:hAnsi="Times New Roman" w:cs="Times New Roman"/>
          <w:sz w:val="28"/>
          <w:szCs w:val="28"/>
        </w:rPr>
        <w:t xml:space="preserve">witness list </w:t>
      </w:r>
      <w:r w:rsidR="00371EA2">
        <w:rPr>
          <w:rFonts w:ascii="Times New Roman" w:hAnsi="Times New Roman" w:cs="Times New Roman"/>
          <w:sz w:val="28"/>
          <w:szCs w:val="28"/>
        </w:rPr>
        <w:t xml:space="preserve">deadline, the Defendants would </w:t>
      </w:r>
      <w:r w:rsidR="000B45CE">
        <w:rPr>
          <w:rFonts w:ascii="Times New Roman" w:hAnsi="Times New Roman" w:cs="Times New Roman"/>
          <w:sz w:val="28"/>
          <w:szCs w:val="28"/>
        </w:rPr>
        <w:t xml:space="preserve">be </w:t>
      </w:r>
      <w:r w:rsidR="00371EA2">
        <w:rPr>
          <w:rFonts w:ascii="Times New Roman" w:hAnsi="Times New Roman" w:cs="Times New Roman"/>
          <w:sz w:val="28"/>
          <w:szCs w:val="28"/>
        </w:rPr>
        <w:t>get</w:t>
      </w:r>
      <w:r w:rsidR="000B45CE">
        <w:rPr>
          <w:rFonts w:ascii="Times New Roman" w:hAnsi="Times New Roman" w:cs="Times New Roman"/>
          <w:sz w:val="28"/>
          <w:szCs w:val="28"/>
        </w:rPr>
        <w:t>ting</w:t>
      </w:r>
      <w:r w:rsidR="00371EA2">
        <w:rPr>
          <w:rFonts w:ascii="Times New Roman" w:hAnsi="Times New Roman" w:cs="Times New Roman"/>
          <w:sz w:val="28"/>
          <w:szCs w:val="28"/>
        </w:rPr>
        <w:t xml:space="preserve"> the Plaintiff’s witness list more than a year ahead of the trial date.</w:t>
      </w:r>
    </w:p>
    <w:p w:rsidR="000B45CE" w:rsidRPr="000B45CE" w:rsidRDefault="000B45CE" w:rsidP="000B45CE">
      <w:pPr>
        <w:pStyle w:val="ListParagraph"/>
        <w:rPr>
          <w:rFonts w:ascii="Times New Roman" w:hAnsi="Times New Roman" w:cs="Times New Roman"/>
          <w:sz w:val="28"/>
          <w:szCs w:val="28"/>
        </w:rPr>
      </w:pPr>
    </w:p>
    <w:p w:rsidR="00373AC1" w:rsidRPr="00765163" w:rsidRDefault="00371EA2" w:rsidP="004D04D7">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It is difficult to see how</w:t>
      </w:r>
      <w:r w:rsidR="000B45CE">
        <w:rPr>
          <w:rFonts w:ascii="Times New Roman" w:hAnsi="Times New Roman" w:cs="Times New Roman"/>
          <w:sz w:val="28"/>
          <w:szCs w:val="28"/>
        </w:rPr>
        <w:t>, under those circumstances,</w:t>
      </w:r>
      <w:r>
        <w:rPr>
          <w:rFonts w:ascii="Times New Roman" w:hAnsi="Times New Roman" w:cs="Times New Roman"/>
          <w:sz w:val="28"/>
          <w:szCs w:val="28"/>
        </w:rPr>
        <w:t xml:space="preserve"> getting the </w:t>
      </w:r>
      <w:r w:rsidR="000B45CE">
        <w:rPr>
          <w:rFonts w:ascii="Times New Roman" w:hAnsi="Times New Roman" w:cs="Times New Roman"/>
          <w:sz w:val="28"/>
          <w:szCs w:val="28"/>
        </w:rPr>
        <w:t xml:space="preserve">Plaintiff’s </w:t>
      </w:r>
      <w:r>
        <w:rPr>
          <w:rFonts w:ascii="Times New Roman" w:hAnsi="Times New Roman" w:cs="Times New Roman"/>
          <w:sz w:val="28"/>
          <w:szCs w:val="28"/>
        </w:rPr>
        <w:t xml:space="preserve">witness list two months later than originally directed would </w:t>
      </w:r>
      <w:r w:rsidR="000B45CE">
        <w:rPr>
          <w:rFonts w:ascii="Times New Roman" w:hAnsi="Times New Roman" w:cs="Times New Roman"/>
          <w:sz w:val="28"/>
          <w:szCs w:val="28"/>
        </w:rPr>
        <w:t>cause</w:t>
      </w:r>
      <w:r>
        <w:rPr>
          <w:rFonts w:ascii="Times New Roman" w:hAnsi="Times New Roman" w:cs="Times New Roman"/>
          <w:sz w:val="28"/>
          <w:szCs w:val="28"/>
        </w:rPr>
        <w:t xml:space="preserve"> the Defendants</w:t>
      </w:r>
      <w:r w:rsidR="000B45CE">
        <w:rPr>
          <w:rFonts w:ascii="Times New Roman" w:hAnsi="Times New Roman" w:cs="Times New Roman"/>
          <w:sz w:val="28"/>
          <w:szCs w:val="28"/>
        </w:rPr>
        <w:t xml:space="preserve"> </w:t>
      </w:r>
      <w:r w:rsidR="000B45CE">
        <w:rPr>
          <w:rFonts w:ascii="Times New Roman" w:hAnsi="Times New Roman" w:cs="Times New Roman"/>
          <w:sz w:val="28"/>
          <w:szCs w:val="28"/>
        </w:rPr>
        <w:lastRenderedPageBreak/>
        <w:t>much consternation</w:t>
      </w:r>
      <w:r>
        <w:rPr>
          <w:rFonts w:ascii="Times New Roman" w:hAnsi="Times New Roman" w:cs="Times New Roman"/>
          <w:sz w:val="28"/>
          <w:szCs w:val="28"/>
        </w:rPr>
        <w:t>.</w:t>
      </w:r>
      <w:r w:rsidR="007D77A2">
        <w:rPr>
          <w:rFonts w:ascii="Times New Roman" w:hAnsi="Times New Roman" w:cs="Times New Roman"/>
          <w:sz w:val="28"/>
          <w:szCs w:val="28"/>
        </w:rPr>
        <w:t xml:space="preserve">  And if</w:t>
      </w:r>
      <w:r>
        <w:rPr>
          <w:rFonts w:ascii="Times New Roman" w:hAnsi="Times New Roman" w:cs="Times New Roman"/>
          <w:sz w:val="28"/>
          <w:szCs w:val="28"/>
        </w:rPr>
        <w:t>, for whatever reason, it</w:t>
      </w:r>
      <w:r w:rsidR="007D77A2">
        <w:rPr>
          <w:rFonts w:ascii="Times New Roman" w:hAnsi="Times New Roman" w:cs="Times New Roman"/>
          <w:sz w:val="28"/>
          <w:szCs w:val="28"/>
        </w:rPr>
        <w:t xml:space="preserve"> was s</w:t>
      </w:r>
      <w:r w:rsidR="000B45CE">
        <w:rPr>
          <w:rFonts w:ascii="Times New Roman" w:hAnsi="Times New Roman" w:cs="Times New Roman"/>
          <w:sz w:val="28"/>
          <w:szCs w:val="28"/>
        </w:rPr>
        <w:t>uch a</w:t>
      </w:r>
      <w:r w:rsidR="007D77A2">
        <w:rPr>
          <w:rFonts w:ascii="Times New Roman" w:hAnsi="Times New Roman" w:cs="Times New Roman"/>
          <w:sz w:val="28"/>
          <w:szCs w:val="28"/>
        </w:rPr>
        <w:t xml:space="preserve"> major concern as to become the trigger for this Application, one would expect that </w:t>
      </w:r>
      <w:r>
        <w:rPr>
          <w:rFonts w:ascii="Times New Roman" w:hAnsi="Times New Roman" w:cs="Times New Roman"/>
          <w:sz w:val="28"/>
          <w:szCs w:val="28"/>
        </w:rPr>
        <w:t xml:space="preserve">more would have been said about </w:t>
      </w:r>
      <w:r w:rsidR="000B45CE">
        <w:rPr>
          <w:rFonts w:ascii="Times New Roman" w:hAnsi="Times New Roman" w:cs="Times New Roman"/>
          <w:sz w:val="28"/>
          <w:szCs w:val="28"/>
        </w:rPr>
        <w:t>this topic</w:t>
      </w:r>
      <w:r w:rsidR="007D77A2">
        <w:rPr>
          <w:rFonts w:ascii="Times New Roman" w:hAnsi="Times New Roman" w:cs="Times New Roman"/>
          <w:sz w:val="28"/>
          <w:szCs w:val="28"/>
        </w:rPr>
        <w:t xml:space="preserve"> at the September </w:t>
      </w:r>
      <w:r>
        <w:rPr>
          <w:rFonts w:ascii="Times New Roman" w:hAnsi="Times New Roman" w:cs="Times New Roman"/>
          <w:sz w:val="28"/>
          <w:szCs w:val="28"/>
        </w:rPr>
        <w:t xml:space="preserve">2016 </w:t>
      </w:r>
      <w:r w:rsidR="007D77A2">
        <w:rPr>
          <w:rFonts w:ascii="Times New Roman" w:hAnsi="Times New Roman" w:cs="Times New Roman"/>
          <w:sz w:val="28"/>
          <w:szCs w:val="28"/>
        </w:rPr>
        <w:t>case management conference.</w:t>
      </w:r>
      <w:r w:rsidR="000B45CE">
        <w:rPr>
          <w:rFonts w:ascii="Times New Roman" w:hAnsi="Times New Roman" w:cs="Times New Roman"/>
          <w:sz w:val="28"/>
          <w:szCs w:val="28"/>
        </w:rPr>
        <w:t xml:space="preserve">  In any event, in the overall context of this case, th</w:t>
      </w:r>
      <w:r w:rsidR="004D5701">
        <w:rPr>
          <w:rFonts w:ascii="Times New Roman" w:hAnsi="Times New Roman" w:cs="Times New Roman"/>
          <w:sz w:val="28"/>
          <w:szCs w:val="28"/>
        </w:rPr>
        <w:t>e Plaintiff’s delay in providing</w:t>
      </w:r>
      <w:r w:rsidR="000B45CE">
        <w:rPr>
          <w:rFonts w:ascii="Times New Roman" w:hAnsi="Times New Roman" w:cs="Times New Roman"/>
          <w:sz w:val="28"/>
          <w:szCs w:val="28"/>
        </w:rPr>
        <w:t xml:space="preserve"> the witness list can hardly serve as a basis to dismiss this action.</w:t>
      </w:r>
      <w:r w:rsidR="00634ACE">
        <w:rPr>
          <w:rFonts w:ascii="Times New Roman" w:hAnsi="Times New Roman" w:cs="Times New Roman"/>
          <w:sz w:val="28"/>
          <w:szCs w:val="28"/>
        </w:rPr>
        <w:t xml:space="preserve">  </w:t>
      </w:r>
    </w:p>
    <w:p w:rsidR="00373AC1" w:rsidRPr="00373AC1" w:rsidRDefault="00373AC1" w:rsidP="0077250F">
      <w:pPr>
        <w:pStyle w:val="ListParagraph"/>
        <w:spacing w:after="0" w:line="240" w:lineRule="auto"/>
        <w:rPr>
          <w:rFonts w:ascii="Times New Roman" w:hAnsi="Times New Roman" w:cs="Times New Roman"/>
          <w:sz w:val="28"/>
          <w:szCs w:val="28"/>
        </w:rPr>
      </w:pPr>
    </w:p>
    <w:p w:rsidR="00765163" w:rsidRDefault="00371EA2"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I am not satisfied that t</w:t>
      </w:r>
      <w:r w:rsidR="003D034C" w:rsidRPr="00765163">
        <w:rPr>
          <w:rFonts w:ascii="Times New Roman" w:hAnsi="Times New Roman" w:cs="Times New Roman"/>
          <w:sz w:val="28"/>
          <w:szCs w:val="28"/>
        </w:rPr>
        <w:t>he Defendants have establish</w:t>
      </w:r>
      <w:r>
        <w:rPr>
          <w:rFonts w:ascii="Times New Roman" w:hAnsi="Times New Roman" w:cs="Times New Roman"/>
          <w:sz w:val="28"/>
          <w:szCs w:val="28"/>
        </w:rPr>
        <w:t>ed</w:t>
      </w:r>
      <w:r w:rsidR="003D034C" w:rsidRPr="00765163">
        <w:rPr>
          <w:rFonts w:ascii="Times New Roman" w:hAnsi="Times New Roman" w:cs="Times New Roman"/>
          <w:sz w:val="28"/>
          <w:szCs w:val="28"/>
        </w:rPr>
        <w:t xml:space="preserve"> any inordinate or inexcusable delay on the part of the Plaintiff.  </w:t>
      </w:r>
      <w:r w:rsidR="00765163">
        <w:rPr>
          <w:rFonts w:ascii="Times New Roman" w:hAnsi="Times New Roman" w:cs="Times New Roman"/>
          <w:sz w:val="28"/>
          <w:szCs w:val="28"/>
        </w:rPr>
        <w:t>T</w:t>
      </w:r>
      <w:r w:rsidR="00765163" w:rsidRPr="00373AC1">
        <w:rPr>
          <w:rFonts w:ascii="Times New Roman" w:hAnsi="Times New Roman" w:cs="Times New Roman"/>
          <w:sz w:val="28"/>
          <w:szCs w:val="28"/>
        </w:rPr>
        <w:t xml:space="preserve">here undeniably has been significant delay on this matter, </w:t>
      </w:r>
      <w:r w:rsidR="00765163">
        <w:rPr>
          <w:rFonts w:ascii="Times New Roman" w:hAnsi="Times New Roman" w:cs="Times New Roman"/>
          <w:sz w:val="28"/>
          <w:szCs w:val="28"/>
        </w:rPr>
        <w:t xml:space="preserve">but </w:t>
      </w:r>
      <w:r>
        <w:rPr>
          <w:rFonts w:ascii="Times New Roman" w:hAnsi="Times New Roman" w:cs="Times New Roman"/>
          <w:sz w:val="28"/>
          <w:szCs w:val="28"/>
        </w:rPr>
        <w:t xml:space="preserve">I conclude it is </w:t>
      </w:r>
      <w:r w:rsidR="00765163" w:rsidRPr="00373AC1">
        <w:rPr>
          <w:rFonts w:ascii="Times New Roman" w:hAnsi="Times New Roman" w:cs="Times New Roman"/>
          <w:sz w:val="28"/>
          <w:szCs w:val="28"/>
        </w:rPr>
        <w:t xml:space="preserve">almost entirely attributable to </w:t>
      </w:r>
      <w:r>
        <w:rPr>
          <w:rFonts w:ascii="Times New Roman" w:hAnsi="Times New Roman" w:cs="Times New Roman"/>
          <w:sz w:val="28"/>
          <w:szCs w:val="28"/>
        </w:rPr>
        <w:t xml:space="preserve">choices </w:t>
      </w:r>
      <w:r w:rsidR="000B45CE">
        <w:rPr>
          <w:rFonts w:ascii="Times New Roman" w:hAnsi="Times New Roman" w:cs="Times New Roman"/>
          <w:sz w:val="28"/>
          <w:szCs w:val="28"/>
        </w:rPr>
        <w:t xml:space="preserve">and decisions </w:t>
      </w:r>
      <w:r>
        <w:rPr>
          <w:rFonts w:ascii="Times New Roman" w:hAnsi="Times New Roman" w:cs="Times New Roman"/>
          <w:sz w:val="28"/>
          <w:szCs w:val="28"/>
        </w:rPr>
        <w:t xml:space="preserve">made by </w:t>
      </w:r>
      <w:r w:rsidR="00765163" w:rsidRPr="00373AC1">
        <w:rPr>
          <w:rFonts w:ascii="Times New Roman" w:hAnsi="Times New Roman" w:cs="Times New Roman"/>
          <w:sz w:val="28"/>
          <w:szCs w:val="28"/>
        </w:rPr>
        <w:t xml:space="preserve">the Defendants.   </w:t>
      </w:r>
    </w:p>
    <w:p w:rsidR="00765163" w:rsidRPr="00765163" w:rsidRDefault="00765163" w:rsidP="0077250F">
      <w:pPr>
        <w:pStyle w:val="ListParagraph"/>
        <w:spacing w:after="0" w:line="240" w:lineRule="auto"/>
        <w:rPr>
          <w:rFonts w:ascii="Times New Roman" w:hAnsi="Times New Roman" w:cs="Times New Roman"/>
          <w:sz w:val="28"/>
          <w:szCs w:val="28"/>
        </w:rPr>
      </w:pPr>
    </w:p>
    <w:p w:rsidR="00373AC1" w:rsidRPr="00765163" w:rsidRDefault="00371EA2"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Given that conclusion, I need not examine</w:t>
      </w:r>
      <w:r w:rsidR="003D034C" w:rsidRPr="00765163">
        <w:rPr>
          <w:rFonts w:ascii="Times New Roman" w:hAnsi="Times New Roman" w:cs="Times New Roman"/>
          <w:sz w:val="28"/>
          <w:szCs w:val="28"/>
        </w:rPr>
        <w:t xml:space="preserve"> the issue of prejudice in detail</w:t>
      </w:r>
      <w:r w:rsidR="005A277E">
        <w:rPr>
          <w:rFonts w:ascii="Times New Roman" w:hAnsi="Times New Roman" w:cs="Times New Roman"/>
          <w:sz w:val="28"/>
          <w:szCs w:val="28"/>
        </w:rPr>
        <w:t>.</w:t>
      </w:r>
      <w:r w:rsidR="00765163">
        <w:rPr>
          <w:rFonts w:ascii="Times New Roman" w:hAnsi="Times New Roman" w:cs="Times New Roman"/>
          <w:sz w:val="28"/>
          <w:szCs w:val="28"/>
        </w:rPr>
        <w:t xml:space="preserve"> </w:t>
      </w:r>
      <w:r w:rsidR="00D935F7">
        <w:rPr>
          <w:rFonts w:ascii="Times New Roman" w:hAnsi="Times New Roman" w:cs="Times New Roman"/>
          <w:sz w:val="28"/>
          <w:szCs w:val="28"/>
        </w:rPr>
        <w:t xml:space="preserve"> </w:t>
      </w:r>
      <w:r w:rsidR="005A277E">
        <w:rPr>
          <w:rFonts w:ascii="Times New Roman" w:hAnsi="Times New Roman" w:cs="Times New Roman"/>
          <w:sz w:val="28"/>
          <w:szCs w:val="28"/>
        </w:rPr>
        <w:t>I</w:t>
      </w:r>
      <w:r w:rsidR="00765163">
        <w:rPr>
          <w:rFonts w:ascii="Times New Roman" w:hAnsi="Times New Roman" w:cs="Times New Roman"/>
          <w:sz w:val="28"/>
          <w:szCs w:val="28"/>
        </w:rPr>
        <w:t xml:space="preserve"> would simply</w:t>
      </w:r>
      <w:r w:rsidR="003D034C" w:rsidRPr="00765163">
        <w:rPr>
          <w:rFonts w:ascii="Times New Roman" w:hAnsi="Times New Roman" w:cs="Times New Roman"/>
          <w:sz w:val="28"/>
          <w:szCs w:val="28"/>
        </w:rPr>
        <w:t xml:space="preserve"> note that </w:t>
      </w:r>
      <w:r>
        <w:rPr>
          <w:rFonts w:ascii="Times New Roman" w:hAnsi="Times New Roman" w:cs="Times New Roman"/>
          <w:sz w:val="28"/>
          <w:szCs w:val="28"/>
        </w:rPr>
        <w:t xml:space="preserve">I do not find </w:t>
      </w:r>
      <w:r w:rsidR="003D034C" w:rsidRPr="00765163">
        <w:rPr>
          <w:rFonts w:ascii="Times New Roman" w:hAnsi="Times New Roman" w:cs="Times New Roman"/>
          <w:sz w:val="28"/>
          <w:szCs w:val="28"/>
        </w:rPr>
        <w:t xml:space="preserve">the </w:t>
      </w:r>
      <w:r>
        <w:rPr>
          <w:rFonts w:ascii="Times New Roman" w:hAnsi="Times New Roman" w:cs="Times New Roman"/>
          <w:sz w:val="28"/>
          <w:szCs w:val="28"/>
        </w:rPr>
        <w:t>Defendants’ case on th</w:t>
      </w:r>
      <w:r w:rsidR="000B45CE">
        <w:rPr>
          <w:rFonts w:ascii="Times New Roman" w:hAnsi="Times New Roman" w:cs="Times New Roman"/>
          <w:sz w:val="28"/>
          <w:szCs w:val="28"/>
        </w:rPr>
        <w:t>at</w:t>
      </w:r>
      <w:r>
        <w:rPr>
          <w:rFonts w:ascii="Times New Roman" w:hAnsi="Times New Roman" w:cs="Times New Roman"/>
          <w:sz w:val="28"/>
          <w:szCs w:val="28"/>
        </w:rPr>
        <w:t xml:space="preserve"> issue particularly</w:t>
      </w:r>
      <w:r w:rsidR="003D034C" w:rsidRPr="00765163">
        <w:rPr>
          <w:rFonts w:ascii="Times New Roman" w:hAnsi="Times New Roman" w:cs="Times New Roman"/>
          <w:sz w:val="28"/>
          <w:szCs w:val="28"/>
        </w:rPr>
        <w:t xml:space="preserve"> convincing.</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5A277E"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For example, t</w:t>
      </w:r>
      <w:r w:rsidR="003D034C" w:rsidRPr="00373AC1">
        <w:rPr>
          <w:rFonts w:ascii="Times New Roman" w:hAnsi="Times New Roman" w:cs="Times New Roman"/>
          <w:sz w:val="28"/>
          <w:szCs w:val="28"/>
        </w:rPr>
        <w:t>he Defendants say they are prejudiced because of the passing, in 2003, of Wolfgang Da</w:t>
      </w:r>
      <w:r w:rsidR="00765163">
        <w:rPr>
          <w:rFonts w:ascii="Times New Roman" w:hAnsi="Times New Roman" w:cs="Times New Roman"/>
          <w:sz w:val="28"/>
          <w:szCs w:val="28"/>
        </w:rPr>
        <w:t>utel, the assistant fire marsha</w:t>
      </w:r>
      <w:r w:rsidR="003D034C" w:rsidRPr="00373AC1">
        <w:rPr>
          <w:rFonts w:ascii="Times New Roman" w:hAnsi="Times New Roman" w:cs="Times New Roman"/>
          <w:sz w:val="28"/>
          <w:szCs w:val="28"/>
        </w:rPr>
        <w:t>l who wrote the incident report after the fire.  The Defendants did not have an opportunity to examine him before his passing.</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5A277E"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problem with this argument is that </w:t>
      </w:r>
      <w:r w:rsidR="003D034C" w:rsidRPr="00373AC1">
        <w:rPr>
          <w:rFonts w:ascii="Times New Roman" w:hAnsi="Times New Roman" w:cs="Times New Roman"/>
          <w:sz w:val="28"/>
          <w:szCs w:val="28"/>
        </w:rPr>
        <w:t xml:space="preserve">Mr. Dautel’s passing occurred well before any significant delay had occurred in this matter. </w:t>
      </w:r>
      <w:r w:rsidR="009016E9">
        <w:rPr>
          <w:rFonts w:ascii="Times New Roman" w:hAnsi="Times New Roman" w:cs="Times New Roman"/>
          <w:sz w:val="28"/>
          <w:szCs w:val="28"/>
        </w:rPr>
        <w:t xml:space="preserve"> </w:t>
      </w:r>
      <w:r w:rsidR="004D5701">
        <w:rPr>
          <w:rFonts w:ascii="Times New Roman" w:hAnsi="Times New Roman" w:cs="Times New Roman"/>
          <w:sz w:val="28"/>
          <w:szCs w:val="28"/>
        </w:rPr>
        <w:t>For that reason, i</w:t>
      </w:r>
      <w:r w:rsidR="00765163">
        <w:rPr>
          <w:rFonts w:ascii="Times New Roman" w:hAnsi="Times New Roman" w:cs="Times New Roman"/>
          <w:sz w:val="28"/>
          <w:szCs w:val="28"/>
        </w:rPr>
        <w:t>t is highly</w:t>
      </w:r>
      <w:r w:rsidR="003D034C" w:rsidRPr="00373AC1">
        <w:rPr>
          <w:rFonts w:ascii="Times New Roman" w:hAnsi="Times New Roman" w:cs="Times New Roman"/>
          <w:sz w:val="28"/>
          <w:szCs w:val="28"/>
        </w:rPr>
        <w:t xml:space="preserve"> questionable that the Defendants could rely on it</w:t>
      </w:r>
      <w:r w:rsidR="004D5701">
        <w:rPr>
          <w:rFonts w:ascii="Times New Roman" w:hAnsi="Times New Roman" w:cs="Times New Roman"/>
          <w:sz w:val="28"/>
          <w:szCs w:val="28"/>
        </w:rPr>
        <w:t>.</w:t>
      </w:r>
      <w:r w:rsidR="003D034C" w:rsidRPr="00373AC1">
        <w:rPr>
          <w:rFonts w:ascii="Times New Roman" w:hAnsi="Times New Roman" w:cs="Times New Roman"/>
          <w:sz w:val="28"/>
          <w:szCs w:val="28"/>
        </w:rPr>
        <w:t xml:space="preserve">  </w:t>
      </w:r>
      <w:r w:rsidR="003D034C" w:rsidRPr="00373AC1">
        <w:rPr>
          <w:rFonts w:ascii="Times New Roman" w:hAnsi="Times New Roman" w:cs="Times New Roman"/>
          <w:i/>
          <w:sz w:val="28"/>
          <w:szCs w:val="28"/>
        </w:rPr>
        <w:t>Pomedi v Allied Machinist Limited</w:t>
      </w:r>
      <w:r w:rsidR="003D034C" w:rsidRPr="00373AC1">
        <w:rPr>
          <w:rFonts w:ascii="Times New Roman" w:hAnsi="Times New Roman" w:cs="Times New Roman"/>
          <w:sz w:val="28"/>
          <w:szCs w:val="28"/>
        </w:rPr>
        <w:t xml:space="preserve">, 2015 ABQB 146.  In addition, most of the delay, at that point, was due to the Defendants having taken </w:t>
      </w:r>
      <w:r>
        <w:rPr>
          <w:rFonts w:ascii="Times New Roman" w:hAnsi="Times New Roman" w:cs="Times New Roman"/>
          <w:sz w:val="28"/>
          <w:szCs w:val="28"/>
        </w:rPr>
        <w:t xml:space="preserve">over </w:t>
      </w:r>
      <w:r w:rsidR="003D034C" w:rsidRPr="00373AC1">
        <w:rPr>
          <w:rFonts w:ascii="Times New Roman" w:hAnsi="Times New Roman" w:cs="Times New Roman"/>
          <w:sz w:val="28"/>
          <w:szCs w:val="28"/>
        </w:rPr>
        <w:t xml:space="preserve">three years to file their Statement of Defence.  </w:t>
      </w:r>
    </w:p>
    <w:p w:rsidR="00373AC1" w:rsidRPr="00373AC1" w:rsidRDefault="00373AC1" w:rsidP="0077250F">
      <w:pPr>
        <w:pStyle w:val="ListParagraph"/>
        <w:spacing w:after="0" w:line="240" w:lineRule="auto"/>
        <w:rPr>
          <w:rFonts w:ascii="Times New Roman" w:hAnsi="Times New Roman" w:cs="Times New Roman"/>
          <w:sz w:val="28"/>
          <w:szCs w:val="28"/>
        </w:rPr>
      </w:pPr>
    </w:p>
    <w:p w:rsidR="00373AC1" w:rsidRDefault="005A277E"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Another</w:t>
      </w:r>
      <w:r w:rsidRPr="00373AC1">
        <w:rPr>
          <w:rFonts w:ascii="Times New Roman" w:hAnsi="Times New Roman" w:cs="Times New Roman"/>
          <w:sz w:val="28"/>
          <w:szCs w:val="28"/>
        </w:rPr>
        <w:t xml:space="preserve"> </w:t>
      </w:r>
      <w:r>
        <w:rPr>
          <w:rFonts w:ascii="Times New Roman" w:hAnsi="Times New Roman" w:cs="Times New Roman"/>
          <w:sz w:val="28"/>
          <w:szCs w:val="28"/>
        </w:rPr>
        <w:t>type</w:t>
      </w:r>
      <w:r w:rsidRPr="00373AC1">
        <w:rPr>
          <w:rFonts w:ascii="Times New Roman" w:hAnsi="Times New Roman" w:cs="Times New Roman"/>
          <w:sz w:val="28"/>
          <w:szCs w:val="28"/>
        </w:rPr>
        <w:t xml:space="preserve"> of prejudice </w:t>
      </w:r>
      <w:r>
        <w:rPr>
          <w:rFonts w:ascii="Times New Roman" w:hAnsi="Times New Roman" w:cs="Times New Roman"/>
          <w:sz w:val="28"/>
          <w:szCs w:val="28"/>
        </w:rPr>
        <w:t>that</w:t>
      </w:r>
      <w:r w:rsidRPr="00373AC1">
        <w:rPr>
          <w:rFonts w:ascii="Times New Roman" w:hAnsi="Times New Roman" w:cs="Times New Roman"/>
          <w:sz w:val="28"/>
          <w:szCs w:val="28"/>
        </w:rPr>
        <w:t xml:space="preserve"> the Defendants </w:t>
      </w:r>
      <w:r>
        <w:rPr>
          <w:rFonts w:ascii="Times New Roman" w:hAnsi="Times New Roman" w:cs="Times New Roman"/>
          <w:sz w:val="28"/>
          <w:szCs w:val="28"/>
        </w:rPr>
        <w:t xml:space="preserve">rely on is their potential liability for a significant </w:t>
      </w:r>
      <w:r w:rsidRPr="00373AC1">
        <w:rPr>
          <w:rFonts w:ascii="Times New Roman" w:hAnsi="Times New Roman" w:cs="Times New Roman"/>
          <w:sz w:val="28"/>
          <w:szCs w:val="28"/>
        </w:rPr>
        <w:t>amount of prejudgment interest in the event that the Plaintiff</w:t>
      </w:r>
      <w:r>
        <w:rPr>
          <w:rFonts w:ascii="Times New Roman" w:hAnsi="Times New Roman" w:cs="Times New Roman"/>
          <w:sz w:val="28"/>
          <w:szCs w:val="28"/>
        </w:rPr>
        <w:t xml:space="preserve"> is successful at trial</w:t>
      </w:r>
      <w:r w:rsidRPr="00373AC1">
        <w:rPr>
          <w:rFonts w:ascii="Times New Roman" w:hAnsi="Times New Roman" w:cs="Times New Roman"/>
          <w:sz w:val="28"/>
          <w:szCs w:val="28"/>
        </w:rPr>
        <w:t xml:space="preserve">.  </w:t>
      </w:r>
      <w:r>
        <w:rPr>
          <w:rFonts w:ascii="Times New Roman" w:hAnsi="Times New Roman" w:cs="Times New Roman"/>
          <w:sz w:val="28"/>
          <w:szCs w:val="28"/>
        </w:rPr>
        <w:t>Bu</w:t>
      </w:r>
      <w:r w:rsidR="000B45CE">
        <w:rPr>
          <w:rFonts w:ascii="Times New Roman" w:hAnsi="Times New Roman" w:cs="Times New Roman"/>
          <w:sz w:val="28"/>
          <w:szCs w:val="28"/>
        </w:rPr>
        <w:t>t orders for pre</w:t>
      </w:r>
      <w:r>
        <w:rPr>
          <w:rFonts w:ascii="Times New Roman" w:hAnsi="Times New Roman" w:cs="Times New Roman"/>
          <w:sz w:val="28"/>
          <w:szCs w:val="28"/>
        </w:rPr>
        <w:t xml:space="preserve">judgment interest are not automatic.  </w:t>
      </w:r>
      <w:r w:rsidRPr="00373AC1">
        <w:rPr>
          <w:rFonts w:ascii="Times New Roman" w:hAnsi="Times New Roman" w:cs="Times New Roman"/>
          <w:sz w:val="28"/>
          <w:szCs w:val="28"/>
        </w:rPr>
        <w:t>If there</w:t>
      </w:r>
      <w:r w:rsidR="000B45CE">
        <w:rPr>
          <w:rFonts w:ascii="Times New Roman" w:hAnsi="Times New Roman" w:cs="Times New Roman"/>
          <w:sz w:val="28"/>
          <w:szCs w:val="28"/>
        </w:rPr>
        <w:t xml:space="preserve"> are legitimate reasons why pre</w:t>
      </w:r>
      <w:r w:rsidRPr="00373AC1">
        <w:rPr>
          <w:rFonts w:ascii="Times New Roman" w:hAnsi="Times New Roman" w:cs="Times New Roman"/>
          <w:sz w:val="28"/>
          <w:szCs w:val="28"/>
        </w:rPr>
        <w:t>judgment interest ought not to be ordered</w:t>
      </w:r>
      <w:r>
        <w:rPr>
          <w:rFonts w:ascii="Times New Roman" w:hAnsi="Times New Roman" w:cs="Times New Roman"/>
          <w:sz w:val="28"/>
          <w:szCs w:val="28"/>
        </w:rPr>
        <w:t xml:space="preserve"> in this case</w:t>
      </w:r>
      <w:r w:rsidRPr="00373AC1">
        <w:rPr>
          <w:rFonts w:ascii="Times New Roman" w:hAnsi="Times New Roman" w:cs="Times New Roman"/>
          <w:sz w:val="28"/>
          <w:szCs w:val="28"/>
        </w:rPr>
        <w:t>, or ought not to be ordered for the full period of time that has elapsed since the loss, those submissions can and should be made to the Trial Judge, who will have the benefit of the full context of the trial evidence to make a</w:t>
      </w:r>
      <w:r>
        <w:rPr>
          <w:rFonts w:ascii="Times New Roman" w:hAnsi="Times New Roman" w:cs="Times New Roman"/>
          <w:sz w:val="28"/>
          <w:szCs w:val="28"/>
        </w:rPr>
        <w:t xml:space="preserve"> decision on this issue.  The m</w:t>
      </w:r>
      <w:r w:rsidR="000B45CE">
        <w:rPr>
          <w:rFonts w:ascii="Times New Roman" w:hAnsi="Times New Roman" w:cs="Times New Roman"/>
          <w:sz w:val="28"/>
          <w:szCs w:val="28"/>
        </w:rPr>
        <w:t>ere exposure to significant pre</w:t>
      </w:r>
      <w:r>
        <w:rPr>
          <w:rFonts w:ascii="Times New Roman" w:hAnsi="Times New Roman" w:cs="Times New Roman"/>
          <w:sz w:val="28"/>
          <w:szCs w:val="28"/>
        </w:rPr>
        <w:t xml:space="preserve">judgment interest cannot serve as a basis to dismiss an action </w:t>
      </w:r>
      <w:r w:rsidR="000B45CE">
        <w:rPr>
          <w:rFonts w:ascii="Times New Roman" w:hAnsi="Times New Roman" w:cs="Times New Roman"/>
          <w:sz w:val="28"/>
          <w:szCs w:val="28"/>
        </w:rPr>
        <w:t>under Rule 327</w:t>
      </w:r>
      <w:r>
        <w:rPr>
          <w:rFonts w:ascii="Times New Roman" w:hAnsi="Times New Roman" w:cs="Times New Roman"/>
          <w:sz w:val="28"/>
          <w:szCs w:val="28"/>
        </w:rPr>
        <w:t>.</w:t>
      </w:r>
    </w:p>
    <w:p w:rsidR="00BF05B1" w:rsidRPr="00BF05B1" w:rsidRDefault="00BF05B1" w:rsidP="00BF05B1">
      <w:pPr>
        <w:pStyle w:val="ListParagraph"/>
        <w:rPr>
          <w:rFonts w:ascii="Times New Roman" w:hAnsi="Times New Roman" w:cs="Times New Roman"/>
          <w:sz w:val="28"/>
          <w:szCs w:val="28"/>
        </w:rPr>
      </w:pPr>
    </w:p>
    <w:p w:rsidR="003D034C" w:rsidRDefault="005A277E" w:rsidP="0077250F">
      <w:pPr>
        <w:pStyle w:val="ListParagraph"/>
        <w:numPr>
          <w:ilvl w:val="0"/>
          <w:numId w:val="11"/>
        </w:numPr>
        <w:tabs>
          <w:tab w:val="left" w:pos="0"/>
          <w:tab w:val="left" w:pos="720"/>
        </w:tabs>
        <w:spacing w:after="0" w:line="240" w:lineRule="auto"/>
        <w:ind w:left="0" w:firstLine="0"/>
        <w:jc w:val="both"/>
        <w:rPr>
          <w:rFonts w:ascii="Times New Roman" w:hAnsi="Times New Roman" w:cs="Times New Roman"/>
          <w:sz w:val="28"/>
          <w:szCs w:val="28"/>
        </w:rPr>
      </w:pPr>
      <w:r w:rsidRPr="00373AC1">
        <w:rPr>
          <w:rFonts w:ascii="Times New Roman" w:hAnsi="Times New Roman" w:cs="Times New Roman"/>
          <w:sz w:val="28"/>
          <w:szCs w:val="28"/>
        </w:rPr>
        <w:t xml:space="preserve">The Defendants </w:t>
      </w:r>
      <w:r>
        <w:rPr>
          <w:rFonts w:ascii="Times New Roman" w:hAnsi="Times New Roman" w:cs="Times New Roman"/>
          <w:sz w:val="28"/>
          <w:szCs w:val="28"/>
        </w:rPr>
        <w:t>also allege prejudice arising from</w:t>
      </w:r>
      <w:r w:rsidRPr="00373AC1">
        <w:rPr>
          <w:rFonts w:ascii="Times New Roman" w:hAnsi="Times New Roman" w:cs="Times New Roman"/>
          <w:sz w:val="28"/>
          <w:szCs w:val="28"/>
        </w:rPr>
        <w:t xml:space="preserve"> fa</w:t>
      </w:r>
      <w:r>
        <w:rPr>
          <w:rFonts w:ascii="Times New Roman" w:hAnsi="Times New Roman" w:cs="Times New Roman"/>
          <w:sz w:val="28"/>
          <w:szCs w:val="28"/>
        </w:rPr>
        <w:t>ding</w:t>
      </w:r>
      <w:r w:rsidRPr="00373AC1">
        <w:rPr>
          <w:rFonts w:ascii="Times New Roman" w:hAnsi="Times New Roman" w:cs="Times New Roman"/>
          <w:sz w:val="28"/>
          <w:szCs w:val="28"/>
        </w:rPr>
        <w:t xml:space="preserve"> memories and lost records</w:t>
      </w:r>
      <w:r w:rsidR="000B45CE">
        <w:rPr>
          <w:rFonts w:ascii="Times New Roman" w:hAnsi="Times New Roman" w:cs="Times New Roman"/>
          <w:sz w:val="28"/>
          <w:szCs w:val="28"/>
        </w:rPr>
        <w:t xml:space="preserve"> as a result of the passage of time</w:t>
      </w:r>
      <w:r w:rsidRPr="00373AC1">
        <w:rPr>
          <w:rFonts w:ascii="Times New Roman" w:hAnsi="Times New Roman" w:cs="Times New Roman"/>
          <w:sz w:val="28"/>
          <w:szCs w:val="28"/>
        </w:rPr>
        <w:t xml:space="preserve">.  </w:t>
      </w:r>
      <w:r>
        <w:rPr>
          <w:rFonts w:ascii="Times New Roman" w:hAnsi="Times New Roman" w:cs="Times New Roman"/>
          <w:sz w:val="28"/>
          <w:szCs w:val="28"/>
        </w:rPr>
        <w:t>Many of t</w:t>
      </w:r>
      <w:r w:rsidRPr="00373AC1">
        <w:rPr>
          <w:rFonts w:ascii="Times New Roman" w:hAnsi="Times New Roman" w:cs="Times New Roman"/>
          <w:sz w:val="28"/>
          <w:szCs w:val="28"/>
        </w:rPr>
        <w:t xml:space="preserve">he Defendants’ </w:t>
      </w:r>
      <w:r>
        <w:rPr>
          <w:rFonts w:ascii="Times New Roman" w:hAnsi="Times New Roman" w:cs="Times New Roman"/>
          <w:sz w:val="28"/>
          <w:szCs w:val="28"/>
        </w:rPr>
        <w:t>assertions</w:t>
      </w:r>
      <w:r w:rsidRPr="00373AC1">
        <w:rPr>
          <w:rFonts w:ascii="Times New Roman" w:hAnsi="Times New Roman" w:cs="Times New Roman"/>
          <w:sz w:val="28"/>
          <w:szCs w:val="28"/>
        </w:rPr>
        <w:t xml:space="preserve"> in this regard </w:t>
      </w:r>
      <w:r>
        <w:rPr>
          <w:rFonts w:ascii="Times New Roman" w:hAnsi="Times New Roman" w:cs="Times New Roman"/>
          <w:sz w:val="28"/>
          <w:szCs w:val="28"/>
        </w:rPr>
        <w:t>are</w:t>
      </w:r>
      <w:r w:rsidRPr="00373AC1">
        <w:rPr>
          <w:rFonts w:ascii="Times New Roman" w:hAnsi="Times New Roman" w:cs="Times New Roman"/>
          <w:sz w:val="28"/>
          <w:szCs w:val="28"/>
        </w:rPr>
        <w:t xml:space="preserve"> </w:t>
      </w:r>
      <w:r>
        <w:rPr>
          <w:rFonts w:ascii="Times New Roman" w:hAnsi="Times New Roman" w:cs="Times New Roman"/>
          <w:sz w:val="28"/>
          <w:szCs w:val="28"/>
        </w:rPr>
        <w:t>contradicted by</w:t>
      </w:r>
      <w:r w:rsidRPr="00373AC1">
        <w:rPr>
          <w:rFonts w:ascii="Times New Roman" w:hAnsi="Times New Roman" w:cs="Times New Roman"/>
          <w:sz w:val="28"/>
          <w:szCs w:val="28"/>
        </w:rPr>
        <w:t xml:space="preserve"> Mr. Nagel’s evidence. </w:t>
      </w:r>
      <w:r>
        <w:rPr>
          <w:rFonts w:ascii="Times New Roman" w:hAnsi="Times New Roman" w:cs="Times New Roman"/>
          <w:sz w:val="28"/>
          <w:szCs w:val="28"/>
        </w:rPr>
        <w:t xml:space="preserve"> To the extent that this is an issue, it would have been open to the Defendants to conduct examinations for </w:t>
      </w:r>
      <w:r>
        <w:rPr>
          <w:rFonts w:ascii="Times New Roman" w:hAnsi="Times New Roman" w:cs="Times New Roman"/>
          <w:sz w:val="28"/>
          <w:szCs w:val="28"/>
        </w:rPr>
        <w:lastRenderedPageBreak/>
        <w:t>discovery much sooner.</w:t>
      </w:r>
      <w:r w:rsidR="00CD3B7F">
        <w:rPr>
          <w:rFonts w:ascii="Times New Roman" w:hAnsi="Times New Roman" w:cs="Times New Roman"/>
          <w:sz w:val="28"/>
          <w:szCs w:val="28"/>
        </w:rPr>
        <w:t xml:space="preserve"> </w:t>
      </w:r>
      <w:r w:rsidR="000B45CE">
        <w:rPr>
          <w:rFonts w:ascii="Times New Roman" w:hAnsi="Times New Roman" w:cs="Times New Roman"/>
          <w:sz w:val="28"/>
          <w:szCs w:val="28"/>
        </w:rPr>
        <w:t xml:space="preserve"> They cannot now rely on prejudice that arose as a result of their own inaction.</w:t>
      </w:r>
    </w:p>
    <w:p w:rsidR="005A277E" w:rsidRPr="00373AC1" w:rsidRDefault="005A277E" w:rsidP="0077250F">
      <w:pPr>
        <w:pStyle w:val="ListParagraph"/>
        <w:tabs>
          <w:tab w:val="left" w:pos="0"/>
          <w:tab w:val="left" w:pos="720"/>
        </w:tabs>
        <w:spacing w:after="0" w:line="240" w:lineRule="auto"/>
        <w:ind w:left="0"/>
        <w:jc w:val="both"/>
        <w:rPr>
          <w:rFonts w:ascii="Times New Roman" w:hAnsi="Times New Roman" w:cs="Times New Roman"/>
          <w:sz w:val="28"/>
          <w:szCs w:val="28"/>
        </w:rPr>
      </w:pPr>
    </w:p>
    <w:p w:rsidR="003D034C" w:rsidRDefault="003D034C" w:rsidP="0077250F">
      <w:pPr>
        <w:tabs>
          <w:tab w:val="left" w:pos="720"/>
        </w:tabs>
        <w:jc w:val="both"/>
        <w:rPr>
          <w:rFonts w:eastAsiaTheme="minorHAnsi"/>
          <w:sz w:val="28"/>
          <w:szCs w:val="28"/>
          <w:lang w:eastAsia="en-US"/>
        </w:rPr>
      </w:pPr>
      <w:r w:rsidRPr="003D034C">
        <w:rPr>
          <w:rFonts w:eastAsiaTheme="minorHAnsi"/>
          <w:sz w:val="28"/>
          <w:szCs w:val="28"/>
          <w:lang w:eastAsia="en-US"/>
        </w:rPr>
        <w:t>III) CONCLUSION</w:t>
      </w:r>
    </w:p>
    <w:p w:rsidR="009016E9" w:rsidRPr="003D034C" w:rsidRDefault="009016E9" w:rsidP="0077250F">
      <w:pPr>
        <w:tabs>
          <w:tab w:val="left" w:pos="720"/>
        </w:tabs>
        <w:jc w:val="both"/>
        <w:rPr>
          <w:rFonts w:eastAsiaTheme="minorHAnsi"/>
          <w:sz w:val="28"/>
          <w:szCs w:val="28"/>
          <w:lang w:eastAsia="en-US"/>
        </w:rPr>
      </w:pPr>
    </w:p>
    <w:p w:rsidR="00C66D15" w:rsidRDefault="00371EA2" w:rsidP="0077250F">
      <w:pPr>
        <w:pStyle w:val="ListParagraph"/>
        <w:numPr>
          <w:ilvl w:val="0"/>
          <w:numId w:val="11"/>
        </w:numPr>
        <w:tabs>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There has been considerable delay in this matter but it was not caused by the Plaintiff.  The Defendants’ Application to have the action dismissed pursuant to Rule 327 is dismissed.  </w:t>
      </w:r>
    </w:p>
    <w:p w:rsidR="00C66D15" w:rsidRDefault="00C66D15" w:rsidP="0077250F">
      <w:pPr>
        <w:pStyle w:val="ListParagraph"/>
        <w:tabs>
          <w:tab w:val="left" w:pos="720"/>
        </w:tabs>
        <w:spacing w:after="0" w:line="240" w:lineRule="auto"/>
        <w:ind w:left="0"/>
        <w:jc w:val="both"/>
        <w:rPr>
          <w:rFonts w:ascii="Times New Roman" w:hAnsi="Times New Roman" w:cs="Times New Roman"/>
          <w:sz w:val="28"/>
          <w:szCs w:val="28"/>
        </w:rPr>
      </w:pPr>
    </w:p>
    <w:p w:rsidR="003D034C" w:rsidRDefault="003D034C" w:rsidP="0077250F">
      <w:pPr>
        <w:pStyle w:val="ListParagraph"/>
        <w:numPr>
          <w:ilvl w:val="0"/>
          <w:numId w:val="11"/>
        </w:numPr>
        <w:tabs>
          <w:tab w:val="left" w:pos="720"/>
        </w:tabs>
        <w:spacing w:after="0" w:line="240" w:lineRule="auto"/>
        <w:ind w:left="0" w:firstLine="0"/>
        <w:jc w:val="both"/>
        <w:rPr>
          <w:rFonts w:ascii="Times New Roman" w:hAnsi="Times New Roman" w:cs="Times New Roman"/>
          <w:sz w:val="28"/>
          <w:szCs w:val="28"/>
        </w:rPr>
      </w:pPr>
      <w:r w:rsidRPr="00C66D15">
        <w:rPr>
          <w:rFonts w:ascii="Times New Roman" w:hAnsi="Times New Roman" w:cs="Times New Roman"/>
          <w:sz w:val="28"/>
          <w:szCs w:val="28"/>
        </w:rPr>
        <w:t xml:space="preserve">The parties </w:t>
      </w:r>
      <w:r w:rsidR="003C1B6F">
        <w:rPr>
          <w:rFonts w:ascii="Times New Roman" w:hAnsi="Times New Roman" w:cs="Times New Roman"/>
          <w:sz w:val="28"/>
          <w:szCs w:val="28"/>
        </w:rPr>
        <w:t xml:space="preserve">have indicated that they </w:t>
      </w:r>
      <w:r w:rsidRPr="00C66D15">
        <w:rPr>
          <w:rFonts w:ascii="Times New Roman" w:hAnsi="Times New Roman" w:cs="Times New Roman"/>
          <w:sz w:val="28"/>
          <w:szCs w:val="28"/>
        </w:rPr>
        <w:t xml:space="preserve">wish to make submissions as to costs. </w:t>
      </w:r>
      <w:r w:rsidR="003C1B6F">
        <w:rPr>
          <w:rFonts w:ascii="Times New Roman" w:hAnsi="Times New Roman" w:cs="Times New Roman"/>
          <w:sz w:val="28"/>
          <w:szCs w:val="28"/>
        </w:rPr>
        <w:t xml:space="preserve"> The Plaintiff has included some submissions on this issue in its written brief.</w:t>
      </w:r>
      <w:r w:rsidRPr="00C66D15">
        <w:rPr>
          <w:rFonts w:ascii="Times New Roman" w:hAnsi="Times New Roman" w:cs="Times New Roman"/>
          <w:sz w:val="28"/>
          <w:szCs w:val="28"/>
        </w:rPr>
        <w:t xml:space="preserve"> </w:t>
      </w:r>
      <w:r w:rsidR="0034082B">
        <w:rPr>
          <w:rFonts w:ascii="Times New Roman" w:hAnsi="Times New Roman" w:cs="Times New Roman"/>
          <w:sz w:val="28"/>
          <w:szCs w:val="28"/>
        </w:rPr>
        <w:t xml:space="preserve"> </w:t>
      </w:r>
      <w:r w:rsidRPr="00C66D15">
        <w:rPr>
          <w:rFonts w:ascii="Times New Roman" w:hAnsi="Times New Roman" w:cs="Times New Roman"/>
          <w:sz w:val="28"/>
          <w:szCs w:val="28"/>
        </w:rPr>
        <w:t>The following timelines will apply for the filing of further submissions:</w:t>
      </w:r>
    </w:p>
    <w:p w:rsidR="00CD3B7F" w:rsidRPr="00C66D15" w:rsidRDefault="00CD3B7F" w:rsidP="00CD3B7F">
      <w:pPr>
        <w:pStyle w:val="ListParagraph"/>
        <w:tabs>
          <w:tab w:val="left" w:pos="720"/>
        </w:tabs>
        <w:spacing w:after="0" w:line="240" w:lineRule="auto"/>
        <w:ind w:left="0"/>
        <w:jc w:val="both"/>
        <w:rPr>
          <w:rFonts w:ascii="Times New Roman" w:hAnsi="Times New Roman" w:cs="Times New Roman"/>
          <w:sz w:val="28"/>
          <w:szCs w:val="28"/>
        </w:rPr>
      </w:pPr>
    </w:p>
    <w:p w:rsidR="003D034C" w:rsidRPr="003D034C" w:rsidRDefault="003D034C" w:rsidP="0077250F">
      <w:pPr>
        <w:numPr>
          <w:ilvl w:val="0"/>
          <w:numId w:val="7"/>
        </w:numPr>
        <w:tabs>
          <w:tab w:val="left" w:pos="720"/>
        </w:tabs>
        <w:jc w:val="both"/>
        <w:rPr>
          <w:rFonts w:eastAsiaTheme="minorHAnsi"/>
          <w:sz w:val="28"/>
          <w:szCs w:val="28"/>
          <w:lang w:eastAsia="en-US"/>
        </w:rPr>
      </w:pPr>
      <w:r w:rsidRPr="003D034C">
        <w:rPr>
          <w:rFonts w:eastAsiaTheme="minorHAnsi"/>
          <w:sz w:val="28"/>
          <w:szCs w:val="28"/>
          <w:lang w:eastAsia="en-US"/>
        </w:rPr>
        <w:t xml:space="preserve">If the Plaintiff </w:t>
      </w:r>
      <w:r w:rsidRPr="003C1B6F">
        <w:rPr>
          <w:rFonts w:eastAsiaTheme="minorHAnsi"/>
          <w:sz w:val="28"/>
          <w:szCs w:val="28"/>
          <w:lang w:eastAsia="en-US"/>
        </w:rPr>
        <w:t xml:space="preserve">wishes to </w:t>
      </w:r>
      <w:r w:rsidR="003C1B6F">
        <w:rPr>
          <w:rFonts w:eastAsiaTheme="minorHAnsi"/>
          <w:sz w:val="28"/>
          <w:szCs w:val="28"/>
          <w:lang w:eastAsia="en-US"/>
        </w:rPr>
        <w:t>file additional written</w:t>
      </w:r>
      <w:r w:rsidR="003C1B6F" w:rsidRPr="003C1B6F">
        <w:rPr>
          <w:rFonts w:eastAsiaTheme="minorHAnsi"/>
          <w:sz w:val="28"/>
          <w:szCs w:val="28"/>
          <w:lang w:eastAsia="en-US"/>
        </w:rPr>
        <w:t xml:space="preserve"> </w:t>
      </w:r>
      <w:r w:rsidRPr="003C1B6F">
        <w:rPr>
          <w:rFonts w:eastAsiaTheme="minorHAnsi"/>
          <w:sz w:val="28"/>
          <w:szCs w:val="28"/>
          <w:lang w:eastAsia="en-US"/>
        </w:rPr>
        <w:t>submissions</w:t>
      </w:r>
      <w:r w:rsidR="003C1B6F">
        <w:rPr>
          <w:rFonts w:eastAsiaTheme="minorHAnsi"/>
          <w:sz w:val="28"/>
          <w:szCs w:val="28"/>
          <w:lang w:eastAsia="en-US"/>
        </w:rPr>
        <w:t xml:space="preserve"> as to costs</w:t>
      </w:r>
      <w:r w:rsidRPr="003D034C">
        <w:rPr>
          <w:rFonts w:eastAsiaTheme="minorHAnsi"/>
          <w:sz w:val="28"/>
          <w:szCs w:val="28"/>
          <w:lang w:eastAsia="en-US"/>
        </w:rPr>
        <w:t>, those are to be filed with the Registry no later than 4:00PM on August 25, 2017</w:t>
      </w:r>
      <w:r w:rsidR="008946E5">
        <w:rPr>
          <w:rFonts w:eastAsiaTheme="minorHAnsi"/>
          <w:sz w:val="28"/>
          <w:szCs w:val="28"/>
          <w:lang w:eastAsia="en-US"/>
        </w:rPr>
        <w:t>;</w:t>
      </w:r>
    </w:p>
    <w:p w:rsidR="003D034C" w:rsidRPr="008946E5" w:rsidRDefault="003D034C" w:rsidP="0077250F">
      <w:pPr>
        <w:pStyle w:val="ListParagraph"/>
        <w:numPr>
          <w:ilvl w:val="0"/>
          <w:numId w:val="7"/>
        </w:numPr>
        <w:tabs>
          <w:tab w:val="left" w:pos="720"/>
        </w:tabs>
        <w:spacing w:after="0" w:line="240" w:lineRule="auto"/>
        <w:jc w:val="both"/>
        <w:rPr>
          <w:rFonts w:ascii="Times New Roman" w:hAnsi="Times New Roman" w:cs="Times New Roman"/>
          <w:sz w:val="28"/>
          <w:szCs w:val="28"/>
        </w:rPr>
      </w:pPr>
      <w:r w:rsidRPr="008946E5">
        <w:rPr>
          <w:rFonts w:ascii="Times New Roman" w:hAnsi="Times New Roman" w:cs="Times New Roman"/>
          <w:sz w:val="28"/>
          <w:szCs w:val="28"/>
        </w:rPr>
        <w:t>The Defendants’ submissions as to costs are to be filed with the Registry no later than 4:00PM on September 8, 2017.</w:t>
      </w:r>
    </w:p>
    <w:p w:rsidR="00C66D15" w:rsidRPr="00C66D15" w:rsidRDefault="00C66D15" w:rsidP="0077250F">
      <w:pPr>
        <w:tabs>
          <w:tab w:val="left" w:pos="720"/>
        </w:tabs>
        <w:ind w:left="720"/>
        <w:jc w:val="both"/>
        <w:rPr>
          <w:rFonts w:eastAsiaTheme="minorHAnsi"/>
          <w:sz w:val="28"/>
          <w:szCs w:val="28"/>
          <w:lang w:eastAsia="en-US"/>
        </w:rPr>
      </w:pPr>
    </w:p>
    <w:p w:rsidR="00C66D15" w:rsidRDefault="003D034C" w:rsidP="0077250F">
      <w:pPr>
        <w:pStyle w:val="ListParagraph"/>
        <w:numPr>
          <w:ilvl w:val="0"/>
          <w:numId w:val="11"/>
        </w:numPr>
        <w:tabs>
          <w:tab w:val="left" w:pos="720"/>
        </w:tabs>
        <w:spacing w:after="0" w:line="240" w:lineRule="auto"/>
        <w:ind w:left="0" w:firstLine="0"/>
        <w:jc w:val="both"/>
        <w:rPr>
          <w:rFonts w:ascii="Times New Roman" w:hAnsi="Times New Roman" w:cs="Times New Roman"/>
          <w:sz w:val="28"/>
          <w:szCs w:val="28"/>
        </w:rPr>
      </w:pPr>
      <w:r w:rsidRPr="00C66D15">
        <w:rPr>
          <w:rFonts w:ascii="Times New Roman" w:hAnsi="Times New Roman" w:cs="Times New Roman"/>
          <w:sz w:val="28"/>
          <w:szCs w:val="28"/>
        </w:rPr>
        <w:t xml:space="preserve">If counsel wish to make oral submissions on this issue, </w:t>
      </w:r>
      <w:r w:rsidR="000B45CE">
        <w:rPr>
          <w:rFonts w:ascii="Times New Roman" w:hAnsi="Times New Roman" w:cs="Times New Roman"/>
          <w:sz w:val="28"/>
          <w:szCs w:val="28"/>
        </w:rPr>
        <w:t xml:space="preserve">I direct that </w:t>
      </w:r>
      <w:r w:rsidRPr="00C66D15">
        <w:rPr>
          <w:rFonts w:ascii="Times New Roman" w:hAnsi="Times New Roman" w:cs="Times New Roman"/>
          <w:sz w:val="28"/>
          <w:szCs w:val="28"/>
        </w:rPr>
        <w:t>they send their availabilities to the registry by 4:00PM on September 11, 2017.</w:t>
      </w:r>
      <w:r w:rsidR="009016E9">
        <w:rPr>
          <w:rFonts w:ascii="Times New Roman" w:hAnsi="Times New Roman" w:cs="Times New Roman"/>
          <w:sz w:val="28"/>
          <w:szCs w:val="28"/>
        </w:rPr>
        <w:t xml:space="preserve"> </w:t>
      </w:r>
      <w:r w:rsidRPr="00C66D15">
        <w:rPr>
          <w:rFonts w:ascii="Times New Roman" w:hAnsi="Times New Roman" w:cs="Times New Roman"/>
          <w:sz w:val="28"/>
          <w:szCs w:val="28"/>
        </w:rPr>
        <w:t xml:space="preserve"> Otherwise, I will rely on the written </w:t>
      </w:r>
      <w:r w:rsidR="003C1B6F">
        <w:rPr>
          <w:rFonts w:ascii="Times New Roman" w:hAnsi="Times New Roman" w:cs="Times New Roman"/>
          <w:sz w:val="28"/>
          <w:szCs w:val="28"/>
        </w:rPr>
        <w:t xml:space="preserve">submissions and issue a </w:t>
      </w:r>
      <w:r w:rsidRPr="00C66D15">
        <w:rPr>
          <w:rFonts w:ascii="Times New Roman" w:hAnsi="Times New Roman" w:cs="Times New Roman"/>
          <w:sz w:val="28"/>
          <w:szCs w:val="28"/>
        </w:rPr>
        <w:t>ruling in due course.</w:t>
      </w:r>
    </w:p>
    <w:p w:rsidR="00C66D15" w:rsidRDefault="00C66D15" w:rsidP="0077250F">
      <w:pPr>
        <w:pStyle w:val="ListParagraph"/>
        <w:tabs>
          <w:tab w:val="left" w:pos="720"/>
        </w:tabs>
        <w:spacing w:after="0" w:line="240" w:lineRule="auto"/>
        <w:ind w:left="0"/>
        <w:jc w:val="both"/>
        <w:rPr>
          <w:rFonts w:ascii="Times New Roman" w:hAnsi="Times New Roman" w:cs="Times New Roman"/>
          <w:sz w:val="28"/>
          <w:szCs w:val="28"/>
        </w:rPr>
      </w:pPr>
    </w:p>
    <w:p w:rsidR="003D034C" w:rsidRPr="00C66D15" w:rsidRDefault="008946E5" w:rsidP="0077250F">
      <w:pPr>
        <w:pStyle w:val="ListParagraph"/>
        <w:numPr>
          <w:ilvl w:val="0"/>
          <w:numId w:val="11"/>
        </w:numPr>
        <w:tabs>
          <w:tab w:val="left"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C</w:t>
      </w:r>
      <w:r w:rsidR="003D034C" w:rsidRPr="00C66D15">
        <w:rPr>
          <w:rFonts w:ascii="Times New Roman" w:hAnsi="Times New Roman" w:cs="Times New Roman"/>
          <w:sz w:val="28"/>
          <w:szCs w:val="28"/>
        </w:rPr>
        <w:t xml:space="preserve">ounsel </w:t>
      </w:r>
      <w:r>
        <w:rPr>
          <w:rFonts w:ascii="Times New Roman" w:hAnsi="Times New Roman" w:cs="Times New Roman"/>
          <w:sz w:val="28"/>
          <w:szCs w:val="28"/>
        </w:rPr>
        <w:t xml:space="preserve">are reminded </w:t>
      </w:r>
      <w:r w:rsidR="003D034C" w:rsidRPr="00C66D15">
        <w:rPr>
          <w:rFonts w:ascii="Times New Roman" w:hAnsi="Times New Roman" w:cs="Times New Roman"/>
          <w:sz w:val="28"/>
          <w:szCs w:val="28"/>
        </w:rPr>
        <w:t xml:space="preserve">that their written submissions, as well as any correspondence about this matter </w:t>
      </w:r>
      <w:r w:rsidR="004D5701">
        <w:rPr>
          <w:rFonts w:ascii="Times New Roman" w:hAnsi="Times New Roman" w:cs="Times New Roman"/>
          <w:sz w:val="28"/>
          <w:szCs w:val="28"/>
        </w:rPr>
        <w:t>(aside from correspondence relating to c</w:t>
      </w:r>
      <w:r w:rsidR="003D034C" w:rsidRPr="00C66D15">
        <w:rPr>
          <w:rFonts w:ascii="Times New Roman" w:hAnsi="Times New Roman" w:cs="Times New Roman"/>
          <w:sz w:val="28"/>
          <w:szCs w:val="28"/>
        </w:rPr>
        <w:t xml:space="preserve">ase </w:t>
      </w:r>
      <w:r w:rsidR="004D5701">
        <w:rPr>
          <w:rFonts w:ascii="Times New Roman" w:hAnsi="Times New Roman" w:cs="Times New Roman"/>
          <w:sz w:val="28"/>
          <w:szCs w:val="28"/>
        </w:rPr>
        <w:t>m</w:t>
      </w:r>
      <w:r w:rsidR="003D034C" w:rsidRPr="00C66D15">
        <w:rPr>
          <w:rFonts w:ascii="Times New Roman" w:hAnsi="Times New Roman" w:cs="Times New Roman"/>
          <w:sz w:val="28"/>
          <w:szCs w:val="28"/>
        </w:rPr>
        <w:t xml:space="preserve">anagement </w:t>
      </w:r>
      <w:r w:rsidR="004D5701">
        <w:rPr>
          <w:rFonts w:ascii="Times New Roman" w:hAnsi="Times New Roman" w:cs="Times New Roman"/>
          <w:sz w:val="28"/>
          <w:szCs w:val="28"/>
        </w:rPr>
        <w:t>c</w:t>
      </w:r>
      <w:r w:rsidR="003D034C" w:rsidRPr="00C66D15">
        <w:rPr>
          <w:rFonts w:ascii="Times New Roman" w:hAnsi="Times New Roman" w:cs="Times New Roman"/>
          <w:sz w:val="28"/>
          <w:szCs w:val="28"/>
        </w:rPr>
        <w:t>onferences</w:t>
      </w:r>
      <w:r w:rsidR="004D5701">
        <w:rPr>
          <w:rFonts w:ascii="Times New Roman" w:hAnsi="Times New Roman" w:cs="Times New Roman"/>
          <w:sz w:val="28"/>
          <w:szCs w:val="28"/>
        </w:rPr>
        <w:t>)</w:t>
      </w:r>
      <w:r>
        <w:rPr>
          <w:rFonts w:ascii="Times New Roman" w:hAnsi="Times New Roman" w:cs="Times New Roman"/>
          <w:sz w:val="28"/>
          <w:szCs w:val="28"/>
        </w:rPr>
        <w:t>,</w:t>
      </w:r>
      <w:r w:rsidR="003D034C" w:rsidRPr="00C66D15">
        <w:rPr>
          <w:rFonts w:ascii="Times New Roman" w:hAnsi="Times New Roman" w:cs="Times New Roman"/>
          <w:sz w:val="28"/>
          <w:szCs w:val="28"/>
        </w:rPr>
        <w:t xml:space="preserve"> should be directed to the Court Registry, and not to </w:t>
      </w:r>
      <w:r>
        <w:rPr>
          <w:rFonts w:ascii="Times New Roman" w:hAnsi="Times New Roman" w:cs="Times New Roman"/>
          <w:sz w:val="28"/>
          <w:szCs w:val="28"/>
        </w:rPr>
        <w:t>Judges’ Chambers</w:t>
      </w:r>
      <w:r w:rsidR="003D034C" w:rsidRPr="00C66D15">
        <w:rPr>
          <w:rFonts w:ascii="Times New Roman" w:hAnsi="Times New Roman" w:cs="Times New Roman"/>
          <w:sz w:val="28"/>
          <w:szCs w:val="28"/>
        </w:rPr>
        <w:t xml:space="preserve">.   </w:t>
      </w:r>
    </w:p>
    <w:p w:rsidR="00B42759" w:rsidRDefault="00B42759" w:rsidP="0077250F">
      <w:pPr>
        <w:tabs>
          <w:tab w:val="left" w:pos="720"/>
        </w:tabs>
        <w:jc w:val="both"/>
        <w:rPr>
          <w:rFonts w:eastAsiaTheme="minorHAnsi"/>
          <w:sz w:val="28"/>
          <w:szCs w:val="28"/>
          <w:lang w:eastAsia="en-US"/>
        </w:rPr>
      </w:pPr>
    </w:p>
    <w:p w:rsidR="00894C1F" w:rsidRDefault="00894C1F" w:rsidP="0077250F">
      <w:pPr>
        <w:tabs>
          <w:tab w:val="left" w:pos="720"/>
        </w:tabs>
        <w:jc w:val="both"/>
        <w:rPr>
          <w:rFonts w:eastAsiaTheme="minorHAnsi"/>
          <w:sz w:val="28"/>
          <w:szCs w:val="28"/>
          <w:lang w:eastAsia="en-US"/>
        </w:rPr>
      </w:pPr>
    </w:p>
    <w:p w:rsidR="00CD3B7F" w:rsidRPr="003D034C" w:rsidRDefault="00CD3B7F" w:rsidP="0077250F">
      <w:pPr>
        <w:tabs>
          <w:tab w:val="left" w:pos="720"/>
        </w:tabs>
        <w:jc w:val="both"/>
        <w:rPr>
          <w:rFonts w:eastAsiaTheme="minorHAnsi"/>
          <w:sz w:val="28"/>
          <w:szCs w:val="28"/>
          <w:lang w:eastAsia="en-US"/>
        </w:rPr>
      </w:pPr>
    </w:p>
    <w:p w:rsidR="00950408" w:rsidRPr="00D75F3C" w:rsidRDefault="00B42759" w:rsidP="0077250F">
      <w:pPr>
        <w:tabs>
          <w:tab w:val="left" w:pos="720"/>
        </w:tabs>
        <w:jc w:val="both"/>
        <w:rPr>
          <w:sz w:val="28"/>
          <w:szCs w:val="28"/>
          <w:lang w:val="fr-CA"/>
        </w:rPr>
      </w:pPr>
      <w:r w:rsidRPr="003D034C">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476553" w:rsidRPr="00D75F3C">
        <w:rPr>
          <w:sz w:val="28"/>
          <w:szCs w:val="28"/>
          <w:lang w:val="fr-CA"/>
        </w:rPr>
        <w:t>L.A. Charbonneau</w:t>
      </w:r>
    </w:p>
    <w:p w:rsidR="00A07B94" w:rsidRPr="00D75F3C" w:rsidRDefault="009016E9" w:rsidP="0077250F">
      <w:pPr>
        <w:widowControl/>
        <w:tabs>
          <w:tab w:val="left" w:pos="720"/>
        </w:tabs>
        <w:ind w:left="5760" w:right="-36"/>
        <w:jc w:val="both"/>
        <w:rPr>
          <w:sz w:val="28"/>
          <w:szCs w:val="28"/>
          <w:lang w:val="fr-CA"/>
        </w:rPr>
      </w:pPr>
      <w:r w:rsidRPr="00D75F3C">
        <w:rPr>
          <w:sz w:val="28"/>
          <w:szCs w:val="28"/>
          <w:lang w:val="fr-CA"/>
        </w:rPr>
        <w:tab/>
      </w:r>
      <w:r w:rsidR="000A2BCA" w:rsidRPr="00D75F3C">
        <w:rPr>
          <w:sz w:val="28"/>
          <w:szCs w:val="28"/>
          <w:lang w:val="fr-CA"/>
        </w:rPr>
        <w:t xml:space="preserve">    J.S.C.</w:t>
      </w:r>
    </w:p>
    <w:p w:rsidR="000A2BCA" w:rsidRPr="00D75F3C" w:rsidRDefault="000A2BCA" w:rsidP="0077250F">
      <w:pPr>
        <w:widowControl/>
        <w:tabs>
          <w:tab w:val="left" w:pos="720"/>
        </w:tabs>
        <w:ind w:left="5760" w:right="-36"/>
        <w:jc w:val="both"/>
        <w:rPr>
          <w:sz w:val="28"/>
          <w:szCs w:val="28"/>
          <w:lang w:val="fr-CA"/>
        </w:rPr>
      </w:pPr>
    </w:p>
    <w:p w:rsidR="000A2BCA" w:rsidRPr="003D034C" w:rsidRDefault="000A2BCA" w:rsidP="0077250F">
      <w:pPr>
        <w:widowControl/>
        <w:tabs>
          <w:tab w:val="left" w:pos="720"/>
        </w:tabs>
        <w:ind w:right="-36"/>
        <w:jc w:val="both"/>
        <w:rPr>
          <w:sz w:val="28"/>
          <w:szCs w:val="28"/>
          <w:lang w:val="en-CA"/>
        </w:rPr>
      </w:pPr>
      <w:r w:rsidRPr="003D034C">
        <w:rPr>
          <w:sz w:val="28"/>
          <w:szCs w:val="28"/>
          <w:lang w:val="en-CA"/>
        </w:rPr>
        <w:t xml:space="preserve">Dated at Yellowknife, NT, this </w:t>
      </w:r>
    </w:p>
    <w:p w:rsidR="000A2BCA" w:rsidRPr="003D034C" w:rsidRDefault="00CD3B7F" w:rsidP="0077250F">
      <w:pPr>
        <w:widowControl/>
        <w:tabs>
          <w:tab w:val="left" w:pos="720"/>
        </w:tabs>
        <w:ind w:right="-36"/>
        <w:jc w:val="both"/>
        <w:rPr>
          <w:sz w:val="28"/>
          <w:szCs w:val="28"/>
          <w:lang w:val="en-CA"/>
        </w:rPr>
      </w:pPr>
      <w:r>
        <w:rPr>
          <w:sz w:val="28"/>
          <w:szCs w:val="28"/>
          <w:lang w:val="en-CA"/>
        </w:rPr>
        <w:t>1</w:t>
      </w:r>
      <w:r w:rsidR="001E0FDD">
        <w:rPr>
          <w:sz w:val="28"/>
          <w:szCs w:val="28"/>
          <w:lang w:val="en-CA"/>
        </w:rPr>
        <w:t>6</w:t>
      </w:r>
      <w:r w:rsidR="002C7C17" w:rsidRPr="003D034C">
        <w:rPr>
          <w:sz w:val="28"/>
          <w:szCs w:val="28"/>
          <w:vertAlign w:val="superscript"/>
          <w:lang w:val="en-CA"/>
        </w:rPr>
        <w:t>th</w:t>
      </w:r>
      <w:r w:rsidR="002C7C17" w:rsidRPr="003D034C">
        <w:rPr>
          <w:sz w:val="28"/>
          <w:szCs w:val="28"/>
          <w:lang w:val="en-CA"/>
        </w:rPr>
        <w:t xml:space="preserve"> </w:t>
      </w:r>
      <w:r w:rsidR="000A2BCA" w:rsidRPr="003D034C">
        <w:rPr>
          <w:sz w:val="28"/>
          <w:szCs w:val="28"/>
          <w:lang w:val="en-CA"/>
        </w:rPr>
        <w:t xml:space="preserve"> day of </w:t>
      </w:r>
      <w:r w:rsidR="002C7C17" w:rsidRPr="003D034C">
        <w:rPr>
          <w:sz w:val="28"/>
          <w:szCs w:val="28"/>
          <w:lang w:val="en-CA"/>
        </w:rPr>
        <w:t>August</w:t>
      </w:r>
      <w:r w:rsidR="000A2BCA" w:rsidRPr="003D034C">
        <w:rPr>
          <w:sz w:val="28"/>
          <w:szCs w:val="28"/>
          <w:lang w:val="en-CA"/>
        </w:rPr>
        <w:t>, 2017</w:t>
      </w:r>
    </w:p>
    <w:p w:rsidR="0050539F" w:rsidRPr="00B245BA" w:rsidRDefault="0050539F" w:rsidP="0077250F">
      <w:pPr>
        <w:widowControl/>
        <w:tabs>
          <w:tab w:val="left" w:pos="720"/>
        </w:tabs>
        <w:ind w:left="5760" w:right="-36"/>
        <w:jc w:val="both"/>
      </w:pPr>
    </w:p>
    <w:p w:rsidR="00A07B94" w:rsidRPr="0077250F" w:rsidRDefault="00376927" w:rsidP="0077250F">
      <w:pPr>
        <w:widowControl/>
        <w:tabs>
          <w:tab w:val="left" w:pos="720"/>
        </w:tabs>
        <w:ind w:right="-36"/>
        <w:jc w:val="both"/>
        <w:rPr>
          <w:sz w:val="28"/>
          <w:szCs w:val="28"/>
        </w:rPr>
      </w:pPr>
      <w:r w:rsidRPr="0077250F">
        <w:rPr>
          <w:sz w:val="28"/>
          <w:szCs w:val="28"/>
        </w:rPr>
        <w:t xml:space="preserve">To: </w:t>
      </w:r>
      <w:r w:rsidRPr="0077250F">
        <w:rPr>
          <w:sz w:val="28"/>
          <w:szCs w:val="28"/>
        </w:rPr>
        <w:tab/>
      </w:r>
      <w:r w:rsidR="004307DA" w:rsidRPr="0077250F">
        <w:rPr>
          <w:sz w:val="28"/>
          <w:szCs w:val="28"/>
        </w:rPr>
        <w:t>Gary A. Holan</w:t>
      </w:r>
    </w:p>
    <w:p w:rsidR="00AE2625" w:rsidRPr="0077250F" w:rsidRDefault="00F922A7" w:rsidP="0077250F">
      <w:pPr>
        <w:widowControl/>
        <w:tabs>
          <w:tab w:val="left" w:pos="720"/>
        </w:tabs>
        <w:ind w:right="-36"/>
        <w:jc w:val="both"/>
        <w:rPr>
          <w:sz w:val="28"/>
          <w:szCs w:val="28"/>
        </w:rPr>
        <w:sectPr w:rsidR="00AE2625" w:rsidRPr="0077250F" w:rsidSect="00BF05B1">
          <w:headerReference w:type="default" r:id="rId8"/>
          <w:pgSz w:w="12240" w:h="15840"/>
          <w:pgMar w:top="1170" w:right="1440" w:bottom="1080" w:left="1440" w:header="1170" w:footer="1440" w:gutter="0"/>
          <w:cols w:space="720"/>
          <w:noEndnote/>
          <w:titlePg/>
          <w:docGrid w:linePitch="326"/>
        </w:sectPr>
      </w:pPr>
      <w:r w:rsidRPr="0077250F">
        <w:rPr>
          <w:sz w:val="28"/>
          <w:szCs w:val="28"/>
        </w:rPr>
        <w:tab/>
      </w:r>
      <w:r w:rsidR="009016E9" w:rsidRPr="0077250F">
        <w:rPr>
          <w:sz w:val="28"/>
          <w:szCs w:val="28"/>
        </w:rPr>
        <w:t xml:space="preserve">J. Thorlakson - </w:t>
      </w:r>
      <w:r w:rsidR="002C7C17" w:rsidRPr="0077250F">
        <w:rPr>
          <w:sz w:val="28"/>
          <w:szCs w:val="28"/>
        </w:rPr>
        <w:t xml:space="preserve">Agent for </w:t>
      </w:r>
      <w:r w:rsidR="004307DA" w:rsidRPr="0077250F">
        <w:rPr>
          <w:sz w:val="28"/>
          <w:szCs w:val="28"/>
        </w:rPr>
        <w:t>Dennis Picco</w:t>
      </w:r>
    </w:p>
    <w:tbl>
      <w:tblPr>
        <w:tblStyle w:val="TableGrid"/>
        <w:tblW w:w="0" w:type="auto"/>
        <w:jc w:val="right"/>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9360"/>
      </w:tblGrid>
      <w:tr w:rsidR="00950408" w:rsidRPr="00B245BA" w:rsidTr="00D94ACF">
        <w:trPr>
          <w:jc w:val="right"/>
        </w:trPr>
        <w:tc>
          <w:tcPr>
            <w:tcW w:w="9360" w:type="dxa"/>
          </w:tcPr>
          <w:p w:rsidR="00950408" w:rsidRPr="00B245BA" w:rsidRDefault="004307DA" w:rsidP="00FC2CE9">
            <w:pPr>
              <w:widowControl/>
              <w:jc w:val="right"/>
              <w:rPr>
                <w:b/>
                <w:bCs/>
                <w:lang w:val="en-CA"/>
              </w:rPr>
            </w:pPr>
            <w:r w:rsidRPr="00B245BA">
              <w:lastRenderedPageBreak/>
              <w:tab/>
            </w:r>
            <w:r w:rsidR="00950408" w:rsidRPr="00B245BA">
              <w:rPr>
                <w:b/>
                <w:bCs/>
                <w:lang w:val="en-CA"/>
              </w:rPr>
              <w:t xml:space="preserve">S 1 </w:t>
            </w:r>
            <w:r w:rsidR="009040DA" w:rsidRPr="00B245BA">
              <w:rPr>
                <w:b/>
                <w:bCs/>
                <w:lang w:val="en-CA"/>
              </w:rPr>
              <w:t>CV</w:t>
            </w:r>
            <w:r w:rsidR="00950408" w:rsidRPr="00B245BA">
              <w:rPr>
                <w:b/>
                <w:bCs/>
                <w:lang w:val="en-CA"/>
              </w:rPr>
              <w:t xml:space="preserve"> </w:t>
            </w:r>
            <w:r w:rsidR="009040DA" w:rsidRPr="00B245BA">
              <w:rPr>
                <w:b/>
                <w:bCs/>
                <w:lang w:val="en-CA"/>
              </w:rPr>
              <w:t>1999 08127</w:t>
            </w:r>
          </w:p>
          <w:p w:rsidR="00950408" w:rsidRPr="00B245BA" w:rsidRDefault="00950408" w:rsidP="00FC2CE9">
            <w:pPr>
              <w:widowControl/>
              <w:jc w:val="both"/>
            </w:pPr>
          </w:p>
        </w:tc>
      </w:tr>
      <w:tr w:rsidR="00950408" w:rsidRPr="00B245BA" w:rsidTr="00D94ACF">
        <w:trPr>
          <w:jc w:val="right"/>
        </w:trPr>
        <w:tc>
          <w:tcPr>
            <w:tcW w:w="9360" w:type="dxa"/>
            <w:tcBorders>
              <w:bottom w:val="single" w:sz="4" w:space="0" w:color="000000" w:themeColor="text1"/>
            </w:tcBorders>
          </w:tcPr>
          <w:p w:rsidR="00950408" w:rsidRPr="00B245BA" w:rsidRDefault="00950408" w:rsidP="00FC2CE9">
            <w:pPr>
              <w:widowControl/>
              <w:jc w:val="center"/>
              <w:rPr>
                <w:b/>
                <w:bCs/>
                <w:lang w:val="en-GB"/>
              </w:rPr>
            </w:pPr>
          </w:p>
          <w:p w:rsidR="00950408" w:rsidRPr="00B245BA" w:rsidRDefault="00950408" w:rsidP="00FC2CE9">
            <w:pPr>
              <w:widowControl/>
              <w:jc w:val="center"/>
              <w:rPr>
                <w:b/>
                <w:bCs/>
                <w:lang w:val="en-GB"/>
              </w:rPr>
            </w:pPr>
            <w:r w:rsidRPr="00B245BA">
              <w:rPr>
                <w:b/>
                <w:bCs/>
                <w:lang w:val="en-GB"/>
              </w:rPr>
              <w:t>IN THE SUPREME COURT OF THE</w:t>
            </w:r>
          </w:p>
          <w:p w:rsidR="00950408" w:rsidRPr="00B245BA" w:rsidRDefault="00950408" w:rsidP="00FC2CE9">
            <w:pPr>
              <w:widowControl/>
              <w:jc w:val="center"/>
              <w:rPr>
                <w:b/>
                <w:bCs/>
                <w:lang w:val="en-GB"/>
              </w:rPr>
            </w:pPr>
            <w:r w:rsidRPr="00B245BA">
              <w:rPr>
                <w:b/>
                <w:bCs/>
                <w:lang w:val="en-GB"/>
              </w:rPr>
              <w:t>NORTHWEST TERRITORIES</w:t>
            </w:r>
          </w:p>
          <w:p w:rsidR="00950408" w:rsidRPr="00B245BA" w:rsidRDefault="00950408" w:rsidP="00FC2CE9">
            <w:pPr>
              <w:pStyle w:val="NoSpacing"/>
              <w:rPr>
                <w:rFonts w:ascii="Times New Roman" w:hAnsi="Times New Roman" w:cs="Times New Roman"/>
                <w:sz w:val="24"/>
                <w:szCs w:val="24"/>
                <w:lang w:val="en-GB"/>
              </w:rPr>
            </w:pPr>
          </w:p>
        </w:tc>
      </w:tr>
      <w:tr w:rsidR="00950408" w:rsidRPr="00B245BA" w:rsidTr="00D94ACF">
        <w:trPr>
          <w:jc w:val="right"/>
        </w:trPr>
        <w:tc>
          <w:tcPr>
            <w:tcW w:w="9360" w:type="dxa"/>
            <w:tcBorders>
              <w:top w:val="single" w:sz="4" w:space="0" w:color="000000" w:themeColor="text1"/>
              <w:bottom w:val="nil"/>
            </w:tcBorders>
          </w:tcPr>
          <w:p w:rsidR="00950408" w:rsidRPr="00B245BA" w:rsidRDefault="00950408" w:rsidP="00FC2CE9">
            <w:pPr>
              <w:widowControl/>
              <w:jc w:val="both"/>
              <w:rPr>
                <w:b/>
                <w:bCs/>
                <w:lang w:val="en-GB"/>
              </w:rPr>
            </w:pPr>
          </w:p>
          <w:p w:rsidR="00950408" w:rsidRPr="00B245BA" w:rsidRDefault="00950408" w:rsidP="00FC2CE9">
            <w:pPr>
              <w:widowControl/>
              <w:jc w:val="both"/>
              <w:rPr>
                <w:lang w:val="en-GB"/>
              </w:rPr>
            </w:pPr>
            <w:r w:rsidRPr="00B245BA">
              <w:rPr>
                <w:lang w:val="en-GB"/>
              </w:rPr>
              <w:t>BETWEEN:</w:t>
            </w:r>
          </w:p>
          <w:p w:rsidR="00950408" w:rsidRPr="00B245BA" w:rsidRDefault="00950408" w:rsidP="00FC2CE9">
            <w:pPr>
              <w:widowControl/>
              <w:jc w:val="both"/>
              <w:rPr>
                <w:lang w:val="en-GB"/>
              </w:rPr>
            </w:pPr>
          </w:p>
          <w:p w:rsidR="007E02E6" w:rsidRPr="00B245BA" w:rsidRDefault="007E02E6" w:rsidP="00123F38">
            <w:pPr>
              <w:widowControl/>
              <w:ind w:left="810"/>
              <w:rPr>
                <w:lang w:val="en-CA"/>
              </w:rPr>
            </w:pPr>
            <w:r w:rsidRPr="00B245BA">
              <w:rPr>
                <w:lang w:val="en-CA"/>
              </w:rPr>
              <w:fldChar w:fldCharType="begin"/>
            </w:r>
            <w:r w:rsidRPr="00B245BA">
              <w:rPr>
                <w:lang w:val="en-CA"/>
              </w:rPr>
              <w:instrText xml:space="preserve"> SEQ CHAPTER \h \r 1</w:instrText>
            </w:r>
            <w:r w:rsidRPr="00B245BA">
              <w:rPr>
                <w:lang w:val="en-CA"/>
              </w:rPr>
              <w:fldChar w:fldCharType="end"/>
            </w:r>
            <w:r w:rsidRPr="00B245BA">
              <w:rPr>
                <w:lang w:val="en-CA"/>
              </w:rPr>
              <w:t xml:space="preserve">THE GOVERNMENT OF THE NORTHWEST TERRITORIES as represented by the </w:t>
            </w:r>
            <w:r w:rsidR="00123F38" w:rsidRPr="00B245BA">
              <w:rPr>
                <w:lang w:val="en-CA"/>
              </w:rPr>
              <w:t xml:space="preserve">  </w:t>
            </w:r>
            <w:r w:rsidRPr="00B245BA">
              <w:rPr>
                <w:lang w:val="en-CA"/>
              </w:rPr>
              <w:t xml:space="preserve">MINISTER OF PUBLIC WORKS AND SERVICES </w:t>
            </w:r>
          </w:p>
          <w:p w:rsidR="007E02E6" w:rsidRPr="00B245BA" w:rsidRDefault="007E02E6" w:rsidP="00123F38">
            <w:pPr>
              <w:widowControl/>
              <w:tabs>
                <w:tab w:val="right" w:pos="9360"/>
              </w:tabs>
              <w:ind w:left="630"/>
              <w:rPr>
                <w:lang w:val="en-CA"/>
              </w:rPr>
            </w:pPr>
            <w:r w:rsidRPr="00B245BA">
              <w:rPr>
                <w:lang w:val="en-CA"/>
              </w:rPr>
              <w:tab/>
              <w:t>Plaintiff</w:t>
            </w:r>
          </w:p>
          <w:p w:rsidR="007E02E6" w:rsidRPr="00B245BA" w:rsidRDefault="007E02E6" w:rsidP="007E02E6">
            <w:pPr>
              <w:widowControl/>
              <w:jc w:val="center"/>
              <w:rPr>
                <w:lang w:val="en-CA"/>
              </w:rPr>
            </w:pPr>
            <w:r w:rsidRPr="00B245BA">
              <w:rPr>
                <w:lang w:val="en-CA"/>
              </w:rPr>
              <w:t>- and -</w:t>
            </w:r>
          </w:p>
          <w:p w:rsidR="007E02E6" w:rsidRPr="00B245BA" w:rsidRDefault="007E02E6" w:rsidP="007E02E6">
            <w:pPr>
              <w:widowControl/>
              <w:rPr>
                <w:lang w:val="en-CA"/>
              </w:rPr>
            </w:pPr>
          </w:p>
          <w:p w:rsidR="007E02E6" w:rsidRPr="00B245BA" w:rsidRDefault="007E02E6" w:rsidP="00123F38">
            <w:pPr>
              <w:widowControl/>
              <w:ind w:left="810"/>
              <w:rPr>
                <w:lang w:val="en-CA"/>
              </w:rPr>
            </w:pPr>
            <w:r w:rsidRPr="00B245BA">
              <w:rPr>
                <w:lang w:val="en-CA"/>
              </w:rPr>
              <w:t>831594 N.W.T. LTD. carrying on business under the name and style of FERGUSON SIMEK CLARK, FERGUSON SIMEK CLARK ENGINEERS AND ARCHITECTS carrying on business under the name and style of FSC GROUP, 831594 N.W.T. LTD., FERGUSON SIMEK CLARK ENGINEERS AND ARCHITECTS, FERGUSON SIMEK CLARK, FSC GROUP, JOHN DOE NO.1, G.P. VALUE ENGINEERING LTD., ANTHONY P. SILVA, JOHN DOE NO. 2, JOHN DOE NO. 3 and JOHN DOE NO. 4, COMARC ARCHITECTS LIMITED and CLIVE HAROLD CLARK</w:t>
            </w:r>
          </w:p>
          <w:p w:rsidR="007E02E6" w:rsidRPr="00B245BA" w:rsidRDefault="007E02E6" w:rsidP="007E02E6">
            <w:pPr>
              <w:widowControl/>
              <w:tabs>
                <w:tab w:val="right" w:pos="9360"/>
              </w:tabs>
              <w:rPr>
                <w:lang w:val="en-CA"/>
              </w:rPr>
            </w:pPr>
            <w:r w:rsidRPr="00B245BA">
              <w:rPr>
                <w:lang w:val="en-CA"/>
              </w:rPr>
              <w:tab/>
              <w:t>Defendants</w:t>
            </w:r>
          </w:p>
          <w:p w:rsidR="007E02E6" w:rsidRPr="00B245BA" w:rsidRDefault="007E02E6" w:rsidP="007E02E6">
            <w:pPr>
              <w:widowControl/>
              <w:jc w:val="center"/>
              <w:rPr>
                <w:lang w:val="en-CA"/>
              </w:rPr>
            </w:pPr>
            <w:r w:rsidRPr="00B245BA">
              <w:rPr>
                <w:lang w:val="en-CA"/>
              </w:rPr>
              <w:t>- and -</w:t>
            </w:r>
          </w:p>
          <w:p w:rsidR="007E02E6" w:rsidRPr="00B245BA" w:rsidRDefault="007E02E6" w:rsidP="007E02E6">
            <w:pPr>
              <w:widowControl/>
              <w:tabs>
                <w:tab w:val="right" w:pos="9360"/>
              </w:tabs>
              <w:rPr>
                <w:lang w:val="en-CA"/>
              </w:rPr>
            </w:pPr>
            <w:r w:rsidRPr="00B245BA">
              <w:rPr>
                <w:lang w:val="en-CA"/>
              </w:rPr>
              <w:tab/>
            </w:r>
          </w:p>
          <w:p w:rsidR="007E02E6" w:rsidRPr="00B245BA" w:rsidRDefault="007E02E6" w:rsidP="007E02E6">
            <w:pPr>
              <w:widowControl/>
              <w:jc w:val="center"/>
              <w:rPr>
                <w:lang w:val="en-CA"/>
              </w:rPr>
            </w:pPr>
            <w:r w:rsidRPr="00B245BA">
              <w:rPr>
                <w:lang w:val="en-CA"/>
              </w:rPr>
              <w:t>NINETY NORTH CONSTRUCTION AND DEVELOPMENT LTD.</w:t>
            </w:r>
          </w:p>
          <w:p w:rsidR="007E02E6" w:rsidRPr="00B245BA" w:rsidRDefault="007E02E6" w:rsidP="007E02E6">
            <w:pPr>
              <w:widowControl/>
              <w:tabs>
                <w:tab w:val="right" w:pos="9360"/>
              </w:tabs>
              <w:rPr>
                <w:lang w:val="en-CA"/>
              </w:rPr>
            </w:pPr>
            <w:r w:rsidRPr="00B245BA">
              <w:rPr>
                <w:lang w:val="en-CA"/>
              </w:rPr>
              <w:tab/>
              <w:t>Third Party</w:t>
            </w:r>
          </w:p>
          <w:p w:rsidR="007E02E6" w:rsidRPr="00B245BA" w:rsidRDefault="007E02E6" w:rsidP="007E02E6">
            <w:pPr>
              <w:widowControl/>
              <w:jc w:val="center"/>
              <w:rPr>
                <w:lang w:val="en-CA"/>
              </w:rPr>
            </w:pPr>
            <w:r w:rsidRPr="00B245BA">
              <w:rPr>
                <w:lang w:val="en-CA"/>
              </w:rPr>
              <w:t>- and -</w:t>
            </w:r>
          </w:p>
          <w:p w:rsidR="007E02E6" w:rsidRPr="00B245BA" w:rsidRDefault="007E02E6" w:rsidP="007E02E6">
            <w:pPr>
              <w:widowControl/>
              <w:jc w:val="center"/>
              <w:rPr>
                <w:lang w:val="en-CA"/>
              </w:rPr>
            </w:pPr>
          </w:p>
          <w:p w:rsidR="007E02E6" w:rsidRPr="00B245BA" w:rsidRDefault="007E02E6" w:rsidP="007E02E6">
            <w:pPr>
              <w:widowControl/>
              <w:jc w:val="center"/>
              <w:rPr>
                <w:lang w:val="en-CA"/>
              </w:rPr>
            </w:pPr>
            <w:r w:rsidRPr="00B245BA">
              <w:rPr>
                <w:lang w:val="en-CA"/>
              </w:rPr>
              <w:t>ANTHONY P. SILVA</w:t>
            </w:r>
          </w:p>
          <w:p w:rsidR="007E02E6" w:rsidRPr="00B245BA" w:rsidRDefault="007E02E6" w:rsidP="007E02E6">
            <w:pPr>
              <w:widowControl/>
              <w:tabs>
                <w:tab w:val="right" w:pos="9360"/>
              </w:tabs>
              <w:rPr>
                <w:lang w:val="en-CA"/>
              </w:rPr>
            </w:pPr>
            <w:r w:rsidRPr="00B245BA">
              <w:rPr>
                <w:lang w:val="en-CA"/>
              </w:rPr>
              <w:tab/>
              <w:t>Third Party</w:t>
            </w:r>
          </w:p>
          <w:p w:rsidR="007E02E6" w:rsidRPr="00B245BA" w:rsidRDefault="007E02E6" w:rsidP="007E02E6">
            <w:pPr>
              <w:widowControl/>
              <w:jc w:val="center"/>
              <w:rPr>
                <w:lang w:val="en-CA"/>
              </w:rPr>
            </w:pPr>
            <w:r w:rsidRPr="00B245BA">
              <w:rPr>
                <w:lang w:val="en-CA"/>
              </w:rPr>
              <w:t>- and -</w:t>
            </w:r>
          </w:p>
          <w:p w:rsidR="007E02E6" w:rsidRPr="00B245BA" w:rsidRDefault="007E02E6" w:rsidP="007E02E6">
            <w:pPr>
              <w:widowControl/>
              <w:rPr>
                <w:lang w:val="en-CA"/>
              </w:rPr>
            </w:pPr>
          </w:p>
          <w:p w:rsidR="007E02E6" w:rsidRPr="00B245BA" w:rsidRDefault="007E02E6" w:rsidP="007E02E6">
            <w:pPr>
              <w:widowControl/>
              <w:jc w:val="center"/>
              <w:rPr>
                <w:lang w:val="en-CA"/>
              </w:rPr>
            </w:pPr>
            <w:r w:rsidRPr="00B245BA">
              <w:rPr>
                <w:lang w:val="en-CA"/>
              </w:rPr>
              <w:t>NINETY NORTH CONSTRUCTION AND DEVELOPMENT LTD.</w:t>
            </w:r>
          </w:p>
          <w:p w:rsidR="007E02E6" w:rsidRPr="00B245BA" w:rsidRDefault="007E02E6" w:rsidP="007E02E6">
            <w:pPr>
              <w:widowControl/>
              <w:tabs>
                <w:tab w:val="right" w:pos="9360"/>
              </w:tabs>
              <w:rPr>
                <w:lang w:val="en-CA"/>
              </w:rPr>
            </w:pPr>
            <w:r w:rsidRPr="00B245BA">
              <w:rPr>
                <w:lang w:val="en-CA"/>
              </w:rPr>
              <w:tab/>
              <w:t>Third Party</w:t>
            </w:r>
          </w:p>
          <w:p w:rsidR="007E02E6" w:rsidRPr="00B245BA" w:rsidRDefault="007E02E6" w:rsidP="007E02E6">
            <w:pPr>
              <w:widowControl/>
              <w:jc w:val="center"/>
              <w:rPr>
                <w:lang w:val="en-CA"/>
              </w:rPr>
            </w:pPr>
            <w:r w:rsidRPr="00B245BA">
              <w:rPr>
                <w:lang w:val="en-CA"/>
              </w:rPr>
              <w:t>- and -</w:t>
            </w:r>
          </w:p>
          <w:p w:rsidR="007E02E6" w:rsidRPr="00B245BA" w:rsidRDefault="007E02E6" w:rsidP="007E02E6">
            <w:pPr>
              <w:widowControl/>
              <w:rPr>
                <w:lang w:val="en-CA"/>
              </w:rPr>
            </w:pPr>
          </w:p>
          <w:p w:rsidR="007E02E6" w:rsidRPr="00B245BA" w:rsidRDefault="007E02E6" w:rsidP="00123F38">
            <w:pPr>
              <w:widowControl/>
              <w:ind w:left="900"/>
              <w:rPr>
                <w:lang w:val="en-CA"/>
              </w:rPr>
            </w:pPr>
            <w:r w:rsidRPr="00B245BA">
              <w:rPr>
                <w:lang w:val="en-CA"/>
              </w:rPr>
              <w:t xml:space="preserve">THE GOVERNMENT OF THE NORTHWEST TERRITORIES as represented by the MINISTER OF PUBLIC WORKS AND SERVICES </w:t>
            </w:r>
          </w:p>
          <w:p w:rsidR="007E02E6" w:rsidRPr="00B245BA" w:rsidRDefault="007E02E6" w:rsidP="007E02E6">
            <w:pPr>
              <w:widowControl/>
              <w:tabs>
                <w:tab w:val="right" w:pos="9360"/>
              </w:tabs>
              <w:rPr>
                <w:lang w:val="en-CA"/>
              </w:rPr>
            </w:pPr>
            <w:r w:rsidRPr="00B245BA">
              <w:rPr>
                <w:lang w:val="en-CA"/>
              </w:rPr>
              <w:tab/>
              <w:t>Fourth Party</w:t>
            </w:r>
          </w:p>
          <w:p w:rsidR="00950408" w:rsidRPr="00B245BA" w:rsidRDefault="00950408" w:rsidP="00FC2CE9">
            <w:pPr>
              <w:widowControl/>
              <w:jc w:val="both"/>
            </w:pPr>
          </w:p>
        </w:tc>
      </w:tr>
      <w:tr w:rsidR="00950408" w:rsidRPr="00B245BA" w:rsidTr="00D94ACF">
        <w:trPr>
          <w:jc w:val="right"/>
        </w:trPr>
        <w:tc>
          <w:tcPr>
            <w:tcW w:w="9360" w:type="dxa"/>
          </w:tcPr>
          <w:p w:rsidR="00950408" w:rsidRPr="00B245BA" w:rsidRDefault="00950408" w:rsidP="00FC2CE9">
            <w:pPr>
              <w:widowControl/>
              <w:jc w:val="both"/>
              <w:rPr>
                <w:lang w:val="en-GB"/>
              </w:rPr>
            </w:pPr>
          </w:p>
          <w:p w:rsidR="00AE2625" w:rsidRDefault="0050539F" w:rsidP="000A2BCA">
            <w:pPr>
              <w:widowControl/>
              <w:jc w:val="center"/>
              <w:rPr>
                <w:lang w:val="en-GB"/>
              </w:rPr>
            </w:pPr>
            <w:r w:rsidRPr="00B245BA">
              <w:rPr>
                <w:lang w:val="en-GB"/>
              </w:rPr>
              <w:t xml:space="preserve">MEMORANDUM </w:t>
            </w:r>
            <w:r w:rsidR="00AE2625">
              <w:rPr>
                <w:lang w:val="en-GB"/>
              </w:rPr>
              <w:t xml:space="preserve">OF JUDGMENT OF </w:t>
            </w:r>
          </w:p>
          <w:p w:rsidR="00950408" w:rsidRPr="00B245BA" w:rsidRDefault="00AE2625" w:rsidP="00AE2625">
            <w:pPr>
              <w:widowControl/>
              <w:jc w:val="center"/>
              <w:rPr>
                <w:lang w:val="en-GB"/>
              </w:rPr>
            </w:pPr>
            <w:r>
              <w:rPr>
                <w:lang w:val="en-GB"/>
              </w:rPr>
              <w:t>THE HONOURABLE JUSTICE L.A. CHARBONNEAU</w:t>
            </w:r>
          </w:p>
        </w:tc>
      </w:tr>
    </w:tbl>
    <w:p w:rsidR="00A07B94" w:rsidRPr="00B245BA" w:rsidRDefault="00A07B94" w:rsidP="00AE2625">
      <w:pPr>
        <w:widowControl/>
        <w:autoSpaceDE/>
        <w:autoSpaceDN/>
        <w:adjustRightInd/>
        <w:spacing w:after="200" w:line="276" w:lineRule="auto"/>
        <w:jc w:val="both"/>
      </w:pPr>
    </w:p>
    <w:sectPr w:rsidR="00A07B94" w:rsidRPr="00B245BA" w:rsidSect="00AE2625">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0D1" w:rsidRDefault="006B40D1" w:rsidP="00A07B94">
      <w:r>
        <w:separator/>
      </w:r>
    </w:p>
  </w:endnote>
  <w:endnote w:type="continuationSeparator" w:id="0">
    <w:p w:rsidR="006B40D1" w:rsidRDefault="006B40D1" w:rsidP="00A0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0D1" w:rsidRDefault="006B40D1" w:rsidP="00A07B94">
      <w:r>
        <w:separator/>
      </w:r>
    </w:p>
  </w:footnote>
  <w:footnote w:type="continuationSeparator" w:id="0">
    <w:p w:rsidR="006B40D1" w:rsidRDefault="006B40D1" w:rsidP="00A0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701325"/>
      <w:docPartObj>
        <w:docPartGallery w:val="Page Numbers (Top of Page)"/>
        <w:docPartUnique/>
      </w:docPartObj>
    </w:sdtPr>
    <w:sdtEndPr>
      <w:rPr>
        <w:noProof/>
      </w:rPr>
    </w:sdtEndPr>
    <w:sdtContent>
      <w:p w:rsidR="00AE2625" w:rsidRDefault="00AE2625">
        <w:pPr>
          <w:pStyle w:val="Header"/>
          <w:jc w:val="right"/>
        </w:pPr>
        <w:r>
          <w:t xml:space="preserve">Page: </w:t>
        </w:r>
        <w:r>
          <w:fldChar w:fldCharType="begin"/>
        </w:r>
        <w:r>
          <w:instrText xml:space="preserve"> PAGE   \* MERGEFORMAT </w:instrText>
        </w:r>
        <w:r>
          <w:fldChar w:fldCharType="separate"/>
        </w:r>
        <w:r w:rsidR="00CF4339">
          <w:rPr>
            <w:noProof/>
          </w:rPr>
          <w:t>8</w:t>
        </w:r>
        <w:r>
          <w:rPr>
            <w:noProof/>
          </w:rPr>
          <w:fldChar w:fldCharType="end"/>
        </w:r>
      </w:p>
    </w:sdtContent>
  </w:sdt>
  <w:p w:rsidR="00FC2CE9" w:rsidRDefault="00FC2C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1D5"/>
    <w:multiLevelType w:val="hybridMultilevel"/>
    <w:tmpl w:val="FF841AA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12186"/>
    <w:multiLevelType w:val="hybridMultilevel"/>
    <w:tmpl w:val="BAD4FDD6"/>
    <w:lvl w:ilvl="0" w:tplc="C1906996">
      <w:start w:val="1"/>
      <w:numFmt w:val="decimal"/>
      <w:lvlText w:val="[%1]"/>
      <w:lvlJc w:val="left"/>
      <w:pPr>
        <w:ind w:left="540" w:hanging="360"/>
      </w:pPr>
      <w:rPr>
        <w:rFonts w:ascii="Times New Roman" w:hAnsi="Times New Roman" w:cs="Times New Roman" w:hint="default"/>
        <w:spacing w:val="0"/>
        <w:w w:val="100"/>
        <w:position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E530A"/>
    <w:multiLevelType w:val="hybridMultilevel"/>
    <w:tmpl w:val="A20041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8C2986"/>
    <w:multiLevelType w:val="hybridMultilevel"/>
    <w:tmpl w:val="E90C1AD0"/>
    <w:lvl w:ilvl="0" w:tplc="7EBC7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F38EA"/>
    <w:multiLevelType w:val="hybridMultilevel"/>
    <w:tmpl w:val="5D7CDBD0"/>
    <w:lvl w:ilvl="0" w:tplc="D584ACDE">
      <w:start w:val="1"/>
      <w:numFmt w:val="decimal"/>
      <w:lvlText w:val="[%1]"/>
      <w:lvlJc w:val="left"/>
      <w:pPr>
        <w:ind w:left="990" w:hanging="360"/>
      </w:pPr>
      <w:rPr>
        <w:rFonts w:ascii="Times New Roman" w:hAnsi="Times New Roman"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0130B"/>
    <w:multiLevelType w:val="hybridMultilevel"/>
    <w:tmpl w:val="CEA41244"/>
    <w:lvl w:ilvl="0" w:tplc="6F98AD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76383"/>
    <w:multiLevelType w:val="hybridMultilevel"/>
    <w:tmpl w:val="558AF638"/>
    <w:lvl w:ilvl="0" w:tplc="A6EE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C249AE"/>
    <w:multiLevelType w:val="hybridMultilevel"/>
    <w:tmpl w:val="6D0606D4"/>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1EF76F7"/>
    <w:multiLevelType w:val="hybridMultilevel"/>
    <w:tmpl w:val="0994C1EE"/>
    <w:lvl w:ilvl="0" w:tplc="CBF294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59C768C"/>
    <w:multiLevelType w:val="hybridMultilevel"/>
    <w:tmpl w:val="FFF29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A0EE4"/>
    <w:multiLevelType w:val="hybridMultilevel"/>
    <w:tmpl w:val="1922A492"/>
    <w:lvl w:ilvl="0" w:tplc="440030A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637C62A1"/>
    <w:multiLevelType w:val="hybridMultilevel"/>
    <w:tmpl w:val="DCBE0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96E11"/>
    <w:multiLevelType w:val="hybridMultilevel"/>
    <w:tmpl w:val="B6927AF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02CAB"/>
    <w:multiLevelType w:val="hybridMultilevel"/>
    <w:tmpl w:val="B5F05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85E09"/>
    <w:multiLevelType w:val="hybridMultilevel"/>
    <w:tmpl w:val="0C8EF868"/>
    <w:lvl w:ilvl="0" w:tplc="61CC2EC6">
      <w:start w:val="1"/>
      <w:numFmt w:val="lowerLetter"/>
      <w:lvlText w:val="(%1)"/>
      <w:lvlJc w:val="left"/>
      <w:pPr>
        <w:ind w:left="2520" w:hanging="360"/>
      </w:pPr>
      <w:rPr>
        <w:rFonts w:ascii="Times New Roman" w:hAnsi="Times New Roman" w:cs="Times New Roman"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1EE19B9"/>
    <w:multiLevelType w:val="hybridMultilevel"/>
    <w:tmpl w:val="B044B4D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53D12"/>
    <w:multiLevelType w:val="hybridMultilevel"/>
    <w:tmpl w:val="21F2C7A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7"/>
  </w:num>
  <w:num w:numId="5">
    <w:abstractNumId w:val="5"/>
  </w:num>
  <w:num w:numId="6">
    <w:abstractNumId w:val="11"/>
  </w:num>
  <w:num w:numId="7">
    <w:abstractNumId w:val="6"/>
  </w:num>
  <w:num w:numId="8">
    <w:abstractNumId w:val="3"/>
  </w:num>
  <w:num w:numId="9">
    <w:abstractNumId w:val="15"/>
  </w:num>
  <w:num w:numId="10">
    <w:abstractNumId w:val="16"/>
  </w:num>
  <w:num w:numId="11">
    <w:abstractNumId w:val="1"/>
  </w:num>
  <w:num w:numId="12">
    <w:abstractNumId w:val="12"/>
  </w:num>
  <w:num w:numId="13">
    <w:abstractNumId w:val="10"/>
  </w:num>
  <w:num w:numId="14">
    <w:abstractNumId w:val="0"/>
  </w:num>
  <w:num w:numId="15">
    <w:abstractNumId w:val="4"/>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94"/>
    <w:rsid w:val="00005559"/>
    <w:rsid w:val="000077D2"/>
    <w:rsid w:val="00023E09"/>
    <w:rsid w:val="00026768"/>
    <w:rsid w:val="000447D5"/>
    <w:rsid w:val="000A2BCA"/>
    <w:rsid w:val="000B08CB"/>
    <w:rsid w:val="000B45CE"/>
    <w:rsid w:val="000E289F"/>
    <w:rsid w:val="000E4D9C"/>
    <w:rsid w:val="000E6BB6"/>
    <w:rsid w:val="000E71F2"/>
    <w:rsid w:val="00107A4A"/>
    <w:rsid w:val="00123F38"/>
    <w:rsid w:val="00140A65"/>
    <w:rsid w:val="0016214F"/>
    <w:rsid w:val="0019191F"/>
    <w:rsid w:val="001A28FF"/>
    <w:rsid w:val="001A7230"/>
    <w:rsid w:val="001B0AAD"/>
    <w:rsid w:val="001C1965"/>
    <w:rsid w:val="001D077D"/>
    <w:rsid w:val="001E0FDD"/>
    <w:rsid w:val="001E2F1A"/>
    <w:rsid w:val="00203A1A"/>
    <w:rsid w:val="002211DD"/>
    <w:rsid w:val="002318D3"/>
    <w:rsid w:val="00240A7D"/>
    <w:rsid w:val="0024380F"/>
    <w:rsid w:val="002C1A5C"/>
    <w:rsid w:val="002C7C17"/>
    <w:rsid w:val="002D0743"/>
    <w:rsid w:val="00301D5C"/>
    <w:rsid w:val="00320685"/>
    <w:rsid w:val="0034082B"/>
    <w:rsid w:val="00355ACF"/>
    <w:rsid w:val="0036709E"/>
    <w:rsid w:val="00371EA2"/>
    <w:rsid w:val="00373AC1"/>
    <w:rsid w:val="0037484D"/>
    <w:rsid w:val="00376927"/>
    <w:rsid w:val="00385F8F"/>
    <w:rsid w:val="003A51EF"/>
    <w:rsid w:val="003B3673"/>
    <w:rsid w:val="003C11BE"/>
    <w:rsid w:val="003C1B6F"/>
    <w:rsid w:val="003C46BD"/>
    <w:rsid w:val="003C55D4"/>
    <w:rsid w:val="003C7745"/>
    <w:rsid w:val="003D034C"/>
    <w:rsid w:val="00401B3D"/>
    <w:rsid w:val="00403BC9"/>
    <w:rsid w:val="00406AEB"/>
    <w:rsid w:val="004307DA"/>
    <w:rsid w:val="00445ED9"/>
    <w:rsid w:val="00456756"/>
    <w:rsid w:val="00456EE9"/>
    <w:rsid w:val="004617AB"/>
    <w:rsid w:val="00476206"/>
    <w:rsid w:val="00476553"/>
    <w:rsid w:val="004C2FA4"/>
    <w:rsid w:val="004D04D7"/>
    <w:rsid w:val="004D5701"/>
    <w:rsid w:val="004E13B6"/>
    <w:rsid w:val="004E3714"/>
    <w:rsid w:val="0050159B"/>
    <w:rsid w:val="0050539F"/>
    <w:rsid w:val="005066F6"/>
    <w:rsid w:val="005165D8"/>
    <w:rsid w:val="005220DE"/>
    <w:rsid w:val="0052421A"/>
    <w:rsid w:val="0055134E"/>
    <w:rsid w:val="00563FDB"/>
    <w:rsid w:val="00572900"/>
    <w:rsid w:val="005A0A5A"/>
    <w:rsid w:val="005A277E"/>
    <w:rsid w:val="005B2F04"/>
    <w:rsid w:val="005C270A"/>
    <w:rsid w:val="005E3494"/>
    <w:rsid w:val="005E7F44"/>
    <w:rsid w:val="006143BE"/>
    <w:rsid w:val="00627EAE"/>
    <w:rsid w:val="00634ACE"/>
    <w:rsid w:val="006609B9"/>
    <w:rsid w:val="00664036"/>
    <w:rsid w:val="006700D8"/>
    <w:rsid w:val="006A5844"/>
    <w:rsid w:val="006B0870"/>
    <w:rsid w:val="006B3E24"/>
    <w:rsid w:val="006B40D1"/>
    <w:rsid w:val="006C22B8"/>
    <w:rsid w:val="006C2CCE"/>
    <w:rsid w:val="006E4CFC"/>
    <w:rsid w:val="006E68CA"/>
    <w:rsid w:val="006F69F7"/>
    <w:rsid w:val="00707BB1"/>
    <w:rsid w:val="00714CA5"/>
    <w:rsid w:val="0075731B"/>
    <w:rsid w:val="00765163"/>
    <w:rsid w:val="00770185"/>
    <w:rsid w:val="0077250F"/>
    <w:rsid w:val="00776F79"/>
    <w:rsid w:val="007A104A"/>
    <w:rsid w:val="007A65C3"/>
    <w:rsid w:val="007C03AA"/>
    <w:rsid w:val="007D77A2"/>
    <w:rsid w:val="007E02E6"/>
    <w:rsid w:val="007E0397"/>
    <w:rsid w:val="008037FA"/>
    <w:rsid w:val="008117CF"/>
    <w:rsid w:val="008176F2"/>
    <w:rsid w:val="00843D3F"/>
    <w:rsid w:val="008608AC"/>
    <w:rsid w:val="00876B31"/>
    <w:rsid w:val="0087724D"/>
    <w:rsid w:val="008946E5"/>
    <w:rsid w:val="00894C1F"/>
    <w:rsid w:val="008A2CC6"/>
    <w:rsid w:val="008B7E28"/>
    <w:rsid w:val="008D2A0F"/>
    <w:rsid w:val="008D3840"/>
    <w:rsid w:val="008F1533"/>
    <w:rsid w:val="008F5298"/>
    <w:rsid w:val="009016E9"/>
    <w:rsid w:val="009040DA"/>
    <w:rsid w:val="009327A6"/>
    <w:rsid w:val="00940BB3"/>
    <w:rsid w:val="00950408"/>
    <w:rsid w:val="0095222E"/>
    <w:rsid w:val="00953C84"/>
    <w:rsid w:val="00964B46"/>
    <w:rsid w:val="009A075B"/>
    <w:rsid w:val="009A3CF3"/>
    <w:rsid w:val="009A65B6"/>
    <w:rsid w:val="009B0A7E"/>
    <w:rsid w:val="009D771B"/>
    <w:rsid w:val="009E41C5"/>
    <w:rsid w:val="009F7A45"/>
    <w:rsid w:val="00A07B94"/>
    <w:rsid w:val="00A14E76"/>
    <w:rsid w:val="00A164EA"/>
    <w:rsid w:val="00A416D2"/>
    <w:rsid w:val="00A47EE0"/>
    <w:rsid w:val="00A52E3A"/>
    <w:rsid w:val="00A62D36"/>
    <w:rsid w:val="00A67080"/>
    <w:rsid w:val="00A726E3"/>
    <w:rsid w:val="00AB66E8"/>
    <w:rsid w:val="00AB71AC"/>
    <w:rsid w:val="00AC3806"/>
    <w:rsid w:val="00AC749E"/>
    <w:rsid w:val="00AD08DF"/>
    <w:rsid w:val="00AD201F"/>
    <w:rsid w:val="00AE2625"/>
    <w:rsid w:val="00B05510"/>
    <w:rsid w:val="00B245BA"/>
    <w:rsid w:val="00B24FE2"/>
    <w:rsid w:val="00B27A1C"/>
    <w:rsid w:val="00B31113"/>
    <w:rsid w:val="00B34CDD"/>
    <w:rsid w:val="00B370F4"/>
    <w:rsid w:val="00B42327"/>
    <w:rsid w:val="00B42759"/>
    <w:rsid w:val="00B62B48"/>
    <w:rsid w:val="00B67396"/>
    <w:rsid w:val="00B747B5"/>
    <w:rsid w:val="00B91EAF"/>
    <w:rsid w:val="00BC2090"/>
    <w:rsid w:val="00BE293E"/>
    <w:rsid w:val="00BF05B1"/>
    <w:rsid w:val="00BF6C81"/>
    <w:rsid w:val="00C20CAE"/>
    <w:rsid w:val="00C2718C"/>
    <w:rsid w:val="00C50FE4"/>
    <w:rsid w:val="00C60F8E"/>
    <w:rsid w:val="00C62467"/>
    <w:rsid w:val="00C66D15"/>
    <w:rsid w:val="00C83B8B"/>
    <w:rsid w:val="00CA5EBE"/>
    <w:rsid w:val="00CD3B7F"/>
    <w:rsid w:val="00CF4339"/>
    <w:rsid w:val="00D14C47"/>
    <w:rsid w:val="00D278A1"/>
    <w:rsid w:val="00D75F3C"/>
    <w:rsid w:val="00D935F7"/>
    <w:rsid w:val="00D94ACF"/>
    <w:rsid w:val="00E13323"/>
    <w:rsid w:val="00E24071"/>
    <w:rsid w:val="00E40390"/>
    <w:rsid w:val="00E44396"/>
    <w:rsid w:val="00E539E2"/>
    <w:rsid w:val="00E7050A"/>
    <w:rsid w:val="00E75B6B"/>
    <w:rsid w:val="00E87932"/>
    <w:rsid w:val="00E9123C"/>
    <w:rsid w:val="00E97E45"/>
    <w:rsid w:val="00EB66BC"/>
    <w:rsid w:val="00ED1AB8"/>
    <w:rsid w:val="00ED7A12"/>
    <w:rsid w:val="00EE213A"/>
    <w:rsid w:val="00EF400D"/>
    <w:rsid w:val="00F1194C"/>
    <w:rsid w:val="00F22A28"/>
    <w:rsid w:val="00F27E73"/>
    <w:rsid w:val="00F305B8"/>
    <w:rsid w:val="00F35B63"/>
    <w:rsid w:val="00F6086F"/>
    <w:rsid w:val="00F7600F"/>
    <w:rsid w:val="00F82C93"/>
    <w:rsid w:val="00F847C8"/>
    <w:rsid w:val="00F86B5F"/>
    <w:rsid w:val="00F922A7"/>
    <w:rsid w:val="00F95299"/>
    <w:rsid w:val="00FA4A15"/>
    <w:rsid w:val="00FC283E"/>
    <w:rsid w:val="00FC2CE9"/>
    <w:rsid w:val="00FC6D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555E5843-36AF-499C-AE9E-D71720E1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9123C"/>
    <w:pPr>
      <w:tabs>
        <w:tab w:val="center" w:pos="4680"/>
        <w:tab w:val="right" w:pos="9360"/>
      </w:tabs>
    </w:pPr>
  </w:style>
  <w:style w:type="character" w:customStyle="1" w:styleId="HeaderChar">
    <w:name w:val="Header Char"/>
    <w:basedOn w:val="DefaultParagraphFont"/>
    <w:link w:val="Header"/>
    <w:uiPriority w:val="99"/>
    <w:rsid w:val="00E9123C"/>
    <w:rPr>
      <w:rFonts w:ascii="Times New Roman" w:hAnsi="Times New Roman" w:cs="Times New Roman"/>
      <w:sz w:val="24"/>
      <w:szCs w:val="24"/>
      <w:lang w:val="en-US"/>
    </w:rPr>
  </w:style>
  <w:style w:type="paragraph" w:styleId="Footer">
    <w:name w:val="footer"/>
    <w:basedOn w:val="Normal"/>
    <w:link w:val="FooterChar"/>
    <w:uiPriority w:val="99"/>
    <w:unhideWhenUsed/>
    <w:rsid w:val="00E9123C"/>
    <w:pPr>
      <w:tabs>
        <w:tab w:val="center" w:pos="4680"/>
        <w:tab w:val="right" w:pos="9360"/>
      </w:tabs>
    </w:pPr>
  </w:style>
  <w:style w:type="character" w:customStyle="1" w:styleId="FooterChar">
    <w:name w:val="Footer Char"/>
    <w:basedOn w:val="DefaultParagraphFont"/>
    <w:link w:val="Footer"/>
    <w:uiPriority w:val="99"/>
    <w:rsid w:val="00E9123C"/>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EAF"/>
    <w:rPr>
      <w:rFonts w:ascii="Tahoma" w:hAnsi="Tahoma" w:cs="Tahoma"/>
      <w:sz w:val="16"/>
      <w:szCs w:val="16"/>
    </w:rPr>
  </w:style>
  <w:style w:type="character" w:customStyle="1" w:styleId="BalloonTextChar">
    <w:name w:val="Balloon Text Char"/>
    <w:basedOn w:val="DefaultParagraphFont"/>
    <w:link w:val="BalloonText"/>
    <w:uiPriority w:val="99"/>
    <w:semiHidden/>
    <w:rsid w:val="00B91EAF"/>
    <w:rPr>
      <w:rFonts w:ascii="Tahoma" w:hAnsi="Tahoma" w:cs="Tahoma"/>
      <w:sz w:val="16"/>
      <w:szCs w:val="16"/>
      <w:lang w:val="en-US"/>
    </w:rPr>
  </w:style>
  <w:style w:type="paragraph" w:styleId="ListParagraph">
    <w:name w:val="List Paragraph"/>
    <w:basedOn w:val="Normal"/>
    <w:uiPriority w:val="34"/>
    <w:qFormat/>
    <w:rsid w:val="00B0551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376927"/>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376927"/>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D435-DF7E-45E4-8DA3-DD606B61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2625</Words>
  <Characters>14969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O'Rourke</dc:creator>
  <cp:lastModifiedBy>Shirley Mair</cp:lastModifiedBy>
  <cp:revision>8</cp:revision>
  <cp:lastPrinted>2017-08-16T21:56:00Z</cp:lastPrinted>
  <dcterms:created xsi:type="dcterms:W3CDTF">2017-08-16T21:10:00Z</dcterms:created>
  <dcterms:modified xsi:type="dcterms:W3CDTF">2017-08-16T22:27:00Z</dcterms:modified>
</cp:coreProperties>
</file>