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5B" w:rsidRPr="006C6D5B" w:rsidRDefault="006C6D5B" w:rsidP="00C659A0">
      <w:pPr>
        <w:widowControl/>
        <w:autoSpaceDE/>
        <w:autoSpaceDN/>
        <w:adjustRightInd/>
        <w:rPr>
          <w:rFonts w:eastAsia="Times New Roman"/>
          <w:color w:val="000000"/>
          <w:lang w:val="fr-CA" w:eastAsia="fr-CA"/>
        </w:rPr>
      </w:pPr>
      <w:bookmarkStart w:id="0" w:name="_GoBack"/>
      <w:bookmarkEnd w:id="0"/>
      <w:r w:rsidRPr="006C6D5B">
        <w:rPr>
          <w:rFonts w:eastAsia="Times New Roman"/>
          <w:i/>
          <w:color w:val="000000"/>
          <w:lang w:val="fr-CA" w:eastAsia="fr-CA"/>
        </w:rPr>
        <w:t>R v BOUVIER</w:t>
      </w:r>
      <w:r w:rsidRPr="006C6D5B">
        <w:rPr>
          <w:rFonts w:eastAsia="Times New Roman"/>
          <w:color w:val="000000"/>
          <w:lang w:val="fr-CA" w:eastAsia="fr-CA"/>
        </w:rPr>
        <w:t>, 2017 NWTSC 36</w:t>
      </w:r>
    </w:p>
    <w:p w:rsidR="00C01E7F" w:rsidRPr="006C6D5B" w:rsidRDefault="00C01E7F" w:rsidP="00C659A0">
      <w:pPr>
        <w:widowControl/>
        <w:jc w:val="right"/>
        <w:rPr>
          <w:sz w:val="28"/>
          <w:szCs w:val="28"/>
          <w:lang w:val="fr-CA"/>
        </w:rPr>
      </w:pPr>
      <w:r w:rsidRPr="006C6D5B">
        <w:rPr>
          <w:sz w:val="28"/>
          <w:szCs w:val="28"/>
          <w:lang w:val="fr-CA"/>
        </w:rPr>
        <w:t xml:space="preserve">Date: </w:t>
      </w:r>
      <w:r w:rsidR="00047645" w:rsidRPr="006C6D5B">
        <w:rPr>
          <w:sz w:val="28"/>
          <w:szCs w:val="28"/>
          <w:lang w:val="fr-CA"/>
        </w:rPr>
        <w:t xml:space="preserve">2017 05 </w:t>
      </w:r>
      <w:r w:rsidR="006C5684" w:rsidRPr="006C6D5B">
        <w:rPr>
          <w:sz w:val="28"/>
          <w:szCs w:val="28"/>
          <w:lang w:val="fr-CA"/>
        </w:rPr>
        <w:t>2</w:t>
      </w:r>
      <w:r w:rsidR="00B46544">
        <w:rPr>
          <w:sz w:val="28"/>
          <w:szCs w:val="28"/>
          <w:lang w:val="fr-CA"/>
        </w:rPr>
        <w:t>4</w:t>
      </w:r>
    </w:p>
    <w:p w:rsidR="00C01E7F" w:rsidRPr="00E5322B" w:rsidRDefault="00C01E7F" w:rsidP="00C659A0">
      <w:pPr>
        <w:widowControl/>
        <w:jc w:val="right"/>
        <w:rPr>
          <w:sz w:val="28"/>
          <w:szCs w:val="28"/>
          <w:lang w:val="en-GB"/>
        </w:rPr>
      </w:pPr>
      <w:r w:rsidRPr="00E5322B">
        <w:rPr>
          <w:sz w:val="28"/>
          <w:szCs w:val="28"/>
          <w:lang w:val="en-GB"/>
        </w:rPr>
        <w:t>Docket:</w:t>
      </w:r>
      <w:bookmarkStart w:id="1" w:name="a2"/>
      <w:r w:rsidRPr="00E5322B">
        <w:rPr>
          <w:sz w:val="28"/>
          <w:szCs w:val="28"/>
          <w:lang w:val="en-GB"/>
        </w:rPr>
        <w:t xml:space="preserve"> S-1-</w:t>
      </w:r>
      <w:bookmarkEnd w:id="1"/>
      <w:r w:rsidR="00074D05" w:rsidRPr="00E5322B">
        <w:rPr>
          <w:sz w:val="28"/>
          <w:szCs w:val="28"/>
          <w:lang w:val="en-GB"/>
        </w:rPr>
        <w:t>CR-20</w:t>
      </w:r>
      <w:r w:rsidR="00153415">
        <w:rPr>
          <w:sz w:val="28"/>
          <w:szCs w:val="28"/>
          <w:lang w:val="en-GB"/>
        </w:rPr>
        <w:t>1</w:t>
      </w:r>
      <w:r w:rsidR="00047645">
        <w:rPr>
          <w:sz w:val="28"/>
          <w:szCs w:val="28"/>
          <w:lang w:val="en-GB"/>
        </w:rPr>
        <w:t>6</w:t>
      </w:r>
      <w:r w:rsidR="00074D05" w:rsidRPr="00E5322B">
        <w:rPr>
          <w:sz w:val="28"/>
          <w:szCs w:val="28"/>
          <w:lang w:val="en-GB"/>
        </w:rPr>
        <w:t>-0000</w:t>
      </w:r>
      <w:r w:rsidR="00047645">
        <w:rPr>
          <w:sz w:val="28"/>
          <w:szCs w:val="28"/>
          <w:lang w:val="en-GB"/>
        </w:rPr>
        <w:t>65</w:t>
      </w:r>
    </w:p>
    <w:p w:rsidR="00C01E7F" w:rsidRPr="00E5322B" w:rsidRDefault="00C01E7F" w:rsidP="00C659A0">
      <w:pPr>
        <w:widowControl/>
        <w:rPr>
          <w:sz w:val="28"/>
          <w:szCs w:val="28"/>
          <w:lang w:val="en-GB"/>
        </w:rPr>
      </w:pPr>
    </w:p>
    <w:p w:rsidR="00C01E7F" w:rsidRPr="00E5322B" w:rsidRDefault="00C01E7F" w:rsidP="00C659A0">
      <w:pPr>
        <w:widowControl/>
        <w:tabs>
          <w:tab w:val="center" w:pos="4680"/>
        </w:tabs>
        <w:rPr>
          <w:sz w:val="28"/>
          <w:szCs w:val="28"/>
          <w:lang w:val="en-GB"/>
        </w:rPr>
      </w:pPr>
      <w:r w:rsidRPr="00E5322B">
        <w:rPr>
          <w:sz w:val="28"/>
          <w:szCs w:val="28"/>
          <w:lang w:val="en-GB"/>
        </w:rPr>
        <w:tab/>
        <w:t>IN THE SUPREME COURT OF THE NORTHWEST TERRITORIES</w:t>
      </w:r>
    </w:p>
    <w:p w:rsidR="00C01E7F" w:rsidRPr="00E5322B" w:rsidRDefault="00C01E7F" w:rsidP="00C659A0">
      <w:pPr>
        <w:widowControl/>
        <w:rPr>
          <w:sz w:val="28"/>
          <w:szCs w:val="28"/>
          <w:lang w:val="en-GB"/>
        </w:rPr>
      </w:pPr>
    </w:p>
    <w:p w:rsidR="00C01E7F" w:rsidRPr="00E5322B" w:rsidRDefault="00C01E7F" w:rsidP="00C659A0">
      <w:pPr>
        <w:widowControl/>
        <w:rPr>
          <w:sz w:val="28"/>
          <w:szCs w:val="28"/>
          <w:lang w:val="en-GB"/>
        </w:rPr>
      </w:pPr>
      <w:r w:rsidRPr="00E5322B">
        <w:rPr>
          <w:sz w:val="28"/>
          <w:szCs w:val="28"/>
          <w:lang w:val="en-GB"/>
        </w:rPr>
        <w:t>BETWEEN:</w:t>
      </w:r>
      <w:r w:rsidRPr="00E5322B">
        <w:rPr>
          <w:sz w:val="28"/>
          <w:szCs w:val="28"/>
          <w:lang w:val="en-GB"/>
        </w:rPr>
        <w:tab/>
      </w:r>
      <w:r w:rsidRPr="00E5322B">
        <w:rPr>
          <w:sz w:val="28"/>
          <w:szCs w:val="28"/>
          <w:lang w:val="en-GB"/>
        </w:rPr>
        <w:tab/>
      </w:r>
      <w:r w:rsidRPr="00E5322B">
        <w:rPr>
          <w:sz w:val="28"/>
          <w:szCs w:val="28"/>
          <w:lang w:val="en-GB"/>
        </w:rPr>
        <w:tab/>
      </w:r>
    </w:p>
    <w:p w:rsidR="00C01E7F" w:rsidRPr="00E5322B" w:rsidRDefault="00C01E7F" w:rsidP="00C659A0">
      <w:pPr>
        <w:widowControl/>
        <w:rPr>
          <w:sz w:val="28"/>
          <w:szCs w:val="28"/>
          <w:lang w:val="en-GB"/>
        </w:rPr>
      </w:pPr>
    </w:p>
    <w:p w:rsidR="00C01E7F" w:rsidRPr="00E5322B" w:rsidRDefault="00C01E7F" w:rsidP="00C659A0">
      <w:pPr>
        <w:widowControl/>
        <w:rPr>
          <w:sz w:val="28"/>
          <w:szCs w:val="28"/>
          <w:lang w:val="en-GB"/>
        </w:rPr>
      </w:pPr>
    </w:p>
    <w:p w:rsidR="00C01E7F" w:rsidRPr="00E5322B" w:rsidRDefault="00335D3D" w:rsidP="00C659A0">
      <w:pPr>
        <w:widowControl/>
        <w:jc w:val="center"/>
        <w:rPr>
          <w:sz w:val="28"/>
          <w:szCs w:val="28"/>
          <w:lang w:val="en-GB"/>
        </w:rPr>
      </w:pPr>
      <w:r w:rsidRPr="00E5322B">
        <w:rPr>
          <w:sz w:val="28"/>
          <w:szCs w:val="28"/>
          <w:lang w:val="en-GB"/>
        </w:rPr>
        <w:t>HER MAJESTY THE QUEEN</w:t>
      </w:r>
    </w:p>
    <w:p w:rsidR="00C01E7F" w:rsidRPr="00E5322B" w:rsidRDefault="00C01E7F" w:rsidP="00C659A0">
      <w:pPr>
        <w:widowControl/>
        <w:rPr>
          <w:sz w:val="28"/>
          <w:szCs w:val="28"/>
          <w:lang w:val="en-GB"/>
        </w:rPr>
      </w:pPr>
    </w:p>
    <w:p w:rsidR="00C01E7F" w:rsidRPr="00E5322B" w:rsidRDefault="00C01E7F" w:rsidP="00C659A0">
      <w:pPr>
        <w:widowControl/>
        <w:rPr>
          <w:sz w:val="28"/>
          <w:szCs w:val="28"/>
          <w:lang w:val="en-GB"/>
        </w:rPr>
      </w:pPr>
    </w:p>
    <w:p w:rsidR="00C01E7F" w:rsidRPr="00E5322B" w:rsidRDefault="00C01E7F" w:rsidP="00C659A0">
      <w:pPr>
        <w:widowControl/>
        <w:tabs>
          <w:tab w:val="center" w:pos="4680"/>
        </w:tabs>
        <w:jc w:val="center"/>
        <w:rPr>
          <w:sz w:val="28"/>
          <w:szCs w:val="28"/>
          <w:lang w:val="en-GB"/>
        </w:rPr>
      </w:pPr>
      <w:r w:rsidRPr="00E5322B">
        <w:rPr>
          <w:sz w:val="28"/>
          <w:szCs w:val="28"/>
          <w:lang w:val="en-GB"/>
        </w:rPr>
        <w:t>- and -</w:t>
      </w:r>
    </w:p>
    <w:p w:rsidR="00C01E7F" w:rsidRPr="00E5322B" w:rsidRDefault="00C01E7F" w:rsidP="00C659A0">
      <w:pPr>
        <w:widowControl/>
        <w:rPr>
          <w:sz w:val="28"/>
          <w:szCs w:val="28"/>
          <w:lang w:val="en-GB"/>
        </w:rPr>
      </w:pPr>
    </w:p>
    <w:p w:rsidR="00C01E7F" w:rsidRPr="00E5322B" w:rsidRDefault="00C01E7F" w:rsidP="00C659A0">
      <w:pPr>
        <w:widowControl/>
        <w:rPr>
          <w:sz w:val="28"/>
          <w:szCs w:val="28"/>
          <w:lang w:val="en-GB"/>
        </w:rPr>
      </w:pPr>
    </w:p>
    <w:p w:rsidR="00C01E7F" w:rsidRPr="00E5322B" w:rsidRDefault="00047645" w:rsidP="00C659A0">
      <w:pPr>
        <w:widowControl/>
        <w:jc w:val="center"/>
        <w:rPr>
          <w:sz w:val="28"/>
          <w:szCs w:val="28"/>
          <w:lang w:val="en-GB"/>
        </w:rPr>
      </w:pPr>
      <w:r>
        <w:rPr>
          <w:sz w:val="28"/>
          <w:szCs w:val="28"/>
          <w:lang w:val="en-GB"/>
        </w:rPr>
        <w:t xml:space="preserve">MARTY </w:t>
      </w:r>
      <w:r w:rsidR="00B46544">
        <w:rPr>
          <w:sz w:val="28"/>
          <w:szCs w:val="28"/>
          <w:lang w:val="en-GB"/>
        </w:rPr>
        <w:t xml:space="preserve">RYAN </w:t>
      </w:r>
      <w:r>
        <w:rPr>
          <w:sz w:val="28"/>
          <w:szCs w:val="28"/>
          <w:lang w:val="en-GB"/>
        </w:rPr>
        <w:t>BOUVIER</w:t>
      </w:r>
    </w:p>
    <w:p w:rsidR="00611EE8" w:rsidRPr="00F70D3C" w:rsidRDefault="00611EE8" w:rsidP="00C659A0">
      <w:pPr>
        <w:jc w:val="center"/>
      </w:pPr>
      <w:r w:rsidRPr="00F70D3C">
        <w:rPr>
          <w:lang w:val="en-CA"/>
        </w:rPr>
        <w:fldChar w:fldCharType="begin"/>
      </w:r>
      <w:r w:rsidRPr="00F70D3C">
        <w:rPr>
          <w:lang w:val="en-CA"/>
        </w:rPr>
        <w:instrText xml:space="preserve"> SEQ CHAPTER \h \r 1</w:instrText>
      </w:r>
      <w:r w:rsidRPr="00F70D3C">
        <w:rPr>
          <w:lang w:val="en-CA"/>
        </w:rPr>
        <w:fldChar w:fldCharType="end"/>
      </w:r>
    </w:p>
    <w:tbl>
      <w:tblPr>
        <w:tblW w:w="0" w:type="auto"/>
        <w:tblInd w:w="1290" w:type="dxa"/>
        <w:tblLayout w:type="fixed"/>
        <w:tblCellMar>
          <w:left w:w="154" w:type="dxa"/>
          <w:right w:w="154" w:type="dxa"/>
        </w:tblCellMar>
        <w:tblLook w:val="0000" w:firstRow="0" w:lastRow="0" w:firstColumn="0" w:lastColumn="0" w:noHBand="0" w:noVBand="0"/>
      </w:tblPr>
      <w:tblGrid>
        <w:gridCol w:w="6570"/>
      </w:tblGrid>
      <w:tr w:rsidR="00611EE8" w:rsidRPr="00F70D3C" w:rsidTr="00603571">
        <w:trPr>
          <w:cantSplit/>
        </w:trPr>
        <w:tc>
          <w:tcPr>
            <w:tcW w:w="6570" w:type="dxa"/>
            <w:tcBorders>
              <w:top w:val="thinThickSmallGap" w:sz="36" w:space="0" w:color="000000"/>
              <w:left w:val="thinThickSmallGap" w:sz="36" w:space="0" w:color="000000"/>
              <w:bottom w:val="thickThinSmallGap" w:sz="36" w:space="0" w:color="000000"/>
              <w:right w:val="thickThinSmallGap" w:sz="36" w:space="0" w:color="000000"/>
            </w:tcBorders>
          </w:tcPr>
          <w:p w:rsidR="00611EE8" w:rsidRPr="00F70D3C" w:rsidRDefault="00611EE8" w:rsidP="00C659A0">
            <w:pPr>
              <w:jc w:val="center"/>
            </w:pPr>
            <w:bookmarkStart w:id="2" w:name="PubBanTableStart"/>
            <w:bookmarkEnd w:id="2"/>
            <w:r w:rsidRPr="00F70D3C">
              <w:rPr>
                <w:b/>
                <w:bCs/>
                <w:sz w:val="19"/>
                <w:szCs w:val="19"/>
              </w:rPr>
              <w:t xml:space="preserve">Restriction on Publication: </w:t>
            </w:r>
            <w:r w:rsidRPr="00F70D3C">
              <w:rPr>
                <w:sz w:val="19"/>
                <w:szCs w:val="19"/>
              </w:rPr>
              <w:t xml:space="preserve">By Court Order, there is a ban on publishing information that may identify the person/persons described in this judgment as the complainant/witness.  See the </w:t>
            </w:r>
            <w:r w:rsidRPr="00F70D3C">
              <w:rPr>
                <w:i/>
                <w:iCs/>
                <w:sz w:val="19"/>
                <w:szCs w:val="19"/>
              </w:rPr>
              <w:t>Criminal Code</w:t>
            </w:r>
            <w:r w:rsidRPr="00F70D3C">
              <w:rPr>
                <w:sz w:val="19"/>
                <w:szCs w:val="19"/>
              </w:rPr>
              <w:t>, s. 486.4.</w:t>
            </w:r>
            <w:bookmarkStart w:id="3" w:name="PubBanText"/>
            <w:bookmarkEnd w:id="3"/>
          </w:p>
        </w:tc>
      </w:tr>
    </w:tbl>
    <w:bookmarkStart w:id="4" w:name="PubBanTableEnd"/>
    <w:bookmarkEnd w:id="4"/>
    <w:p w:rsidR="00611EE8" w:rsidRPr="00AA6B21" w:rsidRDefault="00611EE8" w:rsidP="00C659A0">
      <w:r w:rsidRPr="00AA6B21">
        <w:rPr>
          <w:lang w:val="en-CA"/>
        </w:rPr>
        <w:fldChar w:fldCharType="begin"/>
      </w:r>
      <w:r w:rsidRPr="00AA6B21">
        <w:rPr>
          <w:lang w:val="en-CA"/>
        </w:rPr>
        <w:instrText xml:space="preserve"> SEQ CHAPTER \h \r 1</w:instrText>
      </w:r>
      <w:r w:rsidRPr="00AA6B21">
        <w:rPr>
          <w:lang w:val="en-CA"/>
        </w:rPr>
        <w:fldChar w:fldCharType="end"/>
      </w:r>
    </w:p>
    <w:tbl>
      <w:tblPr>
        <w:tblW w:w="0" w:type="auto"/>
        <w:tblInd w:w="1290" w:type="dxa"/>
        <w:tblLayout w:type="fixed"/>
        <w:tblCellMar>
          <w:left w:w="154" w:type="dxa"/>
          <w:right w:w="154" w:type="dxa"/>
        </w:tblCellMar>
        <w:tblLook w:val="0000" w:firstRow="0" w:lastRow="0" w:firstColumn="0" w:lastColumn="0" w:noHBand="0" w:noVBand="0"/>
      </w:tblPr>
      <w:tblGrid>
        <w:gridCol w:w="6570"/>
      </w:tblGrid>
      <w:tr w:rsidR="00611EE8" w:rsidRPr="00E85AB4" w:rsidTr="00B83ECF">
        <w:trPr>
          <w:cantSplit/>
          <w:trHeight w:val="681"/>
        </w:trPr>
        <w:tc>
          <w:tcPr>
            <w:tcW w:w="6570" w:type="dxa"/>
            <w:tcBorders>
              <w:top w:val="thinThickSmallGap" w:sz="36" w:space="0" w:color="000000"/>
              <w:left w:val="thinThickSmallGap" w:sz="36" w:space="0" w:color="000000"/>
              <w:bottom w:val="thickThinSmallGap" w:sz="36" w:space="0" w:color="000000"/>
              <w:right w:val="thickThinSmallGap" w:sz="36" w:space="0" w:color="000000"/>
            </w:tcBorders>
          </w:tcPr>
          <w:p w:rsidR="00B83ECF" w:rsidRDefault="00611EE8" w:rsidP="00C659A0">
            <w:pPr>
              <w:jc w:val="center"/>
              <w:rPr>
                <w:b/>
                <w:bCs/>
                <w:sz w:val="19"/>
                <w:szCs w:val="19"/>
                <w:lang w:val="en-CA"/>
              </w:rPr>
            </w:pPr>
            <w:r w:rsidRPr="00AA6B21">
              <w:rPr>
                <w:b/>
                <w:bCs/>
                <w:sz w:val="19"/>
                <w:szCs w:val="19"/>
              </w:rPr>
              <w:fldChar w:fldCharType="begin"/>
            </w:r>
            <w:r w:rsidRPr="00AA6B21">
              <w:rPr>
                <w:b/>
                <w:bCs/>
                <w:sz w:val="19"/>
                <w:szCs w:val="19"/>
              </w:rPr>
              <w:instrText xml:space="preserve"> SEQ CHAPTER \h \r 1</w:instrText>
            </w:r>
            <w:r w:rsidRPr="00AA6B21">
              <w:rPr>
                <w:b/>
                <w:bCs/>
                <w:sz w:val="19"/>
                <w:szCs w:val="19"/>
              </w:rPr>
              <w:fldChar w:fldCharType="end"/>
            </w:r>
            <w:r w:rsidRPr="00AA6B21">
              <w:rPr>
                <w:b/>
                <w:bCs/>
                <w:sz w:val="19"/>
                <w:szCs w:val="19"/>
              </w:rPr>
              <w:t>There</w:t>
            </w:r>
            <w:r w:rsidRPr="00AA6B21">
              <w:rPr>
                <w:b/>
                <w:bCs/>
                <w:sz w:val="19"/>
                <w:szCs w:val="19"/>
                <w:lang w:val="en-CA"/>
              </w:rPr>
              <w:t xml:space="preserve"> is a temporary ban on publicati</w:t>
            </w:r>
            <w:r w:rsidR="00B83ECF">
              <w:rPr>
                <w:b/>
                <w:bCs/>
                <w:sz w:val="19"/>
                <w:szCs w:val="19"/>
                <w:lang w:val="en-CA"/>
              </w:rPr>
              <w:t>on on this judgment pursuant to</w:t>
            </w:r>
          </w:p>
          <w:p w:rsidR="00611EE8" w:rsidRPr="00AA6B21" w:rsidRDefault="00611EE8" w:rsidP="00C659A0">
            <w:pPr>
              <w:jc w:val="center"/>
              <w:rPr>
                <w:lang w:val="en-CA"/>
              </w:rPr>
            </w:pPr>
            <w:r w:rsidRPr="00AA6B21">
              <w:rPr>
                <w:b/>
                <w:bCs/>
                <w:sz w:val="19"/>
                <w:szCs w:val="19"/>
                <w:lang w:val="en-CA"/>
              </w:rPr>
              <w:t xml:space="preserve">s. 648 of the </w:t>
            </w:r>
            <w:r w:rsidRPr="00AA6B21">
              <w:rPr>
                <w:b/>
                <w:bCs/>
                <w:i/>
                <w:iCs/>
                <w:sz w:val="19"/>
                <w:szCs w:val="19"/>
                <w:lang w:val="en-CA"/>
              </w:rPr>
              <w:t>Criminal Code</w:t>
            </w:r>
            <w:r w:rsidRPr="00AA6B21">
              <w:rPr>
                <w:b/>
                <w:bCs/>
                <w:sz w:val="19"/>
                <w:szCs w:val="19"/>
                <w:lang w:val="en-CA"/>
              </w:rPr>
              <w:t>.</w:t>
            </w:r>
          </w:p>
        </w:tc>
      </w:tr>
    </w:tbl>
    <w:p w:rsidR="00611EE8" w:rsidRPr="00AA6B21" w:rsidRDefault="00611EE8" w:rsidP="00C659A0">
      <w:pPr>
        <w:rPr>
          <w:b/>
          <w:bCs/>
          <w:i/>
          <w:iCs/>
          <w:lang w:val="en-CA"/>
        </w:rPr>
      </w:pPr>
    </w:p>
    <w:p w:rsidR="00C01E7F" w:rsidRPr="00611EE8" w:rsidRDefault="00C01E7F" w:rsidP="00C659A0">
      <w:pPr>
        <w:widowControl/>
        <w:rPr>
          <w:sz w:val="28"/>
          <w:szCs w:val="28"/>
          <w:lang w:val="en-CA"/>
        </w:rPr>
      </w:pPr>
    </w:p>
    <w:p w:rsidR="00C01E7F" w:rsidRPr="0001253D" w:rsidRDefault="004067A9" w:rsidP="00C659A0">
      <w:pPr>
        <w:widowControl/>
        <w:jc w:val="center"/>
        <w:rPr>
          <w:caps/>
          <w:sz w:val="28"/>
          <w:szCs w:val="28"/>
          <w:lang w:val="en-GB"/>
        </w:rPr>
      </w:pPr>
      <w:r w:rsidRPr="0001253D">
        <w:rPr>
          <w:caps/>
          <w:sz w:val="28"/>
          <w:szCs w:val="28"/>
          <w:lang w:val="en-GB"/>
        </w:rPr>
        <w:t xml:space="preserve">MEMORANDUM OF </w:t>
      </w:r>
      <w:r w:rsidR="00C01E7F" w:rsidRPr="0001253D">
        <w:rPr>
          <w:caps/>
          <w:sz w:val="28"/>
          <w:szCs w:val="28"/>
          <w:lang w:val="en-GB"/>
        </w:rPr>
        <w:t>JUDGMENT</w:t>
      </w:r>
    </w:p>
    <w:p w:rsidR="004067A9" w:rsidRPr="0001253D" w:rsidRDefault="00503C1A" w:rsidP="00C659A0">
      <w:pPr>
        <w:widowControl/>
        <w:jc w:val="center"/>
        <w:rPr>
          <w:caps/>
          <w:sz w:val="28"/>
          <w:szCs w:val="28"/>
          <w:lang w:val="en-GB"/>
        </w:rPr>
      </w:pPr>
      <w:r w:rsidRPr="0001253D">
        <w:rPr>
          <w:caps/>
          <w:sz w:val="28"/>
          <w:szCs w:val="28"/>
          <w:u w:val="single"/>
          <w:lang w:val="en-GB"/>
        </w:rPr>
        <w:t>(</w:t>
      </w:r>
      <w:r w:rsidR="0001253D">
        <w:rPr>
          <w:caps/>
          <w:sz w:val="28"/>
          <w:szCs w:val="28"/>
          <w:u w:val="single"/>
          <w:lang w:val="en-GB"/>
        </w:rPr>
        <w:t xml:space="preserve">APPPLICATION FOR </w:t>
      </w:r>
      <w:r w:rsidRPr="0001253D">
        <w:rPr>
          <w:caps/>
          <w:sz w:val="28"/>
          <w:szCs w:val="28"/>
          <w:u w:val="single"/>
          <w:lang w:val="en-GB"/>
        </w:rPr>
        <w:t>Change of Venue</w:t>
      </w:r>
      <w:r w:rsidR="004067A9" w:rsidRPr="0001253D">
        <w:rPr>
          <w:caps/>
          <w:sz w:val="28"/>
          <w:szCs w:val="28"/>
          <w:u w:val="single"/>
          <w:lang w:val="en-GB"/>
        </w:rPr>
        <w:t>)</w:t>
      </w:r>
    </w:p>
    <w:p w:rsidR="00C01E7F" w:rsidRPr="0001253D" w:rsidRDefault="00C01E7F" w:rsidP="00C659A0">
      <w:pPr>
        <w:rPr>
          <w:sz w:val="28"/>
          <w:szCs w:val="28"/>
          <w:lang w:val="en-GB"/>
        </w:rPr>
      </w:pPr>
    </w:p>
    <w:p w:rsidR="00583406" w:rsidRPr="00E5322B" w:rsidRDefault="00583406" w:rsidP="00C659A0">
      <w:pPr>
        <w:rPr>
          <w:sz w:val="28"/>
          <w:szCs w:val="28"/>
        </w:rPr>
      </w:pPr>
      <w:r w:rsidRPr="00E5322B">
        <w:rPr>
          <w:sz w:val="28"/>
          <w:szCs w:val="28"/>
        </w:rPr>
        <w:t>INTRODUCTION</w:t>
      </w:r>
    </w:p>
    <w:p w:rsidR="00583406" w:rsidRPr="00E5322B" w:rsidRDefault="00583406" w:rsidP="00C659A0">
      <w:pPr>
        <w:rPr>
          <w:sz w:val="28"/>
          <w:szCs w:val="28"/>
        </w:rPr>
      </w:pPr>
    </w:p>
    <w:p w:rsidR="00ED29A5" w:rsidRDefault="00C01E7F" w:rsidP="00C659A0">
      <w:pPr>
        <w:widowControl/>
        <w:numPr>
          <w:ilvl w:val="0"/>
          <w:numId w:val="1"/>
        </w:numPr>
        <w:ind w:left="0" w:firstLine="0"/>
        <w:jc w:val="both"/>
        <w:rPr>
          <w:sz w:val="28"/>
          <w:szCs w:val="28"/>
        </w:rPr>
      </w:pPr>
      <w:r w:rsidRPr="00E5322B">
        <w:rPr>
          <w:sz w:val="28"/>
          <w:szCs w:val="28"/>
        </w:rPr>
        <w:t xml:space="preserve">The </w:t>
      </w:r>
      <w:r w:rsidR="00ED29A5">
        <w:rPr>
          <w:sz w:val="28"/>
          <w:szCs w:val="28"/>
        </w:rPr>
        <w:t>accused is charged with two offences, sexual assault and uttering threats to cause death, both on J.C.</w:t>
      </w:r>
      <w:r w:rsidR="005C73AB">
        <w:rPr>
          <w:sz w:val="28"/>
          <w:szCs w:val="28"/>
        </w:rPr>
        <w:t>,</w:t>
      </w:r>
      <w:r w:rsidR="009F6FB8">
        <w:rPr>
          <w:sz w:val="28"/>
          <w:szCs w:val="28"/>
        </w:rPr>
        <w:t xml:space="preserve"> and which are alleged to have occurred on January 1, 2016 in </w:t>
      </w:r>
      <w:r w:rsidR="000C6AE3">
        <w:rPr>
          <w:sz w:val="28"/>
          <w:szCs w:val="28"/>
        </w:rPr>
        <w:t>Behchokǫ̀</w:t>
      </w:r>
      <w:r w:rsidR="009F6FB8">
        <w:rPr>
          <w:sz w:val="28"/>
          <w:szCs w:val="28"/>
        </w:rPr>
        <w:t>, Northwest Territories.</w:t>
      </w:r>
      <w:r w:rsidR="00FD3557">
        <w:rPr>
          <w:sz w:val="28"/>
          <w:szCs w:val="28"/>
        </w:rPr>
        <w:t xml:space="preserve">  He </w:t>
      </w:r>
      <w:r w:rsidR="00D407FE">
        <w:rPr>
          <w:sz w:val="28"/>
          <w:szCs w:val="28"/>
        </w:rPr>
        <w:t xml:space="preserve">has </w:t>
      </w:r>
      <w:r w:rsidR="00FD3557">
        <w:rPr>
          <w:sz w:val="28"/>
          <w:szCs w:val="28"/>
        </w:rPr>
        <w:t xml:space="preserve">elected trial by judge and jury.  </w:t>
      </w:r>
      <w:r w:rsidR="00370923">
        <w:rPr>
          <w:sz w:val="28"/>
          <w:szCs w:val="28"/>
        </w:rPr>
        <w:t xml:space="preserve">The accused </w:t>
      </w:r>
      <w:r w:rsidR="005334FA">
        <w:rPr>
          <w:sz w:val="28"/>
          <w:szCs w:val="28"/>
        </w:rPr>
        <w:t xml:space="preserve">had a preliminary inquiry and was ordered to stand trial on July 20, 2016.  </w:t>
      </w:r>
      <w:r w:rsidR="00FD3557">
        <w:rPr>
          <w:sz w:val="28"/>
          <w:szCs w:val="28"/>
        </w:rPr>
        <w:t>His jury tri</w:t>
      </w:r>
      <w:r w:rsidR="007C72D0">
        <w:rPr>
          <w:sz w:val="28"/>
          <w:szCs w:val="28"/>
        </w:rPr>
        <w:t>al has not been scheduled yet.</w:t>
      </w:r>
    </w:p>
    <w:p w:rsidR="00C659A0" w:rsidRDefault="00C659A0" w:rsidP="00C659A0">
      <w:pPr>
        <w:widowControl/>
        <w:jc w:val="both"/>
        <w:rPr>
          <w:sz w:val="28"/>
          <w:szCs w:val="28"/>
        </w:rPr>
      </w:pPr>
    </w:p>
    <w:p w:rsidR="00FD3557" w:rsidRDefault="00FD3557" w:rsidP="00C659A0">
      <w:pPr>
        <w:widowControl/>
        <w:numPr>
          <w:ilvl w:val="0"/>
          <w:numId w:val="1"/>
        </w:numPr>
        <w:ind w:left="0" w:firstLine="0"/>
        <w:jc w:val="both"/>
        <w:rPr>
          <w:sz w:val="28"/>
          <w:szCs w:val="28"/>
        </w:rPr>
      </w:pPr>
      <w:r>
        <w:rPr>
          <w:sz w:val="28"/>
          <w:szCs w:val="28"/>
        </w:rPr>
        <w:t xml:space="preserve">The Crown has filed </w:t>
      </w:r>
      <w:r w:rsidR="00A02BDD">
        <w:rPr>
          <w:sz w:val="28"/>
          <w:szCs w:val="28"/>
        </w:rPr>
        <w:t xml:space="preserve">a Notice of Motion to have the venue of the trial changed from </w:t>
      </w:r>
      <w:r w:rsidR="000C6AE3">
        <w:rPr>
          <w:sz w:val="28"/>
          <w:szCs w:val="28"/>
        </w:rPr>
        <w:t>Behchokǫ̀</w:t>
      </w:r>
      <w:r w:rsidR="00A02BDD">
        <w:rPr>
          <w:sz w:val="28"/>
          <w:szCs w:val="28"/>
        </w:rPr>
        <w:t xml:space="preserve"> to Yellowknife</w:t>
      </w:r>
      <w:r w:rsidR="00857B37">
        <w:rPr>
          <w:sz w:val="28"/>
          <w:szCs w:val="28"/>
        </w:rPr>
        <w:t xml:space="preserve"> claiming that it would be impracticable to empanel a jury in </w:t>
      </w:r>
      <w:r w:rsidR="000C6AE3">
        <w:rPr>
          <w:sz w:val="28"/>
          <w:szCs w:val="28"/>
        </w:rPr>
        <w:t>Behchokǫ̀</w:t>
      </w:r>
      <w:r w:rsidR="00857B37">
        <w:rPr>
          <w:sz w:val="28"/>
          <w:szCs w:val="28"/>
        </w:rPr>
        <w:t xml:space="preserve"> given the reputation of the accused in the community and </w:t>
      </w:r>
      <w:r w:rsidR="004725D6">
        <w:rPr>
          <w:sz w:val="28"/>
          <w:szCs w:val="28"/>
        </w:rPr>
        <w:t xml:space="preserve">that </w:t>
      </w:r>
      <w:r w:rsidR="00857B37">
        <w:rPr>
          <w:sz w:val="28"/>
          <w:szCs w:val="28"/>
        </w:rPr>
        <w:t xml:space="preserve">it would place an unnecessary and inappropriate burden on the complainant to hold the trial in </w:t>
      </w:r>
      <w:r w:rsidR="000C6AE3">
        <w:rPr>
          <w:sz w:val="28"/>
          <w:szCs w:val="28"/>
        </w:rPr>
        <w:t>Behchokǫ̀</w:t>
      </w:r>
      <w:r w:rsidR="00857B37">
        <w:rPr>
          <w:sz w:val="28"/>
          <w:szCs w:val="28"/>
        </w:rPr>
        <w:t>.</w:t>
      </w:r>
    </w:p>
    <w:p w:rsidR="00582613" w:rsidRDefault="007C72D0" w:rsidP="00C659A0">
      <w:pPr>
        <w:widowControl/>
        <w:numPr>
          <w:ilvl w:val="0"/>
          <w:numId w:val="1"/>
        </w:numPr>
        <w:ind w:left="0" w:firstLine="0"/>
        <w:jc w:val="both"/>
        <w:rPr>
          <w:sz w:val="28"/>
          <w:szCs w:val="28"/>
        </w:rPr>
      </w:pPr>
      <w:r>
        <w:rPr>
          <w:sz w:val="28"/>
          <w:szCs w:val="28"/>
        </w:rPr>
        <w:lastRenderedPageBreak/>
        <w:t>The D</w:t>
      </w:r>
      <w:r w:rsidR="00A33EF3">
        <w:rPr>
          <w:sz w:val="28"/>
          <w:szCs w:val="28"/>
        </w:rPr>
        <w:t xml:space="preserve">efence is opposed to having the trial held outside of </w:t>
      </w:r>
      <w:r w:rsidR="000C6AE3">
        <w:rPr>
          <w:sz w:val="28"/>
          <w:szCs w:val="28"/>
        </w:rPr>
        <w:t>Behchokǫ̀</w:t>
      </w:r>
      <w:r w:rsidR="00A33EF3">
        <w:rPr>
          <w:sz w:val="28"/>
          <w:szCs w:val="28"/>
        </w:rPr>
        <w:t xml:space="preserve"> arguing that </w:t>
      </w:r>
      <w:r w:rsidR="00350276">
        <w:rPr>
          <w:sz w:val="28"/>
          <w:szCs w:val="28"/>
        </w:rPr>
        <w:t>the paramount consideration is the accused’s and the community’s interest in having the trial held in the community in which the offence is alleged to have occurred</w:t>
      </w:r>
      <w:r w:rsidR="005334FA">
        <w:rPr>
          <w:sz w:val="28"/>
          <w:szCs w:val="28"/>
        </w:rPr>
        <w:t>.</w:t>
      </w:r>
      <w:r w:rsidR="00350276">
        <w:rPr>
          <w:sz w:val="28"/>
          <w:szCs w:val="28"/>
        </w:rPr>
        <w:t xml:space="preserve"> </w:t>
      </w:r>
      <w:r w:rsidR="00116E68">
        <w:rPr>
          <w:sz w:val="28"/>
          <w:szCs w:val="28"/>
        </w:rPr>
        <w:t xml:space="preserve"> The D</w:t>
      </w:r>
      <w:r w:rsidR="005334FA">
        <w:rPr>
          <w:sz w:val="28"/>
          <w:szCs w:val="28"/>
        </w:rPr>
        <w:t xml:space="preserve">efence also argues that jury trials have been held in </w:t>
      </w:r>
      <w:r w:rsidR="000C6AE3">
        <w:rPr>
          <w:sz w:val="28"/>
          <w:szCs w:val="28"/>
        </w:rPr>
        <w:t>Behchokǫ̀</w:t>
      </w:r>
      <w:r w:rsidR="005334FA">
        <w:rPr>
          <w:sz w:val="28"/>
          <w:szCs w:val="28"/>
        </w:rPr>
        <w:t xml:space="preserve"> in the past and that the evidence </w:t>
      </w:r>
      <w:r w:rsidR="004725D6">
        <w:rPr>
          <w:sz w:val="28"/>
          <w:szCs w:val="28"/>
        </w:rPr>
        <w:t>adduced</w:t>
      </w:r>
      <w:r w:rsidR="005334FA">
        <w:rPr>
          <w:sz w:val="28"/>
          <w:szCs w:val="28"/>
        </w:rPr>
        <w:t xml:space="preserve"> on the application is insufficient to establish that a jury could not be empaneled in </w:t>
      </w:r>
      <w:r w:rsidR="000C6AE3">
        <w:rPr>
          <w:sz w:val="28"/>
          <w:szCs w:val="28"/>
        </w:rPr>
        <w:t>Behchokǫ̀</w:t>
      </w:r>
      <w:r w:rsidR="00C659A0">
        <w:rPr>
          <w:sz w:val="28"/>
          <w:szCs w:val="28"/>
        </w:rPr>
        <w:t>.</w:t>
      </w:r>
    </w:p>
    <w:p w:rsidR="00C659A0" w:rsidRPr="00C22FBD" w:rsidRDefault="00C659A0" w:rsidP="00C659A0">
      <w:pPr>
        <w:widowControl/>
        <w:jc w:val="both"/>
        <w:rPr>
          <w:sz w:val="28"/>
          <w:szCs w:val="28"/>
        </w:rPr>
      </w:pPr>
    </w:p>
    <w:p w:rsidR="00582613" w:rsidRDefault="00C22FBD" w:rsidP="00C659A0">
      <w:pPr>
        <w:widowControl/>
        <w:jc w:val="both"/>
        <w:rPr>
          <w:sz w:val="28"/>
          <w:szCs w:val="28"/>
        </w:rPr>
      </w:pPr>
      <w:r>
        <w:rPr>
          <w:sz w:val="28"/>
          <w:szCs w:val="28"/>
        </w:rPr>
        <w:t>ANALYSIS</w:t>
      </w:r>
    </w:p>
    <w:p w:rsidR="00C659A0" w:rsidRDefault="00C659A0" w:rsidP="00C659A0">
      <w:pPr>
        <w:widowControl/>
        <w:jc w:val="both"/>
        <w:rPr>
          <w:sz w:val="28"/>
          <w:szCs w:val="28"/>
        </w:rPr>
      </w:pPr>
    </w:p>
    <w:p w:rsidR="000E5F6E" w:rsidRDefault="000E5F6E" w:rsidP="00C659A0">
      <w:pPr>
        <w:widowControl/>
        <w:numPr>
          <w:ilvl w:val="0"/>
          <w:numId w:val="1"/>
        </w:numPr>
        <w:ind w:left="0" w:firstLine="0"/>
        <w:jc w:val="both"/>
        <w:rPr>
          <w:sz w:val="28"/>
          <w:szCs w:val="28"/>
        </w:rPr>
      </w:pPr>
      <w:r>
        <w:rPr>
          <w:sz w:val="28"/>
          <w:szCs w:val="28"/>
        </w:rPr>
        <w:t xml:space="preserve">Rule 37 of the </w:t>
      </w:r>
      <w:r>
        <w:rPr>
          <w:i/>
          <w:sz w:val="28"/>
          <w:szCs w:val="28"/>
        </w:rPr>
        <w:t>Criminal Procedure Rules of the Supreme Court</w:t>
      </w:r>
      <w:r w:rsidR="00D8109B">
        <w:rPr>
          <w:i/>
          <w:sz w:val="28"/>
          <w:szCs w:val="28"/>
        </w:rPr>
        <w:t xml:space="preserve"> </w:t>
      </w:r>
      <w:r w:rsidR="00D8109B">
        <w:rPr>
          <w:sz w:val="28"/>
          <w:szCs w:val="28"/>
        </w:rPr>
        <w:t>states that:</w:t>
      </w:r>
    </w:p>
    <w:p w:rsidR="00C659A0" w:rsidRDefault="00C659A0" w:rsidP="00C659A0">
      <w:pPr>
        <w:widowControl/>
        <w:jc w:val="both"/>
        <w:rPr>
          <w:sz w:val="28"/>
          <w:szCs w:val="28"/>
        </w:rPr>
      </w:pPr>
    </w:p>
    <w:p w:rsidR="00D8109B" w:rsidRDefault="00D8109B" w:rsidP="00C659A0">
      <w:pPr>
        <w:widowControl/>
        <w:ind w:left="1440" w:right="1440"/>
        <w:jc w:val="both"/>
      </w:pPr>
      <w:r w:rsidRPr="008C4CDB">
        <w:t>37.</w:t>
      </w:r>
      <w:r w:rsidR="00116E68" w:rsidRPr="008C4CDB">
        <w:t> </w:t>
      </w:r>
      <w:r w:rsidRPr="008C4CDB">
        <w:t>(1) Unless the convenience of the parties and witnesses otherwise requires, a trial shall be held in the community</w:t>
      </w:r>
    </w:p>
    <w:p w:rsidR="00C659A0" w:rsidRPr="008C4CDB" w:rsidRDefault="00C659A0" w:rsidP="00C659A0">
      <w:pPr>
        <w:widowControl/>
        <w:ind w:left="1440" w:right="1440"/>
        <w:jc w:val="both"/>
      </w:pPr>
    </w:p>
    <w:p w:rsidR="00D8109B" w:rsidRDefault="00D8109B" w:rsidP="00C659A0">
      <w:pPr>
        <w:pStyle w:val="ListParagraph"/>
        <w:widowControl/>
        <w:numPr>
          <w:ilvl w:val="0"/>
          <w:numId w:val="5"/>
        </w:numPr>
        <w:ind w:right="1440"/>
        <w:jc w:val="both"/>
      </w:pPr>
      <w:r w:rsidRPr="008C4CDB">
        <w:t>at or nearest the place where the offence is alle</w:t>
      </w:r>
      <w:r w:rsidR="00C659A0">
        <w:t>ged to have been committed; and</w:t>
      </w:r>
    </w:p>
    <w:p w:rsidR="00C659A0" w:rsidRPr="008C4CDB" w:rsidRDefault="00C659A0" w:rsidP="00C659A0">
      <w:pPr>
        <w:pStyle w:val="ListParagraph"/>
        <w:widowControl/>
        <w:ind w:left="2694" w:right="1440"/>
        <w:jc w:val="both"/>
      </w:pPr>
    </w:p>
    <w:p w:rsidR="00D8109B" w:rsidRDefault="00D8109B" w:rsidP="00C659A0">
      <w:pPr>
        <w:pStyle w:val="ListParagraph"/>
        <w:widowControl/>
        <w:numPr>
          <w:ilvl w:val="0"/>
          <w:numId w:val="5"/>
        </w:numPr>
        <w:ind w:right="1440"/>
        <w:jc w:val="both"/>
      </w:pPr>
      <w:r w:rsidRPr="008C4CDB">
        <w:t>in which there are adequate facilities available to house the court and jury and to conduct the trial.</w:t>
      </w:r>
    </w:p>
    <w:p w:rsidR="00C659A0" w:rsidRPr="008C4CDB" w:rsidRDefault="00C659A0" w:rsidP="00C659A0">
      <w:pPr>
        <w:pStyle w:val="ListParagraph"/>
        <w:widowControl/>
        <w:ind w:left="2694" w:right="1440"/>
        <w:jc w:val="both"/>
      </w:pPr>
    </w:p>
    <w:p w:rsidR="002279EF" w:rsidRDefault="00D8109B" w:rsidP="00C659A0">
      <w:pPr>
        <w:widowControl/>
        <w:numPr>
          <w:ilvl w:val="0"/>
          <w:numId w:val="1"/>
        </w:numPr>
        <w:ind w:left="0" w:firstLine="0"/>
        <w:jc w:val="both"/>
        <w:rPr>
          <w:sz w:val="28"/>
          <w:szCs w:val="28"/>
        </w:rPr>
      </w:pPr>
      <w:r>
        <w:rPr>
          <w:sz w:val="28"/>
          <w:szCs w:val="28"/>
        </w:rPr>
        <w:t xml:space="preserve">This Rule entrenches the long held </w:t>
      </w:r>
      <w:r w:rsidR="002279EF">
        <w:rPr>
          <w:sz w:val="28"/>
          <w:szCs w:val="28"/>
        </w:rPr>
        <w:t xml:space="preserve">practice of this Court to hold </w:t>
      </w:r>
      <w:r w:rsidR="000E5F6E">
        <w:rPr>
          <w:sz w:val="28"/>
          <w:szCs w:val="28"/>
        </w:rPr>
        <w:t xml:space="preserve">jury </w:t>
      </w:r>
      <w:r w:rsidR="002279EF">
        <w:rPr>
          <w:sz w:val="28"/>
          <w:szCs w:val="28"/>
        </w:rPr>
        <w:t>trial</w:t>
      </w:r>
      <w:r w:rsidR="000E5F6E">
        <w:rPr>
          <w:sz w:val="28"/>
          <w:szCs w:val="28"/>
        </w:rPr>
        <w:t>s</w:t>
      </w:r>
      <w:r w:rsidR="002279EF">
        <w:rPr>
          <w:sz w:val="28"/>
          <w:szCs w:val="28"/>
        </w:rPr>
        <w:t xml:space="preserve"> in the community where the alleged offence occurred.</w:t>
      </w:r>
      <w:r w:rsidR="00331786">
        <w:rPr>
          <w:sz w:val="28"/>
          <w:szCs w:val="28"/>
        </w:rPr>
        <w:t xml:space="preserve">  </w:t>
      </w:r>
      <w:r>
        <w:rPr>
          <w:sz w:val="28"/>
          <w:szCs w:val="28"/>
        </w:rPr>
        <w:t xml:space="preserve">This practice </w:t>
      </w:r>
      <w:r w:rsidR="000E5F6E">
        <w:rPr>
          <w:sz w:val="28"/>
          <w:szCs w:val="28"/>
        </w:rPr>
        <w:t xml:space="preserve">has been described as being an integral part of this Court’s operations:  </w:t>
      </w:r>
      <w:r w:rsidR="000E5F6E">
        <w:rPr>
          <w:i/>
          <w:sz w:val="28"/>
          <w:szCs w:val="28"/>
        </w:rPr>
        <w:t>R v Lafferty</w:t>
      </w:r>
      <w:r w:rsidR="00F81E57">
        <w:rPr>
          <w:sz w:val="28"/>
          <w:szCs w:val="28"/>
        </w:rPr>
        <w:t>, 2010 NWTSC 36 at para. 6.</w:t>
      </w:r>
    </w:p>
    <w:p w:rsidR="00C659A0" w:rsidRDefault="00C659A0" w:rsidP="00C659A0">
      <w:pPr>
        <w:widowControl/>
        <w:jc w:val="both"/>
        <w:rPr>
          <w:sz w:val="28"/>
          <w:szCs w:val="28"/>
        </w:rPr>
      </w:pPr>
    </w:p>
    <w:p w:rsidR="00D8109B" w:rsidRDefault="00DA0CA9" w:rsidP="00C659A0">
      <w:pPr>
        <w:widowControl/>
        <w:numPr>
          <w:ilvl w:val="0"/>
          <w:numId w:val="1"/>
        </w:numPr>
        <w:ind w:left="0" w:firstLine="0"/>
        <w:jc w:val="both"/>
        <w:rPr>
          <w:sz w:val="28"/>
          <w:szCs w:val="28"/>
        </w:rPr>
      </w:pPr>
      <w:r>
        <w:rPr>
          <w:sz w:val="28"/>
          <w:szCs w:val="28"/>
        </w:rPr>
        <w:t xml:space="preserve">There are many benefits to this </w:t>
      </w:r>
      <w:r w:rsidR="0011501F">
        <w:rPr>
          <w:sz w:val="28"/>
          <w:szCs w:val="28"/>
        </w:rPr>
        <w:t>practice</w:t>
      </w:r>
      <w:r>
        <w:rPr>
          <w:sz w:val="28"/>
          <w:szCs w:val="28"/>
        </w:rPr>
        <w:t xml:space="preserve">, as stated by Vertes J. in </w:t>
      </w:r>
      <w:r>
        <w:rPr>
          <w:i/>
          <w:sz w:val="28"/>
          <w:szCs w:val="28"/>
        </w:rPr>
        <w:t>R v Beaverho,</w:t>
      </w:r>
      <w:r>
        <w:rPr>
          <w:sz w:val="28"/>
          <w:szCs w:val="28"/>
        </w:rPr>
        <w:t xml:space="preserve"> 2009 NWTSC 21 at para. 26:</w:t>
      </w:r>
    </w:p>
    <w:p w:rsidR="00C659A0" w:rsidRDefault="00C659A0" w:rsidP="00C659A0">
      <w:pPr>
        <w:widowControl/>
        <w:jc w:val="both"/>
        <w:rPr>
          <w:sz w:val="28"/>
          <w:szCs w:val="28"/>
        </w:rPr>
      </w:pPr>
    </w:p>
    <w:p w:rsidR="00DA0CA9" w:rsidRDefault="00DA0CA9" w:rsidP="00C659A0">
      <w:pPr>
        <w:widowControl/>
        <w:ind w:left="720" w:right="720"/>
        <w:jc w:val="both"/>
      </w:pPr>
      <w:r w:rsidRPr="008C4CDB">
        <w:t>The benefits of local trials are obvious.  It makes it easier for the accused and witnesses to attend the proceedings.  Jurors from the community have some sense of the atmosphere in which the participants acted and thus can put their</w:t>
      </w:r>
      <w:r w:rsidRPr="008D7027">
        <w:rPr>
          <w:lang w:val="en-CA"/>
        </w:rPr>
        <w:t xml:space="preserve"> behaviour</w:t>
      </w:r>
      <w:r w:rsidRPr="008C4CDB">
        <w:t xml:space="preserve"> into context.  Members of the immediate community are usually the ones most affected and most concerned about local crimes.  They have a stake in the outcome of trial.  A trial in the community will also help avoid misconceptions of how the justice system works and misunderstandings about the results.  There is greater understanding if people have the opportunity to attend and watch the proceedings.</w:t>
      </w:r>
    </w:p>
    <w:p w:rsidR="00C659A0" w:rsidRPr="008C4CDB" w:rsidRDefault="00C659A0" w:rsidP="00C659A0">
      <w:pPr>
        <w:widowControl/>
        <w:ind w:left="720" w:right="720"/>
        <w:jc w:val="both"/>
      </w:pPr>
    </w:p>
    <w:p w:rsidR="005C0DE2" w:rsidRDefault="00D34AC5" w:rsidP="00C659A0">
      <w:pPr>
        <w:widowControl/>
        <w:numPr>
          <w:ilvl w:val="0"/>
          <w:numId w:val="1"/>
        </w:numPr>
        <w:ind w:left="0" w:firstLine="0"/>
        <w:jc w:val="both"/>
        <w:rPr>
          <w:sz w:val="28"/>
          <w:szCs w:val="28"/>
        </w:rPr>
      </w:pPr>
      <w:r>
        <w:rPr>
          <w:sz w:val="28"/>
          <w:szCs w:val="28"/>
        </w:rPr>
        <w:t xml:space="preserve">The benefits of this practice continue to be relevant to the </w:t>
      </w:r>
      <w:r w:rsidR="00793B3E">
        <w:rPr>
          <w:sz w:val="28"/>
          <w:szCs w:val="28"/>
        </w:rPr>
        <w:t xml:space="preserve">administration of justice in the Northwest Territories.  </w:t>
      </w:r>
      <w:r w:rsidR="0011501F">
        <w:rPr>
          <w:sz w:val="28"/>
          <w:szCs w:val="28"/>
        </w:rPr>
        <w:t xml:space="preserve">However, this practice must be </w:t>
      </w:r>
      <w:r w:rsidR="004415C1">
        <w:rPr>
          <w:sz w:val="28"/>
          <w:szCs w:val="28"/>
        </w:rPr>
        <w:t xml:space="preserve">applied in conjunction with other </w:t>
      </w:r>
      <w:r w:rsidR="008B7F5C">
        <w:rPr>
          <w:sz w:val="28"/>
          <w:szCs w:val="28"/>
        </w:rPr>
        <w:t xml:space="preserve">considerations like </w:t>
      </w:r>
      <w:r w:rsidR="00084628">
        <w:rPr>
          <w:sz w:val="28"/>
          <w:szCs w:val="28"/>
        </w:rPr>
        <w:t xml:space="preserve">the responsible use by the Court of its limited resources and ensuring that the rights </w:t>
      </w:r>
      <w:r w:rsidR="001059A9">
        <w:rPr>
          <w:sz w:val="28"/>
          <w:szCs w:val="28"/>
        </w:rPr>
        <w:t>guaranteed</w:t>
      </w:r>
      <w:r w:rsidR="00084628">
        <w:rPr>
          <w:sz w:val="28"/>
          <w:szCs w:val="28"/>
        </w:rPr>
        <w:t xml:space="preserve"> in the </w:t>
      </w:r>
      <w:r w:rsidR="00084628">
        <w:rPr>
          <w:i/>
          <w:sz w:val="28"/>
          <w:szCs w:val="28"/>
        </w:rPr>
        <w:t>Charter</w:t>
      </w:r>
      <w:r w:rsidR="006C5684">
        <w:rPr>
          <w:i/>
          <w:sz w:val="28"/>
          <w:szCs w:val="28"/>
        </w:rPr>
        <w:t xml:space="preserve"> of Rights and Freedoms</w:t>
      </w:r>
      <w:r w:rsidR="00084628">
        <w:rPr>
          <w:i/>
          <w:sz w:val="28"/>
          <w:szCs w:val="28"/>
        </w:rPr>
        <w:t xml:space="preserve"> </w:t>
      </w:r>
      <w:r w:rsidR="00084628">
        <w:rPr>
          <w:sz w:val="28"/>
          <w:szCs w:val="28"/>
        </w:rPr>
        <w:t xml:space="preserve">are </w:t>
      </w:r>
      <w:r w:rsidR="001059A9">
        <w:rPr>
          <w:sz w:val="28"/>
          <w:szCs w:val="28"/>
        </w:rPr>
        <w:t>upheld.</w:t>
      </w:r>
    </w:p>
    <w:p w:rsidR="001059A9" w:rsidRDefault="001059A9" w:rsidP="00C659A0">
      <w:pPr>
        <w:widowControl/>
        <w:numPr>
          <w:ilvl w:val="0"/>
          <w:numId w:val="1"/>
        </w:numPr>
        <w:ind w:left="0" w:firstLine="0"/>
        <w:jc w:val="both"/>
        <w:rPr>
          <w:sz w:val="28"/>
          <w:szCs w:val="28"/>
        </w:rPr>
      </w:pPr>
      <w:r>
        <w:rPr>
          <w:sz w:val="28"/>
          <w:szCs w:val="28"/>
        </w:rPr>
        <w:lastRenderedPageBreak/>
        <w:t xml:space="preserve">One of these considerations is section 11(b) of the </w:t>
      </w:r>
      <w:r>
        <w:rPr>
          <w:i/>
          <w:sz w:val="28"/>
          <w:szCs w:val="28"/>
        </w:rPr>
        <w:t xml:space="preserve">Charter </w:t>
      </w:r>
      <w:r w:rsidRPr="001059A9">
        <w:rPr>
          <w:sz w:val="28"/>
          <w:szCs w:val="28"/>
        </w:rPr>
        <w:t xml:space="preserve">which </w:t>
      </w:r>
      <w:r>
        <w:rPr>
          <w:sz w:val="28"/>
          <w:szCs w:val="28"/>
        </w:rPr>
        <w:t xml:space="preserve">guarantees an accused person the right to be tried within a reasonable time.  </w:t>
      </w:r>
      <w:r w:rsidR="00AA5A8F">
        <w:rPr>
          <w:sz w:val="28"/>
          <w:szCs w:val="28"/>
        </w:rPr>
        <w:t xml:space="preserve">Trials within a reasonable time are essential to protecting accused person’s interests as well those who have been impacted by criminal acts.  It is also essential to promoting the public’s confidence in the administration of justice.  </w:t>
      </w:r>
      <w:r w:rsidR="00AA5A8F">
        <w:rPr>
          <w:i/>
          <w:sz w:val="28"/>
          <w:szCs w:val="28"/>
        </w:rPr>
        <w:t>R v Jordan</w:t>
      </w:r>
      <w:r w:rsidR="00AA5A8F">
        <w:rPr>
          <w:sz w:val="28"/>
          <w:szCs w:val="28"/>
        </w:rPr>
        <w:t>, 2016 SCC 27 at paras. 20-25.</w:t>
      </w:r>
    </w:p>
    <w:p w:rsidR="00C659A0" w:rsidRDefault="00C659A0" w:rsidP="00C659A0">
      <w:pPr>
        <w:widowControl/>
        <w:jc w:val="both"/>
        <w:rPr>
          <w:sz w:val="28"/>
          <w:szCs w:val="28"/>
        </w:rPr>
      </w:pPr>
    </w:p>
    <w:p w:rsidR="00AA5A8F" w:rsidRDefault="00AA5A8F" w:rsidP="00C659A0">
      <w:pPr>
        <w:widowControl/>
        <w:numPr>
          <w:ilvl w:val="0"/>
          <w:numId w:val="1"/>
        </w:numPr>
        <w:ind w:left="0" w:firstLine="0"/>
        <w:jc w:val="both"/>
        <w:rPr>
          <w:sz w:val="28"/>
          <w:szCs w:val="28"/>
        </w:rPr>
      </w:pPr>
      <w:r>
        <w:rPr>
          <w:sz w:val="28"/>
          <w:szCs w:val="28"/>
        </w:rPr>
        <w:t xml:space="preserve">The Supreme Court of Canada in </w:t>
      </w:r>
      <w:r>
        <w:rPr>
          <w:i/>
          <w:sz w:val="28"/>
          <w:szCs w:val="28"/>
        </w:rPr>
        <w:t>Jordan</w:t>
      </w:r>
      <w:r w:rsidR="00E83AE9">
        <w:rPr>
          <w:sz w:val="28"/>
          <w:szCs w:val="28"/>
        </w:rPr>
        <w:t xml:space="preserve"> </w:t>
      </w:r>
      <w:r w:rsidR="004415C1">
        <w:rPr>
          <w:sz w:val="28"/>
          <w:szCs w:val="28"/>
        </w:rPr>
        <w:t>reaffirmed</w:t>
      </w:r>
      <w:r w:rsidR="00E83AE9">
        <w:rPr>
          <w:sz w:val="28"/>
          <w:szCs w:val="28"/>
        </w:rPr>
        <w:t xml:space="preserve"> the Court’s obligation to ensure that trials are held within a reasonable time.  </w:t>
      </w:r>
      <w:r w:rsidR="006C5684">
        <w:rPr>
          <w:sz w:val="28"/>
          <w:szCs w:val="28"/>
        </w:rPr>
        <w:t xml:space="preserve">The Supreme Court of Canada delineated time limits for the prosecution of offences in provincial courts and in superior courts; 18 months for trials in provincial courts and 30 months for trials in superior courts.  </w:t>
      </w:r>
      <w:r w:rsidR="00E83AE9">
        <w:rPr>
          <w:sz w:val="28"/>
          <w:szCs w:val="28"/>
        </w:rPr>
        <w:t xml:space="preserve">The ceilings that were imposed in </w:t>
      </w:r>
      <w:r w:rsidR="00E83AE9">
        <w:rPr>
          <w:i/>
          <w:sz w:val="28"/>
          <w:szCs w:val="28"/>
        </w:rPr>
        <w:t xml:space="preserve">Jordan </w:t>
      </w:r>
      <w:r w:rsidR="00E83AE9">
        <w:rPr>
          <w:sz w:val="28"/>
          <w:szCs w:val="28"/>
        </w:rPr>
        <w:t xml:space="preserve">were designed “to encourage conduct and the allocation of resources that promote timely trials.” </w:t>
      </w:r>
      <w:r w:rsidR="00E83AE9">
        <w:rPr>
          <w:i/>
          <w:sz w:val="28"/>
          <w:szCs w:val="28"/>
        </w:rPr>
        <w:t xml:space="preserve">Jordan, supra </w:t>
      </w:r>
      <w:r w:rsidR="00E83AE9">
        <w:rPr>
          <w:sz w:val="28"/>
          <w:szCs w:val="28"/>
        </w:rPr>
        <w:t>at para. 107.</w:t>
      </w:r>
    </w:p>
    <w:p w:rsidR="00C659A0" w:rsidRDefault="00C659A0" w:rsidP="00C659A0">
      <w:pPr>
        <w:pStyle w:val="ListParagraph"/>
        <w:rPr>
          <w:sz w:val="28"/>
          <w:szCs w:val="28"/>
        </w:rPr>
      </w:pPr>
    </w:p>
    <w:p w:rsidR="00E83AE9" w:rsidRDefault="00E83AE9" w:rsidP="00C659A0">
      <w:pPr>
        <w:widowControl/>
        <w:numPr>
          <w:ilvl w:val="0"/>
          <w:numId w:val="1"/>
        </w:numPr>
        <w:ind w:left="0" w:firstLine="0"/>
        <w:jc w:val="both"/>
        <w:rPr>
          <w:sz w:val="28"/>
          <w:szCs w:val="28"/>
        </w:rPr>
      </w:pPr>
      <w:r>
        <w:rPr>
          <w:i/>
          <w:sz w:val="28"/>
          <w:szCs w:val="28"/>
        </w:rPr>
        <w:t xml:space="preserve">Jordan </w:t>
      </w:r>
      <w:r>
        <w:rPr>
          <w:sz w:val="28"/>
          <w:szCs w:val="28"/>
        </w:rPr>
        <w:t xml:space="preserve">also recognized that resources in the justice system are finite and the Courts must manage them </w:t>
      </w:r>
      <w:r w:rsidR="00D10A0A">
        <w:rPr>
          <w:sz w:val="28"/>
          <w:szCs w:val="28"/>
        </w:rPr>
        <w:t xml:space="preserve">responsibly </w:t>
      </w:r>
      <w:r>
        <w:rPr>
          <w:sz w:val="28"/>
          <w:szCs w:val="28"/>
        </w:rPr>
        <w:t xml:space="preserve">while ensuring that trials occur </w:t>
      </w:r>
      <w:r w:rsidR="00B8762B">
        <w:rPr>
          <w:sz w:val="28"/>
          <w:szCs w:val="28"/>
        </w:rPr>
        <w:t xml:space="preserve">within a reasonable time.  </w:t>
      </w:r>
      <w:r w:rsidR="00C02394">
        <w:rPr>
          <w:sz w:val="28"/>
          <w:szCs w:val="28"/>
        </w:rPr>
        <w:t xml:space="preserve">Even prior to </w:t>
      </w:r>
      <w:r w:rsidR="00C02394" w:rsidRPr="00C02394">
        <w:rPr>
          <w:i/>
          <w:sz w:val="28"/>
          <w:szCs w:val="28"/>
        </w:rPr>
        <w:t>Jordan</w:t>
      </w:r>
      <w:r w:rsidR="00C02394">
        <w:rPr>
          <w:sz w:val="28"/>
          <w:szCs w:val="28"/>
        </w:rPr>
        <w:t xml:space="preserve">, </w:t>
      </w:r>
      <w:r w:rsidR="00BC7B22">
        <w:rPr>
          <w:sz w:val="28"/>
          <w:szCs w:val="28"/>
        </w:rPr>
        <w:t xml:space="preserve">this </w:t>
      </w:r>
      <w:r w:rsidR="00B8762B">
        <w:rPr>
          <w:sz w:val="28"/>
          <w:szCs w:val="28"/>
        </w:rPr>
        <w:t>Court</w:t>
      </w:r>
      <w:r w:rsidR="00C02394">
        <w:rPr>
          <w:sz w:val="28"/>
          <w:szCs w:val="28"/>
        </w:rPr>
        <w:t xml:space="preserve"> recognized that it </w:t>
      </w:r>
      <w:r w:rsidR="00B8762B">
        <w:rPr>
          <w:sz w:val="28"/>
          <w:szCs w:val="28"/>
        </w:rPr>
        <w:t xml:space="preserve">has an obligation to use its’ </w:t>
      </w:r>
      <w:r w:rsidR="00BF22BF">
        <w:rPr>
          <w:sz w:val="28"/>
          <w:szCs w:val="28"/>
        </w:rPr>
        <w:t xml:space="preserve">resources </w:t>
      </w:r>
      <w:r w:rsidR="00C02394">
        <w:rPr>
          <w:sz w:val="28"/>
          <w:szCs w:val="28"/>
        </w:rPr>
        <w:t>responsibly</w:t>
      </w:r>
      <w:r w:rsidR="00BC7B22">
        <w:rPr>
          <w:sz w:val="28"/>
          <w:szCs w:val="28"/>
        </w:rPr>
        <w:t xml:space="preserve">:  </w:t>
      </w:r>
      <w:r w:rsidR="00BC7B22">
        <w:rPr>
          <w:i/>
          <w:sz w:val="28"/>
          <w:szCs w:val="28"/>
        </w:rPr>
        <w:t xml:space="preserve">Lafferty, supra </w:t>
      </w:r>
      <w:r w:rsidR="00BC7B22">
        <w:rPr>
          <w:sz w:val="28"/>
          <w:szCs w:val="28"/>
        </w:rPr>
        <w:t xml:space="preserve">at para. 9; </w:t>
      </w:r>
      <w:r w:rsidR="00BC7B22">
        <w:rPr>
          <w:i/>
          <w:sz w:val="28"/>
          <w:szCs w:val="28"/>
        </w:rPr>
        <w:t>R v Blackduck</w:t>
      </w:r>
      <w:r w:rsidR="00BC7B22">
        <w:rPr>
          <w:sz w:val="28"/>
          <w:szCs w:val="28"/>
        </w:rPr>
        <w:t>, 2014 NWTSC 48 at paras. 20-29.</w:t>
      </w:r>
    </w:p>
    <w:p w:rsidR="00C659A0" w:rsidRDefault="00C659A0" w:rsidP="00C659A0">
      <w:pPr>
        <w:pStyle w:val="ListParagraph"/>
        <w:rPr>
          <w:sz w:val="28"/>
          <w:szCs w:val="28"/>
        </w:rPr>
      </w:pPr>
    </w:p>
    <w:p w:rsidR="00BD7FC5" w:rsidRPr="00C659A0" w:rsidRDefault="00BC7B22" w:rsidP="00C659A0">
      <w:pPr>
        <w:widowControl/>
        <w:numPr>
          <w:ilvl w:val="0"/>
          <w:numId w:val="1"/>
        </w:numPr>
        <w:ind w:left="0" w:firstLine="0"/>
        <w:jc w:val="both"/>
        <w:rPr>
          <w:sz w:val="28"/>
          <w:szCs w:val="28"/>
        </w:rPr>
      </w:pPr>
      <w:r>
        <w:rPr>
          <w:sz w:val="28"/>
          <w:szCs w:val="28"/>
        </w:rPr>
        <w:t xml:space="preserve">The practice of </w:t>
      </w:r>
      <w:r w:rsidR="00DF182B">
        <w:rPr>
          <w:sz w:val="28"/>
          <w:szCs w:val="28"/>
        </w:rPr>
        <w:t xml:space="preserve">holding trials in the community where the offence is alleged to have occurred has not always been followed with respect to </w:t>
      </w:r>
      <w:r w:rsidR="00664860">
        <w:rPr>
          <w:sz w:val="28"/>
          <w:szCs w:val="28"/>
        </w:rPr>
        <w:t>all</w:t>
      </w:r>
      <w:r w:rsidR="00DF182B">
        <w:rPr>
          <w:sz w:val="28"/>
          <w:szCs w:val="28"/>
        </w:rPr>
        <w:t xml:space="preserve"> communities.  It has been </w:t>
      </w:r>
      <w:r w:rsidR="00BD7FC5">
        <w:rPr>
          <w:sz w:val="28"/>
          <w:szCs w:val="28"/>
        </w:rPr>
        <w:t>acknowledged</w:t>
      </w:r>
      <w:r w:rsidR="00DF182B">
        <w:rPr>
          <w:sz w:val="28"/>
          <w:szCs w:val="28"/>
        </w:rPr>
        <w:t xml:space="preserve">, either because of past attempts or the small size of the community, that it would be very unlikely to empanel a jury in </w:t>
      </w:r>
      <w:r w:rsidR="00664860">
        <w:rPr>
          <w:sz w:val="28"/>
          <w:szCs w:val="28"/>
        </w:rPr>
        <w:t xml:space="preserve">some </w:t>
      </w:r>
      <w:r w:rsidR="00DF182B">
        <w:rPr>
          <w:sz w:val="28"/>
          <w:szCs w:val="28"/>
        </w:rPr>
        <w:t>communities.</w:t>
      </w:r>
      <w:r w:rsidR="00664860">
        <w:rPr>
          <w:sz w:val="28"/>
          <w:szCs w:val="28"/>
        </w:rPr>
        <w:t xml:space="preserve">  </w:t>
      </w:r>
      <w:r w:rsidR="00BD7FC5">
        <w:rPr>
          <w:sz w:val="28"/>
          <w:szCs w:val="28"/>
        </w:rPr>
        <w:t>For example, jury trials which arise from small communities like Colville Lake or Fort Liard are typically held in</w:t>
      </w:r>
      <w:r w:rsidR="00BD7FC5" w:rsidRPr="008D7027">
        <w:rPr>
          <w:sz w:val="28"/>
          <w:szCs w:val="28"/>
          <w:lang w:val="en-CA"/>
        </w:rPr>
        <w:t xml:space="preserve"> neighbouring</w:t>
      </w:r>
      <w:r w:rsidR="00BD7FC5">
        <w:rPr>
          <w:sz w:val="28"/>
          <w:szCs w:val="28"/>
        </w:rPr>
        <w:t xml:space="preserve"> communities.  In a community like </w:t>
      </w:r>
      <w:r w:rsidR="008E51A1">
        <w:rPr>
          <w:sz w:val="28"/>
          <w:szCs w:val="28"/>
        </w:rPr>
        <w:t>Whatì</w:t>
      </w:r>
      <w:r w:rsidR="00BD7FC5">
        <w:rPr>
          <w:sz w:val="28"/>
          <w:szCs w:val="28"/>
        </w:rPr>
        <w:t xml:space="preserve">, there have been occasional attempts to empanel a jury, often without success:  </w:t>
      </w:r>
      <w:r w:rsidR="00BD7FC5">
        <w:rPr>
          <w:i/>
          <w:sz w:val="28"/>
          <w:szCs w:val="28"/>
        </w:rPr>
        <w:t>Beaverho, supra.</w:t>
      </w:r>
    </w:p>
    <w:p w:rsidR="00C659A0" w:rsidRDefault="00C659A0" w:rsidP="00C659A0">
      <w:pPr>
        <w:pStyle w:val="ListParagraph"/>
        <w:rPr>
          <w:sz w:val="28"/>
          <w:szCs w:val="28"/>
        </w:rPr>
      </w:pPr>
    </w:p>
    <w:p w:rsidR="00BC7B22" w:rsidRDefault="00664860" w:rsidP="00C659A0">
      <w:pPr>
        <w:widowControl/>
        <w:numPr>
          <w:ilvl w:val="0"/>
          <w:numId w:val="1"/>
        </w:numPr>
        <w:ind w:left="0" w:firstLine="0"/>
        <w:jc w:val="both"/>
        <w:rPr>
          <w:sz w:val="28"/>
          <w:szCs w:val="28"/>
        </w:rPr>
      </w:pPr>
      <w:r>
        <w:rPr>
          <w:sz w:val="28"/>
          <w:szCs w:val="28"/>
        </w:rPr>
        <w:t>In the post-</w:t>
      </w:r>
      <w:r>
        <w:rPr>
          <w:i/>
          <w:sz w:val="28"/>
          <w:szCs w:val="28"/>
        </w:rPr>
        <w:t xml:space="preserve">Jordan </w:t>
      </w:r>
      <w:r>
        <w:rPr>
          <w:sz w:val="28"/>
          <w:szCs w:val="28"/>
        </w:rPr>
        <w:t>era, with the renewed focus on managing trial delay, the Court will have to</w:t>
      </w:r>
      <w:r w:rsidR="0061423F">
        <w:rPr>
          <w:sz w:val="28"/>
          <w:szCs w:val="28"/>
        </w:rPr>
        <w:t xml:space="preserve"> seriously</w:t>
      </w:r>
      <w:r>
        <w:rPr>
          <w:sz w:val="28"/>
          <w:szCs w:val="28"/>
        </w:rPr>
        <w:t xml:space="preserve"> consider whether a jury trial will be scheduled in a community where there have been unsuccessful attempts in the past to empanel a jury or where the community </w:t>
      </w:r>
      <w:r w:rsidR="0061423F">
        <w:rPr>
          <w:sz w:val="28"/>
          <w:szCs w:val="28"/>
        </w:rPr>
        <w:t xml:space="preserve">size is such that </w:t>
      </w:r>
      <w:r>
        <w:rPr>
          <w:sz w:val="28"/>
          <w:szCs w:val="28"/>
        </w:rPr>
        <w:t>it may be problematic to empanel a jury.</w:t>
      </w:r>
    </w:p>
    <w:p w:rsidR="00C659A0" w:rsidRDefault="00C659A0" w:rsidP="00C659A0">
      <w:pPr>
        <w:pStyle w:val="ListParagraph"/>
        <w:rPr>
          <w:sz w:val="28"/>
          <w:szCs w:val="28"/>
        </w:rPr>
      </w:pPr>
    </w:p>
    <w:p w:rsidR="00664860" w:rsidRDefault="005E7AB4" w:rsidP="00C659A0">
      <w:pPr>
        <w:widowControl/>
        <w:numPr>
          <w:ilvl w:val="0"/>
          <w:numId w:val="1"/>
        </w:numPr>
        <w:ind w:left="0" w:firstLine="0"/>
        <w:jc w:val="both"/>
        <w:rPr>
          <w:sz w:val="28"/>
          <w:szCs w:val="28"/>
        </w:rPr>
      </w:pPr>
      <w:r>
        <w:rPr>
          <w:sz w:val="28"/>
          <w:szCs w:val="28"/>
        </w:rPr>
        <w:t xml:space="preserve">The jurisprudence on change of venue applications has consistently held that the power to order a change of venue is a discretionary one which should only be exercised where there are strong grounds for doing so.  </w:t>
      </w:r>
      <w:r w:rsidR="00F218B1">
        <w:rPr>
          <w:sz w:val="28"/>
          <w:szCs w:val="28"/>
        </w:rPr>
        <w:t xml:space="preserve">There have been </w:t>
      </w:r>
      <w:r w:rsidR="00C161BC">
        <w:rPr>
          <w:sz w:val="28"/>
          <w:szCs w:val="28"/>
        </w:rPr>
        <w:t>cases where the Court has ordered a change of venue for various factors</w:t>
      </w:r>
      <w:r>
        <w:rPr>
          <w:sz w:val="28"/>
          <w:szCs w:val="28"/>
        </w:rPr>
        <w:t xml:space="preserve"> and others for which the Court has </w:t>
      </w:r>
      <w:r w:rsidR="005C2ED2">
        <w:rPr>
          <w:sz w:val="28"/>
          <w:szCs w:val="28"/>
        </w:rPr>
        <w:t>refused to order the requested change</w:t>
      </w:r>
      <w:r w:rsidR="00C161BC">
        <w:rPr>
          <w:sz w:val="28"/>
          <w:szCs w:val="28"/>
        </w:rPr>
        <w:t>:</w:t>
      </w:r>
    </w:p>
    <w:p w:rsidR="00C161BC" w:rsidRDefault="00853E56" w:rsidP="00C659A0">
      <w:pPr>
        <w:widowControl/>
        <w:ind w:left="720" w:right="720"/>
        <w:jc w:val="both"/>
      </w:pPr>
      <w:r w:rsidRPr="008C4CDB">
        <w:lastRenderedPageBreak/>
        <w:t xml:space="preserve">Past cases in this jurisdiction reveal a variety of reasons for ordering a change of venue.  </w:t>
      </w:r>
      <w:r w:rsidR="00C161BC" w:rsidRPr="008C4CDB">
        <w:t xml:space="preserve">These include factors such as community divisiveness or hostility (as in </w:t>
      </w:r>
      <w:r w:rsidR="00C161BC" w:rsidRPr="008C4CDB">
        <w:rPr>
          <w:i/>
        </w:rPr>
        <w:t>Lafferty, supra)</w:t>
      </w:r>
      <w:r w:rsidR="00C161BC" w:rsidRPr="008C4CDB">
        <w:t xml:space="preserve">; psychological harm to or oppression of witnesses (as in </w:t>
      </w:r>
      <w:r w:rsidR="00C161BC" w:rsidRPr="008C4CDB">
        <w:rPr>
          <w:i/>
        </w:rPr>
        <w:t xml:space="preserve">R. v. J.K., </w:t>
      </w:r>
      <w:r w:rsidR="00C161BC" w:rsidRPr="008C4CDB">
        <w:t xml:space="preserve">[1990] N.W.T.R. 388; and </w:t>
      </w:r>
      <w:r w:rsidR="00C161BC" w:rsidRPr="008C4CDB">
        <w:rPr>
          <w:i/>
        </w:rPr>
        <w:t>R. v. J.I.</w:t>
      </w:r>
      <w:r w:rsidR="00C161BC" w:rsidRPr="008C4CDB">
        <w:t xml:space="preserve">, [1995] N.W.T.J. No. 96); community prejudgment (as in </w:t>
      </w:r>
      <w:r w:rsidR="00C161BC" w:rsidRPr="008C4CDB">
        <w:rPr>
          <w:i/>
        </w:rPr>
        <w:t xml:space="preserve">R. </w:t>
      </w:r>
      <w:r w:rsidR="00C161BC" w:rsidRPr="008C4CDB">
        <w:t xml:space="preserve">v. </w:t>
      </w:r>
      <w:r w:rsidR="00C161BC" w:rsidRPr="008C4CDB">
        <w:rPr>
          <w:i/>
        </w:rPr>
        <w:t xml:space="preserve">G.H., </w:t>
      </w:r>
      <w:r w:rsidR="00C161BC" w:rsidRPr="008C4CDB">
        <w:t xml:space="preserve">[1991] N.W.T.J. No. 104; and </w:t>
      </w:r>
      <w:r w:rsidR="00C161BC" w:rsidRPr="008C4CDB">
        <w:rPr>
          <w:i/>
        </w:rPr>
        <w:t xml:space="preserve">R. v. Anablak, </w:t>
      </w:r>
      <w:r w:rsidR="00C161BC" w:rsidRPr="008C4CDB">
        <w:t xml:space="preserve">[1984] N.W.T.R. 118); or, most commonly, where attempts to obtain a jury in a community have failed (as in </w:t>
      </w:r>
      <w:r w:rsidR="00C161BC" w:rsidRPr="008C4CDB">
        <w:rPr>
          <w:i/>
        </w:rPr>
        <w:t xml:space="preserve">R. </w:t>
      </w:r>
      <w:r w:rsidR="00C161BC" w:rsidRPr="008C4CDB">
        <w:t xml:space="preserve">v. </w:t>
      </w:r>
      <w:r w:rsidR="00C161BC" w:rsidRPr="008C4CDB">
        <w:rPr>
          <w:i/>
        </w:rPr>
        <w:t>McDonald</w:t>
      </w:r>
      <w:r w:rsidR="00C161BC" w:rsidRPr="008C4CDB">
        <w:t xml:space="preserve">, 2008 NWTSC 96 (CanLII), [2008] N.W.T.J. No. 93).  But there have also been many cases where a change was refused, even in small communities where there were close family ties and intense interest in the case (as in </w:t>
      </w:r>
      <w:r w:rsidR="00C161BC" w:rsidRPr="008C4CDB">
        <w:rPr>
          <w:i/>
        </w:rPr>
        <w:t xml:space="preserve">R. </w:t>
      </w:r>
      <w:r w:rsidR="00C161BC" w:rsidRPr="008C4CDB">
        <w:t xml:space="preserve">v. </w:t>
      </w:r>
      <w:r w:rsidR="00C161BC" w:rsidRPr="008C4CDB">
        <w:rPr>
          <w:i/>
        </w:rPr>
        <w:t xml:space="preserve">Koyina, </w:t>
      </w:r>
      <w:r w:rsidR="00C161BC" w:rsidRPr="008C4CDB">
        <w:t xml:space="preserve">[1989] N.W.T.R. 337; </w:t>
      </w:r>
      <w:r w:rsidR="00C161BC" w:rsidRPr="008C4CDB">
        <w:rPr>
          <w:i/>
        </w:rPr>
        <w:t xml:space="preserve">R. </w:t>
      </w:r>
      <w:r w:rsidR="00C161BC" w:rsidRPr="008C4CDB">
        <w:t xml:space="preserve">v. </w:t>
      </w:r>
      <w:r w:rsidR="00C161BC" w:rsidRPr="008C4CDB">
        <w:rPr>
          <w:i/>
        </w:rPr>
        <w:t>Chinna</w:t>
      </w:r>
      <w:r w:rsidR="00C161BC" w:rsidRPr="008C4CDB">
        <w:t xml:space="preserve">, [1990] N.W.T.R. 1; </w:t>
      </w:r>
      <w:r w:rsidR="00C161BC" w:rsidRPr="008C4CDB">
        <w:rPr>
          <w:i/>
        </w:rPr>
        <w:t xml:space="preserve">R. </w:t>
      </w:r>
      <w:r w:rsidR="00C161BC" w:rsidRPr="008C4CDB">
        <w:t>v.</w:t>
      </w:r>
      <w:r w:rsidR="00C161BC" w:rsidRPr="008C4CDB">
        <w:rPr>
          <w:i/>
        </w:rPr>
        <w:t xml:space="preserve"> Lafferty (C.T.),</w:t>
      </w:r>
      <w:r w:rsidR="00C161BC" w:rsidRPr="008C4CDB">
        <w:t xml:space="preserve"> [1992] N.W.T.J. No. 151; </w:t>
      </w:r>
      <w:r w:rsidR="00C161BC" w:rsidRPr="008C4CDB">
        <w:rPr>
          <w:i/>
        </w:rPr>
        <w:t xml:space="preserve">R. </w:t>
      </w:r>
      <w:r w:rsidR="00C161BC" w:rsidRPr="008C4CDB">
        <w:t xml:space="preserve">v. </w:t>
      </w:r>
      <w:r w:rsidR="00C161BC" w:rsidRPr="008C4CDB">
        <w:rPr>
          <w:i/>
        </w:rPr>
        <w:t>Mukpa</w:t>
      </w:r>
      <w:r w:rsidR="00C161BC" w:rsidRPr="008C4CDB">
        <w:t xml:space="preserve">, [1994] N.W.T.J. No. 60; and </w:t>
      </w:r>
      <w:r w:rsidR="00C161BC" w:rsidRPr="008C4CDB">
        <w:rPr>
          <w:i/>
        </w:rPr>
        <w:t xml:space="preserve">R. </w:t>
      </w:r>
      <w:r w:rsidR="00C161BC" w:rsidRPr="008C4CDB">
        <w:t xml:space="preserve">v. </w:t>
      </w:r>
      <w:r w:rsidR="00C161BC" w:rsidRPr="008C4CDB">
        <w:rPr>
          <w:i/>
        </w:rPr>
        <w:t>Taniton</w:t>
      </w:r>
      <w:r w:rsidR="00C161BC" w:rsidRPr="008C4CDB">
        <w:t xml:space="preserve">, [1996] </w:t>
      </w:r>
      <w:r w:rsidR="00C659A0">
        <w:t xml:space="preserve">N.W.T.J. No. 26). </w:t>
      </w:r>
    </w:p>
    <w:p w:rsidR="00C659A0" w:rsidRPr="008C4CDB" w:rsidRDefault="00C659A0" w:rsidP="00C659A0">
      <w:pPr>
        <w:widowControl/>
        <w:ind w:left="720" w:right="720"/>
        <w:jc w:val="both"/>
      </w:pPr>
    </w:p>
    <w:p w:rsidR="005C2ED2" w:rsidRDefault="005C2ED2" w:rsidP="00C659A0">
      <w:pPr>
        <w:widowControl/>
        <w:ind w:left="720"/>
        <w:jc w:val="both"/>
        <w:rPr>
          <w:sz w:val="28"/>
          <w:szCs w:val="28"/>
        </w:rPr>
      </w:pPr>
      <w:r>
        <w:rPr>
          <w:i/>
          <w:sz w:val="28"/>
          <w:szCs w:val="28"/>
        </w:rPr>
        <w:t xml:space="preserve">Beaverho, supra </w:t>
      </w:r>
      <w:r>
        <w:rPr>
          <w:sz w:val="28"/>
          <w:szCs w:val="28"/>
        </w:rPr>
        <w:t>at para. 29</w:t>
      </w:r>
    </w:p>
    <w:p w:rsidR="00C659A0" w:rsidRPr="005C2ED2" w:rsidRDefault="00C659A0" w:rsidP="00C659A0">
      <w:pPr>
        <w:widowControl/>
        <w:ind w:left="720"/>
        <w:jc w:val="both"/>
        <w:rPr>
          <w:sz w:val="28"/>
          <w:szCs w:val="28"/>
        </w:rPr>
      </w:pPr>
    </w:p>
    <w:p w:rsidR="00BB7C34" w:rsidRDefault="00BB7C34" w:rsidP="00C659A0">
      <w:pPr>
        <w:widowControl/>
        <w:numPr>
          <w:ilvl w:val="0"/>
          <w:numId w:val="1"/>
        </w:numPr>
        <w:ind w:left="0" w:firstLine="0"/>
        <w:jc w:val="both"/>
        <w:rPr>
          <w:sz w:val="28"/>
          <w:szCs w:val="28"/>
        </w:rPr>
      </w:pPr>
      <w:r w:rsidRPr="00BB7C34">
        <w:rPr>
          <w:sz w:val="28"/>
          <w:szCs w:val="28"/>
        </w:rPr>
        <w:t xml:space="preserve">In this case, the Crown is seeking a change of venue on the basis </w:t>
      </w:r>
      <w:r>
        <w:rPr>
          <w:sz w:val="28"/>
          <w:szCs w:val="28"/>
        </w:rPr>
        <w:t xml:space="preserve">that it would be impracticable to empanel a jury in </w:t>
      </w:r>
      <w:r w:rsidR="000C6AE3">
        <w:rPr>
          <w:sz w:val="28"/>
          <w:szCs w:val="28"/>
        </w:rPr>
        <w:t>Behchokǫ̀</w:t>
      </w:r>
      <w:r>
        <w:rPr>
          <w:sz w:val="28"/>
          <w:szCs w:val="28"/>
        </w:rPr>
        <w:t xml:space="preserve"> and it would place an unnecessary and inappropriate burden on the complainant to hold the trial in </w:t>
      </w:r>
      <w:r w:rsidR="000C6AE3">
        <w:rPr>
          <w:sz w:val="28"/>
          <w:szCs w:val="28"/>
        </w:rPr>
        <w:t>Behchokǫ̀</w:t>
      </w:r>
      <w:r>
        <w:rPr>
          <w:sz w:val="28"/>
          <w:szCs w:val="28"/>
        </w:rPr>
        <w:t>.</w:t>
      </w:r>
    </w:p>
    <w:p w:rsidR="003A0E6F" w:rsidRDefault="003A0E6F" w:rsidP="003A0E6F">
      <w:pPr>
        <w:widowControl/>
        <w:jc w:val="both"/>
        <w:rPr>
          <w:sz w:val="28"/>
          <w:szCs w:val="28"/>
        </w:rPr>
      </w:pPr>
    </w:p>
    <w:p w:rsidR="00016DC9" w:rsidRDefault="008E51A1" w:rsidP="00C659A0">
      <w:pPr>
        <w:widowControl/>
        <w:numPr>
          <w:ilvl w:val="0"/>
          <w:numId w:val="1"/>
        </w:numPr>
        <w:ind w:left="0" w:firstLine="0"/>
        <w:jc w:val="both"/>
        <w:rPr>
          <w:sz w:val="28"/>
          <w:szCs w:val="28"/>
        </w:rPr>
      </w:pPr>
      <w:r>
        <w:rPr>
          <w:sz w:val="28"/>
          <w:szCs w:val="28"/>
        </w:rPr>
        <w:t>The D</w:t>
      </w:r>
      <w:r w:rsidR="00016DC9">
        <w:rPr>
          <w:sz w:val="28"/>
          <w:szCs w:val="28"/>
        </w:rPr>
        <w:t xml:space="preserve">efence has argued that the accused and the community have an interest in having the trial held in the community and that should be the paramount consideration.  There is a strong interest in having the trial held in the community where the offence is alleged to have occurred but, in my view, it is not the paramount consideration.  The accused’s right to a fair trial must be the primary consideration, as stated in </w:t>
      </w:r>
      <w:r w:rsidR="00016DC9">
        <w:rPr>
          <w:i/>
          <w:sz w:val="28"/>
          <w:szCs w:val="28"/>
        </w:rPr>
        <w:t xml:space="preserve">R v Greenland, </w:t>
      </w:r>
      <w:r w:rsidR="00016DC9">
        <w:rPr>
          <w:sz w:val="28"/>
          <w:szCs w:val="28"/>
        </w:rPr>
        <w:t xml:space="preserve">2001 NWTSC 9.  Justice Chrumka in </w:t>
      </w:r>
      <w:r w:rsidR="00016DC9">
        <w:rPr>
          <w:i/>
          <w:sz w:val="28"/>
          <w:szCs w:val="28"/>
        </w:rPr>
        <w:t xml:space="preserve">Greenland </w:t>
      </w:r>
      <w:r w:rsidR="00016DC9">
        <w:rPr>
          <w:sz w:val="28"/>
          <w:szCs w:val="28"/>
        </w:rPr>
        <w:t xml:space="preserve">cited the Supreme Court of Canada in </w:t>
      </w:r>
      <w:r w:rsidR="00016DC9">
        <w:rPr>
          <w:i/>
          <w:sz w:val="28"/>
          <w:szCs w:val="28"/>
        </w:rPr>
        <w:t xml:space="preserve">Harrer v R </w:t>
      </w:r>
      <w:r w:rsidR="00016DC9">
        <w:rPr>
          <w:sz w:val="28"/>
          <w:szCs w:val="28"/>
        </w:rPr>
        <w:t>(1996) 101 CCC (3d) 193 at p. 212 in explaining what is meant by a fair trial:</w:t>
      </w:r>
    </w:p>
    <w:p w:rsidR="003A0E6F" w:rsidRDefault="003A0E6F" w:rsidP="003A0E6F">
      <w:pPr>
        <w:pStyle w:val="ListParagraph"/>
        <w:rPr>
          <w:sz w:val="28"/>
          <w:szCs w:val="28"/>
        </w:rPr>
      </w:pPr>
    </w:p>
    <w:p w:rsidR="00016DC9" w:rsidRDefault="00016DC9" w:rsidP="00C659A0">
      <w:pPr>
        <w:widowControl/>
        <w:ind w:left="720" w:right="720"/>
        <w:jc w:val="both"/>
      </w:pPr>
      <w:r w:rsidRPr="008C4CDB">
        <w:t>At base, a fair trial is a trial that appears fair both from the perspective of the accused and the perspective of the community.  A fair trial must not be confused with the most advantageous trial possible from the accused’s point of view, nor must it be conflated with the perfect trial.  In the real world, perfection is seldom attained.  A fair trial is one which satisfies the public interest in getting at the truth, while preserving basic procedural fairness to the accused.</w:t>
      </w:r>
    </w:p>
    <w:p w:rsidR="003A0E6F" w:rsidRPr="008C4CDB" w:rsidRDefault="003A0E6F" w:rsidP="00C659A0">
      <w:pPr>
        <w:widowControl/>
        <w:ind w:left="720" w:right="720"/>
        <w:jc w:val="both"/>
      </w:pPr>
    </w:p>
    <w:p w:rsidR="00BB7C34" w:rsidRDefault="00BB7C34" w:rsidP="00C659A0">
      <w:pPr>
        <w:widowControl/>
        <w:numPr>
          <w:ilvl w:val="0"/>
          <w:numId w:val="1"/>
        </w:numPr>
        <w:ind w:left="0" w:firstLine="0"/>
        <w:jc w:val="both"/>
        <w:rPr>
          <w:sz w:val="28"/>
          <w:szCs w:val="28"/>
        </w:rPr>
      </w:pPr>
      <w:r>
        <w:rPr>
          <w:sz w:val="28"/>
          <w:szCs w:val="28"/>
        </w:rPr>
        <w:t>There are three components to the Crown’s argument that it would be impracticable to empanel a jury</w:t>
      </w:r>
      <w:r w:rsidR="00B32610">
        <w:rPr>
          <w:sz w:val="28"/>
          <w:szCs w:val="28"/>
        </w:rPr>
        <w:t xml:space="preserve"> in </w:t>
      </w:r>
      <w:r w:rsidR="000C6AE3">
        <w:rPr>
          <w:sz w:val="28"/>
          <w:szCs w:val="28"/>
        </w:rPr>
        <w:t>Behchokǫ̀</w:t>
      </w:r>
      <w:r>
        <w:rPr>
          <w:sz w:val="28"/>
          <w:szCs w:val="28"/>
        </w:rPr>
        <w:t xml:space="preserve">:  </w:t>
      </w:r>
      <w:r w:rsidR="00DB2E3F">
        <w:rPr>
          <w:sz w:val="28"/>
          <w:szCs w:val="28"/>
        </w:rPr>
        <w:t xml:space="preserve">1) </w:t>
      </w:r>
      <w:r>
        <w:rPr>
          <w:sz w:val="28"/>
          <w:szCs w:val="28"/>
        </w:rPr>
        <w:t xml:space="preserve">the reputation of the accused </w:t>
      </w:r>
      <w:r w:rsidR="00DB2E3F">
        <w:rPr>
          <w:sz w:val="28"/>
          <w:szCs w:val="28"/>
        </w:rPr>
        <w:t xml:space="preserve">in the community; 2) the number of familial relationships to the </w:t>
      </w:r>
      <w:r w:rsidR="009A41AD">
        <w:rPr>
          <w:sz w:val="28"/>
          <w:szCs w:val="28"/>
        </w:rPr>
        <w:t>people involved in the case</w:t>
      </w:r>
      <w:r w:rsidR="00DB2E3F">
        <w:rPr>
          <w:sz w:val="28"/>
          <w:szCs w:val="28"/>
        </w:rPr>
        <w:t>; and 3) the recent failure</w:t>
      </w:r>
      <w:r w:rsidR="00847DCB">
        <w:rPr>
          <w:sz w:val="28"/>
          <w:szCs w:val="28"/>
        </w:rPr>
        <w:t>s</w:t>
      </w:r>
      <w:r w:rsidR="00DB2E3F">
        <w:rPr>
          <w:sz w:val="28"/>
          <w:szCs w:val="28"/>
        </w:rPr>
        <w:t xml:space="preserve"> to empanel a jury in </w:t>
      </w:r>
      <w:r w:rsidR="000C6AE3">
        <w:rPr>
          <w:sz w:val="28"/>
          <w:szCs w:val="28"/>
        </w:rPr>
        <w:t>Behchokǫ̀</w:t>
      </w:r>
      <w:r w:rsidR="00DB2E3F">
        <w:rPr>
          <w:sz w:val="28"/>
          <w:szCs w:val="28"/>
        </w:rPr>
        <w:t xml:space="preserve"> since 2013.</w:t>
      </w:r>
    </w:p>
    <w:p w:rsidR="003A0E6F" w:rsidRDefault="003A0E6F" w:rsidP="003A0E6F">
      <w:pPr>
        <w:widowControl/>
        <w:jc w:val="both"/>
        <w:rPr>
          <w:sz w:val="28"/>
          <w:szCs w:val="28"/>
        </w:rPr>
      </w:pPr>
    </w:p>
    <w:p w:rsidR="003A0E6F" w:rsidRDefault="00BA7B7F" w:rsidP="003A0E6F">
      <w:pPr>
        <w:widowControl/>
        <w:numPr>
          <w:ilvl w:val="0"/>
          <w:numId w:val="1"/>
        </w:numPr>
        <w:ind w:left="0" w:firstLine="0"/>
        <w:jc w:val="both"/>
        <w:rPr>
          <w:sz w:val="28"/>
          <w:szCs w:val="28"/>
        </w:rPr>
      </w:pPr>
      <w:r>
        <w:rPr>
          <w:sz w:val="28"/>
          <w:szCs w:val="28"/>
        </w:rPr>
        <w:t xml:space="preserve">The accused has a criminal record </w:t>
      </w:r>
      <w:r w:rsidR="00114421">
        <w:rPr>
          <w:sz w:val="28"/>
          <w:szCs w:val="28"/>
        </w:rPr>
        <w:t xml:space="preserve">with </w:t>
      </w:r>
      <w:r>
        <w:rPr>
          <w:sz w:val="28"/>
          <w:szCs w:val="28"/>
        </w:rPr>
        <w:t xml:space="preserve">twelve </w:t>
      </w:r>
      <w:r w:rsidR="00114421">
        <w:rPr>
          <w:sz w:val="28"/>
          <w:szCs w:val="28"/>
        </w:rPr>
        <w:t>convictions</w:t>
      </w:r>
      <w:r>
        <w:rPr>
          <w:sz w:val="28"/>
          <w:szCs w:val="28"/>
        </w:rPr>
        <w:t xml:space="preserve"> between 2014 and 2016</w:t>
      </w:r>
      <w:r w:rsidR="00B32610">
        <w:rPr>
          <w:sz w:val="28"/>
          <w:szCs w:val="28"/>
        </w:rPr>
        <w:t xml:space="preserve"> with </w:t>
      </w:r>
      <w:r>
        <w:rPr>
          <w:sz w:val="28"/>
          <w:szCs w:val="28"/>
        </w:rPr>
        <w:t xml:space="preserve">multiple convictions for failing to comply with release conditions as </w:t>
      </w:r>
      <w:r>
        <w:rPr>
          <w:sz w:val="28"/>
          <w:szCs w:val="28"/>
        </w:rPr>
        <w:lastRenderedPageBreak/>
        <w:t>well as convictions for resisting or obstructing a peace officer.  The accused also has a conviction for an assault and a conviction for sexual assault</w:t>
      </w:r>
      <w:r w:rsidR="00847DCB">
        <w:rPr>
          <w:sz w:val="28"/>
          <w:szCs w:val="28"/>
        </w:rPr>
        <w:t>,</w:t>
      </w:r>
      <w:r>
        <w:rPr>
          <w:sz w:val="28"/>
          <w:szCs w:val="28"/>
        </w:rPr>
        <w:t xml:space="preserve"> both in 2015.  </w:t>
      </w:r>
    </w:p>
    <w:p w:rsidR="00114421" w:rsidRDefault="00114421" w:rsidP="003A0E6F">
      <w:pPr>
        <w:widowControl/>
        <w:numPr>
          <w:ilvl w:val="0"/>
          <w:numId w:val="1"/>
        </w:numPr>
        <w:ind w:left="0" w:firstLine="0"/>
        <w:jc w:val="both"/>
        <w:rPr>
          <w:sz w:val="28"/>
          <w:szCs w:val="28"/>
        </w:rPr>
      </w:pPr>
      <w:r w:rsidRPr="003A0E6F">
        <w:rPr>
          <w:sz w:val="28"/>
          <w:szCs w:val="28"/>
        </w:rPr>
        <w:t xml:space="preserve">The Crown </w:t>
      </w:r>
      <w:r w:rsidR="00B621B6" w:rsidRPr="003A0E6F">
        <w:rPr>
          <w:sz w:val="28"/>
          <w:szCs w:val="28"/>
        </w:rPr>
        <w:t xml:space="preserve">also </w:t>
      </w:r>
      <w:r w:rsidRPr="003A0E6F">
        <w:rPr>
          <w:sz w:val="28"/>
          <w:szCs w:val="28"/>
        </w:rPr>
        <w:t xml:space="preserve">filed several </w:t>
      </w:r>
      <w:r w:rsidR="008C0855" w:rsidRPr="003A0E6F">
        <w:rPr>
          <w:sz w:val="28"/>
          <w:szCs w:val="28"/>
        </w:rPr>
        <w:t>a</w:t>
      </w:r>
      <w:r w:rsidRPr="003A0E6F">
        <w:rPr>
          <w:sz w:val="28"/>
          <w:szCs w:val="28"/>
        </w:rPr>
        <w:t>ffidavits</w:t>
      </w:r>
      <w:r w:rsidR="00FE6355" w:rsidRPr="003A0E6F">
        <w:rPr>
          <w:sz w:val="28"/>
          <w:szCs w:val="28"/>
        </w:rPr>
        <w:t xml:space="preserve">, that of </w:t>
      </w:r>
      <w:r w:rsidR="008C0855" w:rsidRPr="003A0E6F">
        <w:rPr>
          <w:sz w:val="28"/>
          <w:szCs w:val="28"/>
        </w:rPr>
        <w:t>Cst. Lee Bennett, John Gouthro, S</w:t>
      </w:r>
      <w:r w:rsidR="00604985" w:rsidRPr="003A0E6F">
        <w:rPr>
          <w:sz w:val="28"/>
          <w:szCs w:val="28"/>
        </w:rPr>
        <w:t>.</w:t>
      </w:r>
      <w:r w:rsidR="008C0855" w:rsidRPr="003A0E6F">
        <w:rPr>
          <w:sz w:val="28"/>
          <w:szCs w:val="28"/>
        </w:rPr>
        <w:t>C</w:t>
      </w:r>
      <w:r w:rsidR="00604985" w:rsidRPr="003A0E6F">
        <w:rPr>
          <w:sz w:val="28"/>
          <w:szCs w:val="28"/>
        </w:rPr>
        <w:t>.</w:t>
      </w:r>
      <w:r w:rsidR="008C0855" w:rsidRPr="003A0E6F">
        <w:rPr>
          <w:sz w:val="28"/>
          <w:szCs w:val="28"/>
        </w:rPr>
        <w:t xml:space="preserve"> and Dianna Nguy</w:t>
      </w:r>
      <w:r w:rsidR="00266186" w:rsidRPr="003A0E6F">
        <w:rPr>
          <w:sz w:val="28"/>
          <w:szCs w:val="28"/>
        </w:rPr>
        <w:t>,</w:t>
      </w:r>
      <w:r w:rsidR="008C0855" w:rsidRPr="003A0E6F">
        <w:rPr>
          <w:sz w:val="28"/>
          <w:szCs w:val="28"/>
        </w:rPr>
        <w:t xml:space="preserve"> </w:t>
      </w:r>
      <w:r w:rsidR="00FE6355" w:rsidRPr="003A0E6F">
        <w:rPr>
          <w:sz w:val="28"/>
          <w:szCs w:val="28"/>
        </w:rPr>
        <w:t>all of which addressed the accused’s repu</w:t>
      </w:r>
      <w:r w:rsidR="003A0E6F">
        <w:rPr>
          <w:sz w:val="28"/>
          <w:szCs w:val="28"/>
        </w:rPr>
        <w:t>tation within the community.</w:t>
      </w:r>
    </w:p>
    <w:p w:rsidR="003A0E6F" w:rsidRPr="003A0E6F" w:rsidRDefault="003A0E6F" w:rsidP="003A0E6F">
      <w:pPr>
        <w:widowControl/>
        <w:jc w:val="both"/>
        <w:rPr>
          <w:sz w:val="28"/>
          <w:szCs w:val="28"/>
        </w:rPr>
      </w:pPr>
    </w:p>
    <w:p w:rsidR="00B621B6" w:rsidRDefault="00B621B6" w:rsidP="00C659A0">
      <w:pPr>
        <w:widowControl/>
        <w:numPr>
          <w:ilvl w:val="0"/>
          <w:numId w:val="1"/>
        </w:numPr>
        <w:ind w:left="0" w:firstLine="0"/>
        <w:jc w:val="both"/>
        <w:rPr>
          <w:sz w:val="28"/>
          <w:szCs w:val="28"/>
        </w:rPr>
      </w:pPr>
      <w:r>
        <w:rPr>
          <w:sz w:val="28"/>
          <w:szCs w:val="28"/>
        </w:rPr>
        <w:t xml:space="preserve">Cst. Lee Bennett was stationed in </w:t>
      </w:r>
      <w:r w:rsidR="000C6AE3">
        <w:rPr>
          <w:sz w:val="28"/>
          <w:szCs w:val="28"/>
        </w:rPr>
        <w:t>Behchokǫ̀</w:t>
      </w:r>
      <w:r>
        <w:rPr>
          <w:sz w:val="28"/>
          <w:szCs w:val="28"/>
        </w:rPr>
        <w:t xml:space="preserve"> from 2014 to 2106.  During that </w:t>
      </w:r>
      <w:r w:rsidR="006845AE">
        <w:rPr>
          <w:sz w:val="28"/>
          <w:szCs w:val="28"/>
        </w:rPr>
        <w:t>time, he was involved in three investigations involving the accused.  One was a sexual assault investigation where the victim later recanted and the charge was stayed.  He was also the lead investigator in th</w:t>
      </w:r>
      <w:r w:rsidR="00266186">
        <w:rPr>
          <w:sz w:val="28"/>
          <w:szCs w:val="28"/>
        </w:rPr>
        <w:t>e matter currently before the Court.</w:t>
      </w:r>
    </w:p>
    <w:p w:rsidR="003A0E6F" w:rsidRDefault="003A0E6F" w:rsidP="003A0E6F">
      <w:pPr>
        <w:pStyle w:val="ListParagraph"/>
        <w:rPr>
          <w:sz w:val="28"/>
          <w:szCs w:val="28"/>
        </w:rPr>
      </w:pPr>
    </w:p>
    <w:p w:rsidR="006845AE" w:rsidRDefault="006845AE" w:rsidP="00C659A0">
      <w:pPr>
        <w:widowControl/>
        <w:numPr>
          <w:ilvl w:val="0"/>
          <w:numId w:val="1"/>
        </w:numPr>
        <w:ind w:left="0" w:firstLine="0"/>
        <w:jc w:val="both"/>
        <w:rPr>
          <w:sz w:val="28"/>
          <w:szCs w:val="28"/>
        </w:rPr>
      </w:pPr>
      <w:r>
        <w:rPr>
          <w:sz w:val="28"/>
          <w:szCs w:val="28"/>
        </w:rPr>
        <w:t xml:space="preserve">Cst. Bennett </w:t>
      </w:r>
      <w:r w:rsidR="00F147CF">
        <w:rPr>
          <w:sz w:val="28"/>
          <w:szCs w:val="28"/>
        </w:rPr>
        <w:t>deposed</w:t>
      </w:r>
      <w:r>
        <w:rPr>
          <w:sz w:val="28"/>
          <w:szCs w:val="28"/>
        </w:rPr>
        <w:t xml:space="preserve"> that he regularly spoke with various members of the community and the accused’s name arose in many discussions, sometimes because people </w:t>
      </w:r>
      <w:r w:rsidR="00627D03">
        <w:rPr>
          <w:sz w:val="28"/>
          <w:szCs w:val="28"/>
        </w:rPr>
        <w:t>were complaining</w:t>
      </w:r>
      <w:r>
        <w:rPr>
          <w:sz w:val="28"/>
          <w:szCs w:val="28"/>
        </w:rPr>
        <w:t xml:space="preserve"> about the accused’s intoxication or </w:t>
      </w:r>
      <w:r w:rsidRPr="00266186">
        <w:rPr>
          <w:sz w:val="28"/>
          <w:szCs w:val="28"/>
          <w:lang w:val="en-CA"/>
        </w:rPr>
        <w:t>behaviour</w:t>
      </w:r>
      <w:r>
        <w:rPr>
          <w:sz w:val="28"/>
          <w:szCs w:val="28"/>
        </w:rPr>
        <w:t>.  Cst. Bennett’s belief</w:t>
      </w:r>
      <w:r w:rsidR="00F147CF">
        <w:rPr>
          <w:sz w:val="28"/>
          <w:szCs w:val="28"/>
        </w:rPr>
        <w:t xml:space="preserve">, based on these conversations is that the accused is well-known to members of the community.  </w:t>
      </w:r>
      <w:r w:rsidR="00536F01">
        <w:rPr>
          <w:sz w:val="28"/>
          <w:szCs w:val="28"/>
        </w:rPr>
        <w:t>The accused was first known</w:t>
      </w:r>
      <w:r w:rsidR="00F147CF">
        <w:rPr>
          <w:sz w:val="28"/>
          <w:szCs w:val="28"/>
        </w:rPr>
        <w:t xml:space="preserve"> as a talented soccer player</w:t>
      </w:r>
      <w:r w:rsidR="00627D03">
        <w:rPr>
          <w:sz w:val="28"/>
          <w:szCs w:val="28"/>
        </w:rPr>
        <w:t xml:space="preserve"> but by</w:t>
      </w:r>
      <w:r w:rsidR="00F147CF">
        <w:rPr>
          <w:sz w:val="28"/>
          <w:szCs w:val="28"/>
        </w:rPr>
        <w:t xml:space="preserve"> 2016, most of the people that Cst. Bennett spoke to were aware that the accused had been convicted of sexual assault and were aware that he was on conditions not to be alone with children.</w:t>
      </w:r>
    </w:p>
    <w:p w:rsidR="003A0E6F" w:rsidRDefault="003A0E6F" w:rsidP="003A0E6F">
      <w:pPr>
        <w:pStyle w:val="ListParagraph"/>
        <w:rPr>
          <w:sz w:val="28"/>
          <w:szCs w:val="28"/>
        </w:rPr>
      </w:pPr>
    </w:p>
    <w:p w:rsidR="00B621B6" w:rsidRDefault="00B621B6" w:rsidP="00C659A0">
      <w:pPr>
        <w:widowControl/>
        <w:numPr>
          <w:ilvl w:val="0"/>
          <w:numId w:val="1"/>
        </w:numPr>
        <w:ind w:left="0" w:firstLine="0"/>
        <w:jc w:val="both"/>
        <w:rPr>
          <w:sz w:val="28"/>
          <w:szCs w:val="28"/>
        </w:rPr>
      </w:pPr>
      <w:r>
        <w:rPr>
          <w:sz w:val="28"/>
          <w:szCs w:val="28"/>
        </w:rPr>
        <w:t xml:space="preserve">John Gouthro is the </w:t>
      </w:r>
      <w:r w:rsidR="00DB769F">
        <w:rPr>
          <w:sz w:val="28"/>
          <w:szCs w:val="28"/>
        </w:rPr>
        <w:t>P</w:t>
      </w:r>
      <w:r>
        <w:rPr>
          <w:sz w:val="28"/>
          <w:szCs w:val="28"/>
        </w:rPr>
        <w:t xml:space="preserve">rincipal at the elementary school in </w:t>
      </w:r>
      <w:r w:rsidR="000C6AE3">
        <w:rPr>
          <w:sz w:val="28"/>
          <w:szCs w:val="28"/>
        </w:rPr>
        <w:t>Behchokǫ̀</w:t>
      </w:r>
      <w:r w:rsidR="0061520E">
        <w:rPr>
          <w:sz w:val="28"/>
          <w:szCs w:val="28"/>
        </w:rPr>
        <w:t xml:space="preserve">.  He </w:t>
      </w:r>
      <w:r w:rsidR="00D31898">
        <w:rPr>
          <w:sz w:val="28"/>
          <w:szCs w:val="28"/>
        </w:rPr>
        <w:t xml:space="preserve">says </w:t>
      </w:r>
      <w:r w:rsidR="0061520E">
        <w:rPr>
          <w:sz w:val="28"/>
          <w:szCs w:val="28"/>
        </w:rPr>
        <w:t xml:space="preserve">that the </w:t>
      </w:r>
      <w:r>
        <w:rPr>
          <w:sz w:val="28"/>
          <w:szCs w:val="28"/>
        </w:rPr>
        <w:t>accused assaulted two students behind the school</w:t>
      </w:r>
      <w:r w:rsidR="0061520E">
        <w:rPr>
          <w:sz w:val="28"/>
          <w:szCs w:val="28"/>
        </w:rPr>
        <w:t xml:space="preserve"> and at</w:t>
      </w:r>
      <w:r>
        <w:rPr>
          <w:sz w:val="28"/>
          <w:szCs w:val="28"/>
        </w:rPr>
        <w:t xml:space="preserve"> the time, was prohibited by a court order from attending the school.  Following the incident, he reported receiving several calls from parents and community members regarding safety on the school grounds.</w:t>
      </w:r>
    </w:p>
    <w:p w:rsidR="003A0E6F" w:rsidRDefault="003A0E6F" w:rsidP="003A0E6F">
      <w:pPr>
        <w:pStyle w:val="ListParagraph"/>
        <w:rPr>
          <w:sz w:val="28"/>
          <w:szCs w:val="28"/>
        </w:rPr>
      </w:pPr>
    </w:p>
    <w:p w:rsidR="00B621B6" w:rsidRDefault="00627D03" w:rsidP="00C659A0">
      <w:pPr>
        <w:widowControl/>
        <w:numPr>
          <w:ilvl w:val="0"/>
          <w:numId w:val="1"/>
        </w:numPr>
        <w:ind w:left="0" w:firstLine="0"/>
        <w:jc w:val="both"/>
        <w:rPr>
          <w:sz w:val="28"/>
          <w:szCs w:val="28"/>
        </w:rPr>
      </w:pPr>
      <w:r>
        <w:rPr>
          <w:sz w:val="28"/>
          <w:szCs w:val="28"/>
        </w:rPr>
        <w:t>S</w:t>
      </w:r>
      <w:r w:rsidR="00604985">
        <w:rPr>
          <w:sz w:val="28"/>
          <w:szCs w:val="28"/>
        </w:rPr>
        <w:t>.</w:t>
      </w:r>
      <w:r>
        <w:rPr>
          <w:sz w:val="28"/>
          <w:szCs w:val="28"/>
        </w:rPr>
        <w:t>C</w:t>
      </w:r>
      <w:r w:rsidR="00604985">
        <w:rPr>
          <w:sz w:val="28"/>
          <w:szCs w:val="28"/>
        </w:rPr>
        <w:t>.</w:t>
      </w:r>
      <w:r>
        <w:rPr>
          <w:sz w:val="28"/>
          <w:szCs w:val="28"/>
        </w:rPr>
        <w:t xml:space="preserve"> is </w:t>
      </w:r>
      <w:r w:rsidR="00604985">
        <w:rPr>
          <w:sz w:val="28"/>
          <w:szCs w:val="28"/>
        </w:rPr>
        <w:t>the biological aunt and adoptive mother of</w:t>
      </w:r>
      <w:r>
        <w:rPr>
          <w:sz w:val="28"/>
          <w:szCs w:val="28"/>
        </w:rPr>
        <w:t xml:space="preserve"> J.C. and lives in </w:t>
      </w:r>
      <w:r w:rsidR="000C6AE3">
        <w:rPr>
          <w:sz w:val="28"/>
          <w:szCs w:val="28"/>
        </w:rPr>
        <w:t>Behchokǫ̀</w:t>
      </w:r>
      <w:r>
        <w:rPr>
          <w:sz w:val="28"/>
          <w:szCs w:val="28"/>
        </w:rPr>
        <w:t xml:space="preserve">.  </w:t>
      </w:r>
      <w:r w:rsidR="00604985">
        <w:rPr>
          <w:sz w:val="28"/>
          <w:szCs w:val="28"/>
        </w:rPr>
        <w:t xml:space="preserve">She knows the accused, his parents and family.  </w:t>
      </w:r>
      <w:r w:rsidR="00DB769F">
        <w:rPr>
          <w:sz w:val="28"/>
          <w:szCs w:val="28"/>
        </w:rPr>
        <w:t xml:space="preserve">S.C. believes that </w:t>
      </w:r>
      <w:r w:rsidR="00604985">
        <w:rPr>
          <w:sz w:val="28"/>
          <w:szCs w:val="28"/>
        </w:rPr>
        <w:t xml:space="preserve">prior to the alleged incident with J.C., the accused had gotten away with “a lot” of unreported assaults.  She believes that the accused assaulted her friend’s daughter </w:t>
      </w:r>
      <w:r w:rsidR="00DB769F">
        <w:rPr>
          <w:sz w:val="28"/>
          <w:szCs w:val="28"/>
        </w:rPr>
        <w:t xml:space="preserve">and also assaulted </w:t>
      </w:r>
      <w:r w:rsidR="00604985">
        <w:rPr>
          <w:sz w:val="28"/>
          <w:szCs w:val="28"/>
        </w:rPr>
        <w:t xml:space="preserve">two children behind the school.  S.C. </w:t>
      </w:r>
      <w:r w:rsidR="00DB769F">
        <w:rPr>
          <w:sz w:val="28"/>
          <w:szCs w:val="28"/>
        </w:rPr>
        <w:t xml:space="preserve">says </w:t>
      </w:r>
      <w:r w:rsidR="00604985">
        <w:rPr>
          <w:sz w:val="28"/>
          <w:szCs w:val="28"/>
        </w:rPr>
        <w:t>that the incident behind the school was reported on No</w:t>
      </w:r>
      <w:r w:rsidR="00BC7D23">
        <w:rPr>
          <w:sz w:val="28"/>
          <w:szCs w:val="28"/>
        </w:rPr>
        <w:t>rthbeat and APTN.  S.C. believes that members of the community are aware of the accused’s past and watch their children when he is around.</w:t>
      </w:r>
    </w:p>
    <w:p w:rsidR="003A0E6F" w:rsidRDefault="003A0E6F" w:rsidP="003A0E6F">
      <w:pPr>
        <w:pStyle w:val="ListParagraph"/>
        <w:rPr>
          <w:sz w:val="28"/>
          <w:szCs w:val="28"/>
        </w:rPr>
      </w:pPr>
    </w:p>
    <w:p w:rsidR="00BC7D23" w:rsidRDefault="00BC7D23" w:rsidP="00C659A0">
      <w:pPr>
        <w:widowControl/>
        <w:numPr>
          <w:ilvl w:val="0"/>
          <w:numId w:val="1"/>
        </w:numPr>
        <w:ind w:left="0" w:firstLine="0"/>
        <w:jc w:val="both"/>
        <w:rPr>
          <w:sz w:val="28"/>
          <w:szCs w:val="28"/>
        </w:rPr>
      </w:pPr>
      <w:r>
        <w:rPr>
          <w:sz w:val="28"/>
          <w:szCs w:val="28"/>
        </w:rPr>
        <w:t xml:space="preserve">Dianna Nguy </w:t>
      </w:r>
      <w:r w:rsidR="00C92293">
        <w:rPr>
          <w:sz w:val="28"/>
          <w:szCs w:val="28"/>
        </w:rPr>
        <w:t>is a Crown Witness Coordinator with the Public Prosecution Service of Canada.</w:t>
      </w:r>
      <w:r w:rsidR="008E51A1">
        <w:rPr>
          <w:sz w:val="28"/>
          <w:szCs w:val="28"/>
        </w:rPr>
        <w:t xml:space="preserve"> </w:t>
      </w:r>
      <w:r w:rsidR="00C92293">
        <w:rPr>
          <w:sz w:val="28"/>
          <w:szCs w:val="28"/>
        </w:rPr>
        <w:t xml:space="preserve"> Attached as an exhibit to her affidavit is a CBC.ca new</w:t>
      </w:r>
      <w:r w:rsidR="00120A74">
        <w:rPr>
          <w:sz w:val="28"/>
          <w:szCs w:val="28"/>
        </w:rPr>
        <w:t>s</w:t>
      </w:r>
      <w:r w:rsidR="00C92293">
        <w:rPr>
          <w:sz w:val="28"/>
          <w:szCs w:val="28"/>
        </w:rPr>
        <w:t xml:space="preserve"> report regarding the accused which came up on a google search.  The news report </w:t>
      </w:r>
      <w:r w:rsidR="00CE0127">
        <w:rPr>
          <w:sz w:val="28"/>
          <w:szCs w:val="28"/>
        </w:rPr>
        <w:t xml:space="preserve">is about </w:t>
      </w:r>
      <w:r w:rsidR="00C92293">
        <w:rPr>
          <w:sz w:val="28"/>
          <w:szCs w:val="28"/>
        </w:rPr>
        <w:t xml:space="preserve">the accused’s arrest for assaulting two girls near the elementary school in </w:t>
      </w:r>
      <w:r w:rsidR="000C6AE3">
        <w:rPr>
          <w:sz w:val="28"/>
          <w:szCs w:val="28"/>
        </w:rPr>
        <w:t>Behchokǫ̀</w:t>
      </w:r>
      <w:r w:rsidR="00C92293">
        <w:rPr>
          <w:sz w:val="28"/>
          <w:szCs w:val="28"/>
        </w:rPr>
        <w:t>.</w:t>
      </w:r>
    </w:p>
    <w:p w:rsidR="003A0E6F" w:rsidRDefault="003A0E6F" w:rsidP="003A0E6F">
      <w:pPr>
        <w:pStyle w:val="ListParagraph"/>
        <w:rPr>
          <w:sz w:val="28"/>
          <w:szCs w:val="28"/>
        </w:rPr>
      </w:pPr>
    </w:p>
    <w:p w:rsidR="00AC0B3E" w:rsidRDefault="002770ED" w:rsidP="00C659A0">
      <w:pPr>
        <w:widowControl/>
        <w:numPr>
          <w:ilvl w:val="0"/>
          <w:numId w:val="1"/>
        </w:numPr>
        <w:ind w:left="0" w:firstLine="0"/>
        <w:jc w:val="both"/>
        <w:rPr>
          <w:sz w:val="28"/>
          <w:szCs w:val="28"/>
        </w:rPr>
      </w:pPr>
      <w:r w:rsidRPr="00AC0B3E">
        <w:rPr>
          <w:sz w:val="28"/>
          <w:szCs w:val="28"/>
        </w:rPr>
        <w:lastRenderedPageBreak/>
        <w:t xml:space="preserve">While the evidence is somewhat vague, </w:t>
      </w:r>
      <w:r w:rsidR="00773C11" w:rsidRPr="00AC0B3E">
        <w:rPr>
          <w:sz w:val="28"/>
          <w:szCs w:val="28"/>
        </w:rPr>
        <w:t xml:space="preserve">it appears that the accused is known in the community and that his reputation is not a positive one.  The incident involving the assault on the two children at the school </w:t>
      </w:r>
      <w:r w:rsidR="00F40FD9" w:rsidRPr="00AC0B3E">
        <w:rPr>
          <w:sz w:val="28"/>
          <w:szCs w:val="28"/>
        </w:rPr>
        <w:t xml:space="preserve">seems </w:t>
      </w:r>
      <w:r w:rsidR="003A2FB8" w:rsidRPr="00AC0B3E">
        <w:rPr>
          <w:sz w:val="28"/>
          <w:szCs w:val="28"/>
        </w:rPr>
        <w:t xml:space="preserve">to </w:t>
      </w:r>
      <w:r w:rsidR="00F40FD9" w:rsidRPr="00AC0B3E">
        <w:rPr>
          <w:sz w:val="28"/>
          <w:szCs w:val="28"/>
        </w:rPr>
        <w:t xml:space="preserve">have been well known in </w:t>
      </w:r>
      <w:r w:rsidR="000C6AE3">
        <w:rPr>
          <w:sz w:val="28"/>
          <w:szCs w:val="28"/>
        </w:rPr>
        <w:t>Behchokǫ̀</w:t>
      </w:r>
      <w:r w:rsidR="00F40FD9" w:rsidRPr="00AC0B3E">
        <w:rPr>
          <w:sz w:val="28"/>
          <w:szCs w:val="28"/>
        </w:rPr>
        <w:t xml:space="preserve"> and has resulted in people being concerned for their children’s safety when the accused is around.  </w:t>
      </w:r>
      <w:r w:rsidR="00C97823" w:rsidRPr="00AC0B3E">
        <w:rPr>
          <w:sz w:val="28"/>
          <w:szCs w:val="28"/>
        </w:rPr>
        <w:t xml:space="preserve">This reputation, regardless of whether it is accurate or not, raises concerns about whether the accused can receive a fair trial in </w:t>
      </w:r>
      <w:r w:rsidR="000C6AE3">
        <w:rPr>
          <w:sz w:val="28"/>
          <w:szCs w:val="28"/>
        </w:rPr>
        <w:t>Behchokǫ̀</w:t>
      </w:r>
      <w:r w:rsidR="00C97823" w:rsidRPr="00AC0B3E">
        <w:rPr>
          <w:sz w:val="28"/>
          <w:szCs w:val="28"/>
        </w:rPr>
        <w:t>.  This concern is magnified when you consider the allegations in this matter, a sexual assault on a teenage girl,</w:t>
      </w:r>
      <w:r w:rsidR="00AC0B3E" w:rsidRPr="00AC0B3E">
        <w:rPr>
          <w:sz w:val="28"/>
          <w:szCs w:val="28"/>
        </w:rPr>
        <w:t xml:space="preserve"> which </w:t>
      </w:r>
      <w:r w:rsidR="00C97823" w:rsidRPr="00AC0B3E">
        <w:rPr>
          <w:sz w:val="28"/>
          <w:szCs w:val="28"/>
        </w:rPr>
        <w:t xml:space="preserve">bear some similarity to the negative reputation which the accused has in </w:t>
      </w:r>
      <w:r w:rsidR="000C6AE3">
        <w:rPr>
          <w:sz w:val="28"/>
          <w:szCs w:val="28"/>
        </w:rPr>
        <w:t>Behchokǫ̀</w:t>
      </w:r>
      <w:r w:rsidR="00674BD9">
        <w:rPr>
          <w:sz w:val="28"/>
          <w:szCs w:val="28"/>
        </w:rPr>
        <w:t>.  There is a risk that some jurors may try the accused on the basis of his reputation.</w:t>
      </w:r>
      <w:r w:rsidR="00AC0B3E" w:rsidRPr="00AC0B3E">
        <w:rPr>
          <w:sz w:val="28"/>
          <w:szCs w:val="28"/>
        </w:rPr>
        <w:t xml:space="preserve"> </w:t>
      </w:r>
    </w:p>
    <w:p w:rsidR="00701E06" w:rsidRDefault="00701E06" w:rsidP="00701E06">
      <w:pPr>
        <w:pStyle w:val="ListParagraph"/>
        <w:rPr>
          <w:sz w:val="28"/>
          <w:szCs w:val="28"/>
        </w:rPr>
      </w:pPr>
    </w:p>
    <w:p w:rsidR="00814FC0" w:rsidRDefault="009A41AD" w:rsidP="00C659A0">
      <w:pPr>
        <w:widowControl/>
        <w:numPr>
          <w:ilvl w:val="0"/>
          <w:numId w:val="1"/>
        </w:numPr>
        <w:ind w:left="0" w:firstLine="0"/>
        <w:jc w:val="both"/>
        <w:rPr>
          <w:sz w:val="28"/>
          <w:szCs w:val="28"/>
        </w:rPr>
      </w:pPr>
      <w:r w:rsidRPr="00BF22BF">
        <w:rPr>
          <w:sz w:val="28"/>
          <w:szCs w:val="28"/>
        </w:rPr>
        <w:t>In her affidavit, S.C. states that J.C. is related to some of the Rabesca</w:t>
      </w:r>
      <w:r w:rsidR="00BF22BF">
        <w:rPr>
          <w:sz w:val="28"/>
          <w:szCs w:val="28"/>
        </w:rPr>
        <w:t xml:space="preserve"> family</w:t>
      </w:r>
      <w:r w:rsidRPr="00BF22BF">
        <w:rPr>
          <w:sz w:val="28"/>
          <w:szCs w:val="28"/>
        </w:rPr>
        <w:t xml:space="preserve"> in </w:t>
      </w:r>
      <w:r w:rsidR="000C6AE3" w:rsidRPr="00BF22BF">
        <w:rPr>
          <w:sz w:val="28"/>
          <w:szCs w:val="28"/>
        </w:rPr>
        <w:t>Behchokǫ̀</w:t>
      </w:r>
      <w:r w:rsidRPr="00BF22BF">
        <w:rPr>
          <w:sz w:val="28"/>
          <w:szCs w:val="28"/>
        </w:rPr>
        <w:t xml:space="preserve">.  </w:t>
      </w:r>
      <w:r w:rsidR="00026BE9" w:rsidRPr="00BF22BF">
        <w:rPr>
          <w:sz w:val="28"/>
          <w:szCs w:val="28"/>
        </w:rPr>
        <w:t>She also says that t</w:t>
      </w:r>
      <w:r w:rsidRPr="00BF22BF">
        <w:rPr>
          <w:sz w:val="28"/>
          <w:szCs w:val="28"/>
        </w:rPr>
        <w:t>he accused comes from a large family and is also related to the Lafferty and Rabesca</w:t>
      </w:r>
      <w:r w:rsidR="004535D9" w:rsidRPr="00BF22BF">
        <w:rPr>
          <w:sz w:val="28"/>
          <w:szCs w:val="28"/>
        </w:rPr>
        <w:t xml:space="preserve"> families</w:t>
      </w:r>
      <w:r w:rsidRPr="00BF22BF">
        <w:rPr>
          <w:sz w:val="28"/>
          <w:szCs w:val="28"/>
        </w:rPr>
        <w:t xml:space="preserve">.  S.C. </w:t>
      </w:r>
      <w:r w:rsidR="002662E2" w:rsidRPr="00BF22BF">
        <w:rPr>
          <w:sz w:val="28"/>
          <w:szCs w:val="28"/>
        </w:rPr>
        <w:t>claims</w:t>
      </w:r>
      <w:r w:rsidRPr="00BF22BF">
        <w:rPr>
          <w:sz w:val="28"/>
          <w:szCs w:val="28"/>
        </w:rPr>
        <w:t xml:space="preserve"> that the Lafferty and the Rabesca</w:t>
      </w:r>
      <w:r w:rsidR="00BF22BF">
        <w:rPr>
          <w:sz w:val="28"/>
          <w:szCs w:val="28"/>
        </w:rPr>
        <w:t xml:space="preserve"> familie</w:t>
      </w:r>
      <w:r w:rsidRPr="00BF22BF">
        <w:rPr>
          <w:sz w:val="28"/>
          <w:szCs w:val="28"/>
        </w:rPr>
        <w:t xml:space="preserve">s are the two biggest families in </w:t>
      </w:r>
      <w:r w:rsidR="000C6AE3" w:rsidRPr="00BF22BF">
        <w:rPr>
          <w:sz w:val="28"/>
          <w:szCs w:val="28"/>
        </w:rPr>
        <w:t>Behchokǫ̀</w:t>
      </w:r>
      <w:r w:rsidRPr="00BF22BF">
        <w:rPr>
          <w:sz w:val="28"/>
          <w:szCs w:val="28"/>
        </w:rPr>
        <w:t>.</w:t>
      </w:r>
    </w:p>
    <w:p w:rsidR="00701E06" w:rsidRDefault="00701E06" w:rsidP="00701E06">
      <w:pPr>
        <w:pStyle w:val="ListParagraph"/>
        <w:rPr>
          <w:sz w:val="28"/>
          <w:szCs w:val="28"/>
        </w:rPr>
      </w:pPr>
    </w:p>
    <w:p w:rsidR="00A75F9E" w:rsidRDefault="004535D9" w:rsidP="00C659A0">
      <w:pPr>
        <w:widowControl/>
        <w:numPr>
          <w:ilvl w:val="0"/>
          <w:numId w:val="1"/>
        </w:numPr>
        <w:ind w:left="0" w:firstLine="0"/>
        <w:jc w:val="both"/>
        <w:rPr>
          <w:sz w:val="28"/>
          <w:szCs w:val="28"/>
        </w:rPr>
      </w:pPr>
      <w:r w:rsidRPr="00A75F9E">
        <w:rPr>
          <w:sz w:val="28"/>
          <w:szCs w:val="28"/>
        </w:rPr>
        <w:t xml:space="preserve">The number of witnesses, the size of the family and extended family of the accused, the complainant and other witnesses </w:t>
      </w:r>
      <w:r w:rsidR="00C314FD" w:rsidRPr="00A75F9E">
        <w:rPr>
          <w:sz w:val="28"/>
          <w:szCs w:val="28"/>
        </w:rPr>
        <w:t xml:space="preserve">are factors that frequently result in </w:t>
      </w:r>
      <w:r w:rsidR="00057BB5" w:rsidRPr="00A75F9E">
        <w:rPr>
          <w:sz w:val="28"/>
          <w:szCs w:val="28"/>
        </w:rPr>
        <w:t xml:space="preserve">people being excused from jury duty, particularly in smaller communities.  </w:t>
      </w:r>
      <w:r w:rsidR="00AC60FF">
        <w:rPr>
          <w:sz w:val="28"/>
          <w:szCs w:val="28"/>
        </w:rPr>
        <w:t xml:space="preserve">It is not uncommon, in </w:t>
      </w:r>
      <w:r w:rsidR="000C6AE3">
        <w:rPr>
          <w:sz w:val="28"/>
          <w:szCs w:val="28"/>
        </w:rPr>
        <w:t>Behchokǫ̀</w:t>
      </w:r>
      <w:r w:rsidR="00AC60FF">
        <w:rPr>
          <w:sz w:val="28"/>
          <w:szCs w:val="28"/>
        </w:rPr>
        <w:t xml:space="preserve"> and other communities, for the jury panel to be significantly reduced when family members are excused from serving on the jury.</w:t>
      </w:r>
    </w:p>
    <w:p w:rsidR="00701E06" w:rsidRDefault="00701E06" w:rsidP="00701E06">
      <w:pPr>
        <w:pStyle w:val="ListParagraph"/>
        <w:rPr>
          <w:sz w:val="28"/>
          <w:szCs w:val="28"/>
        </w:rPr>
      </w:pPr>
    </w:p>
    <w:p w:rsidR="00674BD9" w:rsidRDefault="00674BD9" w:rsidP="00C659A0">
      <w:pPr>
        <w:widowControl/>
        <w:numPr>
          <w:ilvl w:val="0"/>
          <w:numId w:val="1"/>
        </w:numPr>
        <w:ind w:left="0" w:firstLine="0"/>
        <w:jc w:val="both"/>
        <w:rPr>
          <w:sz w:val="28"/>
          <w:szCs w:val="28"/>
        </w:rPr>
      </w:pPr>
      <w:r w:rsidRPr="00275F50">
        <w:rPr>
          <w:sz w:val="28"/>
          <w:szCs w:val="28"/>
        </w:rPr>
        <w:t xml:space="preserve">There is little information about the size of the accused’s family and whether </w:t>
      </w:r>
      <w:r w:rsidR="001B4708" w:rsidRPr="00275F50">
        <w:rPr>
          <w:sz w:val="28"/>
          <w:szCs w:val="28"/>
        </w:rPr>
        <w:t xml:space="preserve">or not it would impact upon the ability to empanel a jury in </w:t>
      </w:r>
      <w:r w:rsidR="000C6AE3" w:rsidRPr="00275F50">
        <w:rPr>
          <w:sz w:val="28"/>
          <w:szCs w:val="28"/>
        </w:rPr>
        <w:t>Behchokǫ̀</w:t>
      </w:r>
      <w:r w:rsidR="001B4708" w:rsidRPr="00275F50">
        <w:rPr>
          <w:sz w:val="28"/>
          <w:szCs w:val="28"/>
        </w:rPr>
        <w:t xml:space="preserve">.  </w:t>
      </w:r>
      <w:r w:rsidR="00275F50" w:rsidRPr="00275F50">
        <w:rPr>
          <w:sz w:val="28"/>
          <w:szCs w:val="28"/>
        </w:rPr>
        <w:t>I expect that some people would seek to be excused based on familial relationships with the accused or complainant, but i</w:t>
      </w:r>
      <w:r w:rsidR="001B4708" w:rsidRPr="00275F50">
        <w:rPr>
          <w:sz w:val="28"/>
          <w:szCs w:val="28"/>
        </w:rPr>
        <w:t>t is difficult to conclude that th</w:t>
      </w:r>
      <w:r w:rsidR="00275F50">
        <w:rPr>
          <w:sz w:val="28"/>
          <w:szCs w:val="28"/>
        </w:rPr>
        <w:t>os</w:t>
      </w:r>
      <w:r w:rsidR="001B4708" w:rsidRPr="00275F50">
        <w:rPr>
          <w:sz w:val="28"/>
          <w:szCs w:val="28"/>
        </w:rPr>
        <w:t xml:space="preserve">e familial relationships would make it impracticable to empanel a jury in </w:t>
      </w:r>
      <w:r w:rsidR="000C6AE3" w:rsidRPr="00275F50">
        <w:rPr>
          <w:sz w:val="28"/>
          <w:szCs w:val="28"/>
        </w:rPr>
        <w:t>Behchokǫ̀</w:t>
      </w:r>
      <w:r w:rsidR="001B4708" w:rsidRPr="00275F50">
        <w:rPr>
          <w:sz w:val="28"/>
          <w:szCs w:val="28"/>
        </w:rPr>
        <w:t>.</w:t>
      </w:r>
    </w:p>
    <w:p w:rsidR="00701E06" w:rsidRDefault="00701E06" w:rsidP="00701E06">
      <w:pPr>
        <w:pStyle w:val="ListParagraph"/>
        <w:rPr>
          <w:sz w:val="28"/>
          <w:szCs w:val="28"/>
        </w:rPr>
      </w:pPr>
    </w:p>
    <w:p w:rsidR="00FC1F7C" w:rsidRDefault="000C6AE3" w:rsidP="00C659A0">
      <w:pPr>
        <w:widowControl/>
        <w:numPr>
          <w:ilvl w:val="0"/>
          <w:numId w:val="1"/>
        </w:numPr>
        <w:ind w:left="0" w:firstLine="0"/>
        <w:jc w:val="both"/>
        <w:rPr>
          <w:sz w:val="28"/>
          <w:szCs w:val="28"/>
        </w:rPr>
      </w:pPr>
      <w:r>
        <w:rPr>
          <w:sz w:val="28"/>
          <w:szCs w:val="28"/>
        </w:rPr>
        <w:t>Behchokǫ̀</w:t>
      </w:r>
      <w:r w:rsidR="007B0E47" w:rsidRPr="00A75F9E">
        <w:rPr>
          <w:sz w:val="28"/>
          <w:szCs w:val="28"/>
        </w:rPr>
        <w:t xml:space="preserve"> is a community </w:t>
      </w:r>
      <w:r w:rsidR="00FC1F7C" w:rsidRPr="00A75F9E">
        <w:rPr>
          <w:sz w:val="28"/>
          <w:szCs w:val="28"/>
        </w:rPr>
        <w:t>where jury trials have been held over the years.  Juries have been selected without an issue</w:t>
      </w:r>
      <w:r w:rsidR="00B01589">
        <w:rPr>
          <w:sz w:val="28"/>
          <w:szCs w:val="28"/>
        </w:rPr>
        <w:t xml:space="preserve"> there</w:t>
      </w:r>
      <w:r w:rsidR="00FC1F7C" w:rsidRPr="00A75F9E">
        <w:rPr>
          <w:sz w:val="28"/>
          <w:szCs w:val="28"/>
        </w:rPr>
        <w:t xml:space="preserve">.  However, recently this has not been the case.  As I stated in </w:t>
      </w:r>
      <w:r w:rsidR="00FC1F7C" w:rsidRPr="00A75F9E">
        <w:rPr>
          <w:i/>
          <w:sz w:val="28"/>
          <w:szCs w:val="28"/>
        </w:rPr>
        <w:t xml:space="preserve">R v Blackduck, </w:t>
      </w:r>
      <w:r w:rsidR="00FC1F7C" w:rsidRPr="00A75F9E">
        <w:rPr>
          <w:sz w:val="28"/>
          <w:szCs w:val="28"/>
        </w:rPr>
        <w:t>2014 NWTSC 48 at para. 27-28:</w:t>
      </w:r>
    </w:p>
    <w:p w:rsidR="00701E06" w:rsidRDefault="00701E06" w:rsidP="00701E06">
      <w:pPr>
        <w:pStyle w:val="ListParagraph"/>
        <w:rPr>
          <w:sz w:val="28"/>
          <w:szCs w:val="28"/>
        </w:rPr>
      </w:pPr>
    </w:p>
    <w:p w:rsidR="007B0E47" w:rsidRDefault="000C6AE3" w:rsidP="00C659A0">
      <w:pPr>
        <w:widowControl/>
        <w:ind w:left="720" w:right="720"/>
        <w:jc w:val="both"/>
      </w:pPr>
      <w:r w:rsidRPr="008C4CDB">
        <w:t>Behchokǫ̀</w:t>
      </w:r>
      <w:r w:rsidR="00456A48" w:rsidRPr="008C4CDB">
        <w:t xml:space="preserve"> has a population of approximately 2,025 people of which half are estimated to be over the age of 25, and thus meet the age requirements of the </w:t>
      </w:r>
      <w:r w:rsidR="00456A48" w:rsidRPr="008C4CDB">
        <w:rPr>
          <w:i/>
        </w:rPr>
        <w:t xml:space="preserve">Jury Act.  </w:t>
      </w:r>
      <w:r w:rsidR="00456A48" w:rsidRPr="008C4CDB">
        <w:t xml:space="preserve">With over 1,000 people potentially eligible to serve on a jury, selecting a jury in </w:t>
      </w:r>
      <w:r w:rsidRPr="008C4CDB">
        <w:t>Behchokǫ̀</w:t>
      </w:r>
      <w:r w:rsidR="00456A48" w:rsidRPr="008C4CDB">
        <w:t xml:space="preserve"> should not be an issue and in the past, it frequently has not been an issue.</w:t>
      </w:r>
    </w:p>
    <w:p w:rsidR="00C659A0" w:rsidRPr="008C4CDB" w:rsidRDefault="00C659A0" w:rsidP="00701E06">
      <w:pPr>
        <w:widowControl/>
        <w:spacing w:before="120" w:after="120"/>
        <w:ind w:left="720" w:right="720"/>
        <w:jc w:val="both"/>
      </w:pPr>
    </w:p>
    <w:p w:rsidR="00456A48" w:rsidRDefault="00456A48" w:rsidP="00701E06">
      <w:pPr>
        <w:widowControl/>
        <w:spacing w:before="120" w:after="120"/>
        <w:ind w:left="720" w:right="720"/>
        <w:jc w:val="both"/>
      </w:pPr>
      <w:r w:rsidRPr="008C4CDB">
        <w:t xml:space="preserve">On the past two occasions that the Court has come to </w:t>
      </w:r>
      <w:r w:rsidR="000C6AE3" w:rsidRPr="008C4CDB">
        <w:t>Behchokǫ̀</w:t>
      </w:r>
      <w:r w:rsidRPr="008C4CDB">
        <w:t xml:space="preserve">, for this trial and </w:t>
      </w:r>
      <w:r w:rsidRPr="008C4CDB">
        <w:rPr>
          <w:i/>
        </w:rPr>
        <w:t xml:space="preserve">R. </w:t>
      </w:r>
      <w:r w:rsidRPr="008C4CDB">
        <w:t xml:space="preserve">v. </w:t>
      </w:r>
      <w:r w:rsidRPr="008C4CDB">
        <w:rPr>
          <w:i/>
        </w:rPr>
        <w:t>Eyakfwo</w:t>
      </w:r>
      <w:r w:rsidRPr="008C4CDB">
        <w:t xml:space="preserve"> (S-1-CR-2012-000091) in March 2014, a full jury could not be selected and mistrials were declared.  In </w:t>
      </w:r>
      <w:r w:rsidRPr="008C4CDB">
        <w:rPr>
          <w:i/>
        </w:rPr>
        <w:t>Eyakfwo,</w:t>
      </w:r>
      <w:r w:rsidRPr="008C4CDB">
        <w:t xml:space="preserve"> of the 126 people on the nominal list, </w:t>
      </w:r>
      <w:r w:rsidR="009B4668" w:rsidRPr="008C4CDB">
        <w:t xml:space="preserve">75 did not attend which equated to 60% absenteeism.  In this case, of </w:t>
      </w:r>
      <w:r w:rsidR="009B4668" w:rsidRPr="008C4CDB">
        <w:lastRenderedPageBreak/>
        <w:t xml:space="preserve">the 120 people on the nominal list, 63 did not attend which equated to 53% absenteeism.  There are times at jury selection when other members of the community who are present will offer an explanation for why a person has not attended or inform the Court about a community event like a funeral or meeting which might impact upon attendance for jury selection.  In this case, there were very few explanations offered and it is not clear why so many people did not respond to their jury summons.  It is a worrisome trend that appears to be developing in </w:t>
      </w:r>
      <w:r w:rsidR="000C6AE3" w:rsidRPr="008C4CDB">
        <w:t>Behchokǫ̀</w:t>
      </w:r>
      <w:r w:rsidR="009B4668" w:rsidRPr="008C4CDB">
        <w:t xml:space="preserve"> and, if it continues, may jeopardize the Court’s ability to hold jury trials in that community.</w:t>
      </w:r>
    </w:p>
    <w:p w:rsidR="00C659A0" w:rsidRPr="008C4CDB" w:rsidRDefault="00C659A0" w:rsidP="00C659A0">
      <w:pPr>
        <w:widowControl/>
        <w:ind w:left="720" w:right="720"/>
        <w:jc w:val="both"/>
      </w:pPr>
    </w:p>
    <w:p w:rsidR="009B4668" w:rsidRDefault="009B4668" w:rsidP="00C659A0">
      <w:pPr>
        <w:widowControl/>
        <w:numPr>
          <w:ilvl w:val="0"/>
          <w:numId w:val="1"/>
        </w:numPr>
        <w:ind w:left="0" w:firstLine="0"/>
        <w:jc w:val="both"/>
        <w:rPr>
          <w:sz w:val="28"/>
          <w:szCs w:val="28"/>
        </w:rPr>
      </w:pPr>
      <w:r>
        <w:rPr>
          <w:sz w:val="28"/>
          <w:szCs w:val="28"/>
        </w:rPr>
        <w:t xml:space="preserve">The Crown has filed the Statistical Profile of </w:t>
      </w:r>
      <w:r w:rsidR="000C6AE3">
        <w:rPr>
          <w:sz w:val="28"/>
          <w:szCs w:val="28"/>
        </w:rPr>
        <w:t>Behchokǫ̀</w:t>
      </w:r>
      <w:r>
        <w:rPr>
          <w:sz w:val="28"/>
          <w:szCs w:val="28"/>
        </w:rPr>
        <w:t xml:space="preserve"> from 2016 which indicates that the population profile of </w:t>
      </w:r>
      <w:r w:rsidR="000C6AE3">
        <w:rPr>
          <w:sz w:val="28"/>
          <w:szCs w:val="28"/>
        </w:rPr>
        <w:t>Behchokǫ̀</w:t>
      </w:r>
      <w:r>
        <w:rPr>
          <w:sz w:val="28"/>
          <w:szCs w:val="28"/>
        </w:rPr>
        <w:t xml:space="preserve"> is consistent with that in 2014.  The community has grown slightly</w:t>
      </w:r>
      <w:r w:rsidR="003D7927">
        <w:rPr>
          <w:sz w:val="28"/>
          <w:szCs w:val="28"/>
        </w:rPr>
        <w:t xml:space="preserve"> and there are slightly more people who are potentially eligible to serve on a jury</w:t>
      </w:r>
      <w:r>
        <w:rPr>
          <w:sz w:val="28"/>
          <w:szCs w:val="28"/>
        </w:rPr>
        <w:t>.</w:t>
      </w:r>
    </w:p>
    <w:p w:rsidR="00701E06" w:rsidRDefault="00701E06" w:rsidP="00701E06">
      <w:pPr>
        <w:widowControl/>
        <w:jc w:val="both"/>
        <w:rPr>
          <w:sz w:val="28"/>
          <w:szCs w:val="28"/>
        </w:rPr>
      </w:pPr>
    </w:p>
    <w:p w:rsidR="009B4668" w:rsidRDefault="009D6597" w:rsidP="00C659A0">
      <w:pPr>
        <w:widowControl/>
        <w:numPr>
          <w:ilvl w:val="0"/>
          <w:numId w:val="1"/>
        </w:numPr>
        <w:ind w:left="0" w:firstLine="0"/>
        <w:jc w:val="both"/>
        <w:rPr>
          <w:sz w:val="28"/>
          <w:szCs w:val="28"/>
        </w:rPr>
      </w:pPr>
      <w:r>
        <w:rPr>
          <w:sz w:val="28"/>
          <w:szCs w:val="28"/>
        </w:rPr>
        <w:t xml:space="preserve">In addition to the </w:t>
      </w:r>
      <w:r w:rsidRPr="00015E55">
        <w:rPr>
          <w:i/>
          <w:sz w:val="28"/>
          <w:szCs w:val="28"/>
        </w:rPr>
        <w:t>Blackduck</w:t>
      </w:r>
      <w:r>
        <w:rPr>
          <w:sz w:val="28"/>
          <w:szCs w:val="28"/>
        </w:rPr>
        <w:t xml:space="preserve"> and </w:t>
      </w:r>
      <w:r w:rsidRPr="00015E55">
        <w:rPr>
          <w:i/>
          <w:sz w:val="28"/>
          <w:szCs w:val="28"/>
        </w:rPr>
        <w:t>Eyakfwo</w:t>
      </w:r>
      <w:r>
        <w:rPr>
          <w:sz w:val="28"/>
          <w:szCs w:val="28"/>
        </w:rPr>
        <w:t xml:space="preserve"> cases referred to above, the Court has attempted unsuccessfully to hold several jury trials in </w:t>
      </w:r>
      <w:r w:rsidR="000C6AE3">
        <w:rPr>
          <w:sz w:val="28"/>
          <w:szCs w:val="28"/>
        </w:rPr>
        <w:t>Behchokǫ̀</w:t>
      </w:r>
      <w:r>
        <w:rPr>
          <w:sz w:val="28"/>
          <w:szCs w:val="28"/>
        </w:rPr>
        <w:t xml:space="preserve">.  The Crown has reviewed the jury trials scheduled in </w:t>
      </w:r>
      <w:r w:rsidR="000C6AE3">
        <w:rPr>
          <w:sz w:val="28"/>
          <w:szCs w:val="28"/>
        </w:rPr>
        <w:t>Behchokǫ̀</w:t>
      </w:r>
      <w:r>
        <w:rPr>
          <w:sz w:val="28"/>
          <w:szCs w:val="28"/>
        </w:rPr>
        <w:t xml:space="preserve"> between January 1, 2013 and January 31, 2017</w:t>
      </w:r>
      <w:r w:rsidR="00013494">
        <w:rPr>
          <w:sz w:val="28"/>
          <w:szCs w:val="28"/>
        </w:rPr>
        <w:t xml:space="preserve">.  Of the 8 trials scheduled, 3 were successful in empaneling a jury on the first attempt.  The other five trials were unsuccessful in empaneling a jury on the first attempt, of which one jury trial was successfully held on the second attempt.  The other four matters were rescheduled to Yellowknife.  Significantly, a jury has not been successfully empaneled in </w:t>
      </w:r>
      <w:r w:rsidR="000C6AE3">
        <w:rPr>
          <w:sz w:val="28"/>
          <w:szCs w:val="28"/>
        </w:rPr>
        <w:t>Behchokǫ̀</w:t>
      </w:r>
      <w:r w:rsidR="00013494">
        <w:rPr>
          <w:sz w:val="28"/>
          <w:szCs w:val="28"/>
        </w:rPr>
        <w:t xml:space="preserve"> since December 2013.</w:t>
      </w:r>
    </w:p>
    <w:p w:rsidR="00701E06" w:rsidRDefault="00701E06" w:rsidP="00701E06">
      <w:pPr>
        <w:pStyle w:val="ListParagraph"/>
        <w:rPr>
          <w:sz w:val="28"/>
          <w:szCs w:val="28"/>
        </w:rPr>
      </w:pPr>
    </w:p>
    <w:p w:rsidR="001D22F3" w:rsidRDefault="00590CD9" w:rsidP="00C659A0">
      <w:pPr>
        <w:widowControl/>
        <w:numPr>
          <w:ilvl w:val="0"/>
          <w:numId w:val="1"/>
        </w:numPr>
        <w:ind w:left="0" w:firstLine="0"/>
        <w:jc w:val="both"/>
        <w:rPr>
          <w:sz w:val="28"/>
          <w:szCs w:val="28"/>
        </w:rPr>
      </w:pPr>
      <w:r>
        <w:rPr>
          <w:sz w:val="28"/>
          <w:szCs w:val="28"/>
        </w:rPr>
        <w:t>In the jury trials that I was scheduled to preside over, there was significant unexplained absenteeism.  Often during the jury selection process, members of the jury panel will advise the court of community events like meetings, funerals, etc. to explain why some members of the jury panel are not present.</w:t>
      </w:r>
      <w:r w:rsidR="00070C37">
        <w:rPr>
          <w:sz w:val="28"/>
          <w:szCs w:val="28"/>
        </w:rPr>
        <w:t xml:space="preserve">  However, in my recent experiences in </w:t>
      </w:r>
      <w:r w:rsidR="000C6AE3">
        <w:rPr>
          <w:sz w:val="28"/>
          <w:szCs w:val="28"/>
        </w:rPr>
        <w:t>Behchokǫ̀</w:t>
      </w:r>
      <w:r w:rsidR="00070C37">
        <w:rPr>
          <w:sz w:val="28"/>
          <w:szCs w:val="28"/>
        </w:rPr>
        <w:t>, there have been no community events mentioned to explain the significant absenteeism.</w:t>
      </w:r>
      <w:r w:rsidR="00252F3F">
        <w:rPr>
          <w:sz w:val="28"/>
          <w:szCs w:val="28"/>
        </w:rPr>
        <w:t xml:space="preserve">  As I stated in </w:t>
      </w:r>
      <w:r w:rsidR="00252F3F">
        <w:rPr>
          <w:i/>
          <w:sz w:val="28"/>
          <w:szCs w:val="28"/>
        </w:rPr>
        <w:t xml:space="preserve">Blackduck, </w:t>
      </w:r>
      <w:r w:rsidR="00252F3F">
        <w:rPr>
          <w:sz w:val="28"/>
          <w:szCs w:val="28"/>
        </w:rPr>
        <w:t xml:space="preserve">it is a worrisome trend that is jeopardizing the Court’s ability </w:t>
      </w:r>
      <w:r w:rsidR="00581692">
        <w:rPr>
          <w:sz w:val="28"/>
          <w:szCs w:val="28"/>
        </w:rPr>
        <w:t xml:space="preserve">to hold jury trials in </w:t>
      </w:r>
      <w:r w:rsidR="000C6AE3">
        <w:rPr>
          <w:sz w:val="28"/>
          <w:szCs w:val="28"/>
        </w:rPr>
        <w:t>Behchokǫ̀</w:t>
      </w:r>
      <w:r w:rsidR="00581692">
        <w:rPr>
          <w:sz w:val="28"/>
          <w:szCs w:val="28"/>
        </w:rPr>
        <w:t xml:space="preserve">.  Since </w:t>
      </w:r>
      <w:r w:rsidR="00581692" w:rsidRPr="00015E55">
        <w:rPr>
          <w:i/>
          <w:sz w:val="28"/>
          <w:szCs w:val="28"/>
        </w:rPr>
        <w:t>Blackduck</w:t>
      </w:r>
      <w:r w:rsidR="00581692">
        <w:rPr>
          <w:sz w:val="28"/>
          <w:szCs w:val="28"/>
        </w:rPr>
        <w:t>, the Court has attempted to empanel a jury on two other occasions, both unsuccessfully.</w:t>
      </w:r>
    </w:p>
    <w:p w:rsidR="00701E06" w:rsidRDefault="00701E06" w:rsidP="00701E06">
      <w:pPr>
        <w:pStyle w:val="ListParagraph"/>
        <w:rPr>
          <w:sz w:val="28"/>
          <w:szCs w:val="28"/>
        </w:rPr>
      </w:pPr>
    </w:p>
    <w:p w:rsidR="002D089B" w:rsidRDefault="003A67D7" w:rsidP="00C659A0">
      <w:pPr>
        <w:widowControl/>
        <w:numPr>
          <w:ilvl w:val="0"/>
          <w:numId w:val="1"/>
        </w:numPr>
        <w:ind w:left="0" w:firstLine="0"/>
        <w:jc w:val="both"/>
        <w:rPr>
          <w:sz w:val="28"/>
          <w:szCs w:val="28"/>
        </w:rPr>
      </w:pPr>
      <w:r>
        <w:rPr>
          <w:sz w:val="28"/>
          <w:szCs w:val="28"/>
        </w:rPr>
        <w:t xml:space="preserve">The accused was charged with these offences on January 2, 2016.  The trial is expected to be scheduled for the week of January </w:t>
      </w:r>
      <w:r w:rsidR="002D089B">
        <w:rPr>
          <w:sz w:val="28"/>
          <w:szCs w:val="28"/>
        </w:rPr>
        <w:t>8, 2018.</w:t>
      </w:r>
      <w:r w:rsidR="002D089B" w:rsidRPr="002D089B">
        <w:rPr>
          <w:sz w:val="28"/>
          <w:szCs w:val="28"/>
        </w:rPr>
        <w:t xml:space="preserve"> </w:t>
      </w:r>
      <w:r w:rsidR="002D089B">
        <w:rPr>
          <w:sz w:val="28"/>
          <w:szCs w:val="28"/>
        </w:rPr>
        <w:t xml:space="preserve"> If the trial were held in </w:t>
      </w:r>
      <w:r w:rsidR="000C6AE3">
        <w:rPr>
          <w:sz w:val="28"/>
          <w:szCs w:val="28"/>
        </w:rPr>
        <w:t>Behchokǫ̀</w:t>
      </w:r>
      <w:r w:rsidR="002D089B">
        <w:rPr>
          <w:sz w:val="28"/>
          <w:szCs w:val="28"/>
        </w:rPr>
        <w:t xml:space="preserve">, there is a real risk that a jury could not be empaneled either because of the number of people who </w:t>
      </w:r>
      <w:r w:rsidR="00E45743">
        <w:rPr>
          <w:sz w:val="28"/>
          <w:szCs w:val="28"/>
        </w:rPr>
        <w:t xml:space="preserve">do not </w:t>
      </w:r>
      <w:r w:rsidR="002D089B">
        <w:rPr>
          <w:sz w:val="28"/>
          <w:szCs w:val="28"/>
        </w:rPr>
        <w:t xml:space="preserve">attend jury selection, the possibility that a significant number of the jury panel will be excused because of a familial relationship or because of their knowledge of the accused’s reputation.  If a mistrial were declared, another trial would be several months later.  The </w:t>
      </w:r>
      <w:r w:rsidR="002D089B">
        <w:rPr>
          <w:i/>
          <w:sz w:val="28"/>
          <w:szCs w:val="28"/>
        </w:rPr>
        <w:t xml:space="preserve">Jordan </w:t>
      </w:r>
      <w:r w:rsidR="002D089B">
        <w:rPr>
          <w:sz w:val="28"/>
          <w:szCs w:val="28"/>
        </w:rPr>
        <w:lastRenderedPageBreak/>
        <w:t>deadline in this matter is in July 2018</w:t>
      </w:r>
      <w:r w:rsidR="001A546D">
        <w:rPr>
          <w:sz w:val="28"/>
          <w:szCs w:val="28"/>
        </w:rPr>
        <w:t xml:space="preserve"> and there is a significant possibility that a further trial could not be scheduled by that date.</w:t>
      </w:r>
    </w:p>
    <w:p w:rsidR="00701E06" w:rsidRDefault="00701E06" w:rsidP="00701E06">
      <w:pPr>
        <w:pStyle w:val="ListParagraph"/>
        <w:rPr>
          <w:sz w:val="28"/>
          <w:szCs w:val="28"/>
        </w:rPr>
      </w:pPr>
    </w:p>
    <w:p w:rsidR="00701E06" w:rsidRDefault="00701E06" w:rsidP="00701E06">
      <w:pPr>
        <w:widowControl/>
        <w:jc w:val="both"/>
        <w:rPr>
          <w:sz w:val="28"/>
          <w:szCs w:val="28"/>
        </w:rPr>
      </w:pPr>
    </w:p>
    <w:p w:rsidR="003A67D7" w:rsidRDefault="001A546D" w:rsidP="00C659A0">
      <w:pPr>
        <w:widowControl/>
        <w:numPr>
          <w:ilvl w:val="0"/>
          <w:numId w:val="1"/>
        </w:numPr>
        <w:ind w:left="0" w:firstLine="0"/>
        <w:jc w:val="both"/>
        <w:rPr>
          <w:sz w:val="28"/>
          <w:szCs w:val="28"/>
        </w:rPr>
      </w:pPr>
      <w:r>
        <w:rPr>
          <w:sz w:val="28"/>
          <w:szCs w:val="28"/>
        </w:rPr>
        <w:t xml:space="preserve">In my view, the trial should not be held in </w:t>
      </w:r>
      <w:r w:rsidR="000C6AE3">
        <w:rPr>
          <w:sz w:val="28"/>
          <w:szCs w:val="28"/>
        </w:rPr>
        <w:t>Behchokǫ̀</w:t>
      </w:r>
      <w:r>
        <w:rPr>
          <w:sz w:val="28"/>
          <w:szCs w:val="28"/>
        </w:rPr>
        <w:t xml:space="preserve">.  When considering the accused’s reputation in the community, the general difficulty in empaneling a jury in </w:t>
      </w:r>
      <w:r w:rsidR="000C6AE3">
        <w:rPr>
          <w:sz w:val="28"/>
          <w:szCs w:val="28"/>
        </w:rPr>
        <w:t>Behchokǫ̀</w:t>
      </w:r>
      <w:r>
        <w:rPr>
          <w:sz w:val="28"/>
          <w:szCs w:val="28"/>
        </w:rPr>
        <w:t xml:space="preserve"> and the possibility </w:t>
      </w:r>
      <w:r w:rsidR="00AB793C">
        <w:rPr>
          <w:sz w:val="28"/>
          <w:szCs w:val="28"/>
        </w:rPr>
        <w:t xml:space="preserve">of delay arising from a mistrial, the trial should be held in another community.  For these reasons, I am granting the Crown’s application and the </w:t>
      </w:r>
      <w:r w:rsidR="006814F7">
        <w:rPr>
          <w:sz w:val="28"/>
          <w:szCs w:val="28"/>
        </w:rPr>
        <w:t xml:space="preserve">jury </w:t>
      </w:r>
      <w:r w:rsidR="00AB793C">
        <w:rPr>
          <w:sz w:val="28"/>
          <w:szCs w:val="28"/>
        </w:rPr>
        <w:t>trial will be scheduled in Yellowknife.</w:t>
      </w:r>
    </w:p>
    <w:p w:rsidR="00701E06" w:rsidRDefault="00701E06" w:rsidP="00701E06">
      <w:pPr>
        <w:widowControl/>
        <w:jc w:val="both"/>
        <w:rPr>
          <w:sz w:val="28"/>
          <w:szCs w:val="28"/>
        </w:rPr>
      </w:pPr>
    </w:p>
    <w:p w:rsidR="00AB793C" w:rsidRPr="00B7456D" w:rsidRDefault="00AB793C" w:rsidP="00C659A0">
      <w:pPr>
        <w:widowControl/>
        <w:numPr>
          <w:ilvl w:val="0"/>
          <w:numId w:val="1"/>
        </w:numPr>
        <w:ind w:left="0" w:firstLine="0"/>
        <w:jc w:val="both"/>
        <w:rPr>
          <w:sz w:val="28"/>
          <w:szCs w:val="28"/>
        </w:rPr>
      </w:pPr>
      <w:r>
        <w:rPr>
          <w:sz w:val="28"/>
          <w:szCs w:val="28"/>
        </w:rPr>
        <w:t xml:space="preserve">Since I have concluded that the trial should be moved because of the impracticability of empaneling a jury in </w:t>
      </w:r>
      <w:r w:rsidR="000C6AE3">
        <w:rPr>
          <w:sz w:val="28"/>
          <w:szCs w:val="28"/>
        </w:rPr>
        <w:t>Behchokǫ̀</w:t>
      </w:r>
      <w:r>
        <w:rPr>
          <w:sz w:val="28"/>
          <w:szCs w:val="28"/>
        </w:rPr>
        <w:t xml:space="preserve">, I have not considered the </w:t>
      </w:r>
      <w:r w:rsidR="00C01B8A">
        <w:rPr>
          <w:sz w:val="28"/>
          <w:szCs w:val="28"/>
        </w:rPr>
        <w:t>Crown’s other ground that hold</w:t>
      </w:r>
      <w:r w:rsidR="00671FBE">
        <w:rPr>
          <w:sz w:val="28"/>
          <w:szCs w:val="28"/>
        </w:rPr>
        <w:t>ing</w:t>
      </w:r>
      <w:r w:rsidR="00C01B8A">
        <w:rPr>
          <w:sz w:val="28"/>
          <w:szCs w:val="28"/>
        </w:rPr>
        <w:t xml:space="preserve"> the trial in </w:t>
      </w:r>
      <w:r w:rsidR="000C6AE3">
        <w:rPr>
          <w:sz w:val="28"/>
          <w:szCs w:val="28"/>
        </w:rPr>
        <w:t>Behchokǫ̀</w:t>
      </w:r>
      <w:r w:rsidR="00C01B8A">
        <w:rPr>
          <w:sz w:val="28"/>
          <w:szCs w:val="28"/>
        </w:rPr>
        <w:t xml:space="preserve"> would place an </w:t>
      </w:r>
      <w:r w:rsidR="00671FBE">
        <w:rPr>
          <w:sz w:val="28"/>
          <w:szCs w:val="28"/>
        </w:rPr>
        <w:t xml:space="preserve">unnecessary and inappropriate burden on the complainant.  Although it seems that the witness aids that are available in the </w:t>
      </w:r>
      <w:r w:rsidR="00671FBE">
        <w:rPr>
          <w:i/>
          <w:sz w:val="28"/>
          <w:szCs w:val="28"/>
        </w:rPr>
        <w:t>Criminal Code</w:t>
      </w:r>
      <w:r w:rsidR="00671FBE">
        <w:rPr>
          <w:sz w:val="28"/>
          <w:szCs w:val="28"/>
        </w:rPr>
        <w:t xml:space="preserve"> would address the concerns about the complainant </w:t>
      </w:r>
      <w:r w:rsidR="006814F7">
        <w:rPr>
          <w:sz w:val="28"/>
          <w:szCs w:val="28"/>
        </w:rPr>
        <w:t>which were referred to</w:t>
      </w:r>
      <w:r w:rsidR="00671FBE">
        <w:rPr>
          <w:sz w:val="28"/>
          <w:szCs w:val="28"/>
        </w:rPr>
        <w:t xml:space="preserve"> in the evidence.</w:t>
      </w:r>
    </w:p>
    <w:p w:rsidR="001D18EB" w:rsidRDefault="001D18EB" w:rsidP="00C659A0">
      <w:pPr>
        <w:widowControl/>
        <w:jc w:val="both"/>
        <w:rPr>
          <w:sz w:val="28"/>
          <w:szCs w:val="28"/>
        </w:rPr>
      </w:pPr>
    </w:p>
    <w:p w:rsidR="001D18EB" w:rsidRDefault="001D18EB" w:rsidP="00C659A0">
      <w:pPr>
        <w:widowControl/>
        <w:jc w:val="both"/>
        <w:rPr>
          <w:sz w:val="28"/>
          <w:szCs w:val="28"/>
        </w:rPr>
      </w:pPr>
    </w:p>
    <w:p w:rsidR="00701E06" w:rsidRPr="00E5322B" w:rsidRDefault="00701E06" w:rsidP="00C659A0">
      <w:pPr>
        <w:widowControl/>
        <w:jc w:val="both"/>
        <w:rPr>
          <w:sz w:val="28"/>
          <w:szCs w:val="28"/>
        </w:rPr>
      </w:pPr>
    </w:p>
    <w:p w:rsidR="00B033FA" w:rsidRDefault="00B033FA" w:rsidP="00C659A0">
      <w:pPr>
        <w:widowControl/>
        <w:jc w:val="both"/>
        <w:rPr>
          <w:sz w:val="28"/>
          <w:szCs w:val="28"/>
        </w:rPr>
      </w:pPr>
    </w:p>
    <w:p w:rsidR="00B033FA" w:rsidRPr="00455003" w:rsidRDefault="00B033FA" w:rsidP="00C659A0">
      <w:pPr>
        <w:tabs>
          <w:tab w:val="left" w:pos="720"/>
          <w:tab w:val="left" w:pos="1440"/>
          <w:tab w:val="left" w:pos="2160"/>
          <w:tab w:val="left" w:pos="2880"/>
          <w:tab w:val="left" w:pos="3600"/>
          <w:tab w:val="left" w:pos="4320"/>
          <w:tab w:val="left" w:pos="5040"/>
          <w:tab w:val="left" w:pos="5760"/>
        </w:tabs>
        <w:ind w:left="5760" w:hanging="57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55003">
        <w:rPr>
          <w:sz w:val="28"/>
          <w:szCs w:val="28"/>
        </w:rPr>
        <w:t>S.H. Smallwood</w:t>
      </w:r>
    </w:p>
    <w:p w:rsidR="00B033FA" w:rsidRDefault="00B033FA" w:rsidP="00C659A0">
      <w:pPr>
        <w:rPr>
          <w:sz w:val="28"/>
          <w:szCs w:val="28"/>
        </w:rPr>
      </w:pP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t xml:space="preserve">        J.S.C.</w:t>
      </w:r>
    </w:p>
    <w:p w:rsidR="003B70D6" w:rsidRPr="00844C5B" w:rsidRDefault="003B70D6" w:rsidP="00C659A0">
      <w:pPr>
        <w:ind w:right="86"/>
        <w:rPr>
          <w:sz w:val="28"/>
          <w:szCs w:val="28"/>
        </w:rPr>
      </w:pPr>
      <w:r w:rsidRPr="00844C5B">
        <w:rPr>
          <w:sz w:val="28"/>
          <w:szCs w:val="28"/>
        </w:rPr>
        <w:t>Dated in Yellowknife, NT, this</w:t>
      </w:r>
    </w:p>
    <w:p w:rsidR="003B70D6" w:rsidRPr="00844C5B" w:rsidRDefault="003B70D6" w:rsidP="00C659A0">
      <w:pPr>
        <w:ind w:right="86"/>
        <w:rPr>
          <w:sz w:val="28"/>
          <w:szCs w:val="28"/>
        </w:rPr>
      </w:pPr>
      <w:r w:rsidRPr="003B70D6">
        <w:rPr>
          <w:sz w:val="28"/>
          <w:szCs w:val="28"/>
        </w:rPr>
        <w:t>24</w:t>
      </w:r>
      <w:r w:rsidRPr="00844C5B">
        <w:rPr>
          <w:sz w:val="28"/>
          <w:szCs w:val="28"/>
          <w:vertAlign w:val="superscript"/>
        </w:rPr>
        <w:t>th</w:t>
      </w:r>
      <w:r w:rsidRPr="00844C5B">
        <w:rPr>
          <w:sz w:val="28"/>
          <w:szCs w:val="28"/>
        </w:rPr>
        <w:t xml:space="preserve"> day of </w:t>
      </w:r>
      <w:r>
        <w:rPr>
          <w:sz w:val="28"/>
          <w:szCs w:val="28"/>
        </w:rPr>
        <w:t>May</w:t>
      </w:r>
      <w:r w:rsidRPr="00844C5B">
        <w:rPr>
          <w:sz w:val="28"/>
          <w:szCs w:val="28"/>
        </w:rPr>
        <w:t>, 2017</w:t>
      </w:r>
    </w:p>
    <w:p w:rsidR="003B70D6" w:rsidRDefault="003B70D6" w:rsidP="00C659A0">
      <w:pPr>
        <w:rPr>
          <w:sz w:val="28"/>
          <w:szCs w:val="28"/>
        </w:rPr>
      </w:pPr>
    </w:p>
    <w:p w:rsidR="00960E20" w:rsidRDefault="00960E20" w:rsidP="00C659A0">
      <w:pPr>
        <w:ind w:right="86"/>
        <w:rPr>
          <w:sz w:val="28"/>
          <w:szCs w:val="28"/>
        </w:rPr>
      </w:pPr>
      <w:r w:rsidRPr="008E01CE">
        <w:rPr>
          <w:sz w:val="28"/>
          <w:szCs w:val="28"/>
        </w:rPr>
        <w:t xml:space="preserve">Counsel for the </w:t>
      </w:r>
      <w:r>
        <w:rPr>
          <w:sz w:val="28"/>
          <w:szCs w:val="28"/>
        </w:rPr>
        <w:t>Crown</w:t>
      </w:r>
      <w:r w:rsidRPr="008E01CE">
        <w:rPr>
          <w:sz w:val="28"/>
          <w:szCs w:val="28"/>
        </w:rPr>
        <w:t>:</w:t>
      </w:r>
      <w:r w:rsidRPr="008E01CE">
        <w:rPr>
          <w:sz w:val="28"/>
          <w:szCs w:val="28"/>
        </w:rPr>
        <w:tab/>
      </w:r>
      <w:r>
        <w:rPr>
          <w:sz w:val="28"/>
          <w:szCs w:val="28"/>
        </w:rPr>
        <w:tab/>
      </w:r>
      <w:r>
        <w:rPr>
          <w:sz w:val="28"/>
          <w:szCs w:val="28"/>
        </w:rPr>
        <w:tab/>
      </w:r>
      <w:r>
        <w:rPr>
          <w:sz w:val="28"/>
          <w:szCs w:val="28"/>
        </w:rPr>
        <w:tab/>
      </w:r>
      <w:r>
        <w:rPr>
          <w:sz w:val="28"/>
          <w:szCs w:val="28"/>
        </w:rPr>
        <w:tab/>
        <w:t>Mr. Brendan Green</w:t>
      </w:r>
    </w:p>
    <w:p w:rsidR="003C7C41" w:rsidRDefault="00960E20" w:rsidP="00C659A0">
      <w:pPr>
        <w:rPr>
          <w:sz w:val="28"/>
          <w:szCs w:val="28"/>
        </w:rPr>
      </w:pPr>
      <w:r w:rsidRPr="008E01CE">
        <w:rPr>
          <w:sz w:val="28"/>
          <w:szCs w:val="28"/>
        </w:rPr>
        <w:t xml:space="preserve">Counsel for the </w:t>
      </w:r>
      <w:r>
        <w:rPr>
          <w:sz w:val="28"/>
          <w:szCs w:val="28"/>
        </w:rPr>
        <w:t>Defence</w:t>
      </w:r>
      <w:r w:rsidRPr="008E01CE">
        <w:rPr>
          <w:sz w:val="28"/>
          <w:szCs w:val="28"/>
        </w:rPr>
        <w:t>:</w:t>
      </w:r>
      <w:r>
        <w:rPr>
          <w:sz w:val="28"/>
          <w:szCs w:val="28"/>
        </w:rPr>
        <w:tab/>
      </w:r>
      <w:r>
        <w:rPr>
          <w:sz w:val="28"/>
          <w:szCs w:val="28"/>
        </w:rPr>
        <w:tab/>
      </w:r>
      <w:r>
        <w:rPr>
          <w:sz w:val="28"/>
          <w:szCs w:val="28"/>
        </w:rPr>
        <w:tab/>
      </w:r>
      <w:r>
        <w:rPr>
          <w:sz w:val="28"/>
          <w:szCs w:val="28"/>
        </w:rPr>
        <w:tab/>
      </w:r>
      <w:r>
        <w:rPr>
          <w:sz w:val="28"/>
          <w:szCs w:val="28"/>
        </w:rPr>
        <w:tab/>
      </w:r>
      <w:r w:rsidR="00D854B8">
        <w:rPr>
          <w:sz w:val="28"/>
          <w:szCs w:val="28"/>
        </w:rPr>
        <w:t xml:space="preserve">Ms. Alexandra </w:t>
      </w:r>
      <w:r w:rsidR="003C7C41">
        <w:rPr>
          <w:sz w:val="28"/>
          <w:szCs w:val="28"/>
        </w:rPr>
        <w:t>Seaman</w:t>
      </w:r>
      <w:r>
        <w:rPr>
          <w:sz w:val="28"/>
          <w:szCs w:val="28"/>
        </w:rPr>
        <w:t xml:space="preserve"> </w:t>
      </w:r>
    </w:p>
    <w:p w:rsidR="003B70D6" w:rsidRDefault="003B70D6" w:rsidP="00C659A0">
      <w:pPr>
        <w:rPr>
          <w:sz w:val="28"/>
          <w:szCs w:val="28"/>
        </w:rPr>
      </w:pPr>
    </w:p>
    <w:p w:rsidR="00F91913" w:rsidRDefault="00F91913" w:rsidP="00C659A0">
      <w:pPr>
        <w:widowControl/>
        <w:jc w:val="both"/>
        <w:rPr>
          <w:sz w:val="28"/>
          <w:szCs w:val="28"/>
        </w:rPr>
        <w:sectPr w:rsidR="00F91913" w:rsidSect="00D36E13">
          <w:headerReference w:type="default" r:id="rId9"/>
          <w:pgSz w:w="12240" w:h="15840" w:code="1"/>
          <w:pgMar w:top="1260" w:right="1440" w:bottom="1260" w:left="1440" w:header="720" w:footer="720" w:gutter="0"/>
          <w:cols w:space="720"/>
          <w:titlePg/>
          <w:docGrid w:linePitch="360"/>
        </w:sectPr>
      </w:pPr>
    </w:p>
    <w:tbl>
      <w:tblPr>
        <w:tblStyle w:val="TableGrid"/>
        <w:tblpPr w:leftFromText="180" w:rightFromText="180" w:vertAnchor="page" w:horzAnchor="page" w:tblpX="5098" w:tblpY="1966"/>
        <w:tblW w:w="6408" w:type="dxa"/>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3B70D6" w:rsidRPr="00844C5B" w:rsidTr="007477BB">
        <w:tc>
          <w:tcPr>
            <w:tcW w:w="6408" w:type="dxa"/>
          </w:tcPr>
          <w:p w:rsidR="003B70D6" w:rsidRPr="00844C5B" w:rsidRDefault="007E2EBE" w:rsidP="00C659A0">
            <w:pPr>
              <w:jc w:val="right"/>
              <w:rPr>
                <w:sz w:val="28"/>
                <w:szCs w:val="28"/>
              </w:rPr>
            </w:pPr>
            <w:r w:rsidRPr="00E5322B">
              <w:rPr>
                <w:sz w:val="28"/>
                <w:szCs w:val="28"/>
                <w:lang w:val="en-GB"/>
              </w:rPr>
              <w:lastRenderedPageBreak/>
              <w:t>S-1-CR-20</w:t>
            </w:r>
            <w:r>
              <w:rPr>
                <w:sz w:val="28"/>
                <w:szCs w:val="28"/>
                <w:lang w:val="en-GB"/>
              </w:rPr>
              <w:t>16</w:t>
            </w:r>
            <w:r w:rsidRPr="00E5322B">
              <w:rPr>
                <w:sz w:val="28"/>
                <w:szCs w:val="28"/>
                <w:lang w:val="en-GB"/>
              </w:rPr>
              <w:t>-0000</w:t>
            </w:r>
            <w:r>
              <w:rPr>
                <w:sz w:val="28"/>
                <w:szCs w:val="28"/>
                <w:lang w:val="en-GB"/>
              </w:rPr>
              <w:t>65</w:t>
            </w:r>
          </w:p>
        </w:tc>
      </w:tr>
      <w:tr w:rsidR="003B70D6" w:rsidRPr="00844C5B" w:rsidTr="007477BB">
        <w:tc>
          <w:tcPr>
            <w:tcW w:w="6408" w:type="dxa"/>
          </w:tcPr>
          <w:p w:rsidR="003B70D6" w:rsidRPr="00844C5B" w:rsidRDefault="003B70D6" w:rsidP="00C659A0">
            <w:pPr>
              <w:tabs>
                <w:tab w:val="center" w:pos="2784"/>
              </w:tabs>
              <w:jc w:val="center"/>
              <w:rPr>
                <w:b/>
                <w:bCs/>
                <w:sz w:val="28"/>
                <w:szCs w:val="28"/>
                <w:lang w:val="en-GB"/>
              </w:rPr>
            </w:pPr>
          </w:p>
          <w:p w:rsidR="003B70D6" w:rsidRPr="00844C5B" w:rsidRDefault="003B70D6" w:rsidP="00C659A0">
            <w:pPr>
              <w:tabs>
                <w:tab w:val="center" w:pos="2784"/>
              </w:tabs>
              <w:jc w:val="center"/>
              <w:rPr>
                <w:b/>
                <w:bCs/>
                <w:sz w:val="28"/>
                <w:szCs w:val="28"/>
                <w:lang w:val="en-GB"/>
              </w:rPr>
            </w:pPr>
            <w:r w:rsidRPr="00844C5B">
              <w:rPr>
                <w:b/>
                <w:bCs/>
                <w:sz w:val="28"/>
                <w:szCs w:val="28"/>
                <w:lang w:val="en-GB"/>
              </w:rPr>
              <w:t>IN THE SUPREME COURT OF THE</w:t>
            </w:r>
          </w:p>
          <w:p w:rsidR="003B70D6" w:rsidRPr="00844C5B" w:rsidRDefault="003B70D6" w:rsidP="00C659A0">
            <w:pPr>
              <w:tabs>
                <w:tab w:val="center" w:pos="2784"/>
                <w:tab w:val="left" w:pos="4740"/>
              </w:tabs>
              <w:jc w:val="center"/>
              <w:rPr>
                <w:b/>
                <w:bCs/>
                <w:sz w:val="28"/>
                <w:szCs w:val="28"/>
                <w:lang w:val="en-GB"/>
              </w:rPr>
            </w:pPr>
            <w:r w:rsidRPr="00844C5B">
              <w:rPr>
                <w:b/>
                <w:bCs/>
                <w:sz w:val="28"/>
                <w:szCs w:val="28"/>
                <w:lang w:val="en-GB"/>
              </w:rPr>
              <w:t>NORTHWEST TERRITORIES</w:t>
            </w:r>
          </w:p>
          <w:p w:rsidR="003B70D6" w:rsidRPr="00844C5B" w:rsidRDefault="003B70D6" w:rsidP="00C659A0">
            <w:pPr>
              <w:widowControl/>
              <w:autoSpaceDE/>
              <w:autoSpaceDN/>
              <w:adjustRightInd/>
              <w:jc w:val="both"/>
              <w:rPr>
                <w:rFonts w:eastAsiaTheme="minorHAnsi"/>
                <w:sz w:val="28"/>
                <w:szCs w:val="28"/>
                <w:lang w:val="en-GB" w:eastAsia="en-US"/>
              </w:rPr>
            </w:pPr>
          </w:p>
        </w:tc>
      </w:tr>
      <w:tr w:rsidR="003B70D6" w:rsidRPr="00844C5B" w:rsidTr="007477BB">
        <w:tc>
          <w:tcPr>
            <w:tcW w:w="6408" w:type="dxa"/>
          </w:tcPr>
          <w:p w:rsidR="003B70D6" w:rsidRPr="00844C5B" w:rsidRDefault="003B70D6" w:rsidP="00C659A0">
            <w:pPr>
              <w:widowControl/>
              <w:rPr>
                <w:sz w:val="28"/>
                <w:szCs w:val="28"/>
                <w:lang w:val="en-GB"/>
              </w:rPr>
            </w:pPr>
            <w:r w:rsidRPr="00844C5B">
              <w:rPr>
                <w:sz w:val="28"/>
                <w:szCs w:val="28"/>
                <w:lang w:val="en-GB"/>
              </w:rPr>
              <w:t>BETWEEN :</w:t>
            </w:r>
          </w:p>
          <w:p w:rsidR="003B70D6" w:rsidRPr="00844C5B" w:rsidRDefault="003B70D6" w:rsidP="00C659A0">
            <w:pPr>
              <w:widowControl/>
              <w:jc w:val="center"/>
              <w:rPr>
                <w:sz w:val="28"/>
                <w:szCs w:val="28"/>
                <w:lang w:val="en-GB"/>
              </w:rPr>
            </w:pPr>
          </w:p>
          <w:p w:rsidR="003B70D6" w:rsidRPr="00844C5B" w:rsidRDefault="003B70D6" w:rsidP="00C659A0">
            <w:pPr>
              <w:widowControl/>
              <w:jc w:val="center"/>
              <w:rPr>
                <w:sz w:val="28"/>
                <w:szCs w:val="28"/>
                <w:lang w:val="en-GB"/>
              </w:rPr>
            </w:pPr>
          </w:p>
          <w:p w:rsidR="007E2EBE" w:rsidRPr="00E5322B" w:rsidRDefault="007E2EBE" w:rsidP="00C659A0">
            <w:pPr>
              <w:widowControl/>
              <w:jc w:val="center"/>
              <w:rPr>
                <w:sz w:val="28"/>
                <w:szCs w:val="28"/>
                <w:lang w:val="en-GB"/>
              </w:rPr>
            </w:pPr>
            <w:r w:rsidRPr="00E5322B">
              <w:rPr>
                <w:sz w:val="28"/>
                <w:szCs w:val="28"/>
                <w:lang w:val="en-GB"/>
              </w:rPr>
              <w:t>HER MAJESTY THE QUEEN</w:t>
            </w:r>
          </w:p>
          <w:p w:rsidR="007E2EBE" w:rsidRPr="00E5322B" w:rsidRDefault="007E2EBE" w:rsidP="00C659A0">
            <w:pPr>
              <w:widowControl/>
              <w:rPr>
                <w:sz w:val="28"/>
                <w:szCs w:val="28"/>
                <w:lang w:val="en-GB"/>
              </w:rPr>
            </w:pPr>
          </w:p>
          <w:p w:rsidR="007E2EBE" w:rsidRPr="00E5322B" w:rsidRDefault="007E2EBE" w:rsidP="00C659A0">
            <w:pPr>
              <w:widowControl/>
              <w:rPr>
                <w:sz w:val="28"/>
                <w:szCs w:val="28"/>
                <w:lang w:val="en-GB"/>
              </w:rPr>
            </w:pPr>
          </w:p>
          <w:p w:rsidR="007E2EBE" w:rsidRPr="00E5322B" w:rsidRDefault="007E2EBE" w:rsidP="00C659A0">
            <w:pPr>
              <w:widowControl/>
              <w:tabs>
                <w:tab w:val="center" w:pos="4680"/>
              </w:tabs>
              <w:jc w:val="center"/>
              <w:rPr>
                <w:sz w:val="28"/>
                <w:szCs w:val="28"/>
                <w:lang w:val="en-GB"/>
              </w:rPr>
            </w:pPr>
            <w:r w:rsidRPr="00E5322B">
              <w:rPr>
                <w:sz w:val="28"/>
                <w:szCs w:val="28"/>
                <w:lang w:val="en-GB"/>
              </w:rPr>
              <w:t>- and -</w:t>
            </w:r>
          </w:p>
          <w:p w:rsidR="007E2EBE" w:rsidRPr="00E5322B" w:rsidRDefault="007E2EBE" w:rsidP="00C659A0">
            <w:pPr>
              <w:widowControl/>
              <w:rPr>
                <w:sz w:val="28"/>
                <w:szCs w:val="28"/>
                <w:lang w:val="en-GB"/>
              </w:rPr>
            </w:pPr>
          </w:p>
          <w:p w:rsidR="007E2EBE" w:rsidRPr="00E5322B" w:rsidRDefault="007E2EBE" w:rsidP="00C659A0">
            <w:pPr>
              <w:widowControl/>
              <w:rPr>
                <w:sz w:val="28"/>
                <w:szCs w:val="28"/>
                <w:lang w:val="en-GB"/>
              </w:rPr>
            </w:pPr>
          </w:p>
          <w:p w:rsidR="007E2EBE" w:rsidRPr="00E5322B" w:rsidRDefault="007E2EBE" w:rsidP="00C659A0">
            <w:pPr>
              <w:widowControl/>
              <w:jc w:val="center"/>
              <w:rPr>
                <w:sz w:val="28"/>
                <w:szCs w:val="28"/>
                <w:lang w:val="en-GB"/>
              </w:rPr>
            </w:pPr>
            <w:r>
              <w:rPr>
                <w:sz w:val="28"/>
                <w:szCs w:val="28"/>
                <w:lang w:val="en-GB"/>
              </w:rPr>
              <w:t>MARTY RYAN BOUVIER</w:t>
            </w:r>
          </w:p>
          <w:p w:rsidR="003B70D6" w:rsidRPr="00844C5B" w:rsidRDefault="003B70D6" w:rsidP="00C659A0">
            <w:pPr>
              <w:widowControl/>
              <w:jc w:val="center"/>
              <w:rPr>
                <w:sz w:val="28"/>
                <w:szCs w:val="28"/>
                <w:lang w:val="en-GB"/>
              </w:rPr>
            </w:pPr>
          </w:p>
          <w:p w:rsidR="0002135E" w:rsidRPr="00F70D3C" w:rsidRDefault="0002135E" w:rsidP="0002135E">
            <w:pPr>
              <w:jc w:val="center"/>
            </w:pPr>
            <w:r w:rsidRPr="00F70D3C">
              <w:rPr>
                <w:lang w:val="en-CA"/>
              </w:rPr>
              <w:fldChar w:fldCharType="begin"/>
            </w:r>
            <w:r w:rsidRPr="00F70D3C">
              <w:rPr>
                <w:lang w:val="en-CA"/>
              </w:rPr>
              <w:instrText xml:space="preserve"> SEQ CHAPTER \h \r 1</w:instrText>
            </w:r>
            <w:r w:rsidRPr="00F70D3C">
              <w:rPr>
                <w:lang w:val="en-CA"/>
              </w:rPr>
              <w:fldChar w:fldCharType="end"/>
            </w:r>
          </w:p>
          <w:tbl>
            <w:tblPr>
              <w:tblW w:w="0" w:type="auto"/>
              <w:tblInd w:w="1290" w:type="dxa"/>
              <w:tblCellMar>
                <w:left w:w="154" w:type="dxa"/>
                <w:right w:w="154" w:type="dxa"/>
              </w:tblCellMar>
              <w:tblLook w:val="0000" w:firstRow="0" w:lastRow="0" w:firstColumn="0" w:lastColumn="0" w:noHBand="0" w:noVBand="0"/>
            </w:tblPr>
            <w:tblGrid>
              <w:gridCol w:w="4782"/>
            </w:tblGrid>
            <w:tr w:rsidR="0002135E" w:rsidRPr="00F70D3C" w:rsidTr="00A34049">
              <w:trPr>
                <w:cantSplit/>
              </w:trPr>
              <w:tc>
                <w:tcPr>
                  <w:tcW w:w="6570" w:type="dxa"/>
                  <w:tcBorders>
                    <w:top w:val="thinThickSmallGap" w:sz="36" w:space="0" w:color="000000"/>
                    <w:left w:val="thinThickSmallGap" w:sz="36" w:space="0" w:color="000000"/>
                    <w:bottom w:val="thickThinSmallGap" w:sz="36" w:space="0" w:color="000000"/>
                    <w:right w:val="thickThinSmallGap" w:sz="36" w:space="0" w:color="000000"/>
                  </w:tcBorders>
                </w:tcPr>
                <w:p w:rsidR="0002135E" w:rsidRPr="00F70D3C" w:rsidRDefault="0002135E" w:rsidP="00DE43ED">
                  <w:pPr>
                    <w:framePr w:hSpace="180" w:wrap="around" w:vAnchor="page" w:hAnchor="page" w:x="5098" w:y="1966"/>
                    <w:jc w:val="center"/>
                  </w:pPr>
                  <w:r w:rsidRPr="00F70D3C">
                    <w:rPr>
                      <w:b/>
                      <w:bCs/>
                      <w:sz w:val="19"/>
                      <w:szCs w:val="19"/>
                    </w:rPr>
                    <w:t xml:space="preserve">Restriction on Publication: </w:t>
                  </w:r>
                  <w:r w:rsidRPr="00F70D3C">
                    <w:rPr>
                      <w:sz w:val="19"/>
                      <w:szCs w:val="19"/>
                    </w:rPr>
                    <w:t xml:space="preserve">By Court Order, there is a ban on publishing information that may identify the person/persons described in this judgment as the complainant/witness.  See the </w:t>
                  </w:r>
                  <w:r w:rsidRPr="00F70D3C">
                    <w:rPr>
                      <w:i/>
                      <w:iCs/>
                      <w:sz w:val="19"/>
                      <w:szCs w:val="19"/>
                    </w:rPr>
                    <w:t>Criminal Code</w:t>
                  </w:r>
                  <w:r w:rsidRPr="00F70D3C">
                    <w:rPr>
                      <w:sz w:val="19"/>
                      <w:szCs w:val="19"/>
                    </w:rPr>
                    <w:t>, s. 486.4.</w:t>
                  </w:r>
                </w:p>
              </w:tc>
            </w:tr>
          </w:tbl>
          <w:p w:rsidR="0002135E" w:rsidRPr="00AA6B21" w:rsidRDefault="0002135E" w:rsidP="0002135E">
            <w:r w:rsidRPr="00AA6B21">
              <w:rPr>
                <w:lang w:val="en-CA"/>
              </w:rPr>
              <w:fldChar w:fldCharType="begin"/>
            </w:r>
            <w:r w:rsidRPr="00AA6B21">
              <w:rPr>
                <w:lang w:val="en-CA"/>
              </w:rPr>
              <w:instrText xml:space="preserve"> SEQ CHAPTER \h \r 1</w:instrText>
            </w:r>
            <w:r w:rsidRPr="00AA6B21">
              <w:rPr>
                <w:lang w:val="en-CA"/>
              </w:rPr>
              <w:fldChar w:fldCharType="end"/>
            </w:r>
          </w:p>
          <w:tbl>
            <w:tblPr>
              <w:tblW w:w="0" w:type="auto"/>
              <w:tblInd w:w="1290" w:type="dxa"/>
              <w:tblCellMar>
                <w:left w:w="154" w:type="dxa"/>
                <w:right w:w="154" w:type="dxa"/>
              </w:tblCellMar>
              <w:tblLook w:val="0000" w:firstRow="0" w:lastRow="0" w:firstColumn="0" w:lastColumn="0" w:noHBand="0" w:noVBand="0"/>
            </w:tblPr>
            <w:tblGrid>
              <w:gridCol w:w="4782"/>
            </w:tblGrid>
            <w:tr w:rsidR="0002135E" w:rsidRPr="00E85AB4" w:rsidTr="00A34049">
              <w:trPr>
                <w:cantSplit/>
                <w:trHeight w:val="681"/>
              </w:trPr>
              <w:tc>
                <w:tcPr>
                  <w:tcW w:w="6570" w:type="dxa"/>
                  <w:tcBorders>
                    <w:top w:val="thinThickSmallGap" w:sz="36" w:space="0" w:color="000000"/>
                    <w:left w:val="thinThickSmallGap" w:sz="36" w:space="0" w:color="000000"/>
                    <w:bottom w:val="thickThinSmallGap" w:sz="36" w:space="0" w:color="000000"/>
                    <w:right w:val="thickThinSmallGap" w:sz="36" w:space="0" w:color="000000"/>
                  </w:tcBorders>
                </w:tcPr>
                <w:p w:rsidR="0002135E" w:rsidRDefault="0002135E" w:rsidP="00DE43ED">
                  <w:pPr>
                    <w:framePr w:hSpace="180" w:wrap="around" w:vAnchor="page" w:hAnchor="page" w:x="5098" w:y="1966"/>
                    <w:jc w:val="center"/>
                    <w:rPr>
                      <w:b/>
                      <w:bCs/>
                      <w:sz w:val="19"/>
                      <w:szCs w:val="19"/>
                      <w:lang w:val="en-CA"/>
                    </w:rPr>
                  </w:pPr>
                  <w:r w:rsidRPr="00AA6B21">
                    <w:rPr>
                      <w:b/>
                      <w:bCs/>
                      <w:sz w:val="19"/>
                      <w:szCs w:val="19"/>
                    </w:rPr>
                    <w:fldChar w:fldCharType="begin"/>
                  </w:r>
                  <w:r w:rsidRPr="00AA6B21">
                    <w:rPr>
                      <w:b/>
                      <w:bCs/>
                      <w:sz w:val="19"/>
                      <w:szCs w:val="19"/>
                    </w:rPr>
                    <w:instrText xml:space="preserve"> SEQ CHAPTER \h \r 1</w:instrText>
                  </w:r>
                  <w:r w:rsidRPr="00AA6B21">
                    <w:rPr>
                      <w:b/>
                      <w:bCs/>
                      <w:sz w:val="19"/>
                      <w:szCs w:val="19"/>
                    </w:rPr>
                    <w:fldChar w:fldCharType="end"/>
                  </w:r>
                  <w:r w:rsidRPr="00AA6B21">
                    <w:rPr>
                      <w:b/>
                      <w:bCs/>
                      <w:sz w:val="19"/>
                      <w:szCs w:val="19"/>
                    </w:rPr>
                    <w:t>There</w:t>
                  </w:r>
                  <w:r w:rsidRPr="00AA6B21">
                    <w:rPr>
                      <w:b/>
                      <w:bCs/>
                      <w:sz w:val="19"/>
                      <w:szCs w:val="19"/>
                      <w:lang w:val="en-CA"/>
                    </w:rPr>
                    <w:t xml:space="preserve"> is a temporary ban on publicati</w:t>
                  </w:r>
                  <w:r>
                    <w:rPr>
                      <w:b/>
                      <w:bCs/>
                      <w:sz w:val="19"/>
                      <w:szCs w:val="19"/>
                      <w:lang w:val="en-CA"/>
                    </w:rPr>
                    <w:t>on on this judgment pursuant to</w:t>
                  </w:r>
                </w:p>
                <w:p w:rsidR="0002135E" w:rsidRPr="00AA6B21" w:rsidRDefault="0002135E" w:rsidP="00DE43ED">
                  <w:pPr>
                    <w:framePr w:hSpace="180" w:wrap="around" w:vAnchor="page" w:hAnchor="page" w:x="5098" w:y="1966"/>
                    <w:jc w:val="center"/>
                    <w:rPr>
                      <w:lang w:val="en-CA"/>
                    </w:rPr>
                  </w:pPr>
                  <w:r w:rsidRPr="00AA6B21">
                    <w:rPr>
                      <w:b/>
                      <w:bCs/>
                      <w:sz w:val="19"/>
                      <w:szCs w:val="19"/>
                      <w:lang w:val="en-CA"/>
                    </w:rPr>
                    <w:t xml:space="preserve">s. 648 of the </w:t>
                  </w:r>
                  <w:r w:rsidRPr="00AA6B21">
                    <w:rPr>
                      <w:b/>
                      <w:bCs/>
                      <w:i/>
                      <w:iCs/>
                      <w:sz w:val="19"/>
                      <w:szCs w:val="19"/>
                      <w:lang w:val="en-CA"/>
                    </w:rPr>
                    <w:t>Criminal Code</w:t>
                  </w:r>
                  <w:r w:rsidRPr="00AA6B21">
                    <w:rPr>
                      <w:b/>
                      <w:bCs/>
                      <w:sz w:val="19"/>
                      <w:szCs w:val="19"/>
                      <w:lang w:val="en-CA"/>
                    </w:rPr>
                    <w:t>.</w:t>
                  </w:r>
                </w:p>
              </w:tc>
            </w:tr>
          </w:tbl>
          <w:p w:rsidR="0002135E" w:rsidRPr="00AA6B21" w:rsidRDefault="0002135E" w:rsidP="0002135E">
            <w:pPr>
              <w:rPr>
                <w:b/>
                <w:bCs/>
                <w:i/>
                <w:iCs/>
                <w:lang w:val="en-CA"/>
              </w:rPr>
            </w:pPr>
          </w:p>
          <w:p w:rsidR="003B70D6" w:rsidRPr="00844C5B" w:rsidRDefault="003B70D6" w:rsidP="00C659A0">
            <w:pPr>
              <w:widowControl/>
              <w:jc w:val="center"/>
              <w:rPr>
                <w:sz w:val="28"/>
                <w:szCs w:val="28"/>
                <w:lang w:val="en-GB"/>
              </w:rPr>
            </w:pPr>
          </w:p>
          <w:p w:rsidR="003B70D6" w:rsidRPr="00844C5B" w:rsidRDefault="003B70D6" w:rsidP="00C659A0">
            <w:pPr>
              <w:widowControl/>
              <w:jc w:val="center"/>
              <w:rPr>
                <w:sz w:val="28"/>
                <w:szCs w:val="28"/>
                <w:lang w:val="en-GB"/>
              </w:rPr>
            </w:pPr>
          </w:p>
          <w:p w:rsidR="003B70D6" w:rsidRPr="00844C5B" w:rsidRDefault="003B70D6" w:rsidP="00C659A0">
            <w:pPr>
              <w:rPr>
                <w:sz w:val="28"/>
                <w:szCs w:val="28"/>
              </w:rPr>
            </w:pPr>
          </w:p>
        </w:tc>
      </w:tr>
      <w:tr w:rsidR="003B70D6" w:rsidRPr="00844C5B" w:rsidTr="007477BB">
        <w:tc>
          <w:tcPr>
            <w:tcW w:w="6408" w:type="dxa"/>
          </w:tcPr>
          <w:p w:rsidR="003B70D6" w:rsidRPr="00844C5B" w:rsidRDefault="003B70D6" w:rsidP="00C659A0">
            <w:pPr>
              <w:tabs>
                <w:tab w:val="left" w:pos="720"/>
                <w:tab w:val="left" w:pos="1452"/>
                <w:tab w:val="left" w:pos="2392"/>
              </w:tabs>
              <w:jc w:val="center"/>
              <w:rPr>
                <w:sz w:val="28"/>
                <w:szCs w:val="28"/>
                <w:lang w:val="en-GB"/>
              </w:rPr>
            </w:pPr>
          </w:p>
          <w:p w:rsidR="00D8509A" w:rsidRDefault="003B70D6" w:rsidP="00C659A0">
            <w:pPr>
              <w:tabs>
                <w:tab w:val="left" w:pos="720"/>
                <w:tab w:val="left" w:pos="1452"/>
                <w:tab w:val="left" w:pos="2392"/>
              </w:tabs>
              <w:jc w:val="center"/>
              <w:rPr>
                <w:sz w:val="28"/>
                <w:szCs w:val="28"/>
              </w:rPr>
            </w:pPr>
            <w:r w:rsidRPr="00844C5B">
              <w:rPr>
                <w:sz w:val="28"/>
                <w:szCs w:val="28"/>
              </w:rPr>
              <w:t>MEMORANDUM OF JUDGMENT</w:t>
            </w:r>
          </w:p>
          <w:p w:rsidR="00D8509A" w:rsidRPr="00ED534D" w:rsidRDefault="00D8509A" w:rsidP="00D8509A">
            <w:pPr>
              <w:widowControl/>
              <w:jc w:val="center"/>
              <w:rPr>
                <w:caps/>
                <w:sz w:val="28"/>
                <w:szCs w:val="28"/>
                <w:lang w:val="en-GB"/>
              </w:rPr>
            </w:pPr>
            <w:r w:rsidRPr="00ED534D">
              <w:rPr>
                <w:caps/>
                <w:sz w:val="28"/>
                <w:szCs w:val="28"/>
                <w:lang w:val="en-GB"/>
              </w:rPr>
              <w:t>(APPPLICATION FOR Change of Venue)</w:t>
            </w:r>
            <w:r w:rsidR="00ED534D">
              <w:rPr>
                <w:caps/>
                <w:sz w:val="28"/>
                <w:szCs w:val="28"/>
                <w:lang w:val="en-GB"/>
              </w:rPr>
              <w:t xml:space="preserve"> </w:t>
            </w:r>
          </w:p>
          <w:p w:rsidR="00D8509A" w:rsidRDefault="003B70D6" w:rsidP="00C659A0">
            <w:pPr>
              <w:tabs>
                <w:tab w:val="left" w:pos="720"/>
                <w:tab w:val="left" w:pos="1452"/>
                <w:tab w:val="left" w:pos="2392"/>
              </w:tabs>
              <w:jc w:val="center"/>
              <w:rPr>
                <w:sz w:val="28"/>
                <w:szCs w:val="28"/>
                <w:lang w:val="en-GB"/>
              </w:rPr>
            </w:pPr>
            <w:r w:rsidRPr="00844C5B">
              <w:rPr>
                <w:sz w:val="28"/>
                <w:szCs w:val="28"/>
                <w:lang w:val="en-GB"/>
              </w:rPr>
              <w:t>OF</w:t>
            </w:r>
            <w:r w:rsidR="00D8509A">
              <w:rPr>
                <w:sz w:val="28"/>
                <w:szCs w:val="28"/>
                <w:lang w:val="en-GB"/>
              </w:rPr>
              <w:t xml:space="preserve"> </w:t>
            </w:r>
          </w:p>
          <w:p w:rsidR="003B70D6" w:rsidRPr="00844C5B" w:rsidRDefault="003B70D6" w:rsidP="00C659A0">
            <w:pPr>
              <w:tabs>
                <w:tab w:val="left" w:pos="720"/>
                <w:tab w:val="left" w:pos="1452"/>
                <w:tab w:val="left" w:pos="2392"/>
              </w:tabs>
              <w:jc w:val="center"/>
              <w:rPr>
                <w:sz w:val="28"/>
                <w:szCs w:val="28"/>
                <w:lang w:val="en-GB"/>
              </w:rPr>
            </w:pPr>
            <w:r w:rsidRPr="00844C5B">
              <w:rPr>
                <w:sz w:val="28"/>
                <w:szCs w:val="28"/>
                <w:lang w:val="en-GB"/>
              </w:rPr>
              <w:t>THE HONOURABLE JUSTICE S.H. SMALLWOOD</w:t>
            </w:r>
          </w:p>
          <w:p w:rsidR="003B70D6" w:rsidRPr="00844C5B" w:rsidRDefault="003B70D6" w:rsidP="00C659A0">
            <w:pPr>
              <w:tabs>
                <w:tab w:val="left" w:pos="720"/>
                <w:tab w:val="left" w:pos="1452"/>
                <w:tab w:val="left" w:pos="2392"/>
              </w:tabs>
              <w:jc w:val="center"/>
              <w:rPr>
                <w:sz w:val="28"/>
                <w:szCs w:val="28"/>
                <w:lang w:val="en-GB"/>
              </w:rPr>
            </w:pPr>
          </w:p>
        </w:tc>
      </w:tr>
    </w:tbl>
    <w:p w:rsidR="003B70D6" w:rsidRDefault="003B70D6" w:rsidP="00C659A0">
      <w:pPr>
        <w:widowControl/>
        <w:jc w:val="both"/>
        <w:rPr>
          <w:sz w:val="28"/>
          <w:szCs w:val="28"/>
        </w:rPr>
      </w:pPr>
    </w:p>
    <w:p w:rsidR="003B70D6" w:rsidRPr="00455003" w:rsidRDefault="003B70D6" w:rsidP="00C659A0">
      <w:pPr>
        <w:rPr>
          <w:sz w:val="28"/>
          <w:szCs w:val="28"/>
        </w:rPr>
      </w:pPr>
    </w:p>
    <w:sectPr w:rsidR="003B70D6" w:rsidRPr="00455003" w:rsidSect="00D36E13">
      <w:pgSz w:w="12240" w:h="15840" w:code="1"/>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57" w:rsidRDefault="00F81E57" w:rsidP="00F81E57">
      <w:r>
        <w:separator/>
      </w:r>
    </w:p>
  </w:endnote>
  <w:endnote w:type="continuationSeparator" w:id="0">
    <w:p w:rsidR="00F81E57" w:rsidRDefault="00F81E57" w:rsidP="00F8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57" w:rsidRDefault="00F81E57" w:rsidP="00F81E57">
      <w:r>
        <w:separator/>
      </w:r>
    </w:p>
  </w:footnote>
  <w:footnote w:type="continuationSeparator" w:id="0">
    <w:p w:rsidR="00F81E57" w:rsidRDefault="00F81E57" w:rsidP="00F8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57" w:rsidRDefault="00F81E57">
    <w:pPr>
      <w:pStyle w:val="Header"/>
      <w:jc w:val="right"/>
    </w:pPr>
    <w:r>
      <w:t xml:space="preserve">Page </w:t>
    </w:r>
    <w:sdt>
      <w:sdtPr>
        <w:id w:val="558832567"/>
        <w:docPartObj>
          <w:docPartGallery w:val="Page Numbers (Top of Page)"/>
          <w:docPartUnique/>
        </w:docPartObj>
      </w:sdtPr>
      <w:sdtEndPr/>
      <w:sdtContent>
        <w:r>
          <w:fldChar w:fldCharType="begin"/>
        </w:r>
        <w:r>
          <w:instrText>PAGE   \* MERGEFORMAT</w:instrText>
        </w:r>
        <w:r>
          <w:fldChar w:fldCharType="separate"/>
        </w:r>
        <w:r w:rsidR="00DE43ED" w:rsidRPr="00DE43ED">
          <w:rPr>
            <w:noProof/>
            <w:lang w:val="fr-FR"/>
          </w:rPr>
          <w:t>8</w:t>
        </w:r>
        <w:r>
          <w:fldChar w:fldCharType="end"/>
        </w:r>
      </w:sdtContent>
    </w:sdt>
  </w:p>
  <w:p w:rsidR="00F81E57" w:rsidRDefault="00F81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531"/>
    <w:multiLevelType w:val="hybridMultilevel"/>
    <w:tmpl w:val="F0ACBECC"/>
    <w:lvl w:ilvl="0" w:tplc="F1A4E1C6">
      <w:start w:val="1"/>
      <w:numFmt w:val="lowerLetter"/>
      <w:lvlText w:val="(%1)"/>
      <w:lvlJc w:val="left"/>
      <w:pPr>
        <w:ind w:left="2694" w:hanging="444"/>
      </w:pPr>
      <w:rPr>
        <w:rFonts w:hint="default"/>
      </w:rPr>
    </w:lvl>
    <w:lvl w:ilvl="1" w:tplc="0C0C0019" w:tentative="1">
      <w:start w:val="1"/>
      <w:numFmt w:val="lowerLetter"/>
      <w:lvlText w:val="%2."/>
      <w:lvlJc w:val="left"/>
      <w:pPr>
        <w:ind w:left="3330" w:hanging="360"/>
      </w:pPr>
    </w:lvl>
    <w:lvl w:ilvl="2" w:tplc="0C0C001B" w:tentative="1">
      <w:start w:val="1"/>
      <w:numFmt w:val="lowerRoman"/>
      <w:lvlText w:val="%3."/>
      <w:lvlJc w:val="right"/>
      <w:pPr>
        <w:ind w:left="4050" w:hanging="180"/>
      </w:pPr>
    </w:lvl>
    <w:lvl w:ilvl="3" w:tplc="0C0C000F" w:tentative="1">
      <w:start w:val="1"/>
      <w:numFmt w:val="decimal"/>
      <w:lvlText w:val="%4."/>
      <w:lvlJc w:val="left"/>
      <w:pPr>
        <w:ind w:left="4770" w:hanging="360"/>
      </w:pPr>
    </w:lvl>
    <w:lvl w:ilvl="4" w:tplc="0C0C0019" w:tentative="1">
      <w:start w:val="1"/>
      <w:numFmt w:val="lowerLetter"/>
      <w:lvlText w:val="%5."/>
      <w:lvlJc w:val="left"/>
      <w:pPr>
        <w:ind w:left="5490" w:hanging="360"/>
      </w:pPr>
    </w:lvl>
    <w:lvl w:ilvl="5" w:tplc="0C0C001B" w:tentative="1">
      <w:start w:val="1"/>
      <w:numFmt w:val="lowerRoman"/>
      <w:lvlText w:val="%6."/>
      <w:lvlJc w:val="right"/>
      <w:pPr>
        <w:ind w:left="6210" w:hanging="180"/>
      </w:pPr>
    </w:lvl>
    <w:lvl w:ilvl="6" w:tplc="0C0C000F" w:tentative="1">
      <w:start w:val="1"/>
      <w:numFmt w:val="decimal"/>
      <w:lvlText w:val="%7."/>
      <w:lvlJc w:val="left"/>
      <w:pPr>
        <w:ind w:left="6930" w:hanging="360"/>
      </w:pPr>
    </w:lvl>
    <w:lvl w:ilvl="7" w:tplc="0C0C0019" w:tentative="1">
      <w:start w:val="1"/>
      <w:numFmt w:val="lowerLetter"/>
      <w:lvlText w:val="%8."/>
      <w:lvlJc w:val="left"/>
      <w:pPr>
        <w:ind w:left="7650" w:hanging="360"/>
      </w:pPr>
    </w:lvl>
    <w:lvl w:ilvl="8" w:tplc="0C0C001B" w:tentative="1">
      <w:start w:val="1"/>
      <w:numFmt w:val="lowerRoman"/>
      <w:lvlText w:val="%9."/>
      <w:lvlJc w:val="right"/>
      <w:pPr>
        <w:ind w:left="8370" w:hanging="180"/>
      </w:pPr>
    </w:lvl>
  </w:abstractNum>
  <w:abstractNum w:abstractNumId="1">
    <w:nsid w:val="049166D4"/>
    <w:multiLevelType w:val="hybridMultilevel"/>
    <w:tmpl w:val="AE6633D6"/>
    <w:lvl w:ilvl="0" w:tplc="72128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930B0F"/>
    <w:multiLevelType w:val="hybridMultilevel"/>
    <w:tmpl w:val="CEF2D648"/>
    <w:lvl w:ilvl="0" w:tplc="FA9E2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30043"/>
    <w:multiLevelType w:val="hybridMultilevel"/>
    <w:tmpl w:val="3D681E2C"/>
    <w:lvl w:ilvl="0" w:tplc="D40ECE92">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CF856B6"/>
    <w:multiLevelType w:val="hybridMultilevel"/>
    <w:tmpl w:val="83AA7928"/>
    <w:lvl w:ilvl="0" w:tplc="3334CC26">
      <w:start w:val="5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7F"/>
    <w:rsid w:val="0000283B"/>
    <w:rsid w:val="000119C0"/>
    <w:rsid w:val="0001253D"/>
    <w:rsid w:val="00013494"/>
    <w:rsid w:val="00015E55"/>
    <w:rsid w:val="00016DC9"/>
    <w:rsid w:val="0002135E"/>
    <w:rsid w:val="00026BE9"/>
    <w:rsid w:val="000404F2"/>
    <w:rsid w:val="00047645"/>
    <w:rsid w:val="00057BB5"/>
    <w:rsid w:val="00070C37"/>
    <w:rsid w:val="00074D05"/>
    <w:rsid w:val="00084628"/>
    <w:rsid w:val="00087E4A"/>
    <w:rsid w:val="000C6AE3"/>
    <w:rsid w:val="000E5F6E"/>
    <w:rsid w:val="000F41EE"/>
    <w:rsid w:val="000F64BB"/>
    <w:rsid w:val="001059A9"/>
    <w:rsid w:val="00110835"/>
    <w:rsid w:val="00114421"/>
    <w:rsid w:val="00114AB3"/>
    <w:rsid w:val="0011501F"/>
    <w:rsid w:val="00116E68"/>
    <w:rsid w:val="00120A74"/>
    <w:rsid w:val="00125415"/>
    <w:rsid w:val="00153415"/>
    <w:rsid w:val="001536A9"/>
    <w:rsid w:val="001536FC"/>
    <w:rsid w:val="001619D3"/>
    <w:rsid w:val="001863A6"/>
    <w:rsid w:val="001A546D"/>
    <w:rsid w:val="001B4708"/>
    <w:rsid w:val="001D18EB"/>
    <w:rsid w:val="001D22F3"/>
    <w:rsid w:val="002054F0"/>
    <w:rsid w:val="00207194"/>
    <w:rsid w:val="002274DA"/>
    <w:rsid w:val="002279EF"/>
    <w:rsid w:val="002410B3"/>
    <w:rsid w:val="00252F3F"/>
    <w:rsid w:val="00266186"/>
    <w:rsid w:val="002662E2"/>
    <w:rsid w:val="00275F50"/>
    <w:rsid w:val="002770ED"/>
    <w:rsid w:val="002774DB"/>
    <w:rsid w:val="00280AFD"/>
    <w:rsid w:val="00287963"/>
    <w:rsid w:val="00292469"/>
    <w:rsid w:val="002C74CC"/>
    <w:rsid w:val="002D089B"/>
    <w:rsid w:val="00331786"/>
    <w:rsid w:val="00335D3D"/>
    <w:rsid w:val="00350276"/>
    <w:rsid w:val="00370923"/>
    <w:rsid w:val="003818EA"/>
    <w:rsid w:val="003A0E6F"/>
    <w:rsid w:val="003A2FB8"/>
    <w:rsid w:val="003A67D7"/>
    <w:rsid w:val="003B70D6"/>
    <w:rsid w:val="003C7C41"/>
    <w:rsid w:val="003D7927"/>
    <w:rsid w:val="003E02D4"/>
    <w:rsid w:val="004067A9"/>
    <w:rsid w:val="00433D8F"/>
    <w:rsid w:val="004415C1"/>
    <w:rsid w:val="004535D9"/>
    <w:rsid w:val="00456A48"/>
    <w:rsid w:val="00471A7E"/>
    <w:rsid w:val="004725D6"/>
    <w:rsid w:val="00474B27"/>
    <w:rsid w:val="00497AB4"/>
    <w:rsid w:val="004B3EA3"/>
    <w:rsid w:val="00503C1A"/>
    <w:rsid w:val="005228A0"/>
    <w:rsid w:val="00531D4F"/>
    <w:rsid w:val="005334FA"/>
    <w:rsid w:val="00536F01"/>
    <w:rsid w:val="005551F1"/>
    <w:rsid w:val="00562B32"/>
    <w:rsid w:val="00581692"/>
    <w:rsid w:val="00582613"/>
    <w:rsid w:val="00583406"/>
    <w:rsid w:val="005857B4"/>
    <w:rsid w:val="00590CD9"/>
    <w:rsid w:val="00597F97"/>
    <w:rsid w:val="005B0337"/>
    <w:rsid w:val="005B2B03"/>
    <w:rsid w:val="005C0DE2"/>
    <w:rsid w:val="005C2ED2"/>
    <w:rsid w:val="005C73AB"/>
    <w:rsid w:val="005D33A3"/>
    <w:rsid w:val="005E2C7F"/>
    <w:rsid w:val="005E7AB4"/>
    <w:rsid w:val="005F5728"/>
    <w:rsid w:val="00604985"/>
    <w:rsid w:val="00611EE8"/>
    <w:rsid w:val="0061423F"/>
    <w:rsid w:val="0061520E"/>
    <w:rsid w:val="00627D03"/>
    <w:rsid w:val="0063499F"/>
    <w:rsid w:val="006400F9"/>
    <w:rsid w:val="00663EEF"/>
    <w:rsid w:val="00664860"/>
    <w:rsid w:val="00671FBE"/>
    <w:rsid w:val="00674BD9"/>
    <w:rsid w:val="006814F7"/>
    <w:rsid w:val="006845AE"/>
    <w:rsid w:val="00684CA7"/>
    <w:rsid w:val="00692936"/>
    <w:rsid w:val="006A46C3"/>
    <w:rsid w:val="006C5684"/>
    <w:rsid w:val="006C6D5B"/>
    <w:rsid w:val="00701E06"/>
    <w:rsid w:val="00702473"/>
    <w:rsid w:val="00722C51"/>
    <w:rsid w:val="00724831"/>
    <w:rsid w:val="00732959"/>
    <w:rsid w:val="0076336C"/>
    <w:rsid w:val="00766058"/>
    <w:rsid w:val="00766AF1"/>
    <w:rsid w:val="00773C11"/>
    <w:rsid w:val="0078124A"/>
    <w:rsid w:val="00793B3E"/>
    <w:rsid w:val="00794BD7"/>
    <w:rsid w:val="007B0E47"/>
    <w:rsid w:val="007C72D0"/>
    <w:rsid w:val="007D3CBF"/>
    <w:rsid w:val="007E2EBE"/>
    <w:rsid w:val="007F1FA8"/>
    <w:rsid w:val="00814FC0"/>
    <w:rsid w:val="00825B7B"/>
    <w:rsid w:val="00826969"/>
    <w:rsid w:val="00836695"/>
    <w:rsid w:val="00847DCB"/>
    <w:rsid w:val="00853E56"/>
    <w:rsid w:val="00857B37"/>
    <w:rsid w:val="00874EED"/>
    <w:rsid w:val="0088479D"/>
    <w:rsid w:val="008B7622"/>
    <w:rsid w:val="008B7F5C"/>
    <w:rsid w:val="008C0855"/>
    <w:rsid w:val="008C4CDB"/>
    <w:rsid w:val="008C6039"/>
    <w:rsid w:val="008D7027"/>
    <w:rsid w:val="008D7390"/>
    <w:rsid w:val="008E51A1"/>
    <w:rsid w:val="008F2167"/>
    <w:rsid w:val="008F3E3C"/>
    <w:rsid w:val="00902814"/>
    <w:rsid w:val="00904E7D"/>
    <w:rsid w:val="00917DFF"/>
    <w:rsid w:val="009570AD"/>
    <w:rsid w:val="00960E20"/>
    <w:rsid w:val="00972C86"/>
    <w:rsid w:val="009A41AD"/>
    <w:rsid w:val="009A5AE6"/>
    <w:rsid w:val="009B4668"/>
    <w:rsid w:val="009D6597"/>
    <w:rsid w:val="009E28C8"/>
    <w:rsid w:val="009F5239"/>
    <w:rsid w:val="009F6FB8"/>
    <w:rsid w:val="00A02BDD"/>
    <w:rsid w:val="00A11FFD"/>
    <w:rsid w:val="00A14A17"/>
    <w:rsid w:val="00A27CDF"/>
    <w:rsid w:val="00A33EF3"/>
    <w:rsid w:val="00A50033"/>
    <w:rsid w:val="00A509F3"/>
    <w:rsid w:val="00A75F9E"/>
    <w:rsid w:val="00A976A2"/>
    <w:rsid w:val="00AA5A8F"/>
    <w:rsid w:val="00AB76E4"/>
    <w:rsid w:val="00AB793C"/>
    <w:rsid w:val="00AC0B3E"/>
    <w:rsid w:val="00AC60FF"/>
    <w:rsid w:val="00AF35E1"/>
    <w:rsid w:val="00B01589"/>
    <w:rsid w:val="00B033FA"/>
    <w:rsid w:val="00B165D1"/>
    <w:rsid w:val="00B32610"/>
    <w:rsid w:val="00B33C41"/>
    <w:rsid w:val="00B46544"/>
    <w:rsid w:val="00B621B6"/>
    <w:rsid w:val="00B7456D"/>
    <w:rsid w:val="00B83ECF"/>
    <w:rsid w:val="00B841ED"/>
    <w:rsid w:val="00B8762B"/>
    <w:rsid w:val="00B95768"/>
    <w:rsid w:val="00BA7B7F"/>
    <w:rsid w:val="00BB7C34"/>
    <w:rsid w:val="00BC1F94"/>
    <w:rsid w:val="00BC2940"/>
    <w:rsid w:val="00BC3FDA"/>
    <w:rsid w:val="00BC7B22"/>
    <w:rsid w:val="00BC7D23"/>
    <w:rsid w:val="00BD7FC5"/>
    <w:rsid w:val="00BF22BF"/>
    <w:rsid w:val="00C01B8A"/>
    <w:rsid w:val="00C01E7F"/>
    <w:rsid w:val="00C02394"/>
    <w:rsid w:val="00C161BC"/>
    <w:rsid w:val="00C22FBD"/>
    <w:rsid w:val="00C314FD"/>
    <w:rsid w:val="00C659A0"/>
    <w:rsid w:val="00C67562"/>
    <w:rsid w:val="00C73BB5"/>
    <w:rsid w:val="00C90824"/>
    <w:rsid w:val="00C92293"/>
    <w:rsid w:val="00C97823"/>
    <w:rsid w:val="00CB0288"/>
    <w:rsid w:val="00CB1495"/>
    <w:rsid w:val="00CE0127"/>
    <w:rsid w:val="00CE10AA"/>
    <w:rsid w:val="00CE5D9D"/>
    <w:rsid w:val="00D10A0A"/>
    <w:rsid w:val="00D1398E"/>
    <w:rsid w:val="00D31898"/>
    <w:rsid w:val="00D34AC5"/>
    <w:rsid w:val="00D36E13"/>
    <w:rsid w:val="00D407FE"/>
    <w:rsid w:val="00D46DE9"/>
    <w:rsid w:val="00D5078A"/>
    <w:rsid w:val="00D8109B"/>
    <w:rsid w:val="00D8509A"/>
    <w:rsid w:val="00D854B8"/>
    <w:rsid w:val="00D94265"/>
    <w:rsid w:val="00DA0CA9"/>
    <w:rsid w:val="00DB2E3F"/>
    <w:rsid w:val="00DB769F"/>
    <w:rsid w:val="00DC54C8"/>
    <w:rsid w:val="00DD3619"/>
    <w:rsid w:val="00DE43ED"/>
    <w:rsid w:val="00DF182B"/>
    <w:rsid w:val="00E14C5A"/>
    <w:rsid w:val="00E45743"/>
    <w:rsid w:val="00E5322B"/>
    <w:rsid w:val="00E63A01"/>
    <w:rsid w:val="00E71D5F"/>
    <w:rsid w:val="00E83AE9"/>
    <w:rsid w:val="00E91F78"/>
    <w:rsid w:val="00EC58A0"/>
    <w:rsid w:val="00ED29A5"/>
    <w:rsid w:val="00ED534D"/>
    <w:rsid w:val="00EE6753"/>
    <w:rsid w:val="00EF43B0"/>
    <w:rsid w:val="00F147CF"/>
    <w:rsid w:val="00F218B1"/>
    <w:rsid w:val="00F33F2C"/>
    <w:rsid w:val="00F341FE"/>
    <w:rsid w:val="00F40FD9"/>
    <w:rsid w:val="00F5687B"/>
    <w:rsid w:val="00F65FEC"/>
    <w:rsid w:val="00F81E57"/>
    <w:rsid w:val="00F91913"/>
    <w:rsid w:val="00FC1F7C"/>
    <w:rsid w:val="00FC7C62"/>
    <w:rsid w:val="00FD3557"/>
    <w:rsid w:val="00FD43C9"/>
    <w:rsid w:val="00FD4487"/>
    <w:rsid w:val="00FE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A9"/>
    <w:pPr>
      <w:ind w:left="720"/>
      <w:contextualSpacing/>
    </w:pPr>
  </w:style>
  <w:style w:type="character" w:customStyle="1" w:styleId="ssl21">
    <w:name w:val="ss_l21"/>
    <w:basedOn w:val="DefaultParagraphFont"/>
    <w:rsid w:val="00E5322B"/>
    <w:rPr>
      <w:color w:val="000000"/>
      <w:sz w:val="24"/>
      <w:szCs w:val="24"/>
    </w:rPr>
  </w:style>
  <w:style w:type="paragraph" w:styleId="NoSpacing">
    <w:name w:val="No Spacing"/>
    <w:uiPriority w:val="1"/>
    <w:qFormat/>
    <w:rsid w:val="00B033FA"/>
    <w:pPr>
      <w:spacing w:after="0" w:line="240" w:lineRule="auto"/>
      <w:jc w:val="both"/>
    </w:pPr>
    <w:rPr>
      <w:rFonts w:ascii="Arial" w:hAnsi="Arial"/>
    </w:rPr>
  </w:style>
  <w:style w:type="table" w:styleId="TableGrid">
    <w:name w:val="Table Grid"/>
    <w:basedOn w:val="TableNormal"/>
    <w:uiPriority w:val="59"/>
    <w:rsid w:val="00B033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rm210">
    <w:name w:val="term210"/>
    <w:basedOn w:val="DefaultParagraphFont"/>
    <w:rsid w:val="005B2B03"/>
    <w:rPr>
      <w:shd w:val="clear" w:color="auto" w:fill="FDD3BF"/>
    </w:rPr>
  </w:style>
  <w:style w:type="character" w:customStyle="1" w:styleId="term310">
    <w:name w:val="term310"/>
    <w:basedOn w:val="DefaultParagraphFont"/>
    <w:rsid w:val="005B2B03"/>
    <w:rPr>
      <w:shd w:val="clear" w:color="auto" w:fill="C9FDBF"/>
    </w:rPr>
  </w:style>
  <w:style w:type="character" w:customStyle="1" w:styleId="term01">
    <w:name w:val="term01"/>
    <w:basedOn w:val="DefaultParagraphFont"/>
    <w:rsid w:val="005B2B03"/>
    <w:rPr>
      <w:shd w:val="clear" w:color="auto" w:fill="BFE8FD"/>
    </w:rPr>
  </w:style>
  <w:style w:type="character" w:customStyle="1" w:styleId="reflex3-block">
    <w:name w:val="reflex3-block"/>
    <w:basedOn w:val="DefaultParagraphFont"/>
    <w:rsid w:val="005B2B03"/>
  </w:style>
  <w:style w:type="character" w:customStyle="1" w:styleId="reflex3-alt">
    <w:name w:val="reflex3-alt"/>
    <w:basedOn w:val="DefaultParagraphFont"/>
    <w:rsid w:val="005B2B03"/>
  </w:style>
  <w:style w:type="paragraph" w:styleId="Header">
    <w:name w:val="header"/>
    <w:basedOn w:val="Normal"/>
    <w:link w:val="HeaderChar"/>
    <w:uiPriority w:val="99"/>
    <w:unhideWhenUsed/>
    <w:rsid w:val="00F81E57"/>
    <w:pPr>
      <w:tabs>
        <w:tab w:val="center" w:pos="4680"/>
        <w:tab w:val="right" w:pos="9360"/>
      </w:tabs>
    </w:pPr>
  </w:style>
  <w:style w:type="character" w:customStyle="1" w:styleId="HeaderChar">
    <w:name w:val="Header Char"/>
    <w:basedOn w:val="DefaultParagraphFont"/>
    <w:link w:val="Header"/>
    <w:uiPriority w:val="99"/>
    <w:rsid w:val="00F81E57"/>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F81E57"/>
    <w:pPr>
      <w:tabs>
        <w:tab w:val="center" w:pos="4680"/>
        <w:tab w:val="right" w:pos="9360"/>
      </w:tabs>
    </w:pPr>
  </w:style>
  <w:style w:type="character" w:customStyle="1" w:styleId="FooterChar">
    <w:name w:val="Footer Char"/>
    <w:basedOn w:val="DefaultParagraphFont"/>
    <w:link w:val="Footer"/>
    <w:uiPriority w:val="99"/>
    <w:rsid w:val="00F81E57"/>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021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5E"/>
    <w:rPr>
      <w:rFonts w:ascii="Segoe UI" w:eastAsiaTheme="minorEastAsia" w:hAnsi="Segoe UI" w:cs="Segoe UI"/>
      <w:sz w:val="18"/>
      <w:szCs w:val="18"/>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A9"/>
    <w:pPr>
      <w:ind w:left="720"/>
      <w:contextualSpacing/>
    </w:pPr>
  </w:style>
  <w:style w:type="character" w:customStyle="1" w:styleId="ssl21">
    <w:name w:val="ss_l21"/>
    <w:basedOn w:val="DefaultParagraphFont"/>
    <w:rsid w:val="00E5322B"/>
    <w:rPr>
      <w:color w:val="000000"/>
      <w:sz w:val="24"/>
      <w:szCs w:val="24"/>
    </w:rPr>
  </w:style>
  <w:style w:type="paragraph" w:styleId="NoSpacing">
    <w:name w:val="No Spacing"/>
    <w:uiPriority w:val="1"/>
    <w:qFormat/>
    <w:rsid w:val="00B033FA"/>
    <w:pPr>
      <w:spacing w:after="0" w:line="240" w:lineRule="auto"/>
      <w:jc w:val="both"/>
    </w:pPr>
    <w:rPr>
      <w:rFonts w:ascii="Arial" w:hAnsi="Arial"/>
    </w:rPr>
  </w:style>
  <w:style w:type="table" w:styleId="TableGrid">
    <w:name w:val="Table Grid"/>
    <w:basedOn w:val="TableNormal"/>
    <w:uiPriority w:val="59"/>
    <w:rsid w:val="00B033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rm210">
    <w:name w:val="term210"/>
    <w:basedOn w:val="DefaultParagraphFont"/>
    <w:rsid w:val="005B2B03"/>
    <w:rPr>
      <w:shd w:val="clear" w:color="auto" w:fill="FDD3BF"/>
    </w:rPr>
  </w:style>
  <w:style w:type="character" w:customStyle="1" w:styleId="term310">
    <w:name w:val="term310"/>
    <w:basedOn w:val="DefaultParagraphFont"/>
    <w:rsid w:val="005B2B03"/>
    <w:rPr>
      <w:shd w:val="clear" w:color="auto" w:fill="C9FDBF"/>
    </w:rPr>
  </w:style>
  <w:style w:type="character" w:customStyle="1" w:styleId="term01">
    <w:name w:val="term01"/>
    <w:basedOn w:val="DefaultParagraphFont"/>
    <w:rsid w:val="005B2B03"/>
    <w:rPr>
      <w:shd w:val="clear" w:color="auto" w:fill="BFE8FD"/>
    </w:rPr>
  </w:style>
  <w:style w:type="character" w:customStyle="1" w:styleId="reflex3-block">
    <w:name w:val="reflex3-block"/>
    <w:basedOn w:val="DefaultParagraphFont"/>
    <w:rsid w:val="005B2B03"/>
  </w:style>
  <w:style w:type="character" w:customStyle="1" w:styleId="reflex3-alt">
    <w:name w:val="reflex3-alt"/>
    <w:basedOn w:val="DefaultParagraphFont"/>
    <w:rsid w:val="005B2B03"/>
  </w:style>
  <w:style w:type="paragraph" w:styleId="Header">
    <w:name w:val="header"/>
    <w:basedOn w:val="Normal"/>
    <w:link w:val="HeaderChar"/>
    <w:uiPriority w:val="99"/>
    <w:unhideWhenUsed/>
    <w:rsid w:val="00F81E57"/>
    <w:pPr>
      <w:tabs>
        <w:tab w:val="center" w:pos="4680"/>
        <w:tab w:val="right" w:pos="9360"/>
      </w:tabs>
    </w:pPr>
  </w:style>
  <w:style w:type="character" w:customStyle="1" w:styleId="HeaderChar">
    <w:name w:val="Header Char"/>
    <w:basedOn w:val="DefaultParagraphFont"/>
    <w:link w:val="Header"/>
    <w:uiPriority w:val="99"/>
    <w:rsid w:val="00F81E57"/>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F81E57"/>
    <w:pPr>
      <w:tabs>
        <w:tab w:val="center" w:pos="4680"/>
        <w:tab w:val="right" w:pos="9360"/>
      </w:tabs>
    </w:pPr>
  </w:style>
  <w:style w:type="character" w:customStyle="1" w:styleId="FooterChar">
    <w:name w:val="Footer Char"/>
    <w:basedOn w:val="DefaultParagraphFont"/>
    <w:link w:val="Footer"/>
    <w:uiPriority w:val="99"/>
    <w:rsid w:val="00F81E57"/>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021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5E"/>
    <w:rPr>
      <w:rFonts w:ascii="Segoe UI" w:eastAsiaTheme="minorEastAsia"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4814">
      <w:bodyDiv w:val="1"/>
      <w:marLeft w:val="0"/>
      <w:marRight w:val="0"/>
      <w:marTop w:val="0"/>
      <w:marBottom w:val="0"/>
      <w:divBdr>
        <w:top w:val="none" w:sz="0" w:space="0" w:color="auto"/>
        <w:left w:val="none" w:sz="0" w:space="0" w:color="auto"/>
        <w:bottom w:val="none" w:sz="0" w:space="0" w:color="auto"/>
        <w:right w:val="none" w:sz="0" w:space="0" w:color="auto"/>
      </w:divBdr>
    </w:div>
    <w:div w:id="650017658">
      <w:bodyDiv w:val="1"/>
      <w:marLeft w:val="0"/>
      <w:marRight w:val="0"/>
      <w:marTop w:val="0"/>
      <w:marBottom w:val="0"/>
      <w:divBdr>
        <w:top w:val="none" w:sz="0" w:space="0" w:color="auto"/>
        <w:left w:val="none" w:sz="0" w:space="0" w:color="auto"/>
        <w:bottom w:val="none" w:sz="0" w:space="0" w:color="auto"/>
        <w:right w:val="none" w:sz="0" w:space="0" w:color="auto"/>
      </w:divBdr>
      <w:divsChild>
        <w:div w:id="888885850">
          <w:marLeft w:val="75"/>
          <w:marRight w:val="75"/>
          <w:marTop w:val="0"/>
          <w:marBottom w:val="0"/>
          <w:divBdr>
            <w:top w:val="none" w:sz="0" w:space="0" w:color="auto"/>
            <w:left w:val="none" w:sz="0" w:space="0" w:color="auto"/>
            <w:bottom w:val="none" w:sz="0" w:space="0" w:color="auto"/>
            <w:right w:val="none" w:sz="0" w:space="0" w:color="auto"/>
          </w:divBdr>
          <w:divsChild>
            <w:div w:id="1108810872">
              <w:marLeft w:val="0"/>
              <w:marRight w:val="0"/>
              <w:marTop w:val="0"/>
              <w:marBottom w:val="105"/>
              <w:divBdr>
                <w:top w:val="none" w:sz="0" w:space="0" w:color="auto"/>
                <w:left w:val="none" w:sz="0" w:space="0" w:color="auto"/>
                <w:bottom w:val="none" w:sz="0" w:space="0" w:color="auto"/>
                <w:right w:val="none" w:sz="0" w:space="0" w:color="auto"/>
              </w:divBdr>
              <w:divsChild>
                <w:div w:id="1370103441">
                  <w:marLeft w:val="0"/>
                  <w:marRight w:val="0"/>
                  <w:marTop w:val="105"/>
                  <w:marBottom w:val="0"/>
                  <w:divBdr>
                    <w:top w:val="none" w:sz="0" w:space="0" w:color="auto"/>
                    <w:left w:val="none" w:sz="0" w:space="0" w:color="auto"/>
                    <w:bottom w:val="none" w:sz="0" w:space="0" w:color="auto"/>
                    <w:right w:val="none" w:sz="0" w:space="0" w:color="auto"/>
                  </w:divBdr>
                  <w:divsChild>
                    <w:div w:id="1091049462">
                      <w:marLeft w:val="0"/>
                      <w:marRight w:val="0"/>
                      <w:marTop w:val="0"/>
                      <w:marBottom w:val="105"/>
                      <w:divBdr>
                        <w:top w:val="none" w:sz="0" w:space="0" w:color="auto"/>
                        <w:left w:val="none" w:sz="0" w:space="0" w:color="auto"/>
                        <w:bottom w:val="none" w:sz="0" w:space="0" w:color="auto"/>
                        <w:right w:val="none" w:sz="0" w:space="0" w:color="auto"/>
                      </w:divBdr>
                      <w:divsChild>
                        <w:div w:id="42870317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135377">
      <w:bodyDiv w:val="1"/>
      <w:marLeft w:val="0"/>
      <w:marRight w:val="0"/>
      <w:marTop w:val="0"/>
      <w:marBottom w:val="0"/>
      <w:divBdr>
        <w:top w:val="none" w:sz="0" w:space="0" w:color="auto"/>
        <w:left w:val="none" w:sz="0" w:space="0" w:color="auto"/>
        <w:bottom w:val="none" w:sz="0" w:space="0" w:color="auto"/>
        <w:right w:val="none" w:sz="0" w:space="0" w:color="auto"/>
      </w:divBdr>
    </w:div>
    <w:div w:id="1876576181">
      <w:bodyDiv w:val="1"/>
      <w:marLeft w:val="0"/>
      <w:marRight w:val="0"/>
      <w:marTop w:val="0"/>
      <w:marBottom w:val="0"/>
      <w:divBdr>
        <w:top w:val="none" w:sz="0" w:space="0" w:color="auto"/>
        <w:left w:val="none" w:sz="0" w:space="0" w:color="auto"/>
        <w:bottom w:val="none" w:sz="0" w:space="0" w:color="auto"/>
        <w:right w:val="none" w:sz="0" w:space="0" w:color="auto"/>
      </w:divBdr>
      <w:divsChild>
        <w:div w:id="651179500">
          <w:marLeft w:val="75"/>
          <w:marRight w:val="75"/>
          <w:marTop w:val="0"/>
          <w:marBottom w:val="0"/>
          <w:divBdr>
            <w:top w:val="none" w:sz="0" w:space="0" w:color="auto"/>
            <w:left w:val="none" w:sz="0" w:space="0" w:color="auto"/>
            <w:bottom w:val="none" w:sz="0" w:space="0" w:color="auto"/>
            <w:right w:val="none" w:sz="0" w:space="0" w:color="auto"/>
          </w:divBdr>
          <w:divsChild>
            <w:div w:id="740714057">
              <w:marLeft w:val="0"/>
              <w:marRight w:val="0"/>
              <w:marTop w:val="0"/>
              <w:marBottom w:val="105"/>
              <w:divBdr>
                <w:top w:val="none" w:sz="0" w:space="0" w:color="auto"/>
                <w:left w:val="none" w:sz="0" w:space="0" w:color="auto"/>
                <w:bottom w:val="none" w:sz="0" w:space="0" w:color="auto"/>
                <w:right w:val="none" w:sz="0" w:space="0" w:color="auto"/>
              </w:divBdr>
              <w:divsChild>
                <w:div w:id="297105948">
                  <w:marLeft w:val="0"/>
                  <w:marRight w:val="0"/>
                  <w:marTop w:val="105"/>
                  <w:marBottom w:val="0"/>
                  <w:divBdr>
                    <w:top w:val="none" w:sz="0" w:space="0" w:color="auto"/>
                    <w:left w:val="none" w:sz="0" w:space="0" w:color="auto"/>
                    <w:bottom w:val="none" w:sz="0" w:space="0" w:color="auto"/>
                    <w:right w:val="none" w:sz="0" w:space="0" w:color="auto"/>
                  </w:divBdr>
                  <w:divsChild>
                    <w:div w:id="1367753429">
                      <w:marLeft w:val="0"/>
                      <w:marRight w:val="0"/>
                      <w:marTop w:val="0"/>
                      <w:marBottom w:val="105"/>
                      <w:divBdr>
                        <w:top w:val="none" w:sz="0" w:space="0" w:color="auto"/>
                        <w:left w:val="none" w:sz="0" w:space="0" w:color="auto"/>
                        <w:bottom w:val="none" w:sz="0" w:space="0" w:color="auto"/>
                        <w:right w:val="none" w:sz="0" w:space="0" w:color="auto"/>
                      </w:divBdr>
                      <w:divsChild>
                        <w:div w:id="81776742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F378-9493-4A43-9F3E-5D7E1DA5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2810</Words>
  <Characters>16022</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Smallwood</dc:creator>
  <cp:lastModifiedBy>Fallon Morton</cp:lastModifiedBy>
  <cp:revision>2</cp:revision>
  <cp:lastPrinted>2017-05-24T22:34:00Z</cp:lastPrinted>
  <dcterms:created xsi:type="dcterms:W3CDTF">2017-07-13T17:08:00Z</dcterms:created>
  <dcterms:modified xsi:type="dcterms:W3CDTF">2017-07-13T17:08:00Z</dcterms:modified>
</cp:coreProperties>
</file>