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AF4D4F" w:rsidRDefault="00EE7A78" w:rsidP="009827DE">
      <w:pPr>
        <w:spacing w:after="0" w:line="240" w:lineRule="auto"/>
        <w:rPr>
          <w:rFonts w:ascii="Times New Roman" w:hAnsi="Times New Roman" w:cs="Times New Roman"/>
          <w:sz w:val="24"/>
          <w:szCs w:val="24"/>
        </w:rPr>
      </w:pPr>
      <w:r w:rsidRPr="00AF4D4F">
        <w:rPr>
          <w:rFonts w:ascii="Times New Roman" w:hAnsi="Times New Roman" w:cs="Times New Roman"/>
          <w:i/>
          <w:sz w:val="24"/>
          <w:szCs w:val="24"/>
        </w:rPr>
        <w:t>Attorney General of Canada</w:t>
      </w:r>
      <w:r w:rsidR="00E16289" w:rsidRPr="00AF4D4F">
        <w:rPr>
          <w:rFonts w:ascii="Times New Roman" w:hAnsi="Times New Roman" w:cs="Times New Roman"/>
          <w:i/>
          <w:sz w:val="24"/>
          <w:szCs w:val="24"/>
        </w:rPr>
        <w:t xml:space="preserve"> v</w:t>
      </w:r>
      <w:r w:rsidR="00626EC2">
        <w:rPr>
          <w:rFonts w:ascii="Times New Roman" w:hAnsi="Times New Roman" w:cs="Times New Roman"/>
          <w:i/>
          <w:sz w:val="24"/>
          <w:szCs w:val="24"/>
        </w:rPr>
        <w:t xml:space="preserve"> Rocher</w:t>
      </w:r>
      <w:r w:rsidR="003079CA" w:rsidRPr="00AF4D4F">
        <w:rPr>
          <w:rFonts w:ascii="Times New Roman" w:hAnsi="Times New Roman" w:cs="Times New Roman"/>
          <w:i/>
          <w:sz w:val="24"/>
          <w:szCs w:val="24"/>
        </w:rPr>
        <w:t xml:space="preserve">, </w:t>
      </w:r>
      <w:r w:rsidR="00626EC2">
        <w:rPr>
          <w:rFonts w:ascii="Times New Roman" w:hAnsi="Times New Roman" w:cs="Times New Roman"/>
          <w:sz w:val="24"/>
          <w:szCs w:val="24"/>
        </w:rPr>
        <w:t>2017</w:t>
      </w:r>
      <w:r w:rsidR="003C4D2B">
        <w:rPr>
          <w:rFonts w:ascii="Times New Roman" w:hAnsi="Times New Roman" w:cs="Times New Roman"/>
          <w:sz w:val="24"/>
          <w:szCs w:val="24"/>
        </w:rPr>
        <w:t xml:space="preserve"> NWTSC 31</w:t>
      </w:r>
    </w:p>
    <w:p w:rsidR="00B94F8E" w:rsidRPr="00AF4D4F" w:rsidRDefault="005014A5" w:rsidP="009827DE">
      <w:pPr>
        <w:spacing w:after="0" w:line="240" w:lineRule="auto"/>
        <w:jc w:val="right"/>
        <w:rPr>
          <w:rFonts w:ascii="Times New Roman" w:hAnsi="Times New Roman" w:cs="Times New Roman"/>
          <w:sz w:val="28"/>
          <w:szCs w:val="28"/>
        </w:rPr>
      </w:pPr>
      <w:r w:rsidRPr="00AF4D4F">
        <w:rPr>
          <w:rFonts w:ascii="Times New Roman" w:hAnsi="Times New Roman" w:cs="Times New Roman"/>
          <w:sz w:val="28"/>
          <w:szCs w:val="28"/>
        </w:rPr>
        <w:fldChar w:fldCharType="begin"/>
      </w:r>
      <w:r w:rsidR="00B94F8E" w:rsidRPr="00AF4D4F">
        <w:rPr>
          <w:rFonts w:ascii="Times New Roman" w:hAnsi="Times New Roman" w:cs="Times New Roman"/>
          <w:sz w:val="28"/>
          <w:szCs w:val="28"/>
        </w:rPr>
        <w:instrText xml:space="preserve"> SEQ CHAPTER \h \r 1</w:instrText>
      </w:r>
      <w:r w:rsidRPr="00AF4D4F">
        <w:rPr>
          <w:rFonts w:ascii="Times New Roman" w:hAnsi="Times New Roman" w:cs="Times New Roman"/>
          <w:sz w:val="28"/>
          <w:szCs w:val="28"/>
        </w:rPr>
        <w:fldChar w:fldCharType="end"/>
      </w:r>
      <w:r w:rsidR="00B94F8E" w:rsidRPr="00AF4D4F">
        <w:rPr>
          <w:rFonts w:ascii="Times New Roman" w:hAnsi="Times New Roman" w:cs="Times New Roman"/>
          <w:sz w:val="28"/>
          <w:szCs w:val="28"/>
        </w:rPr>
        <w:t xml:space="preserve">Date: </w:t>
      </w:r>
      <w:bookmarkStart w:id="0" w:name="1"/>
      <w:bookmarkEnd w:id="0"/>
      <w:r w:rsidR="00B94F8E" w:rsidRPr="00AF4D4F">
        <w:rPr>
          <w:rFonts w:ascii="Times New Roman" w:hAnsi="Times New Roman" w:cs="Times New Roman"/>
          <w:sz w:val="28"/>
          <w:szCs w:val="28"/>
        </w:rPr>
        <w:t xml:space="preserve"> 20</w:t>
      </w:r>
      <w:r w:rsidR="00EA15D9" w:rsidRPr="00AF4D4F">
        <w:rPr>
          <w:rFonts w:ascii="Times New Roman" w:hAnsi="Times New Roman" w:cs="Times New Roman"/>
          <w:sz w:val="28"/>
          <w:szCs w:val="28"/>
        </w:rPr>
        <w:t>1</w:t>
      </w:r>
      <w:r w:rsidR="003C4D2B">
        <w:rPr>
          <w:rFonts w:ascii="Times New Roman" w:hAnsi="Times New Roman" w:cs="Times New Roman"/>
          <w:sz w:val="28"/>
          <w:szCs w:val="28"/>
        </w:rPr>
        <w:t>7</w:t>
      </w:r>
      <w:r w:rsidR="00B94F8E" w:rsidRPr="00AF4D4F">
        <w:rPr>
          <w:rFonts w:ascii="Times New Roman" w:hAnsi="Times New Roman" w:cs="Times New Roman"/>
          <w:sz w:val="28"/>
          <w:szCs w:val="28"/>
        </w:rPr>
        <w:t xml:space="preserve"> </w:t>
      </w:r>
      <w:r w:rsidR="003079CA" w:rsidRPr="00AF4D4F">
        <w:rPr>
          <w:rFonts w:ascii="Times New Roman" w:hAnsi="Times New Roman" w:cs="Times New Roman"/>
          <w:sz w:val="28"/>
          <w:szCs w:val="28"/>
        </w:rPr>
        <w:t>0</w:t>
      </w:r>
      <w:r w:rsidR="003C4D2B">
        <w:rPr>
          <w:rFonts w:ascii="Times New Roman" w:hAnsi="Times New Roman" w:cs="Times New Roman"/>
          <w:sz w:val="28"/>
          <w:szCs w:val="28"/>
        </w:rPr>
        <w:t>5 11</w:t>
      </w:r>
    </w:p>
    <w:p w:rsidR="00B94F8E" w:rsidRPr="00AF4D4F" w:rsidRDefault="005014A5" w:rsidP="009827DE">
      <w:pPr>
        <w:spacing w:after="0" w:line="240" w:lineRule="auto"/>
        <w:jc w:val="right"/>
        <w:rPr>
          <w:rFonts w:ascii="Times New Roman" w:hAnsi="Times New Roman" w:cs="Times New Roman"/>
          <w:sz w:val="28"/>
          <w:szCs w:val="28"/>
        </w:rPr>
      </w:pPr>
      <w:r w:rsidRPr="00AF4D4F">
        <w:rPr>
          <w:rFonts w:ascii="Times New Roman" w:hAnsi="Times New Roman" w:cs="Times New Roman"/>
          <w:sz w:val="28"/>
          <w:szCs w:val="28"/>
        </w:rPr>
        <w:fldChar w:fldCharType="begin"/>
      </w:r>
      <w:r w:rsidR="00B94F8E" w:rsidRPr="00AF4D4F">
        <w:rPr>
          <w:rFonts w:ascii="Times New Roman" w:hAnsi="Times New Roman" w:cs="Times New Roman"/>
          <w:sz w:val="28"/>
          <w:szCs w:val="28"/>
        </w:rPr>
        <w:instrText xml:space="preserve"> SEQ CHAPTER \h \r 1</w:instrText>
      </w:r>
      <w:r w:rsidRPr="00AF4D4F">
        <w:rPr>
          <w:rFonts w:ascii="Times New Roman" w:hAnsi="Times New Roman" w:cs="Times New Roman"/>
          <w:sz w:val="28"/>
          <w:szCs w:val="28"/>
        </w:rPr>
        <w:fldChar w:fldCharType="end"/>
      </w:r>
      <w:r w:rsidR="00B94F8E" w:rsidRPr="00AF4D4F">
        <w:rPr>
          <w:rFonts w:ascii="Times New Roman" w:hAnsi="Times New Roman" w:cs="Times New Roman"/>
          <w:sz w:val="28"/>
          <w:szCs w:val="28"/>
        </w:rPr>
        <w:t xml:space="preserve">Docket: </w:t>
      </w:r>
      <w:bookmarkStart w:id="1" w:name="2"/>
      <w:bookmarkEnd w:id="1"/>
      <w:r w:rsidR="00B94F8E" w:rsidRPr="00AF4D4F">
        <w:rPr>
          <w:rFonts w:ascii="Times New Roman" w:hAnsi="Times New Roman" w:cs="Times New Roman"/>
          <w:sz w:val="28"/>
          <w:szCs w:val="28"/>
        </w:rPr>
        <w:t xml:space="preserve"> </w:t>
      </w:r>
      <w:r w:rsidR="003079CA" w:rsidRPr="00AF4D4F">
        <w:rPr>
          <w:rFonts w:ascii="Times New Roman" w:hAnsi="Times New Roman" w:cs="Times New Roman"/>
          <w:sz w:val="28"/>
          <w:szCs w:val="28"/>
        </w:rPr>
        <w:t>S-</w:t>
      </w:r>
      <w:r w:rsidR="00B94F8E" w:rsidRPr="00AF4D4F">
        <w:rPr>
          <w:rFonts w:ascii="Times New Roman" w:hAnsi="Times New Roman" w:cs="Times New Roman"/>
          <w:sz w:val="28"/>
          <w:szCs w:val="28"/>
        </w:rPr>
        <w:t>1-</w:t>
      </w:r>
      <w:r w:rsidR="00572126" w:rsidRPr="00AF4D4F">
        <w:rPr>
          <w:rFonts w:ascii="Times New Roman" w:hAnsi="Times New Roman" w:cs="Times New Roman"/>
          <w:sz w:val="28"/>
          <w:szCs w:val="28"/>
        </w:rPr>
        <w:t>CR-201</w:t>
      </w:r>
      <w:r w:rsidR="003C4D2B">
        <w:rPr>
          <w:rFonts w:ascii="Times New Roman" w:hAnsi="Times New Roman" w:cs="Times New Roman"/>
          <w:sz w:val="28"/>
          <w:szCs w:val="28"/>
        </w:rPr>
        <w:t>7 000 009</w:t>
      </w:r>
    </w:p>
    <w:p w:rsidR="00B94F8E" w:rsidRPr="00AF4D4F" w:rsidRDefault="00B94F8E" w:rsidP="009827DE">
      <w:pPr>
        <w:spacing w:after="0" w:line="240" w:lineRule="auto"/>
        <w:jc w:val="right"/>
        <w:rPr>
          <w:rFonts w:ascii="Times New Roman" w:hAnsi="Times New Roman" w:cs="Times New Roman"/>
          <w:sz w:val="28"/>
          <w:szCs w:val="28"/>
        </w:rPr>
      </w:pPr>
    </w:p>
    <w:p w:rsidR="00B94F8E" w:rsidRPr="00AF4D4F" w:rsidRDefault="00B94F8E" w:rsidP="009827DE">
      <w:pPr>
        <w:spacing w:after="0" w:line="240" w:lineRule="auto"/>
        <w:jc w:val="right"/>
        <w:rPr>
          <w:rFonts w:ascii="Times New Roman" w:hAnsi="Times New Roman" w:cs="Times New Roman"/>
          <w:sz w:val="28"/>
          <w:szCs w:val="28"/>
        </w:rPr>
      </w:pPr>
    </w:p>
    <w:p w:rsidR="00B94F8E" w:rsidRPr="00AF4D4F" w:rsidRDefault="00B94F8E" w:rsidP="009827DE">
      <w:pPr>
        <w:spacing w:after="0" w:line="240" w:lineRule="auto"/>
        <w:jc w:val="center"/>
        <w:rPr>
          <w:rFonts w:ascii="Times New Roman" w:hAnsi="Times New Roman" w:cs="Times New Roman"/>
          <w:sz w:val="28"/>
          <w:szCs w:val="28"/>
        </w:rPr>
      </w:pPr>
      <w:r w:rsidRPr="00AF4D4F">
        <w:rPr>
          <w:rFonts w:ascii="Times New Roman" w:hAnsi="Times New Roman" w:cs="Times New Roman"/>
          <w:sz w:val="28"/>
          <w:szCs w:val="28"/>
        </w:rPr>
        <w:t>IN THE SUPREME COURT OF THE NORTHWEST TERRITORIES</w:t>
      </w:r>
    </w:p>
    <w:p w:rsidR="00B94F8E" w:rsidRPr="00AF4D4F" w:rsidRDefault="00B94F8E" w:rsidP="009827DE">
      <w:pPr>
        <w:spacing w:after="0" w:line="240" w:lineRule="auto"/>
        <w:jc w:val="center"/>
        <w:rPr>
          <w:rFonts w:ascii="Times New Roman" w:hAnsi="Times New Roman" w:cs="Times New Roman"/>
          <w:sz w:val="28"/>
          <w:szCs w:val="28"/>
        </w:rPr>
      </w:pPr>
    </w:p>
    <w:p w:rsidR="00B94F8E" w:rsidRPr="00AF4D4F" w:rsidRDefault="00B94F8E" w:rsidP="009827DE">
      <w:pPr>
        <w:spacing w:after="0" w:line="240" w:lineRule="auto"/>
        <w:rPr>
          <w:rFonts w:ascii="Times New Roman" w:hAnsi="Times New Roman" w:cs="Times New Roman"/>
          <w:sz w:val="28"/>
          <w:szCs w:val="28"/>
        </w:rPr>
      </w:pPr>
      <w:r w:rsidRPr="00AF4D4F">
        <w:rPr>
          <w:rFonts w:ascii="Times New Roman" w:hAnsi="Times New Roman" w:cs="Times New Roman"/>
          <w:sz w:val="28"/>
          <w:szCs w:val="28"/>
        </w:rPr>
        <w:t>BETWEEN</w:t>
      </w:r>
    </w:p>
    <w:p w:rsidR="00B94F8E" w:rsidRPr="00AF4D4F" w:rsidRDefault="00B94F8E" w:rsidP="009827DE">
      <w:pPr>
        <w:spacing w:after="0" w:line="240" w:lineRule="auto"/>
        <w:rPr>
          <w:rFonts w:ascii="Times New Roman" w:hAnsi="Times New Roman" w:cs="Times New Roman"/>
          <w:sz w:val="28"/>
          <w:szCs w:val="28"/>
        </w:rPr>
      </w:pPr>
    </w:p>
    <w:p w:rsidR="00B94F8E" w:rsidRPr="00AF4D4F" w:rsidRDefault="00EE7A78" w:rsidP="009827DE">
      <w:pPr>
        <w:spacing w:after="0" w:line="240" w:lineRule="auto"/>
        <w:jc w:val="center"/>
        <w:rPr>
          <w:rFonts w:ascii="Times New Roman" w:hAnsi="Times New Roman" w:cs="Times New Roman"/>
          <w:sz w:val="28"/>
          <w:szCs w:val="28"/>
        </w:rPr>
      </w:pPr>
      <w:r w:rsidRPr="00AF4D4F">
        <w:rPr>
          <w:rFonts w:ascii="Times New Roman" w:hAnsi="Times New Roman" w:cs="Times New Roman"/>
          <w:sz w:val="28"/>
          <w:szCs w:val="28"/>
        </w:rPr>
        <w:t>ATTORNEY GENERAL OF CANADA</w:t>
      </w:r>
    </w:p>
    <w:p w:rsidR="00572126" w:rsidRPr="00AF4D4F" w:rsidRDefault="00E16289" w:rsidP="009827DE">
      <w:pPr>
        <w:spacing w:after="0" w:line="240" w:lineRule="auto"/>
        <w:jc w:val="right"/>
        <w:rPr>
          <w:rFonts w:ascii="Times New Roman" w:hAnsi="Times New Roman" w:cs="Times New Roman"/>
          <w:sz w:val="28"/>
          <w:szCs w:val="28"/>
        </w:rPr>
      </w:pPr>
      <w:r w:rsidRPr="00AF4D4F">
        <w:rPr>
          <w:rFonts w:ascii="Times New Roman" w:hAnsi="Times New Roman" w:cs="Times New Roman"/>
          <w:sz w:val="28"/>
          <w:szCs w:val="28"/>
        </w:rPr>
        <w:t>Applicant</w:t>
      </w:r>
    </w:p>
    <w:p w:rsidR="00B94F8E" w:rsidRPr="00AF4D4F" w:rsidRDefault="00B94F8E" w:rsidP="009827DE">
      <w:pPr>
        <w:spacing w:after="0" w:line="240" w:lineRule="auto"/>
        <w:jc w:val="center"/>
        <w:rPr>
          <w:rFonts w:ascii="Times New Roman" w:hAnsi="Times New Roman" w:cs="Times New Roman"/>
          <w:sz w:val="28"/>
          <w:szCs w:val="28"/>
        </w:rPr>
      </w:pPr>
    </w:p>
    <w:p w:rsidR="00B94F8E" w:rsidRPr="00AF4D4F" w:rsidRDefault="00B94F8E" w:rsidP="009827DE">
      <w:pPr>
        <w:spacing w:after="0" w:line="240" w:lineRule="auto"/>
        <w:jc w:val="center"/>
        <w:rPr>
          <w:rFonts w:ascii="Times New Roman" w:hAnsi="Times New Roman" w:cs="Times New Roman"/>
          <w:sz w:val="28"/>
          <w:szCs w:val="28"/>
        </w:rPr>
      </w:pPr>
    </w:p>
    <w:p w:rsidR="00B94F8E" w:rsidRPr="00AF4D4F" w:rsidRDefault="007404D1" w:rsidP="009827DE">
      <w:pPr>
        <w:pStyle w:val="ListParagraph"/>
        <w:spacing w:after="0" w:line="240" w:lineRule="auto"/>
        <w:ind w:left="0"/>
        <w:jc w:val="center"/>
        <w:rPr>
          <w:rFonts w:ascii="Times New Roman" w:hAnsi="Times New Roman" w:cs="Times New Roman"/>
          <w:sz w:val="28"/>
          <w:szCs w:val="28"/>
        </w:rPr>
      </w:pPr>
      <w:r w:rsidRPr="00AF4D4F">
        <w:rPr>
          <w:rFonts w:ascii="Times New Roman" w:hAnsi="Times New Roman" w:cs="Times New Roman"/>
          <w:sz w:val="28"/>
          <w:szCs w:val="28"/>
        </w:rPr>
        <w:t xml:space="preserve"> </w:t>
      </w:r>
      <w:r w:rsidR="009C474B" w:rsidRPr="00AF4D4F">
        <w:rPr>
          <w:rFonts w:ascii="Times New Roman" w:hAnsi="Times New Roman" w:cs="Times New Roman"/>
          <w:sz w:val="28"/>
          <w:szCs w:val="28"/>
        </w:rPr>
        <w:t xml:space="preserve"> </w:t>
      </w:r>
      <w:r w:rsidRPr="00AF4D4F">
        <w:rPr>
          <w:rFonts w:ascii="Times New Roman" w:hAnsi="Times New Roman" w:cs="Times New Roman"/>
          <w:sz w:val="28"/>
          <w:szCs w:val="28"/>
        </w:rPr>
        <w:t>-</w:t>
      </w:r>
      <w:r w:rsidR="009C474B" w:rsidRPr="00AF4D4F">
        <w:rPr>
          <w:rFonts w:ascii="Times New Roman" w:hAnsi="Times New Roman" w:cs="Times New Roman"/>
          <w:sz w:val="28"/>
          <w:szCs w:val="28"/>
        </w:rPr>
        <w:t xml:space="preserve"> and </w:t>
      </w:r>
      <w:r w:rsidR="00777B6B" w:rsidRPr="00AF4D4F">
        <w:rPr>
          <w:rFonts w:ascii="Times New Roman" w:hAnsi="Times New Roman" w:cs="Times New Roman"/>
          <w:sz w:val="28"/>
          <w:szCs w:val="28"/>
        </w:rPr>
        <w:t>–</w:t>
      </w:r>
    </w:p>
    <w:p w:rsidR="00777B6B" w:rsidRPr="00AF4D4F" w:rsidRDefault="00777B6B" w:rsidP="009827DE">
      <w:pPr>
        <w:pStyle w:val="ListParagraph"/>
        <w:spacing w:after="0" w:line="240" w:lineRule="auto"/>
        <w:ind w:left="0"/>
        <w:jc w:val="center"/>
        <w:rPr>
          <w:rFonts w:ascii="Times New Roman" w:hAnsi="Times New Roman" w:cs="Times New Roman"/>
          <w:sz w:val="28"/>
          <w:szCs w:val="28"/>
        </w:rPr>
      </w:pPr>
    </w:p>
    <w:p w:rsidR="00777B6B" w:rsidRPr="00AF4D4F" w:rsidRDefault="003C4D2B" w:rsidP="009827DE">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LINDSEY ROCHER</w:t>
      </w:r>
    </w:p>
    <w:p w:rsidR="00572126" w:rsidRPr="00AF4D4F" w:rsidRDefault="00572126" w:rsidP="009827DE">
      <w:pPr>
        <w:pStyle w:val="ListParagraph"/>
        <w:spacing w:after="0" w:line="240" w:lineRule="auto"/>
        <w:ind w:left="0"/>
        <w:jc w:val="right"/>
        <w:rPr>
          <w:rFonts w:ascii="Times New Roman" w:hAnsi="Times New Roman" w:cs="Times New Roman"/>
          <w:sz w:val="28"/>
          <w:szCs w:val="28"/>
        </w:rPr>
      </w:pPr>
      <w:r w:rsidRPr="00AF4D4F">
        <w:rPr>
          <w:rFonts w:ascii="Times New Roman" w:hAnsi="Times New Roman" w:cs="Times New Roman"/>
          <w:sz w:val="28"/>
          <w:szCs w:val="28"/>
        </w:rPr>
        <w:t>Respondent</w:t>
      </w:r>
    </w:p>
    <w:p w:rsidR="00777B6B" w:rsidRPr="00AF4D4F" w:rsidRDefault="00777B6B" w:rsidP="009827DE">
      <w:pPr>
        <w:pStyle w:val="ListParagraph"/>
        <w:spacing w:after="0" w:line="240" w:lineRule="auto"/>
        <w:ind w:left="0"/>
        <w:jc w:val="center"/>
        <w:rPr>
          <w:rFonts w:ascii="Times New Roman" w:hAnsi="Times New Roman" w:cs="Times New Roman"/>
          <w:sz w:val="28"/>
          <w:szCs w:val="28"/>
        </w:rPr>
      </w:pPr>
    </w:p>
    <w:p w:rsidR="00777B6B" w:rsidRPr="00AF4D4F" w:rsidRDefault="00777B6B" w:rsidP="009827DE">
      <w:pPr>
        <w:pStyle w:val="ListParagraph"/>
        <w:spacing w:after="0" w:line="240" w:lineRule="auto"/>
        <w:ind w:left="0"/>
        <w:jc w:val="center"/>
        <w:rPr>
          <w:rFonts w:ascii="Times New Roman" w:hAnsi="Times New Roman" w:cs="Times New Roman"/>
          <w:sz w:val="28"/>
          <w:szCs w:val="28"/>
        </w:rPr>
      </w:pPr>
    </w:p>
    <w:p w:rsidR="00777B6B" w:rsidRPr="00AF4D4F" w:rsidRDefault="00777B6B" w:rsidP="009827DE">
      <w:pPr>
        <w:pStyle w:val="ListParagraph"/>
        <w:spacing w:after="0" w:line="240" w:lineRule="auto"/>
        <w:ind w:left="0"/>
        <w:jc w:val="center"/>
        <w:rPr>
          <w:rFonts w:ascii="Times New Roman" w:hAnsi="Times New Roman" w:cs="Times New Roman"/>
          <w:sz w:val="28"/>
          <w:szCs w:val="28"/>
        </w:rPr>
      </w:pPr>
    </w:p>
    <w:p w:rsidR="00777B6B" w:rsidRDefault="00777B6B" w:rsidP="009827DE">
      <w:pPr>
        <w:pStyle w:val="ListParagraph"/>
        <w:spacing w:after="0" w:line="240" w:lineRule="auto"/>
        <w:ind w:left="0"/>
        <w:jc w:val="center"/>
        <w:rPr>
          <w:rFonts w:ascii="Times New Roman" w:hAnsi="Times New Roman" w:cs="Times New Roman"/>
          <w:sz w:val="28"/>
          <w:szCs w:val="28"/>
        </w:rPr>
      </w:pPr>
      <w:r w:rsidRPr="003C4D2B">
        <w:rPr>
          <w:rFonts w:ascii="Times New Roman" w:hAnsi="Times New Roman" w:cs="Times New Roman"/>
          <w:sz w:val="28"/>
          <w:szCs w:val="28"/>
        </w:rPr>
        <w:t>MEMORANDUM</w:t>
      </w:r>
      <w:r w:rsidR="003079CA" w:rsidRPr="003C4D2B">
        <w:rPr>
          <w:rFonts w:ascii="Times New Roman" w:hAnsi="Times New Roman" w:cs="Times New Roman"/>
          <w:sz w:val="28"/>
          <w:szCs w:val="28"/>
        </w:rPr>
        <w:t xml:space="preserve"> OF JUDGMENT</w:t>
      </w:r>
    </w:p>
    <w:p w:rsidR="003C4D2B" w:rsidRPr="003C4D2B" w:rsidRDefault="003C4D2B" w:rsidP="009827DE">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(FORFEITURE APPLICATION)</w:t>
      </w:r>
    </w:p>
    <w:p w:rsidR="003D3E8C" w:rsidRPr="00AF4D4F" w:rsidRDefault="003D3E8C" w:rsidP="009827DE">
      <w:pPr>
        <w:pStyle w:val="ListParagraph"/>
        <w:spacing w:after="0" w:line="240" w:lineRule="auto"/>
        <w:ind w:left="0"/>
        <w:jc w:val="center"/>
        <w:rPr>
          <w:rFonts w:ascii="Times New Roman" w:hAnsi="Times New Roman" w:cs="Times New Roman"/>
          <w:sz w:val="28"/>
          <w:szCs w:val="28"/>
        </w:rPr>
      </w:pPr>
    </w:p>
    <w:p w:rsidR="003D3E8C" w:rsidRPr="00AF4D4F" w:rsidRDefault="003D3E8C" w:rsidP="009827DE">
      <w:pPr>
        <w:pStyle w:val="ListParagraph"/>
        <w:spacing w:after="0" w:line="240" w:lineRule="auto"/>
        <w:ind w:left="0"/>
        <w:jc w:val="center"/>
        <w:rPr>
          <w:rFonts w:ascii="Times New Roman" w:hAnsi="Times New Roman" w:cs="Times New Roman"/>
          <w:sz w:val="28"/>
          <w:szCs w:val="28"/>
        </w:rPr>
      </w:pPr>
    </w:p>
    <w:p w:rsidR="00EE7A78" w:rsidRPr="00845A8E" w:rsidRDefault="00EE7A78" w:rsidP="00A37794">
      <w:pPr>
        <w:pStyle w:val="ListParagraph"/>
        <w:numPr>
          <w:ilvl w:val="0"/>
          <w:numId w:val="19"/>
        </w:numPr>
        <w:spacing w:after="0" w:line="240" w:lineRule="auto"/>
        <w:ind w:left="0" w:firstLine="0"/>
        <w:rPr>
          <w:rFonts w:ascii="Times New Roman" w:hAnsi="Times New Roman" w:cs="Times New Roman"/>
          <w:sz w:val="28"/>
          <w:szCs w:val="28"/>
        </w:rPr>
      </w:pPr>
      <w:r w:rsidRPr="00845A8E">
        <w:rPr>
          <w:rFonts w:ascii="Times New Roman" w:hAnsi="Times New Roman" w:cs="Times New Roman"/>
          <w:sz w:val="28"/>
          <w:szCs w:val="28"/>
        </w:rPr>
        <w:t>INTRODUCTION AND BACKGROUND</w:t>
      </w:r>
    </w:p>
    <w:p w:rsidR="00EE7A78" w:rsidRPr="00AF4D4F" w:rsidRDefault="00EE7A78" w:rsidP="00F73AA7">
      <w:pPr>
        <w:spacing w:after="0" w:line="240" w:lineRule="auto"/>
        <w:rPr>
          <w:rFonts w:ascii="Times New Roman" w:hAnsi="Times New Roman" w:cs="Times New Roman"/>
          <w:sz w:val="28"/>
          <w:szCs w:val="28"/>
        </w:rPr>
      </w:pPr>
    </w:p>
    <w:p w:rsidR="00845A8E" w:rsidRPr="002C3BE5" w:rsidRDefault="00EE7A78" w:rsidP="00D92293">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2C3BE5">
        <w:rPr>
          <w:rFonts w:ascii="Times New Roman" w:hAnsi="Times New Roman" w:cs="Times New Roman"/>
          <w:sz w:val="28"/>
          <w:szCs w:val="28"/>
        </w:rPr>
        <w:t xml:space="preserve">This </w:t>
      </w:r>
      <w:r w:rsidR="00FD5AD9" w:rsidRPr="002C3BE5">
        <w:rPr>
          <w:rFonts w:ascii="Times New Roman" w:eastAsia="Calibri" w:hAnsi="Times New Roman" w:cs="Times New Roman"/>
          <w:sz w:val="28"/>
          <w:szCs w:val="28"/>
          <w:lang w:val="en-US" w:eastAsia="en-US"/>
        </w:rPr>
        <w:t>is an Application for Forfeiture in relation to a Recognizance entered into by Lindsay Rocher on April 26, 2016 (the Recognizance).  The Recognizance required a cash deposit of $50,000.00.  Les Rocher, Lindsay’s father, agreed to be a surety and pledged an additional amount of $50,000.00, without deposit.  On May 2</w:t>
      </w:r>
      <w:r w:rsidR="00FD5AD9" w:rsidRPr="002C3BE5">
        <w:rPr>
          <w:rFonts w:ascii="Times New Roman" w:eastAsia="Calibri" w:hAnsi="Times New Roman" w:cs="Times New Roman"/>
          <w:sz w:val="28"/>
          <w:szCs w:val="28"/>
          <w:vertAlign w:val="superscript"/>
          <w:lang w:val="en-US" w:eastAsia="en-US"/>
        </w:rPr>
        <w:t>nd</w:t>
      </w:r>
      <w:r w:rsidR="00FD5AD9" w:rsidRPr="002C3BE5">
        <w:rPr>
          <w:rFonts w:ascii="Times New Roman" w:eastAsia="Calibri" w:hAnsi="Times New Roman" w:cs="Times New Roman"/>
          <w:sz w:val="28"/>
          <w:szCs w:val="28"/>
          <w:lang w:val="en-US" w:eastAsia="en-US"/>
        </w:rPr>
        <w:t>, 2016, Mr. Rocher signed an Assignment with respect to the cash deposit in favor of his father.  No one disputes that Les Rocher was the one who provided the cash deposit monies.</w:t>
      </w:r>
    </w:p>
    <w:p w:rsidR="00845A8E" w:rsidRPr="002C3BE5" w:rsidRDefault="00845A8E" w:rsidP="00845A8E">
      <w:pPr>
        <w:pStyle w:val="ListParagraph"/>
        <w:spacing w:after="0" w:line="240" w:lineRule="auto"/>
        <w:ind w:left="0"/>
        <w:jc w:val="both"/>
        <w:rPr>
          <w:rFonts w:ascii="Times New Roman" w:eastAsia="Calibri" w:hAnsi="Times New Roman" w:cs="Times New Roman"/>
          <w:sz w:val="28"/>
          <w:szCs w:val="28"/>
          <w:lang w:val="en-US" w:eastAsia="en-US"/>
        </w:rPr>
      </w:pPr>
    </w:p>
    <w:p w:rsidR="00845A8E" w:rsidRPr="002C3BE5" w:rsidRDefault="00FD5AD9" w:rsidP="003C6B57">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On November 8, 2016, the Recognizance was amended and the cash deposit amount was reduced to $10,000.00.  This is the amount that the Crown now seeks to have forfeited.</w:t>
      </w:r>
      <w:r w:rsidR="00845A8E" w:rsidRPr="002C3BE5">
        <w:rPr>
          <w:rFonts w:ascii="Times New Roman" w:eastAsia="Calibri" w:hAnsi="Times New Roman" w:cs="Times New Roman"/>
          <w:sz w:val="28"/>
          <w:szCs w:val="28"/>
          <w:lang w:val="en-US" w:eastAsia="en-US"/>
        </w:rPr>
        <w:t xml:space="preserve"> </w:t>
      </w:r>
    </w:p>
    <w:p w:rsidR="00845A8E" w:rsidRPr="002C3BE5" w:rsidRDefault="00845A8E" w:rsidP="00845A8E">
      <w:pPr>
        <w:pStyle w:val="ListParagraph"/>
        <w:rPr>
          <w:rFonts w:ascii="Times New Roman" w:eastAsia="Calibri" w:hAnsi="Times New Roman" w:cs="Times New Roman"/>
          <w:sz w:val="28"/>
          <w:szCs w:val="28"/>
          <w:lang w:val="en-US" w:eastAsia="en-US"/>
        </w:rPr>
      </w:pPr>
    </w:p>
    <w:p w:rsidR="00845A8E" w:rsidRPr="002C3BE5" w:rsidRDefault="00FD5AD9" w:rsidP="00735419">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 xml:space="preserve">The Recognizance contemplated that Mr. Rocher would, immediately upon release, attend a drug treatment program outside the Northwest Territories.  Upon </w:t>
      </w:r>
      <w:r w:rsidRPr="00FD5AD9">
        <w:rPr>
          <w:rFonts w:ascii="Times New Roman" w:eastAsia="Calibri" w:hAnsi="Times New Roman" w:cs="Times New Roman"/>
          <w:sz w:val="28"/>
          <w:szCs w:val="28"/>
          <w:lang w:val="en-US" w:eastAsia="en-US"/>
        </w:rPr>
        <w:lastRenderedPageBreak/>
        <w:t xml:space="preserve">his return, he was required to abide by a number of conditions. </w:t>
      </w:r>
      <w:r w:rsidR="002C3BE5">
        <w:rPr>
          <w:rFonts w:ascii="Times New Roman" w:eastAsia="Calibri" w:hAnsi="Times New Roman" w:cs="Times New Roman"/>
          <w:sz w:val="28"/>
          <w:szCs w:val="28"/>
          <w:lang w:val="en-US" w:eastAsia="en-US"/>
        </w:rPr>
        <w:t xml:space="preserve"> </w:t>
      </w:r>
      <w:r w:rsidRPr="00FD5AD9">
        <w:rPr>
          <w:rFonts w:ascii="Times New Roman" w:eastAsia="Calibri" w:hAnsi="Times New Roman" w:cs="Times New Roman"/>
          <w:sz w:val="28"/>
          <w:szCs w:val="28"/>
          <w:lang w:val="en-US" w:eastAsia="en-US"/>
        </w:rPr>
        <w:t>Two of these conditions were that he report in person to the R.C.M.P. Detachment in Yellowknife every Wednesday, and that he not consume or possess any controlled substances or prohibited substances.</w:t>
      </w:r>
      <w:r w:rsidR="00845A8E" w:rsidRPr="002C3BE5">
        <w:rPr>
          <w:rFonts w:ascii="Times New Roman" w:eastAsia="Calibri" w:hAnsi="Times New Roman" w:cs="Times New Roman"/>
          <w:sz w:val="28"/>
          <w:szCs w:val="28"/>
          <w:lang w:val="en-US" w:eastAsia="en-US"/>
        </w:rPr>
        <w:t xml:space="preserve"> </w:t>
      </w:r>
    </w:p>
    <w:p w:rsidR="00845A8E" w:rsidRPr="002C3BE5" w:rsidRDefault="00845A8E" w:rsidP="00845A8E">
      <w:pPr>
        <w:pStyle w:val="ListParagraph"/>
        <w:rPr>
          <w:rFonts w:ascii="Times New Roman" w:eastAsia="Calibri" w:hAnsi="Times New Roman" w:cs="Times New Roman"/>
          <w:sz w:val="28"/>
          <w:szCs w:val="28"/>
          <w:lang w:val="en-US" w:eastAsia="en-US"/>
        </w:rPr>
      </w:pPr>
    </w:p>
    <w:p w:rsidR="00845A8E" w:rsidRPr="002C3BE5" w:rsidRDefault="00FD5AD9" w:rsidP="002A08B3">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Mr. Rocher attended the drug treatment program and returned to Yellowknife at the end of August 2016.  Between September 12 and December 28</w:t>
      </w:r>
      <w:r w:rsidR="00C16E50">
        <w:rPr>
          <w:rFonts w:ascii="Times New Roman" w:eastAsia="Calibri" w:hAnsi="Times New Roman" w:cs="Times New Roman"/>
          <w:sz w:val="28"/>
          <w:szCs w:val="28"/>
          <w:lang w:val="en-US" w:eastAsia="en-US"/>
        </w:rPr>
        <w:t>,</w:t>
      </w:r>
      <w:r w:rsidRPr="00FD5AD9">
        <w:rPr>
          <w:rFonts w:ascii="Times New Roman" w:eastAsia="Calibri" w:hAnsi="Times New Roman" w:cs="Times New Roman"/>
          <w:sz w:val="28"/>
          <w:szCs w:val="28"/>
          <w:lang w:val="en-US" w:eastAsia="en-US"/>
        </w:rPr>
        <w:t xml:space="preserve"> 2016, there were </w:t>
      </w:r>
      <w:r w:rsidR="001027E5">
        <w:rPr>
          <w:rFonts w:ascii="Times New Roman" w:eastAsia="Calibri" w:hAnsi="Times New Roman" w:cs="Times New Roman"/>
          <w:sz w:val="28"/>
          <w:szCs w:val="28"/>
          <w:lang w:val="en-US" w:eastAsia="en-US"/>
        </w:rPr>
        <w:t>eleven</w:t>
      </w:r>
      <w:r w:rsidRPr="00FD5AD9">
        <w:rPr>
          <w:rFonts w:ascii="Times New Roman" w:eastAsia="Calibri" w:hAnsi="Times New Roman" w:cs="Times New Roman"/>
          <w:sz w:val="28"/>
          <w:szCs w:val="28"/>
          <w:lang w:val="en-US" w:eastAsia="en-US"/>
        </w:rPr>
        <w:t xml:space="preserve"> occasions when he breached the reporting condition.  On three occasions, he did report, but not on the Wednesday. </w:t>
      </w:r>
      <w:r w:rsidR="002C3BE5">
        <w:rPr>
          <w:rFonts w:ascii="Times New Roman" w:eastAsia="Calibri" w:hAnsi="Times New Roman" w:cs="Times New Roman"/>
          <w:sz w:val="28"/>
          <w:szCs w:val="28"/>
          <w:lang w:val="en-US" w:eastAsia="en-US"/>
        </w:rPr>
        <w:t xml:space="preserve"> </w:t>
      </w:r>
      <w:r w:rsidRPr="00FD5AD9">
        <w:rPr>
          <w:rFonts w:ascii="Times New Roman" w:eastAsia="Calibri" w:hAnsi="Times New Roman" w:cs="Times New Roman"/>
          <w:sz w:val="28"/>
          <w:szCs w:val="28"/>
          <w:lang w:val="en-US" w:eastAsia="en-US"/>
        </w:rPr>
        <w:t>The other eight times, he did not report at all.  On November 24,</w:t>
      </w:r>
      <w:r w:rsidR="002C3BE5">
        <w:rPr>
          <w:rFonts w:ascii="Times New Roman" w:eastAsia="Calibri" w:hAnsi="Times New Roman" w:cs="Times New Roman"/>
          <w:sz w:val="28"/>
          <w:szCs w:val="28"/>
          <w:lang w:val="en-US" w:eastAsia="en-US"/>
        </w:rPr>
        <w:t xml:space="preserve"> </w:t>
      </w:r>
      <w:r w:rsidR="002C3BE5" w:rsidRPr="008C2890">
        <w:rPr>
          <w:rFonts w:ascii="Times New Roman" w:eastAsia="Calibri" w:hAnsi="Times New Roman" w:cs="Times New Roman"/>
          <w:sz w:val="28"/>
          <w:szCs w:val="28"/>
          <w:lang w:val="en-US" w:eastAsia="en-US"/>
        </w:rPr>
        <w:t>2016</w:t>
      </w:r>
      <w:r w:rsidRPr="00FD5AD9">
        <w:rPr>
          <w:rFonts w:ascii="Times New Roman" w:eastAsia="Calibri" w:hAnsi="Times New Roman" w:cs="Times New Roman"/>
          <w:sz w:val="28"/>
          <w:szCs w:val="28"/>
          <w:lang w:val="en-US" w:eastAsia="en-US"/>
        </w:rPr>
        <w:t xml:space="preserve"> Mr. Rocher overdosed on Fentanyl.   The consumption of that drug,</w:t>
      </w:r>
      <w:r w:rsidR="002C3BE5">
        <w:rPr>
          <w:rFonts w:ascii="Times New Roman" w:eastAsia="Calibri" w:hAnsi="Times New Roman" w:cs="Times New Roman"/>
          <w:sz w:val="28"/>
          <w:szCs w:val="28"/>
          <w:lang w:val="en-US" w:eastAsia="en-US"/>
        </w:rPr>
        <w:t xml:space="preserve"> </w:t>
      </w:r>
      <w:r w:rsidRPr="00FD5AD9">
        <w:rPr>
          <w:rFonts w:ascii="Times New Roman" w:eastAsia="Calibri" w:hAnsi="Times New Roman" w:cs="Times New Roman"/>
          <w:sz w:val="28"/>
          <w:szCs w:val="28"/>
          <w:lang w:val="en-US" w:eastAsia="en-US"/>
        </w:rPr>
        <w:t xml:space="preserve">obviously, also constituted a breach of the Recognizance.  </w:t>
      </w:r>
    </w:p>
    <w:p w:rsidR="00845A8E" w:rsidRPr="002C3BE5" w:rsidRDefault="00845A8E" w:rsidP="00845A8E">
      <w:pPr>
        <w:pStyle w:val="ListParagraph"/>
        <w:rPr>
          <w:rFonts w:ascii="Times New Roman" w:eastAsia="Calibri" w:hAnsi="Times New Roman" w:cs="Times New Roman"/>
          <w:sz w:val="28"/>
          <w:szCs w:val="28"/>
          <w:lang w:val="en-US" w:eastAsia="en-US"/>
        </w:rPr>
      </w:pPr>
    </w:p>
    <w:p w:rsidR="00FD5AD9" w:rsidRPr="00FD5AD9" w:rsidRDefault="001027E5" w:rsidP="002A08B3">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Mr. Rocher pleaded guilty to</w:t>
      </w:r>
      <w:r w:rsidR="00FD5AD9" w:rsidRPr="00FD5AD9">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 xml:space="preserve">two charges of breach of Recognizance arising from those events.  He was sentenced on these and other </w:t>
      </w:r>
      <w:r w:rsidR="00FD5AD9" w:rsidRPr="00FD5AD9">
        <w:rPr>
          <w:rFonts w:ascii="Times New Roman" w:eastAsia="Calibri" w:hAnsi="Times New Roman" w:cs="Times New Roman"/>
          <w:sz w:val="28"/>
          <w:szCs w:val="28"/>
          <w:lang w:val="en-US" w:eastAsia="en-US"/>
        </w:rPr>
        <w:t xml:space="preserve">charges on January 12, 2017.  </w:t>
      </w:r>
      <w:r w:rsidR="00FD5AD9" w:rsidRPr="00FD5AD9">
        <w:rPr>
          <w:rFonts w:ascii="Times New Roman" w:eastAsia="Calibri" w:hAnsi="Times New Roman" w:cs="Times New Roman"/>
          <w:i/>
          <w:sz w:val="28"/>
          <w:szCs w:val="28"/>
          <w:lang w:val="en-US" w:eastAsia="en-US"/>
        </w:rPr>
        <w:t>R v Lindsay Rocher</w:t>
      </w:r>
      <w:r w:rsidR="00FD5AD9" w:rsidRPr="00FD5AD9">
        <w:rPr>
          <w:rFonts w:ascii="Times New Roman" w:eastAsia="Calibri" w:hAnsi="Times New Roman" w:cs="Times New Roman"/>
          <w:sz w:val="28"/>
          <w:szCs w:val="28"/>
          <w:lang w:val="en-US" w:eastAsia="en-US"/>
        </w:rPr>
        <w:t xml:space="preserve">, 2017 NWTTC 01.  He received a global term of imprisonment of 160 days, minus credit for remand time.  </w:t>
      </w:r>
      <w:r>
        <w:rPr>
          <w:rFonts w:ascii="Times New Roman" w:eastAsia="Calibri" w:hAnsi="Times New Roman" w:cs="Times New Roman"/>
          <w:sz w:val="28"/>
          <w:szCs w:val="28"/>
          <w:lang w:val="en-US" w:eastAsia="en-US"/>
        </w:rPr>
        <w:t>F</w:t>
      </w:r>
      <w:r w:rsidR="00FD5AD9" w:rsidRPr="00FD5AD9">
        <w:rPr>
          <w:rFonts w:ascii="Times New Roman" w:eastAsia="Calibri" w:hAnsi="Times New Roman" w:cs="Times New Roman"/>
          <w:sz w:val="28"/>
          <w:szCs w:val="28"/>
          <w:lang w:val="en-US" w:eastAsia="en-US"/>
        </w:rPr>
        <w:t>or the breach charges</w:t>
      </w:r>
      <w:r>
        <w:rPr>
          <w:rFonts w:ascii="Times New Roman" w:eastAsia="Calibri" w:hAnsi="Times New Roman" w:cs="Times New Roman"/>
          <w:sz w:val="28"/>
          <w:szCs w:val="28"/>
          <w:lang w:val="en-US" w:eastAsia="en-US"/>
        </w:rPr>
        <w:t xml:space="preserve">, he was sentenced to </w:t>
      </w:r>
      <w:r w:rsidR="00FD5AD9" w:rsidRPr="00FD5AD9">
        <w:rPr>
          <w:rFonts w:ascii="Times New Roman" w:eastAsia="Calibri" w:hAnsi="Times New Roman" w:cs="Times New Roman"/>
          <w:sz w:val="28"/>
          <w:szCs w:val="28"/>
          <w:lang w:val="en-US" w:eastAsia="en-US"/>
        </w:rPr>
        <w:t xml:space="preserve">1 day in jail </w:t>
      </w:r>
      <w:r>
        <w:rPr>
          <w:rFonts w:ascii="Times New Roman" w:eastAsia="Calibri" w:hAnsi="Times New Roman" w:cs="Times New Roman"/>
          <w:sz w:val="28"/>
          <w:szCs w:val="28"/>
          <w:lang w:val="en-US" w:eastAsia="en-US"/>
        </w:rPr>
        <w:t>on</w:t>
      </w:r>
      <w:r w:rsidR="00FD5AD9" w:rsidRPr="00FD5AD9">
        <w:rPr>
          <w:rFonts w:ascii="Times New Roman" w:eastAsia="Calibri" w:hAnsi="Times New Roman" w:cs="Times New Roman"/>
          <w:sz w:val="28"/>
          <w:szCs w:val="28"/>
          <w:lang w:val="en-US" w:eastAsia="en-US"/>
        </w:rPr>
        <w:t xml:space="preserve"> each count, to be served concurrently with </w:t>
      </w:r>
      <w:r>
        <w:rPr>
          <w:rFonts w:ascii="Times New Roman" w:eastAsia="Calibri" w:hAnsi="Times New Roman" w:cs="Times New Roman"/>
          <w:sz w:val="28"/>
          <w:szCs w:val="28"/>
          <w:lang w:val="en-US" w:eastAsia="en-US"/>
        </w:rPr>
        <w:t xml:space="preserve">the </w:t>
      </w:r>
      <w:r w:rsidR="00FD5AD9" w:rsidRPr="00FD5AD9">
        <w:rPr>
          <w:rFonts w:ascii="Times New Roman" w:eastAsia="Calibri" w:hAnsi="Times New Roman" w:cs="Times New Roman"/>
          <w:sz w:val="28"/>
          <w:szCs w:val="28"/>
          <w:lang w:val="en-US" w:eastAsia="en-US"/>
        </w:rPr>
        <w:t>other sentences.</w:t>
      </w:r>
    </w:p>
    <w:p w:rsidR="00FD5AD9" w:rsidRPr="00FD5AD9" w:rsidRDefault="00FD5AD9" w:rsidP="0000621B">
      <w:pPr>
        <w:spacing w:after="0" w:line="240" w:lineRule="auto"/>
        <w:jc w:val="both"/>
        <w:rPr>
          <w:rFonts w:ascii="Times New Roman" w:eastAsia="Calibri" w:hAnsi="Times New Roman" w:cs="Times New Roman"/>
          <w:sz w:val="28"/>
          <w:szCs w:val="28"/>
          <w:lang w:val="en-US" w:eastAsia="en-US"/>
        </w:rPr>
      </w:pPr>
    </w:p>
    <w:p w:rsidR="00FD5AD9" w:rsidRPr="002C3BE5" w:rsidRDefault="00FD5AD9" w:rsidP="00A37794">
      <w:pPr>
        <w:pStyle w:val="ListParagraph"/>
        <w:numPr>
          <w:ilvl w:val="0"/>
          <w:numId w:val="19"/>
        </w:numPr>
        <w:spacing w:after="0" w:line="240" w:lineRule="auto"/>
        <w:ind w:left="0" w:firstLine="0"/>
        <w:jc w:val="both"/>
        <w:rPr>
          <w:rFonts w:ascii="Times New Roman" w:eastAsia="Calibri" w:hAnsi="Times New Roman" w:cs="Times New Roman"/>
          <w:sz w:val="28"/>
          <w:szCs w:val="28"/>
          <w:lang w:val="en-US" w:eastAsia="en-US"/>
        </w:rPr>
      </w:pPr>
      <w:r w:rsidRPr="002C3BE5">
        <w:rPr>
          <w:rFonts w:ascii="Times New Roman" w:eastAsia="Calibri" w:hAnsi="Times New Roman" w:cs="Times New Roman"/>
          <w:sz w:val="28"/>
          <w:szCs w:val="28"/>
          <w:lang w:val="en-US" w:eastAsia="en-US"/>
        </w:rPr>
        <w:t>POSITION OF THE PARTIES</w:t>
      </w:r>
    </w:p>
    <w:p w:rsidR="00FD5AD9" w:rsidRPr="002C3BE5" w:rsidRDefault="00FD5AD9" w:rsidP="00845A8E">
      <w:pPr>
        <w:pStyle w:val="ListParagraph"/>
        <w:spacing w:after="0" w:line="240" w:lineRule="auto"/>
        <w:jc w:val="both"/>
        <w:rPr>
          <w:rFonts w:ascii="Times New Roman" w:eastAsia="Calibri" w:hAnsi="Times New Roman" w:cs="Times New Roman"/>
          <w:sz w:val="28"/>
          <w:szCs w:val="28"/>
          <w:lang w:val="en-US" w:eastAsia="en-US"/>
        </w:rPr>
      </w:pPr>
    </w:p>
    <w:p w:rsidR="00845A8E" w:rsidRPr="002C3BE5" w:rsidRDefault="00FD5AD9" w:rsidP="004E4471">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2C3BE5">
        <w:rPr>
          <w:rFonts w:ascii="Times New Roman" w:eastAsia="Calibri" w:hAnsi="Times New Roman" w:cs="Times New Roman"/>
          <w:sz w:val="28"/>
          <w:szCs w:val="28"/>
          <w:lang w:val="en-US" w:eastAsia="en-US"/>
        </w:rPr>
        <w:t>The Crown seeks forfeiture of the $10,000.00 cash deposit.  It does not seek any forfeiture order against Les Rocher for the $50,000.00 that was pledged without deposit.</w:t>
      </w:r>
    </w:p>
    <w:p w:rsidR="00845A8E" w:rsidRPr="002C3BE5" w:rsidRDefault="00845A8E" w:rsidP="00845A8E">
      <w:pPr>
        <w:pStyle w:val="ListParagraph"/>
        <w:spacing w:after="0" w:line="240" w:lineRule="auto"/>
        <w:ind w:left="0"/>
        <w:jc w:val="both"/>
        <w:rPr>
          <w:rFonts w:ascii="Times New Roman" w:eastAsia="Calibri" w:hAnsi="Times New Roman" w:cs="Times New Roman"/>
          <w:sz w:val="28"/>
          <w:szCs w:val="28"/>
          <w:lang w:val="en-US" w:eastAsia="en-US"/>
        </w:rPr>
      </w:pPr>
    </w:p>
    <w:p w:rsidR="00845A8E" w:rsidRPr="002C3BE5" w:rsidRDefault="00FD5AD9" w:rsidP="00CD072C">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 xml:space="preserve">In addition to the Certificate of Default and Certified Copies of the </w:t>
      </w:r>
      <w:r w:rsidR="002813A3" w:rsidRPr="002C3BE5">
        <w:rPr>
          <w:rFonts w:ascii="Times New Roman" w:eastAsia="Calibri" w:hAnsi="Times New Roman" w:cs="Times New Roman"/>
          <w:sz w:val="28"/>
          <w:szCs w:val="28"/>
          <w:lang w:val="en-US" w:eastAsia="en-US"/>
        </w:rPr>
        <w:t>Information</w:t>
      </w:r>
      <w:r w:rsidR="009A3828">
        <w:rPr>
          <w:rFonts w:ascii="Times New Roman" w:eastAsia="Calibri" w:hAnsi="Times New Roman" w:cs="Times New Roman"/>
          <w:sz w:val="28"/>
          <w:szCs w:val="28"/>
          <w:lang w:val="en-US" w:eastAsia="en-US"/>
        </w:rPr>
        <w:t>s</w:t>
      </w:r>
      <w:r w:rsidRPr="00FD5AD9">
        <w:rPr>
          <w:rFonts w:ascii="Times New Roman" w:eastAsia="Calibri" w:hAnsi="Times New Roman" w:cs="Times New Roman"/>
          <w:sz w:val="28"/>
          <w:szCs w:val="28"/>
          <w:lang w:val="en-US" w:eastAsia="en-US"/>
        </w:rPr>
        <w:t xml:space="preserve"> charg</w:t>
      </w:r>
      <w:r w:rsidR="009A3828">
        <w:rPr>
          <w:rFonts w:ascii="Times New Roman" w:eastAsia="Calibri" w:hAnsi="Times New Roman" w:cs="Times New Roman"/>
          <w:sz w:val="28"/>
          <w:szCs w:val="28"/>
          <w:lang w:val="en-US" w:eastAsia="en-US"/>
        </w:rPr>
        <w:t>ing the offenses</w:t>
      </w:r>
      <w:r w:rsidRPr="00FD5AD9">
        <w:rPr>
          <w:rFonts w:ascii="Times New Roman" w:eastAsia="Calibri" w:hAnsi="Times New Roman" w:cs="Times New Roman"/>
          <w:sz w:val="28"/>
          <w:szCs w:val="28"/>
          <w:lang w:val="en-US" w:eastAsia="en-US"/>
        </w:rPr>
        <w:t xml:space="preserve"> that were dealt with in the Territorial Court, the Crown </w:t>
      </w:r>
      <w:r w:rsidR="00E64C4B">
        <w:rPr>
          <w:rFonts w:ascii="Times New Roman" w:eastAsia="Calibri" w:hAnsi="Times New Roman" w:cs="Times New Roman"/>
          <w:sz w:val="28"/>
          <w:szCs w:val="28"/>
          <w:lang w:val="en-US" w:eastAsia="en-US"/>
        </w:rPr>
        <w:t>relies</w:t>
      </w:r>
      <w:r w:rsidR="001027E5">
        <w:rPr>
          <w:rFonts w:ascii="Times New Roman" w:eastAsia="Calibri" w:hAnsi="Times New Roman" w:cs="Times New Roman"/>
          <w:sz w:val="28"/>
          <w:szCs w:val="28"/>
          <w:lang w:val="en-US" w:eastAsia="en-US"/>
        </w:rPr>
        <w:t xml:space="preserve"> on the following materials</w:t>
      </w:r>
      <w:r w:rsidRPr="00FD5AD9">
        <w:rPr>
          <w:rFonts w:ascii="Times New Roman" w:eastAsia="Calibri" w:hAnsi="Times New Roman" w:cs="Times New Roman"/>
          <w:sz w:val="28"/>
          <w:szCs w:val="28"/>
          <w:lang w:val="en-US" w:eastAsia="en-US"/>
        </w:rPr>
        <w:t xml:space="preserve"> </w:t>
      </w:r>
      <w:r w:rsidR="001027E5">
        <w:rPr>
          <w:rFonts w:ascii="Times New Roman" w:eastAsia="Calibri" w:hAnsi="Times New Roman" w:cs="Times New Roman"/>
          <w:sz w:val="28"/>
          <w:szCs w:val="28"/>
          <w:lang w:val="en-US" w:eastAsia="en-US"/>
        </w:rPr>
        <w:t xml:space="preserve">on this Application: </w:t>
      </w:r>
      <w:r w:rsidRPr="00FD5AD9">
        <w:rPr>
          <w:rFonts w:ascii="Times New Roman" w:eastAsia="Calibri" w:hAnsi="Times New Roman" w:cs="Times New Roman"/>
          <w:sz w:val="28"/>
          <w:szCs w:val="28"/>
          <w:lang w:val="en-US" w:eastAsia="en-US"/>
        </w:rPr>
        <w:t xml:space="preserve">the Agreed Statement of Facts adduced at Mr. Rocher’s </w:t>
      </w:r>
      <w:r w:rsidR="00641E7C">
        <w:rPr>
          <w:rFonts w:ascii="Times New Roman" w:eastAsia="Calibri" w:hAnsi="Times New Roman" w:cs="Times New Roman"/>
          <w:sz w:val="28"/>
          <w:szCs w:val="28"/>
          <w:lang w:val="en-US" w:eastAsia="en-US"/>
        </w:rPr>
        <w:t>January 12, 2017</w:t>
      </w:r>
      <w:r w:rsidRPr="00FD5AD9">
        <w:rPr>
          <w:rFonts w:ascii="Times New Roman" w:eastAsia="Calibri" w:hAnsi="Times New Roman" w:cs="Times New Roman"/>
          <w:sz w:val="28"/>
          <w:szCs w:val="28"/>
          <w:lang w:val="en-US" w:eastAsia="en-US"/>
        </w:rPr>
        <w:t xml:space="preserve"> sentencing hearing; the Pre-Sentence Report prepared for that hearing; and the Reasons for Sentence referred to above at Paragraph </w:t>
      </w:r>
      <w:r w:rsidR="008C2890">
        <w:rPr>
          <w:rFonts w:ascii="Times New Roman" w:eastAsia="Calibri" w:hAnsi="Times New Roman" w:cs="Times New Roman"/>
          <w:sz w:val="28"/>
          <w:szCs w:val="28"/>
          <w:lang w:val="en-US" w:eastAsia="en-US"/>
        </w:rPr>
        <w:t>5</w:t>
      </w:r>
      <w:r w:rsidRPr="00FD5AD9">
        <w:rPr>
          <w:rFonts w:ascii="Times New Roman" w:eastAsia="Calibri" w:hAnsi="Times New Roman" w:cs="Times New Roman"/>
          <w:sz w:val="28"/>
          <w:szCs w:val="28"/>
          <w:lang w:val="en-US" w:eastAsia="en-US"/>
        </w:rPr>
        <w:t>.</w:t>
      </w:r>
    </w:p>
    <w:p w:rsidR="00845A8E" w:rsidRPr="002C3BE5" w:rsidRDefault="00845A8E" w:rsidP="00845A8E">
      <w:pPr>
        <w:pStyle w:val="ListParagraph"/>
        <w:rPr>
          <w:rFonts w:ascii="Times New Roman" w:eastAsia="Calibri" w:hAnsi="Times New Roman" w:cs="Times New Roman"/>
          <w:sz w:val="28"/>
          <w:szCs w:val="28"/>
          <w:lang w:val="en-US" w:eastAsia="en-US"/>
        </w:rPr>
      </w:pPr>
    </w:p>
    <w:p w:rsidR="00845A8E" w:rsidRPr="002C3BE5" w:rsidRDefault="00FD5AD9" w:rsidP="001361E8">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 xml:space="preserve">The Crown argues that because no forfeiture is sought against Les Rocher, he has no standing on the </w:t>
      </w:r>
      <w:r w:rsidR="001027E5">
        <w:rPr>
          <w:rFonts w:ascii="Times New Roman" w:eastAsia="Calibri" w:hAnsi="Times New Roman" w:cs="Times New Roman"/>
          <w:sz w:val="28"/>
          <w:szCs w:val="28"/>
          <w:lang w:val="en-US" w:eastAsia="en-US"/>
        </w:rPr>
        <w:t>A</w:t>
      </w:r>
      <w:r w:rsidRPr="00FD5AD9">
        <w:rPr>
          <w:rFonts w:ascii="Times New Roman" w:eastAsia="Calibri" w:hAnsi="Times New Roman" w:cs="Times New Roman"/>
          <w:sz w:val="28"/>
          <w:szCs w:val="28"/>
          <w:lang w:val="en-US" w:eastAsia="en-US"/>
        </w:rPr>
        <w:t>pplication, his diligence as a surety is irrelevant</w:t>
      </w:r>
      <w:r w:rsidR="001027E5">
        <w:rPr>
          <w:rFonts w:ascii="Times New Roman" w:eastAsia="Calibri" w:hAnsi="Times New Roman" w:cs="Times New Roman"/>
          <w:sz w:val="28"/>
          <w:szCs w:val="28"/>
          <w:lang w:val="en-US" w:eastAsia="en-US"/>
        </w:rPr>
        <w:t>, and the fact that he provided the money for the cash deposit should have no bearing on the decision of the Court about whether that cash should be forfeited</w:t>
      </w:r>
      <w:r w:rsidRPr="00FD5AD9">
        <w:rPr>
          <w:rFonts w:ascii="Times New Roman" w:eastAsia="Calibri" w:hAnsi="Times New Roman" w:cs="Times New Roman"/>
          <w:sz w:val="28"/>
          <w:szCs w:val="28"/>
          <w:lang w:val="en-US" w:eastAsia="en-US"/>
        </w:rPr>
        <w:t>.  Crown argues that</w:t>
      </w:r>
      <w:r w:rsidR="001027E5">
        <w:rPr>
          <w:rFonts w:ascii="Times New Roman" w:eastAsia="Calibri" w:hAnsi="Times New Roman" w:cs="Times New Roman"/>
          <w:sz w:val="28"/>
          <w:szCs w:val="28"/>
          <w:lang w:val="en-US" w:eastAsia="en-US"/>
        </w:rPr>
        <w:t xml:space="preserve"> in any event,</w:t>
      </w:r>
      <w:r w:rsidRPr="00FD5AD9">
        <w:rPr>
          <w:rFonts w:ascii="Times New Roman" w:eastAsia="Calibri" w:hAnsi="Times New Roman" w:cs="Times New Roman"/>
          <w:sz w:val="28"/>
          <w:szCs w:val="28"/>
          <w:lang w:val="en-US" w:eastAsia="en-US"/>
        </w:rPr>
        <w:t xml:space="preserve"> there are indications that Les Rocher was not in fact diligent in monitoring his son’s compliance with his release terms.  The Crown notes that Les Rocher did not contact the R.C.M.P. to report the breach when </w:t>
      </w:r>
      <w:r w:rsidR="001027E5">
        <w:rPr>
          <w:rFonts w:ascii="Times New Roman" w:eastAsia="Calibri" w:hAnsi="Times New Roman" w:cs="Times New Roman"/>
          <w:sz w:val="28"/>
          <w:szCs w:val="28"/>
          <w:lang w:val="en-US" w:eastAsia="en-US"/>
        </w:rPr>
        <w:t>his son</w:t>
      </w:r>
      <w:r w:rsidRPr="00FD5AD9">
        <w:rPr>
          <w:rFonts w:ascii="Times New Roman" w:eastAsia="Calibri" w:hAnsi="Times New Roman" w:cs="Times New Roman"/>
          <w:sz w:val="28"/>
          <w:szCs w:val="28"/>
          <w:lang w:val="en-US" w:eastAsia="en-US"/>
        </w:rPr>
        <w:t xml:space="preserve"> overdosed on </w:t>
      </w:r>
      <w:r w:rsidRPr="00FD5AD9">
        <w:rPr>
          <w:rFonts w:ascii="Times New Roman" w:eastAsia="Calibri" w:hAnsi="Times New Roman" w:cs="Times New Roman"/>
          <w:sz w:val="28"/>
          <w:szCs w:val="28"/>
          <w:lang w:val="en-US" w:eastAsia="en-US"/>
        </w:rPr>
        <w:lastRenderedPageBreak/>
        <w:t>Fen</w:t>
      </w:r>
      <w:r w:rsidR="001027E5">
        <w:rPr>
          <w:rFonts w:ascii="Times New Roman" w:eastAsia="Calibri" w:hAnsi="Times New Roman" w:cs="Times New Roman"/>
          <w:sz w:val="28"/>
          <w:szCs w:val="28"/>
          <w:lang w:val="en-US" w:eastAsia="en-US"/>
        </w:rPr>
        <w:t xml:space="preserve">tanyl, and moreover, that </w:t>
      </w:r>
      <w:r w:rsidRPr="00FD5AD9">
        <w:rPr>
          <w:rFonts w:ascii="Times New Roman" w:eastAsia="Calibri" w:hAnsi="Times New Roman" w:cs="Times New Roman"/>
          <w:sz w:val="28"/>
          <w:szCs w:val="28"/>
          <w:lang w:val="en-US" w:eastAsia="en-US"/>
        </w:rPr>
        <w:t>there is no evidence that he took any steps to monitor his son’s compliance with the reporting conditions.</w:t>
      </w:r>
    </w:p>
    <w:p w:rsidR="00845A8E" w:rsidRPr="002C3BE5" w:rsidRDefault="00845A8E" w:rsidP="00845A8E">
      <w:pPr>
        <w:pStyle w:val="ListParagraph"/>
        <w:rPr>
          <w:rFonts w:ascii="Times New Roman" w:eastAsia="Calibri" w:hAnsi="Times New Roman" w:cs="Times New Roman"/>
          <w:sz w:val="28"/>
          <w:szCs w:val="28"/>
          <w:lang w:val="en-US" w:eastAsia="en-US"/>
        </w:rPr>
      </w:pPr>
    </w:p>
    <w:p w:rsidR="00FD5AD9" w:rsidRPr="00FD5AD9" w:rsidRDefault="00FD5AD9" w:rsidP="001361E8">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Counsel for Lindsay and Les Rocher invite</w:t>
      </w:r>
      <w:r w:rsidR="009A3828">
        <w:rPr>
          <w:rFonts w:ascii="Times New Roman" w:eastAsia="Calibri" w:hAnsi="Times New Roman" w:cs="Times New Roman"/>
          <w:sz w:val="28"/>
          <w:szCs w:val="28"/>
          <w:lang w:val="en-US" w:eastAsia="en-US"/>
        </w:rPr>
        <w:t>s</w:t>
      </w:r>
      <w:r w:rsidRPr="00FD5AD9">
        <w:rPr>
          <w:rFonts w:ascii="Times New Roman" w:eastAsia="Calibri" w:hAnsi="Times New Roman" w:cs="Times New Roman"/>
          <w:sz w:val="28"/>
          <w:szCs w:val="28"/>
          <w:lang w:val="en-US" w:eastAsia="en-US"/>
        </w:rPr>
        <w:t xml:space="preserve"> the Court to consider the overall circumstances and the nature of the breach</w:t>
      </w:r>
      <w:r w:rsidR="008C4DEA">
        <w:rPr>
          <w:rFonts w:ascii="Times New Roman" w:eastAsia="Calibri" w:hAnsi="Times New Roman" w:cs="Times New Roman"/>
          <w:sz w:val="28"/>
          <w:szCs w:val="28"/>
          <w:lang w:val="en-US" w:eastAsia="en-US"/>
        </w:rPr>
        <w:t>es</w:t>
      </w:r>
      <w:r w:rsidR="009A3828">
        <w:rPr>
          <w:rFonts w:ascii="Times New Roman" w:eastAsia="Calibri" w:hAnsi="Times New Roman" w:cs="Times New Roman"/>
          <w:sz w:val="28"/>
          <w:szCs w:val="28"/>
          <w:lang w:val="en-US" w:eastAsia="en-US"/>
        </w:rPr>
        <w:t xml:space="preserve">. </w:t>
      </w:r>
      <w:r w:rsidR="00C16E50">
        <w:rPr>
          <w:rFonts w:ascii="Times New Roman" w:eastAsia="Calibri" w:hAnsi="Times New Roman" w:cs="Times New Roman"/>
          <w:sz w:val="28"/>
          <w:szCs w:val="28"/>
          <w:lang w:val="en-US" w:eastAsia="en-US"/>
        </w:rPr>
        <w:t xml:space="preserve"> </w:t>
      </w:r>
      <w:r w:rsidR="009A3828">
        <w:rPr>
          <w:rFonts w:ascii="Times New Roman" w:eastAsia="Calibri" w:hAnsi="Times New Roman" w:cs="Times New Roman"/>
          <w:sz w:val="28"/>
          <w:szCs w:val="28"/>
          <w:lang w:val="en-US" w:eastAsia="en-US"/>
        </w:rPr>
        <w:t>He argues</w:t>
      </w:r>
      <w:r w:rsidRPr="00FD5AD9">
        <w:rPr>
          <w:rFonts w:ascii="Times New Roman" w:eastAsia="Calibri" w:hAnsi="Times New Roman" w:cs="Times New Roman"/>
          <w:sz w:val="28"/>
          <w:szCs w:val="28"/>
          <w:lang w:val="en-US" w:eastAsia="en-US"/>
        </w:rPr>
        <w:t xml:space="preserve"> that </w:t>
      </w:r>
      <w:r w:rsidR="009A3828">
        <w:rPr>
          <w:rFonts w:ascii="Times New Roman" w:eastAsia="Calibri" w:hAnsi="Times New Roman" w:cs="Times New Roman"/>
          <w:sz w:val="28"/>
          <w:szCs w:val="28"/>
          <w:lang w:val="en-US" w:eastAsia="en-US"/>
        </w:rPr>
        <w:t xml:space="preserve">there are, </w:t>
      </w:r>
      <w:r w:rsidRPr="00FD5AD9">
        <w:rPr>
          <w:rFonts w:ascii="Times New Roman" w:eastAsia="Calibri" w:hAnsi="Times New Roman" w:cs="Times New Roman"/>
          <w:sz w:val="28"/>
          <w:szCs w:val="28"/>
          <w:lang w:val="en-US" w:eastAsia="en-US"/>
        </w:rPr>
        <w:t>in this case, good reasons for the Court to exercise its discretion not to order forfeiture.</w:t>
      </w:r>
    </w:p>
    <w:p w:rsidR="00FD5AD9" w:rsidRPr="00FD5AD9" w:rsidRDefault="00FD5AD9" w:rsidP="0000621B">
      <w:pPr>
        <w:spacing w:after="0" w:line="240" w:lineRule="auto"/>
        <w:jc w:val="both"/>
        <w:rPr>
          <w:rFonts w:ascii="Times New Roman" w:eastAsia="Calibri" w:hAnsi="Times New Roman" w:cs="Times New Roman"/>
          <w:sz w:val="28"/>
          <w:szCs w:val="28"/>
          <w:lang w:val="en-US" w:eastAsia="en-US"/>
        </w:rPr>
      </w:pPr>
    </w:p>
    <w:p w:rsidR="00FD5AD9" w:rsidRPr="002C3BE5" w:rsidRDefault="00FD5AD9" w:rsidP="00A37794">
      <w:pPr>
        <w:pStyle w:val="ListParagraph"/>
        <w:numPr>
          <w:ilvl w:val="0"/>
          <w:numId w:val="19"/>
        </w:numPr>
        <w:spacing w:after="0" w:line="240" w:lineRule="auto"/>
        <w:ind w:left="0" w:firstLine="0"/>
        <w:jc w:val="both"/>
        <w:rPr>
          <w:rFonts w:ascii="Times New Roman" w:eastAsia="Calibri" w:hAnsi="Times New Roman" w:cs="Times New Roman"/>
          <w:sz w:val="28"/>
          <w:szCs w:val="28"/>
          <w:lang w:val="en-US" w:eastAsia="en-US"/>
        </w:rPr>
      </w:pPr>
      <w:r w:rsidRPr="002C3BE5">
        <w:rPr>
          <w:rFonts w:ascii="Times New Roman" w:eastAsia="Calibri" w:hAnsi="Times New Roman" w:cs="Times New Roman"/>
          <w:sz w:val="28"/>
          <w:szCs w:val="28"/>
          <w:lang w:val="en-US" w:eastAsia="en-US"/>
        </w:rPr>
        <w:t>ANALYSIS</w:t>
      </w:r>
    </w:p>
    <w:p w:rsidR="00FD5AD9" w:rsidRPr="00FD5AD9" w:rsidRDefault="00FD5AD9" w:rsidP="0000621B">
      <w:pPr>
        <w:spacing w:after="0" w:line="240" w:lineRule="auto"/>
        <w:jc w:val="both"/>
        <w:rPr>
          <w:rFonts w:ascii="Times New Roman" w:eastAsia="Calibri" w:hAnsi="Times New Roman" w:cs="Times New Roman"/>
          <w:sz w:val="28"/>
          <w:szCs w:val="28"/>
          <w:lang w:val="en-US" w:eastAsia="en-US"/>
        </w:rPr>
      </w:pPr>
    </w:p>
    <w:p w:rsidR="00A37794" w:rsidRPr="002C3BE5" w:rsidRDefault="00FD5AD9" w:rsidP="00F300E6">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2C3BE5">
        <w:rPr>
          <w:rFonts w:ascii="Times New Roman" w:eastAsia="Calibri" w:hAnsi="Times New Roman" w:cs="Times New Roman"/>
          <w:sz w:val="28"/>
          <w:szCs w:val="28"/>
          <w:lang w:val="en-US" w:eastAsia="en-US"/>
        </w:rPr>
        <w:t xml:space="preserve">In support of its position that Les Rocher, as an assignee of the cash bail monies, does not have any standing to oppose forfeiture in these circumstances, the Crown relies on </w:t>
      </w:r>
      <w:r w:rsidRPr="002C3BE5">
        <w:rPr>
          <w:rFonts w:ascii="Times New Roman" w:eastAsia="Calibri" w:hAnsi="Times New Roman" w:cs="Times New Roman"/>
          <w:i/>
          <w:sz w:val="28"/>
          <w:szCs w:val="28"/>
          <w:lang w:val="en-US" w:eastAsia="en-US"/>
        </w:rPr>
        <w:t>R v Webster</w:t>
      </w:r>
      <w:r w:rsidRPr="002C3BE5">
        <w:rPr>
          <w:rFonts w:ascii="Times New Roman" w:eastAsia="Calibri" w:hAnsi="Times New Roman" w:cs="Times New Roman"/>
          <w:sz w:val="28"/>
          <w:szCs w:val="28"/>
          <w:lang w:val="en-US" w:eastAsia="en-US"/>
        </w:rPr>
        <w:t>, 1994 CA</w:t>
      </w:r>
      <w:r w:rsidR="002813A3" w:rsidRPr="002C3BE5">
        <w:rPr>
          <w:rFonts w:ascii="Times New Roman" w:eastAsia="Calibri" w:hAnsi="Times New Roman" w:cs="Times New Roman"/>
          <w:sz w:val="28"/>
          <w:szCs w:val="28"/>
          <w:lang w:val="en-US" w:eastAsia="en-US"/>
        </w:rPr>
        <w:t>N</w:t>
      </w:r>
      <w:r w:rsidRPr="002C3BE5">
        <w:rPr>
          <w:rFonts w:ascii="Times New Roman" w:eastAsia="Calibri" w:hAnsi="Times New Roman" w:cs="Times New Roman"/>
          <w:sz w:val="28"/>
          <w:szCs w:val="28"/>
          <w:lang w:val="en-US" w:eastAsia="en-US"/>
        </w:rPr>
        <w:t xml:space="preserve">LII 9166 (ABQB). </w:t>
      </w:r>
      <w:r w:rsidR="00C16E50">
        <w:rPr>
          <w:rFonts w:ascii="Times New Roman" w:eastAsia="Calibri" w:hAnsi="Times New Roman" w:cs="Times New Roman"/>
          <w:sz w:val="28"/>
          <w:szCs w:val="28"/>
          <w:lang w:val="en-US" w:eastAsia="en-US"/>
        </w:rPr>
        <w:t xml:space="preserve"> </w:t>
      </w:r>
      <w:r w:rsidRPr="002C3BE5">
        <w:rPr>
          <w:rFonts w:ascii="Times New Roman" w:eastAsia="Calibri" w:hAnsi="Times New Roman" w:cs="Times New Roman"/>
          <w:sz w:val="28"/>
          <w:szCs w:val="28"/>
          <w:lang w:val="en-US" w:eastAsia="en-US"/>
        </w:rPr>
        <w:t>That case</w:t>
      </w:r>
      <w:r w:rsidR="001027E5">
        <w:rPr>
          <w:rFonts w:ascii="Times New Roman" w:eastAsia="Calibri" w:hAnsi="Times New Roman" w:cs="Times New Roman"/>
          <w:sz w:val="28"/>
          <w:szCs w:val="28"/>
          <w:lang w:val="en-US" w:eastAsia="en-US"/>
        </w:rPr>
        <w:t xml:space="preserve"> </w:t>
      </w:r>
      <w:r w:rsidRPr="002C3BE5">
        <w:rPr>
          <w:rFonts w:ascii="Times New Roman" w:eastAsia="Calibri" w:hAnsi="Times New Roman" w:cs="Times New Roman"/>
          <w:sz w:val="28"/>
          <w:szCs w:val="28"/>
          <w:lang w:val="en-US" w:eastAsia="en-US"/>
        </w:rPr>
        <w:t>stands for the basic proposition that a bail assignee “steps in the shoes” of the assignor, in this case an accused person, and cannot assert any right beyond the rights of that person.  I do not disagree with this</w:t>
      </w:r>
      <w:r w:rsidR="009A3828">
        <w:rPr>
          <w:rFonts w:ascii="Times New Roman" w:eastAsia="Calibri" w:hAnsi="Times New Roman" w:cs="Times New Roman"/>
          <w:sz w:val="28"/>
          <w:szCs w:val="28"/>
          <w:lang w:val="en-US" w:eastAsia="en-US"/>
        </w:rPr>
        <w:t xml:space="preserve"> principle, but I do not think it is dispositive of this Application</w:t>
      </w:r>
      <w:r w:rsidRPr="002C3BE5">
        <w:rPr>
          <w:rFonts w:ascii="Times New Roman" w:eastAsia="Calibri" w:hAnsi="Times New Roman" w:cs="Times New Roman"/>
          <w:sz w:val="28"/>
          <w:szCs w:val="28"/>
          <w:lang w:val="en-US" w:eastAsia="en-US"/>
        </w:rPr>
        <w:t xml:space="preserve">.   </w:t>
      </w:r>
    </w:p>
    <w:p w:rsidR="00A37794" w:rsidRPr="002C3BE5" w:rsidRDefault="00A37794" w:rsidP="00A37794">
      <w:pPr>
        <w:pStyle w:val="ListParagraph"/>
        <w:spacing w:after="0" w:line="240" w:lineRule="auto"/>
        <w:ind w:left="0"/>
        <w:jc w:val="both"/>
        <w:rPr>
          <w:rFonts w:ascii="Times New Roman" w:eastAsia="Calibri" w:hAnsi="Times New Roman" w:cs="Times New Roman"/>
          <w:sz w:val="28"/>
          <w:szCs w:val="28"/>
          <w:lang w:val="en-US" w:eastAsia="en-US"/>
        </w:rPr>
      </w:pPr>
    </w:p>
    <w:p w:rsidR="00FD5AD9" w:rsidRPr="00FD5AD9" w:rsidRDefault="009A3828" w:rsidP="00F300E6">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T</w:t>
      </w:r>
      <w:r w:rsidR="00FD5AD9" w:rsidRPr="00FD5AD9">
        <w:rPr>
          <w:rFonts w:ascii="Times New Roman" w:eastAsia="Calibri" w:hAnsi="Times New Roman" w:cs="Times New Roman"/>
          <w:sz w:val="28"/>
          <w:szCs w:val="28"/>
          <w:lang w:val="en-US" w:eastAsia="en-US"/>
        </w:rPr>
        <w:t xml:space="preserve">he </w:t>
      </w:r>
      <w:r>
        <w:rPr>
          <w:rFonts w:ascii="Times New Roman" w:eastAsia="Calibri" w:hAnsi="Times New Roman" w:cs="Times New Roman"/>
          <w:sz w:val="28"/>
          <w:szCs w:val="28"/>
          <w:lang w:val="en-US" w:eastAsia="en-US"/>
        </w:rPr>
        <w:t xml:space="preserve">Court’s </w:t>
      </w:r>
      <w:r w:rsidR="00FD5AD9" w:rsidRPr="00FD5AD9">
        <w:rPr>
          <w:rFonts w:ascii="Times New Roman" w:eastAsia="Calibri" w:hAnsi="Times New Roman" w:cs="Times New Roman"/>
          <w:sz w:val="28"/>
          <w:szCs w:val="28"/>
          <w:lang w:val="en-US" w:eastAsia="en-US"/>
        </w:rPr>
        <w:t xml:space="preserve">power </w:t>
      </w:r>
      <w:r>
        <w:rPr>
          <w:rFonts w:ascii="Times New Roman" w:eastAsia="Calibri" w:hAnsi="Times New Roman" w:cs="Times New Roman"/>
          <w:sz w:val="28"/>
          <w:szCs w:val="28"/>
          <w:lang w:val="en-US" w:eastAsia="en-US"/>
        </w:rPr>
        <w:t>on a forfeiture application, as</w:t>
      </w:r>
      <w:r w:rsidR="00FD5AD9" w:rsidRPr="00FD5AD9">
        <w:rPr>
          <w:rFonts w:ascii="Times New Roman" w:eastAsia="Calibri" w:hAnsi="Times New Roman" w:cs="Times New Roman"/>
          <w:sz w:val="28"/>
          <w:szCs w:val="28"/>
          <w:lang w:val="en-US" w:eastAsia="en-US"/>
        </w:rPr>
        <w:t xml:space="preserve"> set out at section 771 of the </w:t>
      </w:r>
      <w:r w:rsidR="00FD5AD9" w:rsidRPr="00FD5AD9">
        <w:rPr>
          <w:rFonts w:ascii="Times New Roman" w:eastAsia="Calibri" w:hAnsi="Times New Roman" w:cs="Times New Roman"/>
          <w:i/>
          <w:sz w:val="28"/>
          <w:szCs w:val="28"/>
          <w:lang w:val="en-US" w:eastAsia="en-US"/>
        </w:rPr>
        <w:t>Criminal Code</w:t>
      </w:r>
      <w:r>
        <w:rPr>
          <w:rFonts w:ascii="Times New Roman" w:eastAsia="Calibri" w:hAnsi="Times New Roman" w:cs="Times New Roman"/>
          <w:sz w:val="28"/>
          <w:szCs w:val="28"/>
          <w:lang w:val="en-US" w:eastAsia="en-US"/>
        </w:rPr>
        <w:t>,</w:t>
      </w:r>
      <w:r w:rsidR="00FD5AD9" w:rsidRPr="00FD5AD9">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is very broad</w:t>
      </w:r>
      <w:r w:rsidR="00FD5AD9" w:rsidRPr="00FD5AD9">
        <w:rPr>
          <w:rFonts w:ascii="Times New Roman" w:eastAsia="Calibri" w:hAnsi="Times New Roman" w:cs="Times New Roman"/>
          <w:sz w:val="28"/>
          <w:szCs w:val="28"/>
          <w:lang w:val="en-US" w:eastAsia="en-US"/>
        </w:rPr>
        <w:t>:</w:t>
      </w:r>
    </w:p>
    <w:p w:rsidR="00A37794" w:rsidRPr="002C3BE5" w:rsidRDefault="00A37794" w:rsidP="0000621B">
      <w:pPr>
        <w:spacing w:after="0" w:line="240" w:lineRule="auto"/>
        <w:ind w:left="720" w:firstLine="720"/>
        <w:jc w:val="both"/>
        <w:rPr>
          <w:rFonts w:ascii="Times New Roman" w:eastAsia="Calibri" w:hAnsi="Times New Roman" w:cs="Times New Roman"/>
          <w:sz w:val="28"/>
          <w:szCs w:val="28"/>
          <w:lang w:val="en-US" w:eastAsia="en-US"/>
        </w:rPr>
      </w:pPr>
    </w:p>
    <w:p w:rsidR="00FD5AD9" w:rsidRPr="00E667AC" w:rsidRDefault="00FD5AD9" w:rsidP="00A37794">
      <w:pPr>
        <w:spacing w:after="0" w:line="240" w:lineRule="auto"/>
        <w:ind w:left="720" w:right="720" w:firstLine="720"/>
        <w:jc w:val="both"/>
        <w:rPr>
          <w:rFonts w:ascii="Times New Roman" w:eastAsia="Calibri" w:hAnsi="Times New Roman" w:cs="Times New Roman"/>
          <w:sz w:val="24"/>
          <w:szCs w:val="24"/>
          <w:lang w:val="en-US" w:eastAsia="en-US"/>
        </w:rPr>
      </w:pPr>
      <w:r w:rsidRPr="00FD5AD9">
        <w:rPr>
          <w:rFonts w:ascii="Times New Roman" w:eastAsia="Calibri" w:hAnsi="Times New Roman" w:cs="Times New Roman"/>
          <w:sz w:val="24"/>
          <w:szCs w:val="24"/>
          <w:lang w:val="en-US" w:eastAsia="en-US"/>
        </w:rPr>
        <w:t xml:space="preserve">771. </w:t>
      </w:r>
      <w:r w:rsidR="00A37794" w:rsidRPr="00E667AC">
        <w:rPr>
          <w:rFonts w:ascii="Times New Roman" w:eastAsia="Calibri" w:hAnsi="Times New Roman" w:cs="Times New Roman"/>
          <w:sz w:val="24"/>
          <w:szCs w:val="24"/>
          <w:lang w:val="en-US" w:eastAsia="en-US"/>
        </w:rPr>
        <w:t xml:space="preserve">  </w:t>
      </w:r>
      <w:r w:rsidRPr="00FD5AD9">
        <w:rPr>
          <w:rFonts w:ascii="Times New Roman" w:eastAsia="Calibri" w:hAnsi="Times New Roman" w:cs="Times New Roman"/>
          <w:sz w:val="24"/>
          <w:szCs w:val="24"/>
          <w:lang w:val="en-US" w:eastAsia="en-US"/>
        </w:rPr>
        <w:t>(…)</w:t>
      </w:r>
    </w:p>
    <w:p w:rsidR="002C3BE5" w:rsidRPr="00FD5AD9" w:rsidRDefault="002C3BE5" w:rsidP="00A37794">
      <w:pPr>
        <w:spacing w:after="0" w:line="240" w:lineRule="auto"/>
        <w:ind w:left="720" w:right="720" w:firstLine="720"/>
        <w:jc w:val="both"/>
        <w:rPr>
          <w:rFonts w:ascii="Times New Roman" w:eastAsia="Calibri" w:hAnsi="Times New Roman" w:cs="Times New Roman"/>
          <w:sz w:val="24"/>
          <w:szCs w:val="24"/>
          <w:lang w:val="en-US" w:eastAsia="en-US"/>
        </w:rPr>
      </w:pPr>
    </w:p>
    <w:p w:rsidR="00FD5AD9" w:rsidRPr="00FD5AD9" w:rsidRDefault="00FD5AD9" w:rsidP="00A37794">
      <w:pPr>
        <w:spacing w:after="0" w:line="240" w:lineRule="auto"/>
        <w:ind w:left="2160" w:right="720"/>
        <w:jc w:val="both"/>
        <w:rPr>
          <w:rFonts w:ascii="Times New Roman" w:eastAsia="Calibri" w:hAnsi="Times New Roman" w:cs="Times New Roman"/>
          <w:sz w:val="24"/>
          <w:szCs w:val="24"/>
          <w:lang w:val="en-US" w:eastAsia="en-US"/>
        </w:rPr>
      </w:pPr>
      <w:r w:rsidRPr="00FD5AD9">
        <w:rPr>
          <w:rFonts w:ascii="Times New Roman" w:eastAsia="Calibri" w:hAnsi="Times New Roman" w:cs="Times New Roman"/>
          <w:sz w:val="24"/>
          <w:szCs w:val="24"/>
          <w:lang w:val="en-US" w:eastAsia="en-US"/>
        </w:rPr>
        <w:t xml:space="preserve">(2) Where subsection (1) has been complied with, the judge may, after giving the parties an opportunity to be heard, </w:t>
      </w:r>
      <w:r w:rsidR="002813A3" w:rsidRPr="00E667AC">
        <w:rPr>
          <w:rFonts w:ascii="Times New Roman" w:eastAsia="Calibri" w:hAnsi="Times New Roman" w:cs="Times New Roman"/>
          <w:sz w:val="24"/>
          <w:szCs w:val="24"/>
          <w:lang w:val="en-US" w:eastAsia="en-US"/>
        </w:rPr>
        <w:t>in his</w:t>
      </w:r>
      <w:r w:rsidRPr="00FD5AD9">
        <w:rPr>
          <w:rFonts w:ascii="Times New Roman" w:eastAsia="Calibri" w:hAnsi="Times New Roman" w:cs="Times New Roman"/>
          <w:sz w:val="24"/>
          <w:szCs w:val="24"/>
          <w:lang w:val="en-US" w:eastAsia="en-US"/>
        </w:rPr>
        <w:t xml:space="preserve"> discretion grant or refuse the application and make any order with respect to forfeiture of the recognizance that he considers proper.</w:t>
      </w:r>
    </w:p>
    <w:p w:rsidR="00FD5AD9" w:rsidRPr="00FD5AD9" w:rsidRDefault="00FD5AD9" w:rsidP="00A37794">
      <w:pPr>
        <w:spacing w:after="0" w:line="240" w:lineRule="auto"/>
        <w:ind w:left="1440" w:right="720" w:firstLine="720"/>
        <w:jc w:val="both"/>
        <w:rPr>
          <w:rFonts w:ascii="Times New Roman" w:eastAsia="Calibri" w:hAnsi="Times New Roman" w:cs="Times New Roman"/>
          <w:sz w:val="24"/>
          <w:szCs w:val="24"/>
          <w:lang w:val="en-US" w:eastAsia="en-US"/>
        </w:rPr>
      </w:pPr>
      <w:r w:rsidRPr="00FD5AD9">
        <w:rPr>
          <w:rFonts w:ascii="Times New Roman" w:eastAsia="Calibri" w:hAnsi="Times New Roman" w:cs="Times New Roman"/>
          <w:sz w:val="24"/>
          <w:szCs w:val="24"/>
          <w:lang w:val="en-US" w:eastAsia="en-US"/>
        </w:rPr>
        <w:t>(…)</w:t>
      </w:r>
    </w:p>
    <w:p w:rsidR="00FD5AD9" w:rsidRPr="00FD5AD9" w:rsidRDefault="00FD5AD9" w:rsidP="0000621B">
      <w:pPr>
        <w:spacing w:after="0" w:line="240" w:lineRule="auto"/>
        <w:jc w:val="both"/>
        <w:rPr>
          <w:rFonts w:ascii="Times New Roman" w:eastAsia="Calibri" w:hAnsi="Times New Roman" w:cs="Times New Roman"/>
          <w:sz w:val="28"/>
          <w:szCs w:val="28"/>
          <w:lang w:val="en-US" w:eastAsia="en-US"/>
        </w:rPr>
      </w:pPr>
    </w:p>
    <w:p w:rsidR="00FD5AD9" w:rsidRPr="00FD5AD9" w:rsidRDefault="00FD5AD9" w:rsidP="0000621B">
      <w:pPr>
        <w:spacing w:after="0" w:line="240" w:lineRule="auto"/>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i/>
          <w:sz w:val="28"/>
          <w:szCs w:val="28"/>
          <w:lang w:val="en-US" w:eastAsia="en-US"/>
        </w:rPr>
        <w:t>Criminal Code</w:t>
      </w:r>
      <w:r w:rsidRPr="00FD5AD9">
        <w:rPr>
          <w:rFonts w:ascii="Times New Roman" w:eastAsia="Calibri" w:hAnsi="Times New Roman" w:cs="Times New Roman"/>
          <w:sz w:val="28"/>
          <w:szCs w:val="28"/>
          <w:lang w:val="en-US" w:eastAsia="en-US"/>
        </w:rPr>
        <w:t xml:space="preserve">, Section 771.  </w:t>
      </w:r>
    </w:p>
    <w:p w:rsidR="00FD5AD9" w:rsidRPr="00FD5AD9" w:rsidRDefault="00FD5AD9" w:rsidP="0000621B">
      <w:pPr>
        <w:spacing w:after="0" w:line="240" w:lineRule="auto"/>
        <w:jc w:val="both"/>
        <w:rPr>
          <w:rFonts w:ascii="Times New Roman" w:eastAsia="Calibri" w:hAnsi="Times New Roman" w:cs="Times New Roman"/>
          <w:sz w:val="28"/>
          <w:szCs w:val="28"/>
          <w:lang w:val="en-US" w:eastAsia="en-US"/>
        </w:rPr>
      </w:pPr>
    </w:p>
    <w:p w:rsidR="00A37794" w:rsidRPr="002C3BE5" w:rsidRDefault="00FD5AD9" w:rsidP="009F0BF0">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2C3BE5">
        <w:rPr>
          <w:rFonts w:ascii="Times New Roman" w:eastAsia="Calibri" w:hAnsi="Times New Roman" w:cs="Times New Roman"/>
          <w:sz w:val="28"/>
          <w:szCs w:val="28"/>
          <w:lang w:val="en-US" w:eastAsia="en-US"/>
        </w:rPr>
        <w:t xml:space="preserve">As I noted in </w:t>
      </w:r>
      <w:r w:rsidRPr="002C3BE5">
        <w:rPr>
          <w:rFonts w:ascii="Times New Roman" w:eastAsia="Calibri" w:hAnsi="Times New Roman" w:cs="Times New Roman"/>
          <w:i/>
          <w:sz w:val="28"/>
          <w:szCs w:val="28"/>
          <w:lang w:val="en-US" w:eastAsia="en-US"/>
        </w:rPr>
        <w:t>R v Alookee</w:t>
      </w:r>
      <w:r w:rsidRPr="002C3BE5">
        <w:rPr>
          <w:rFonts w:ascii="Times New Roman" w:eastAsia="Calibri" w:hAnsi="Times New Roman" w:cs="Times New Roman"/>
          <w:sz w:val="28"/>
          <w:szCs w:val="28"/>
          <w:lang w:val="en-US" w:eastAsia="en-US"/>
        </w:rPr>
        <w:t xml:space="preserve">, 2011 NWTSC 11, irrespective of the issue of standing, </w:t>
      </w:r>
      <w:r w:rsidR="009A3828">
        <w:rPr>
          <w:rFonts w:ascii="Times New Roman" w:eastAsia="Calibri" w:hAnsi="Times New Roman" w:cs="Times New Roman"/>
          <w:sz w:val="28"/>
          <w:szCs w:val="28"/>
          <w:lang w:val="en-US" w:eastAsia="en-US"/>
        </w:rPr>
        <w:t>all the</w:t>
      </w:r>
      <w:r w:rsidRPr="002C3BE5">
        <w:rPr>
          <w:rFonts w:ascii="Times New Roman" w:eastAsia="Calibri" w:hAnsi="Times New Roman" w:cs="Times New Roman"/>
          <w:sz w:val="28"/>
          <w:szCs w:val="28"/>
          <w:lang w:val="en-US" w:eastAsia="en-US"/>
        </w:rPr>
        <w:t xml:space="preserve"> circumstances </w:t>
      </w:r>
      <w:r w:rsidR="009A3828">
        <w:rPr>
          <w:rFonts w:ascii="Times New Roman" w:eastAsia="Calibri" w:hAnsi="Times New Roman" w:cs="Times New Roman"/>
          <w:sz w:val="28"/>
          <w:szCs w:val="28"/>
          <w:lang w:val="en-US" w:eastAsia="en-US"/>
        </w:rPr>
        <w:t xml:space="preserve">of the case </w:t>
      </w:r>
      <w:r w:rsidRPr="002C3BE5">
        <w:rPr>
          <w:rFonts w:ascii="Times New Roman" w:eastAsia="Calibri" w:hAnsi="Times New Roman" w:cs="Times New Roman"/>
          <w:sz w:val="28"/>
          <w:szCs w:val="28"/>
          <w:lang w:val="en-US" w:eastAsia="en-US"/>
        </w:rPr>
        <w:t>must be taken into account</w:t>
      </w:r>
      <w:r w:rsidR="009A3828">
        <w:rPr>
          <w:rFonts w:ascii="Times New Roman" w:eastAsia="Calibri" w:hAnsi="Times New Roman" w:cs="Times New Roman"/>
          <w:sz w:val="28"/>
          <w:szCs w:val="28"/>
          <w:lang w:val="en-US" w:eastAsia="en-US"/>
        </w:rPr>
        <w:t xml:space="preserve"> when exercising this</w:t>
      </w:r>
      <w:r w:rsidR="002419C1">
        <w:rPr>
          <w:rFonts w:ascii="Times New Roman" w:eastAsia="Calibri" w:hAnsi="Times New Roman" w:cs="Times New Roman"/>
          <w:sz w:val="28"/>
          <w:szCs w:val="28"/>
          <w:lang w:val="en-US" w:eastAsia="en-US"/>
        </w:rPr>
        <w:t xml:space="preserve"> discretionary </w:t>
      </w:r>
      <w:r w:rsidR="009A3828">
        <w:rPr>
          <w:rFonts w:ascii="Times New Roman" w:eastAsia="Calibri" w:hAnsi="Times New Roman" w:cs="Times New Roman"/>
          <w:sz w:val="28"/>
          <w:szCs w:val="28"/>
          <w:lang w:val="en-US" w:eastAsia="en-US"/>
        </w:rPr>
        <w:t>power</w:t>
      </w:r>
      <w:r w:rsidRPr="002C3BE5">
        <w:rPr>
          <w:rFonts w:ascii="Times New Roman" w:eastAsia="Calibri" w:hAnsi="Times New Roman" w:cs="Times New Roman"/>
          <w:sz w:val="28"/>
          <w:szCs w:val="28"/>
          <w:lang w:val="en-US" w:eastAsia="en-US"/>
        </w:rPr>
        <w:t xml:space="preserve">.  </w:t>
      </w:r>
      <w:r w:rsidR="00335901">
        <w:rPr>
          <w:rFonts w:ascii="Times New Roman" w:eastAsia="Calibri" w:hAnsi="Times New Roman" w:cs="Times New Roman"/>
          <w:sz w:val="28"/>
          <w:szCs w:val="28"/>
          <w:lang w:val="en-US" w:eastAsia="en-US"/>
        </w:rPr>
        <w:t xml:space="preserve">In </w:t>
      </w:r>
      <w:r w:rsidR="00335901" w:rsidRPr="00335901">
        <w:rPr>
          <w:rFonts w:ascii="Times New Roman" w:eastAsia="Calibri" w:hAnsi="Times New Roman" w:cs="Times New Roman"/>
          <w:i/>
          <w:sz w:val="28"/>
          <w:szCs w:val="28"/>
          <w:lang w:val="en-US" w:eastAsia="en-US"/>
        </w:rPr>
        <w:t>Alookee</w:t>
      </w:r>
      <w:r w:rsidR="00335901">
        <w:rPr>
          <w:rFonts w:ascii="Times New Roman" w:eastAsia="Calibri" w:hAnsi="Times New Roman" w:cs="Times New Roman"/>
          <w:sz w:val="28"/>
          <w:szCs w:val="28"/>
          <w:lang w:val="en-US" w:eastAsia="en-US"/>
        </w:rPr>
        <w:t>, the accused’s mother had supplied the money for the cash deposit.</w:t>
      </w:r>
      <w:r w:rsidR="00C16E50">
        <w:rPr>
          <w:rFonts w:ascii="Times New Roman" w:eastAsia="Calibri" w:hAnsi="Times New Roman" w:cs="Times New Roman"/>
          <w:sz w:val="28"/>
          <w:szCs w:val="28"/>
          <w:lang w:val="en-US" w:eastAsia="en-US"/>
        </w:rPr>
        <w:t xml:space="preserve"> </w:t>
      </w:r>
      <w:r w:rsidR="00335901">
        <w:rPr>
          <w:rFonts w:ascii="Times New Roman" w:eastAsia="Calibri" w:hAnsi="Times New Roman" w:cs="Times New Roman"/>
          <w:sz w:val="28"/>
          <w:szCs w:val="28"/>
          <w:lang w:val="en-US" w:eastAsia="en-US"/>
        </w:rPr>
        <w:t xml:space="preserve"> She was not a surety, nor an assignee, and</w:t>
      </w:r>
      <w:r w:rsidRPr="002C3BE5">
        <w:rPr>
          <w:rFonts w:ascii="Times New Roman" w:eastAsia="Calibri" w:hAnsi="Times New Roman" w:cs="Times New Roman"/>
          <w:sz w:val="28"/>
          <w:szCs w:val="28"/>
          <w:lang w:val="en-US" w:eastAsia="en-US"/>
        </w:rPr>
        <w:t xml:space="preserve"> the </w:t>
      </w:r>
      <w:r w:rsidR="009A3828">
        <w:rPr>
          <w:rFonts w:ascii="Times New Roman" w:eastAsia="Calibri" w:hAnsi="Times New Roman" w:cs="Times New Roman"/>
          <w:sz w:val="28"/>
          <w:szCs w:val="28"/>
          <w:lang w:val="en-US" w:eastAsia="en-US"/>
        </w:rPr>
        <w:t xml:space="preserve">overall </w:t>
      </w:r>
      <w:r w:rsidRPr="002C3BE5">
        <w:rPr>
          <w:rFonts w:ascii="Times New Roman" w:eastAsia="Calibri" w:hAnsi="Times New Roman" w:cs="Times New Roman"/>
          <w:sz w:val="28"/>
          <w:szCs w:val="28"/>
          <w:lang w:val="en-US" w:eastAsia="en-US"/>
        </w:rPr>
        <w:t xml:space="preserve">circumstances were </w:t>
      </w:r>
      <w:r w:rsidR="009A3828">
        <w:rPr>
          <w:rFonts w:ascii="Times New Roman" w:eastAsia="Calibri" w:hAnsi="Times New Roman" w:cs="Times New Roman"/>
          <w:sz w:val="28"/>
          <w:szCs w:val="28"/>
          <w:lang w:val="en-US" w:eastAsia="en-US"/>
        </w:rPr>
        <w:t>very</w:t>
      </w:r>
      <w:r w:rsidRPr="002C3BE5">
        <w:rPr>
          <w:rFonts w:ascii="Times New Roman" w:eastAsia="Calibri" w:hAnsi="Times New Roman" w:cs="Times New Roman"/>
          <w:sz w:val="28"/>
          <w:szCs w:val="28"/>
          <w:lang w:val="en-US" w:eastAsia="en-US"/>
        </w:rPr>
        <w:t xml:space="preserve"> different </w:t>
      </w:r>
      <w:r w:rsidR="009A3828">
        <w:rPr>
          <w:rFonts w:ascii="Times New Roman" w:eastAsia="Calibri" w:hAnsi="Times New Roman" w:cs="Times New Roman"/>
          <w:sz w:val="28"/>
          <w:szCs w:val="28"/>
          <w:lang w:val="en-US" w:eastAsia="en-US"/>
        </w:rPr>
        <w:t>from</w:t>
      </w:r>
      <w:r w:rsidRPr="002C3BE5">
        <w:rPr>
          <w:rFonts w:ascii="Times New Roman" w:eastAsia="Calibri" w:hAnsi="Times New Roman" w:cs="Times New Roman"/>
          <w:sz w:val="28"/>
          <w:szCs w:val="28"/>
          <w:lang w:val="en-US" w:eastAsia="en-US"/>
        </w:rPr>
        <w:t xml:space="preserve"> those in this case.  </w:t>
      </w:r>
      <w:r w:rsidR="008C4DEA">
        <w:rPr>
          <w:rFonts w:ascii="Times New Roman" w:eastAsia="Calibri" w:hAnsi="Times New Roman" w:cs="Times New Roman"/>
          <w:sz w:val="28"/>
          <w:szCs w:val="28"/>
          <w:lang w:val="en-US" w:eastAsia="en-US"/>
        </w:rPr>
        <w:t xml:space="preserve">Mr. </w:t>
      </w:r>
      <w:r w:rsidR="00335901" w:rsidRPr="008C4DEA">
        <w:rPr>
          <w:rFonts w:ascii="Times New Roman" w:eastAsia="Calibri" w:hAnsi="Times New Roman" w:cs="Times New Roman"/>
          <w:sz w:val="28"/>
          <w:szCs w:val="28"/>
          <w:lang w:val="en-US" w:eastAsia="en-US"/>
        </w:rPr>
        <w:t xml:space="preserve">Alookee </w:t>
      </w:r>
      <w:r w:rsidR="00335901">
        <w:rPr>
          <w:rFonts w:ascii="Times New Roman" w:eastAsia="Calibri" w:hAnsi="Times New Roman" w:cs="Times New Roman"/>
          <w:sz w:val="28"/>
          <w:szCs w:val="28"/>
          <w:lang w:val="en-US" w:eastAsia="en-US"/>
        </w:rPr>
        <w:t>failed to appear at his trial and this led to forfeiture proceedings.   At the forfeiture application, i</w:t>
      </w:r>
      <w:r w:rsidRPr="002C3BE5">
        <w:rPr>
          <w:rFonts w:ascii="Times New Roman" w:eastAsia="Calibri" w:hAnsi="Times New Roman" w:cs="Times New Roman"/>
          <w:sz w:val="28"/>
          <w:szCs w:val="28"/>
          <w:lang w:val="en-US" w:eastAsia="en-US"/>
        </w:rPr>
        <w:t xml:space="preserve">t was argued, </w:t>
      </w:r>
      <w:r w:rsidR="009A3828">
        <w:rPr>
          <w:rFonts w:ascii="Times New Roman" w:eastAsia="Calibri" w:hAnsi="Times New Roman" w:cs="Times New Roman"/>
          <w:sz w:val="28"/>
          <w:szCs w:val="28"/>
          <w:lang w:val="en-US" w:eastAsia="en-US"/>
        </w:rPr>
        <w:t xml:space="preserve">and I agreed, that </w:t>
      </w:r>
      <w:r w:rsidR="008C4DEA">
        <w:rPr>
          <w:rFonts w:ascii="Times New Roman" w:eastAsia="Calibri" w:hAnsi="Times New Roman" w:cs="Times New Roman"/>
          <w:sz w:val="28"/>
          <w:szCs w:val="28"/>
          <w:lang w:val="en-US" w:eastAsia="en-US"/>
        </w:rPr>
        <w:t>his</w:t>
      </w:r>
      <w:bookmarkStart w:id="2" w:name="_GoBack"/>
      <w:bookmarkEnd w:id="2"/>
      <w:r w:rsidR="00335901">
        <w:rPr>
          <w:rFonts w:ascii="Times New Roman" w:eastAsia="Calibri" w:hAnsi="Times New Roman" w:cs="Times New Roman"/>
          <w:sz w:val="28"/>
          <w:szCs w:val="28"/>
          <w:lang w:val="en-US" w:eastAsia="en-US"/>
        </w:rPr>
        <w:t xml:space="preserve"> mother’s involvement and situation</w:t>
      </w:r>
      <w:r w:rsidR="009A3828">
        <w:rPr>
          <w:rFonts w:ascii="Times New Roman" w:eastAsia="Calibri" w:hAnsi="Times New Roman" w:cs="Times New Roman"/>
          <w:sz w:val="28"/>
          <w:szCs w:val="28"/>
          <w:lang w:val="en-US" w:eastAsia="en-US"/>
        </w:rPr>
        <w:t xml:space="preserve"> could properly</w:t>
      </w:r>
      <w:r w:rsidRPr="002C3BE5">
        <w:rPr>
          <w:rFonts w:ascii="Times New Roman" w:eastAsia="Calibri" w:hAnsi="Times New Roman" w:cs="Times New Roman"/>
          <w:sz w:val="28"/>
          <w:szCs w:val="28"/>
          <w:lang w:val="en-US" w:eastAsia="en-US"/>
        </w:rPr>
        <w:t xml:space="preserve"> be taken into account in deciding how to exercise the broad discretion conferred by section 771.</w:t>
      </w:r>
    </w:p>
    <w:p w:rsidR="00A37794" w:rsidRPr="002C3BE5" w:rsidRDefault="00A37794" w:rsidP="00A37794">
      <w:pPr>
        <w:pStyle w:val="ListParagraph"/>
        <w:spacing w:after="0" w:line="240" w:lineRule="auto"/>
        <w:ind w:left="0"/>
        <w:jc w:val="both"/>
        <w:rPr>
          <w:rFonts w:ascii="Times New Roman" w:eastAsia="Calibri" w:hAnsi="Times New Roman" w:cs="Times New Roman"/>
          <w:sz w:val="28"/>
          <w:szCs w:val="28"/>
          <w:lang w:val="en-US" w:eastAsia="en-US"/>
        </w:rPr>
      </w:pPr>
    </w:p>
    <w:p w:rsidR="002419C1" w:rsidRDefault="00FD5AD9" w:rsidP="007772A2">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i/>
          <w:sz w:val="28"/>
          <w:szCs w:val="28"/>
          <w:lang w:val="en-US" w:eastAsia="en-US"/>
        </w:rPr>
        <w:t>Alookee</w:t>
      </w:r>
      <w:r w:rsidRPr="00FD5AD9">
        <w:rPr>
          <w:rFonts w:ascii="Times New Roman" w:eastAsia="Calibri" w:hAnsi="Times New Roman" w:cs="Times New Roman"/>
          <w:sz w:val="28"/>
          <w:szCs w:val="28"/>
          <w:lang w:val="en-US" w:eastAsia="en-US"/>
        </w:rPr>
        <w:t xml:space="preserve"> was </w:t>
      </w:r>
      <w:r w:rsidR="007248DC">
        <w:rPr>
          <w:rFonts w:ascii="Times New Roman" w:eastAsia="Calibri" w:hAnsi="Times New Roman" w:cs="Times New Roman"/>
          <w:sz w:val="28"/>
          <w:szCs w:val="28"/>
          <w:lang w:val="en-US" w:eastAsia="en-US"/>
        </w:rPr>
        <w:t xml:space="preserve">not decided on the basis </w:t>
      </w:r>
      <w:r w:rsidR="00496A4E">
        <w:rPr>
          <w:rFonts w:ascii="Times New Roman" w:eastAsia="Calibri" w:hAnsi="Times New Roman" w:cs="Times New Roman"/>
          <w:sz w:val="28"/>
          <w:szCs w:val="28"/>
          <w:lang w:val="en-US" w:eastAsia="en-US"/>
        </w:rPr>
        <w:t>that</w:t>
      </w:r>
      <w:r w:rsidR="007248DC">
        <w:rPr>
          <w:rFonts w:ascii="Times New Roman" w:eastAsia="Calibri" w:hAnsi="Times New Roman" w:cs="Times New Roman"/>
          <w:sz w:val="28"/>
          <w:szCs w:val="28"/>
          <w:lang w:val="en-US" w:eastAsia="en-US"/>
        </w:rPr>
        <w:t xml:space="preserve"> the mother ha</w:t>
      </w:r>
      <w:r w:rsidR="00496A4E">
        <w:rPr>
          <w:rFonts w:ascii="Times New Roman" w:eastAsia="Calibri" w:hAnsi="Times New Roman" w:cs="Times New Roman"/>
          <w:sz w:val="28"/>
          <w:szCs w:val="28"/>
          <w:lang w:val="en-US" w:eastAsia="en-US"/>
        </w:rPr>
        <w:t>d</w:t>
      </w:r>
      <w:r w:rsidR="007248DC">
        <w:rPr>
          <w:rFonts w:ascii="Times New Roman" w:eastAsia="Calibri" w:hAnsi="Times New Roman" w:cs="Times New Roman"/>
          <w:sz w:val="28"/>
          <w:szCs w:val="28"/>
          <w:lang w:val="en-US" w:eastAsia="en-US"/>
        </w:rPr>
        <w:t xml:space="preserve"> standing to oppose forfeiture in her own name.  The decision was based on the conclusion that</w:t>
      </w:r>
      <w:r w:rsidRPr="00FD5AD9">
        <w:rPr>
          <w:rFonts w:ascii="Times New Roman" w:eastAsia="Calibri" w:hAnsi="Times New Roman" w:cs="Times New Roman"/>
          <w:sz w:val="28"/>
          <w:szCs w:val="28"/>
          <w:lang w:val="en-US" w:eastAsia="en-US"/>
        </w:rPr>
        <w:t xml:space="preserve"> </w:t>
      </w:r>
      <w:r w:rsidR="00126CC1">
        <w:rPr>
          <w:rFonts w:ascii="Times New Roman" w:eastAsia="Calibri" w:hAnsi="Times New Roman" w:cs="Times New Roman"/>
          <w:sz w:val="28"/>
          <w:szCs w:val="28"/>
          <w:lang w:val="en-US" w:eastAsia="en-US"/>
        </w:rPr>
        <w:t xml:space="preserve">her </w:t>
      </w:r>
      <w:r w:rsidR="00126CC1">
        <w:rPr>
          <w:rFonts w:ascii="Times New Roman" w:eastAsia="Calibri" w:hAnsi="Times New Roman" w:cs="Times New Roman"/>
          <w:sz w:val="28"/>
          <w:szCs w:val="28"/>
          <w:lang w:val="en-US" w:eastAsia="en-US"/>
        </w:rPr>
        <w:lastRenderedPageBreak/>
        <w:t>situation, financial and otherwise, and</w:t>
      </w:r>
      <w:r w:rsidR="007248DC">
        <w:rPr>
          <w:rFonts w:ascii="Times New Roman" w:eastAsia="Calibri" w:hAnsi="Times New Roman" w:cs="Times New Roman"/>
          <w:sz w:val="28"/>
          <w:szCs w:val="28"/>
          <w:lang w:val="en-US" w:eastAsia="en-US"/>
        </w:rPr>
        <w:t xml:space="preserve"> the efforts she had made to supervise her son and try to get him </w:t>
      </w:r>
      <w:r w:rsidRPr="00FD5AD9">
        <w:rPr>
          <w:rFonts w:ascii="Times New Roman" w:eastAsia="Calibri" w:hAnsi="Times New Roman" w:cs="Times New Roman"/>
          <w:sz w:val="28"/>
          <w:szCs w:val="28"/>
          <w:lang w:val="en-US" w:eastAsia="en-US"/>
        </w:rPr>
        <w:t>before the Court in accordance with his release terms</w:t>
      </w:r>
      <w:r w:rsidR="00126CC1">
        <w:rPr>
          <w:rFonts w:ascii="Times New Roman" w:eastAsia="Calibri" w:hAnsi="Times New Roman" w:cs="Times New Roman"/>
          <w:sz w:val="28"/>
          <w:szCs w:val="28"/>
          <w:lang w:val="en-US" w:eastAsia="en-US"/>
        </w:rPr>
        <w:t>, could and should be taken into account at the forfeiture stage</w:t>
      </w:r>
      <w:r w:rsidRPr="00FD5AD9">
        <w:rPr>
          <w:rFonts w:ascii="Times New Roman" w:eastAsia="Calibri" w:hAnsi="Times New Roman" w:cs="Times New Roman"/>
          <w:sz w:val="28"/>
          <w:szCs w:val="28"/>
          <w:lang w:val="en-US" w:eastAsia="en-US"/>
        </w:rPr>
        <w:t>.</w:t>
      </w:r>
    </w:p>
    <w:p w:rsidR="002419C1" w:rsidRPr="002419C1" w:rsidRDefault="002419C1" w:rsidP="002419C1">
      <w:pPr>
        <w:pStyle w:val="ListParagraph"/>
        <w:rPr>
          <w:rFonts w:ascii="Times New Roman" w:eastAsia="Calibri" w:hAnsi="Times New Roman" w:cs="Times New Roman"/>
          <w:sz w:val="28"/>
          <w:szCs w:val="28"/>
          <w:lang w:val="en-US" w:eastAsia="en-US"/>
        </w:rPr>
      </w:pPr>
    </w:p>
    <w:p w:rsidR="00A37794" w:rsidRPr="002C3BE5" w:rsidRDefault="001E6AE9" w:rsidP="007772A2">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 xml:space="preserve">To be clear, </w:t>
      </w:r>
      <w:r w:rsidR="002419C1">
        <w:rPr>
          <w:rFonts w:ascii="Times New Roman" w:eastAsia="Calibri" w:hAnsi="Times New Roman" w:cs="Times New Roman"/>
          <w:sz w:val="28"/>
          <w:szCs w:val="28"/>
          <w:lang w:val="en-US" w:eastAsia="en-US"/>
        </w:rPr>
        <w:t>I completely agree with the Crown in this respect: the simple fact that someone other than the accused has supplied the money for a cash deposit is not</w:t>
      </w:r>
      <w:r w:rsidR="003E5E29">
        <w:rPr>
          <w:rFonts w:ascii="Times New Roman" w:eastAsia="Calibri" w:hAnsi="Times New Roman" w:cs="Times New Roman"/>
          <w:sz w:val="28"/>
          <w:szCs w:val="28"/>
          <w:lang w:val="en-US" w:eastAsia="en-US"/>
        </w:rPr>
        <w:t xml:space="preserve"> in itself</w:t>
      </w:r>
      <w:r w:rsidR="002419C1">
        <w:rPr>
          <w:rFonts w:ascii="Times New Roman" w:eastAsia="Calibri" w:hAnsi="Times New Roman" w:cs="Times New Roman"/>
          <w:sz w:val="28"/>
          <w:szCs w:val="28"/>
          <w:lang w:val="en-US" w:eastAsia="en-US"/>
        </w:rPr>
        <w:t xml:space="preserve"> a reason not to </w:t>
      </w:r>
      <w:r w:rsidR="003E5E29">
        <w:rPr>
          <w:rFonts w:ascii="Times New Roman" w:eastAsia="Calibri" w:hAnsi="Times New Roman" w:cs="Times New Roman"/>
          <w:sz w:val="28"/>
          <w:szCs w:val="28"/>
          <w:lang w:val="en-US" w:eastAsia="en-US"/>
        </w:rPr>
        <w:t xml:space="preserve">order </w:t>
      </w:r>
      <w:r w:rsidR="002419C1">
        <w:rPr>
          <w:rFonts w:ascii="Times New Roman" w:eastAsia="Calibri" w:hAnsi="Times New Roman" w:cs="Times New Roman"/>
          <w:sz w:val="28"/>
          <w:szCs w:val="28"/>
          <w:lang w:val="en-US" w:eastAsia="en-US"/>
        </w:rPr>
        <w:t>forfeit</w:t>
      </w:r>
      <w:r w:rsidR="003E5E29">
        <w:rPr>
          <w:rFonts w:ascii="Times New Roman" w:eastAsia="Calibri" w:hAnsi="Times New Roman" w:cs="Times New Roman"/>
          <w:sz w:val="28"/>
          <w:szCs w:val="28"/>
          <w:lang w:val="en-US" w:eastAsia="en-US"/>
        </w:rPr>
        <w:t>ure</w:t>
      </w:r>
      <w:r w:rsidR="002419C1">
        <w:rPr>
          <w:rFonts w:ascii="Times New Roman" w:eastAsia="Calibri" w:hAnsi="Times New Roman" w:cs="Times New Roman"/>
          <w:sz w:val="28"/>
          <w:szCs w:val="28"/>
          <w:lang w:val="en-US" w:eastAsia="en-US"/>
        </w:rPr>
        <w:t xml:space="preserve"> </w:t>
      </w:r>
      <w:r w:rsidR="003E5E29">
        <w:rPr>
          <w:rFonts w:ascii="Times New Roman" w:eastAsia="Calibri" w:hAnsi="Times New Roman" w:cs="Times New Roman"/>
          <w:sz w:val="28"/>
          <w:szCs w:val="28"/>
          <w:lang w:val="en-US" w:eastAsia="en-US"/>
        </w:rPr>
        <w:t>following</w:t>
      </w:r>
      <w:r w:rsidR="002419C1">
        <w:rPr>
          <w:rFonts w:ascii="Times New Roman" w:eastAsia="Calibri" w:hAnsi="Times New Roman" w:cs="Times New Roman"/>
          <w:sz w:val="28"/>
          <w:szCs w:val="28"/>
          <w:lang w:val="en-US" w:eastAsia="en-US"/>
        </w:rPr>
        <w:t xml:space="preserve"> a breach.  If it were, the whole point of having cash deposits would be circumvented and this type of bail condition would have no teeth.  At the same time, it </w:t>
      </w:r>
      <w:r w:rsidR="003E5E29">
        <w:rPr>
          <w:rFonts w:ascii="Times New Roman" w:eastAsia="Calibri" w:hAnsi="Times New Roman" w:cs="Times New Roman"/>
          <w:sz w:val="28"/>
          <w:szCs w:val="28"/>
          <w:lang w:val="en-US" w:eastAsia="en-US"/>
        </w:rPr>
        <w:t xml:space="preserve">is not a given that </w:t>
      </w:r>
      <w:r w:rsidR="002419C1">
        <w:rPr>
          <w:rFonts w:ascii="Times New Roman" w:eastAsia="Calibri" w:hAnsi="Times New Roman" w:cs="Times New Roman"/>
          <w:sz w:val="28"/>
          <w:szCs w:val="28"/>
          <w:lang w:val="en-US" w:eastAsia="en-US"/>
        </w:rPr>
        <w:t xml:space="preserve">full forfeiture </w:t>
      </w:r>
      <w:r w:rsidR="003E5E29">
        <w:rPr>
          <w:rFonts w:ascii="Times New Roman" w:eastAsia="Calibri" w:hAnsi="Times New Roman" w:cs="Times New Roman"/>
          <w:sz w:val="28"/>
          <w:szCs w:val="28"/>
          <w:lang w:val="en-US" w:eastAsia="en-US"/>
        </w:rPr>
        <w:t>will</w:t>
      </w:r>
      <w:r w:rsidR="002419C1">
        <w:rPr>
          <w:rFonts w:ascii="Times New Roman" w:eastAsia="Calibri" w:hAnsi="Times New Roman" w:cs="Times New Roman"/>
          <w:sz w:val="28"/>
          <w:szCs w:val="28"/>
          <w:lang w:val="en-US" w:eastAsia="en-US"/>
        </w:rPr>
        <w:t xml:space="preserve"> </w:t>
      </w:r>
      <w:r w:rsidR="003E5E29">
        <w:rPr>
          <w:rFonts w:ascii="Times New Roman" w:eastAsia="Calibri" w:hAnsi="Times New Roman" w:cs="Times New Roman"/>
          <w:sz w:val="28"/>
          <w:szCs w:val="28"/>
          <w:lang w:val="en-US" w:eastAsia="en-US"/>
        </w:rPr>
        <w:t>necessari</w:t>
      </w:r>
      <w:r w:rsidR="002419C1">
        <w:rPr>
          <w:rFonts w:ascii="Times New Roman" w:eastAsia="Calibri" w:hAnsi="Times New Roman" w:cs="Times New Roman"/>
          <w:sz w:val="28"/>
          <w:szCs w:val="28"/>
          <w:lang w:val="en-US" w:eastAsia="en-US"/>
        </w:rPr>
        <w:t xml:space="preserve">ly </w:t>
      </w:r>
      <w:r w:rsidR="003E5E29">
        <w:rPr>
          <w:rFonts w:ascii="Times New Roman" w:eastAsia="Calibri" w:hAnsi="Times New Roman" w:cs="Times New Roman"/>
          <w:sz w:val="28"/>
          <w:szCs w:val="28"/>
          <w:lang w:val="en-US" w:eastAsia="en-US"/>
        </w:rPr>
        <w:t>be ordered every time a Recognizance has been breached.</w:t>
      </w:r>
      <w:r w:rsidR="00FD5AD9" w:rsidRPr="00FD5AD9">
        <w:rPr>
          <w:rFonts w:ascii="Times New Roman" w:eastAsia="Calibri" w:hAnsi="Times New Roman" w:cs="Times New Roman"/>
          <w:sz w:val="28"/>
          <w:szCs w:val="28"/>
          <w:lang w:val="en-US" w:eastAsia="en-US"/>
        </w:rPr>
        <w:t xml:space="preserve">  </w:t>
      </w:r>
      <w:r w:rsidR="003E5E29">
        <w:rPr>
          <w:rFonts w:ascii="Times New Roman" w:eastAsia="Calibri" w:hAnsi="Times New Roman" w:cs="Times New Roman"/>
          <w:sz w:val="28"/>
          <w:szCs w:val="28"/>
          <w:lang w:val="en-US" w:eastAsia="en-US"/>
        </w:rPr>
        <w:t>Each situation is different and this is why the Court has broad discretion in these matters.</w:t>
      </w:r>
      <w:r w:rsidR="00FD5AD9" w:rsidRPr="00FD5AD9">
        <w:rPr>
          <w:rFonts w:ascii="Times New Roman" w:eastAsia="Calibri" w:hAnsi="Times New Roman" w:cs="Times New Roman"/>
          <w:sz w:val="28"/>
          <w:szCs w:val="28"/>
          <w:lang w:val="en-US" w:eastAsia="en-US"/>
        </w:rPr>
        <w:t xml:space="preserve"> </w:t>
      </w:r>
      <w:r w:rsidR="003E5E29">
        <w:rPr>
          <w:rFonts w:ascii="Times New Roman" w:eastAsia="Calibri" w:hAnsi="Times New Roman" w:cs="Times New Roman"/>
          <w:sz w:val="28"/>
          <w:szCs w:val="28"/>
          <w:lang w:val="en-US" w:eastAsia="en-US"/>
        </w:rPr>
        <w:t xml:space="preserve"> </w:t>
      </w:r>
    </w:p>
    <w:p w:rsidR="00A37794" w:rsidRPr="002C3BE5" w:rsidRDefault="00A37794" w:rsidP="00A37794">
      <w:pPr>
        <w:pStyle w:val="ListParagraph"/>
        <w:rPr>
          <w:rFonts w:ascii="Times New Roman" w:eastAsia="Calibri" w:hAnsi="Times New Roman" w:cs="Times New Roman"/>
          <w:sz w:val="28"/>
          <w:szCs w:val="28"/>
          <w:lang w:val="en-US" w:eastAsia="en-US"/>
        </w:rPr>
      </w:pPr>
    </w:p>
    <w:p w:rsidR="00A37794" w:rsidRPr="002C3BE5" w:rsidRDefault="001E6AE9" w:rsidP="00926522">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val="en-US" w:eastAsia="en-US"/>
        </w:rPr>
        <w:t>I remain of the view</w:t>
      </w:r>
      <w:r w:rsidR="00FD5AD9" w:rsidRPr="00FD5AD9">
        <w:rPr>
          <w:rFonts w:ascii="Times New Roman" w:eastAsia="Calibri" w:hAnsi="Times New Roman" w:cs="Times New Roman"/>
          <w:sz w:val="28"/>
          <w:szCs w:val="28"/>
          <w:lang w:val="en-US" w:eastAsia="en-US"/>
        </w:rPr>
        <w:t xml:space="preserve"> that in considering a forfeiture application, it is sometimes appropriate to take into account the interests and situations of persons who do not technically have standing to oppose forfeiture.  Standing is one issue.</w:t>
      </w:r>
      <w:r w:rsidR="00E667AC">
        <w:rPr>
          <w:rFonts w:ascii="Times New Roman" w:eastAsia="Calibri" w:hAnsi="Times New Roman" w:cs="Times New Roman"/>
          <w:sz w:val="28"/>
          <w:szCs w:val="28"/>
          <w:lang w:val="en-US" w:eastAsia="en-US"/>
        </w:rPr>
        <w:t xml:space="preserve"> </w:t>
      </w:r>
      <w:r w:rsidR="00FD5AD9" w:rsidRPr="00FD5AD9">
        <w:rPr>
          <w:rFonts w:ascii="Times New Roman" w:eastAsia="Calibri" w:hAnsi="Times New Roman" w:cs="Times New Roman"/>
          <w:sz w:val="28"/>
          <w:szCs w:val="28"/>
          <w:lang w:val="en-US" w:eastAsia="en-US"/>
        </w:rPr>
        <w:t xml:space="preserve"> Deciding what factors should be taken into account in exercising a discretionary power is quite another.  </w:t>
      </w:r>
    </w:p>
    <w:p w:rsidR="00A37794" w:rsidRPr="002C3BE5" w:rsidRDefault="00A37794" w:rsidP="00A37794">
      <w:pPr>
        <w:pStyle w:val="ListParagraph"/>
        <w:rPr>
          <w:rFonts w:ascii="Times New Roman" w:eastAsia="Calibri" w:hAnsi="Times New Roman" w:cs="Times New Roman"/>
          <w:sz w:val="28"/>
          <w:szCs w:val="28"/>
          <w:lang w:val="en-US" w:eastAsia="en-US"/>
        </w:rPr>
      </w:pPr>
    </w:p>
    <w:p w:rsidR="00A37794" w:rsidRPr="002C3BE5" w:rsidRDefault="00FD5AD9" w:rsidP="00857403">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 xml:space="preserve">In </w:t>
      </w:r>
      <w:r w:rsidRPr="00FD5AD9">
        <w:rPr>
          <w:rFonts w:ascii="Times New Roman" w:eastAsia="Calibri" w:hAnsi="Times New Roman" w:cs="Times New Roman"/>
          <w:i/>
          <w:sz w:val="28"/>
          <w:szCs w:val="28"/>
          <w:lang w:val="en-US" w:eastAsia="en-US"/>
        </w:rPr>
        <w:t>R v Horvarth</w:t>
      </w:r>
      <w:r w:rsidRPr="00FD5AD9">
        <w:rPr>
          <w:rFonts w:ascii="Times New Roman" w:eastAsia="Calibri" w:hAnsi="Times New Roman" w:cs="Times New Roman"/>
          <w:sz w:val="28"/>
          <w:szCs w:val="28"/>
          <w:lang w:val="en-US" w:eastAsia="en-US"/>
        </w:rPr>
        <w:t xml:space="preserve">, 2009 ONCA 732, the Ontario Court of Appeal outlined a number of factors that can be considered when deciding whether to make a forfeiture order against a surety.  To be sure, not all of those considerations apply when forfeiture is sought against the principal, as is the case here.  But others do, because they are linked </w:t>
      </w:r>
      <w:r w:rsidR="002813A3" w:rsidRPr="002C3BE5">
        <w:rPr>
          <w:rFonts w:ascii="Times New Roman" w:eastAsia="Calibri" w:hAnsi="Times New Roman" w:cs="Times New Roman"/>
          <w:sz w:val="28"/>
          <w:szCs w:val="28"/>
          <w:lang w:val="en-US" w:eastAsia="en-US"/>
        </w:rPr>
        <w:t>to the</w:t>
      </w:r>
      <w:r w:rsidRPr="00FD5AD9">
        <w:rPr>
          <w:rFonts w:ascii="Times New Roman" w:eastAsia="Calibri" w:hAnsi="Times New Roman" w:cs="Times New Roman"/>
          <w:sz w:val="28"/>
          <w:szCs w:val="28"/>
          <w:lang w:val="en-US" w:eastAsia="en-US"/>
        </w:rPr>
        <w:t xml:space="preserve"> overarching objective of the forfeiture proceedings</w:t>
      </w:r>
      <w:r w:rsidR="007248DC">
        <w:rPr>
          <w:rFonts w:ascii="Times New Roman" w:eastAsia="Calibri" w:hAnsi="Times New Roman" w:cs="Times New Roman"/>
          <w:sz w:val="28"/>
          <w:szCs w:val="28"/>
          <w:lang w:val="en-US" w:eastAsia="en-US"/>
        </w:rPr>
        <w:t xml:space="preserve"> generally</w:t>
      </w:r>
      <w:r w:rsidRPr="00FD5AD9">
        <w:rPr>
          <w:rFonts w:ascii="Times New Roman" w:eastAsia="Calibri" w:hAnsi="Times New Roman" w:cs="Times New Roman"/>
          <w:sz w:val="28"/>
          <w:szCs w:val="28"/>
          <w:lang w:val="en-US" w:eastAsia="en-US"/>
        </w:rPr>
        <w:t>.</w:t>
      </w:r>
      <w:r w:rsidR="007248DC">
        <w:rPr>
          <w:rFonts w:ascii="Times New Roman" w:eastAsia="Calibri" w:hAnsi="Times New Roman" w:cs="Times New Roman"/>
          <w:sz w:val="28"/>
          <w:szCs w:val="28"/>
          <w:lang w:val="en-US" w:eastAsia="en-US"/>
        </w:rPr>
        <w:t xml:space="preserve">  These objectives are relevant whether forfeiture </w:t>
      </w:r>
      <w:r w:rsidR="001E6AE9">
        <w:rPr>
          <w:rFonts w:ascii="Times New Roman" w:eastAsia="Calibri" w:hAnsi="Times New Roman" w:cs="Times New Roman"/>
          <w:sz w:val="28"/>
          <w:szCs w:val="28"/>
          <w:lang w:val="en-US" w:eastAsia="en-US"/>
        </w:rPr>
        <w:t xml:space="preserve">is sought against the principal or </w:t>
      </w:r>
      <w:r w:rsidR="007248DC">
        <w:rPr>
          <w:rFonts w:ascii="Times New Roman" w:eastAsia="Calibri" w:hAnsi="Times New Roman" w:cs="Times New Roman"/>
          <w:sz w:val="28"/>
          <w:szCs w:val="28"/>
          <w:lang w:val="en-US" w:eastAsia="en-US"/>
        </w:rPr>
        <w:t>a surety.</w:t>
      </w:r>
    </w:p>
    <w:p w:rsidR="00A37794" w:rsidRPr="002C3BE5" w:rsidRDefault="00A37794" w:rsidP="00A37794">
      <w:pPr>
        <w:pStyle w:val="ListParagraph"/>
        <w:rPr>
          <w:rFonts w:ascii="Times New Roman" w:eastAsia="Calibri" w:hAnsi="Times New Roman" w:cs="Times New Roman"/>
          <w:sz w:val="28"/>
          <w:szCs w:val="28"/>
          <w:lang w:val="en-US" w:eastAsia="en-US"/>
        </w:rPr>
      </w:pPr>
    </w:p>
    <w:p w:rsidR="00A37794" w:rsidRDefault="00FD5AD9" w:rsidP="0052238C">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4D3466">
        <w:rPr>
          <w:rFonts w:ascii="Times New Roman" w:eastAsia="Calibri" w:hAnsi="Times New Roman" w:cs="Times New Roman"/>
          <w:sz w:val="28"/>
          <w:szCs w:val="28"/>
          <w:lang w:val="en-US" w:eastAsia="en-US"/>
        </w:rPr>
        <w:t>The purpose of forfeiture is to uphold the integrity of the bail system.  Whether it is to bolster the incentive of accused persons to comply with their bail terms or to bolster the incentive for sureties to take their monitoring responsibilities seriously, in all cases, the goal is to ensure that bail terms are complied with and conditions imposed as part of a release plan are respected and meaningfully enforced.  This is with a view of promoting and preserving respect for the administration of justice, and also of ensuring that the bail terms are effective: the goal is that the accused does ultimately attend court to be dealt with in accordance with the law and that in the meantime, the safety of the public is protected and the integrity of the proceedings is maintained.</w:t>
      </w:r>
      <w:r w:rsidR="00A37794" w:rsidRPr="004D3466">
        <w:rPr>
          <w:rFonts w:ascii="Times New Roman" w:eastAsia="Calibri" w:hAnsi="Times New Roman" w:cs="Times New Roman"/>
          <w:sz w:val="28"/>
          <w:szCs w:val="28"/>
          <w:lang w:val="en-US" w:eastAsia="en-US"/>
        </w:rPr>
        <w:t xml:space="preserve"> </w:t>
      </w:r>
    </w:p>
    <w:p w:rsidR="004D3466" w:rsidRPr="004D3466" w:rsidRDefault="004D3466" w:rsidP="004D3466">
      <w:pPr>
        <w:pStyle w:val="ListParagraph"/>
        <w:rPr>
          <w:rFonts w:ascii="Times New Roman" w:eastAsia="Calibri" w:hAnsi="Times New Roman" w:cs="Times New Roman"/>
          <w:sz w:val="28"/>
          <w:szCs w:val="28"/>
          <w:lang w:val="en-US" w:eastAsia="en-US"/>
        </w:rPr>
      </w:pPr>
    </w:p>
    <w:p w:rsidR="004D3466" w:rsidRPr="004D3466" w:rsidRDefault="004D3466" w:rsidP="004D3466">
      <w:pPr>
        <w:pStyle w:val="ListParagraph"/>
        <w:spacing w:after="0" w:line="240" w:lineRule="auto"/>
        <w:ind w:left="0"/>
        <w:jc w:val="both"/>
        <w:rPr>
          <w:rFonts w:ascii="Times New Roman" w:eastAsia="Calibri" w:hAnsi="Times New Roman" w:cs="Times New Roman"/>
          <w:sz w:val="28"/>
          <w:szCs w:val="28"/>
          <w:lang w:val="en-US" w:eastAsia="en-US"/>
        </w:rPr>
      </w:pPr>
    </w:p>
    <w:p w:rsidR="00A37794" w:rsidRPr="002C3BE5" w:rsidRDefault="00FD5AD9" w:rsidP="00BF2777">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lastRenderedPageBreak/>
        <w:t xml:space="preserve">As I noted in </w:t>
      </w:r>
      <w:r w:rsidRPr="00FD5AD9">
        <w:rPr>
          <w:rFonts w:ascii="Times New Roman" w:eastAsia="Calibri" w:hAnsi="Times New Roman" w:cs="Times New Roman"/>
          <w:i/>
          <w:sz w:val="28"/>
          <w:szCs w:val="28"/>
          <w:lang w:val="en-US" w:eastAsia="en-US"/>
        </w:rPr>
        <w:t>Alookee</w:t>
      </w:r>
      <w:r w:rsidRPr="00FD5AD9">
        <w:rPr>
          <w:rFonts w:ascii="Times New Roman" w:eastAsia="Calibri" w:hAnsi="Times New Roman" w:cs="Times New Roman"/>
          <w:sz w:val="28"/>
          <w:szCs w:val="28"/>
          <w:lang w:val="en-US" w:eastAsia="en-US"/>
        </w:rPr>
        <w:t xml:space="preserve"> at Paragraph 31, some of the factors evoked in </w:t>
      </w:r>
      <w:r w:rsidRPr="00FD5AD9">
        <w:rPr>
          <w:rFonts w:ascii="Times New Roman" w:eastAsia="Calibri" w:hAnsi="Times New Roman" w:cs="Times New Roman"/>
          <w:i/>
          <w:sz w:val="28"/>
          <w:szCs w:val="28"/>
          <w:lang w:val="en-US" w:eastAsia="en-US"/>
        </w:rPr>
        <w:t>Horvath</w:t>
      </w:r>
      <w:r w:rsidRPr="00FD5AD9">
        <w:rPr>
          <w:rFonts w:ascii="Times New Roman" w:eastAsia="Calibri" w:hAnsi="Times New Roman" w:cs="Times New Roman"/>
          <w:sz w:val="28"/>
          <w:szCs w:val="28"/>
          <w:lang w:val="en-US" w:eastAsia="en-US"/>
        </w:rPr>
        <w:t xml:space="preserve">, even though they were made in the context of forfeiture applications against sureties, can be applied, by analogy, to a situation where there is no surety.  </w:t>
      </w:r>
    </w:p>
    <w:p w:rsidR="003E5E29" w:rsidRPr="003E5E29" w:rsidRDefault="003E5E29" w:rsidP="003E5E29">
      <w:pPr>
        <w:spacing w:after="0" w:line="240" w:lineRule="auto"/>
        <w:jc w:val="both"/>
        <w:rPr>
          <w:rFonts w:ascii="Times New Roman" w:eastAsia="Calibri" w:hAnsi="Times New Roman" w:cs="Times New Roman"/>
          <w:sz w:val="28"/>
          <w:szCs w:val="28"/>
          <w:lang w:val="en-US" w:eastAsia="en-US"/>
        </w:rPr>
      </w:pPr>
    </w:p>
    <w:p w:rsidR="003E5E29" w:rsidRDefault="003E5E29" w:rsidP="008E33F5">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3E5E29">
        <w:rPr>
          <w:rFonts w:ascii="Times New Roman" w:eastAsia="Calibri" w:hAnsi="Times New Roman" w:cs="Times New Roman"/>
          <w:sz w:val="28"/>
          <w:szCs w:val="28"/>
          <w:lang w:val="en-US" w:eastAsia="en-US"/>
        </w:rPr>
        <w:t>In this case, the factors I find most relevant are the nature of the breaches and the amount of money at issue.</w:t>
      </w:r>
      <w:r>
        <w:rPr>
          <w:rFonts w:ascii="Times New Roman" w:eastAsia="Calibri" w:hAnsi="Times New Roman" w:cs="Times New Roman"/>
          <w:sz w:val="28"/>
          <w:szCs w:val="28"/>
          <w:lang w:val="en-US" w:eastAsia="en-US"/>
        </w:rPr>
        <w:t xml:space="preserve">  </w:t>
      </w:r>
    </w:p>
    <w:p w:rsidR="003E5E29" w:rsidRPr="003E5E29" w:rsidRDefault="003E5E29" w:rsidP="003E5E29">
      <w:pPr>
        <w:pStyle w:val="ListParagraph"/>
        <w:rPr>
          <w:rFonts w:ascii="Times New Roman" w:eastAsia="Calibri" w:hAnsi="Times New Roman" w:cs="Times New Roman"/>
          <w:sz w:val="28"/>
          <w:szCs w:val="28"/>
          <w:lang w:val="en-US" w:eastAsia="en-US"/>
        </w:rPr>
      </w:pPr>
    </w:p>
    <w:p w:rsidR="00A37794" w:rsidRPr="002C3BE5" w:rsidRDefault="00FD5AD9" w:rsidP="008E33F5">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The breaches of the reporting condition were numerous and flagrant.  The requirement was for reporting every Wednesday.  During the time frame of the breach charge (September 12</w:t>
      </w:r>
      <w:r w:rsidR="00E667AC">
        <w:rPr>
          <w:rFonts w:ascii="Times New Roman" w:eastAsia="Calibri" w:hAnsi="Times New Roman" w:cs="Times New Roman"/>
          <w:sz w:val="28"/>
          <w:szCs w:val="28"/>
          <w:lang w:val="en-US" w:eastAsia="en-US"/>
        </w:rPr>
        <w:t xml:space="preserve">, </w:t>
      </w:r>
      <w:r w:rsidR="00E667AC" w:rsidRPr="00576497">
        <w:rPr>
          <w:rFonts w:ascii="Times New Roman" w:eastAsia="Calibri" w:hAnsi="Times New Roman" w:cs="Times New Roman"/>
          <w:sz w:val="28"/>
          <w:szCs w:val="28"/>
          <w:lang w:val="en-US" w:eastAsia="en-US"/>
        </w:rPr>
        <w:t>2016</w:t>
      </w:r>
      <w:r w:rsidRPr="00576497">
        <w:rPr>
          <w:rFonts w:ascii="Times New Roman" w:eastAsia="Calibri" w:hAnsi="Times New Roman" w:cs="Times New Roman"/>
          <w:sz w:val="28"/>
          <w:szCs w:val="28"/>
          <w:lang w:val="en-US" w:eastAsia="en-US"/>
        </w:rPr>
        <w:t xml:space="preserve"> to</w:t>
      </w:r>
      <w:r w:rsidRPr="00FD5AD9">
        <w:rPr>
          <w:rFonts w:ascii="Times New Roman" w:eastAsia="Calibri" w:hAnsi="Times New Roman" w:cs="Times New Roman"/>
          <w:sz w:val="28"/>
          <w:szCs w:val="28"/>
          <w:lang w:val="en-US" w:eastAsia="en-US"/>
        </w:rPr>
        <w:t xml:space="preserve"> December 28</w:t>
      </w:r>
      <w:r w:rsidR="00E667AC">
        <w:rPr>
          <w:rFonts w:ascii="Times New Roman" w:eastAsia="Calibri" w:hAnsi="Times New Roman" w:cs="Times New Roman"/>
          <w:sz w:val="28"/>
          <w:szCs w:val="28"/>
          <w:lang w:val="en-US" w:eastAsia="en-US"/>
        </w:rPr>
        <w:t xml:space="preserve">, </w:t>
      </w:r>
      <w:r w:rsidR="00E667AC" w:rsidRPr="00576497">
        <w:rPr>
          <w:rFonts w:ascii="Times New Roman" w:eastAsia="Calibri" w:hAnsi="Times New Roman" w:cs="Times New Roman"/>
          <w:sz w:val="28"/>
          <w:szCs w:val="28"/>
          <w:lang w:val="en-US" w:eastAsia="en-US"/>
        </w:rPr>
        <w:t>2016</w:t>
      </w:r>
      <w:r w:rsidRPr="00FD5AD9">
        <w:rPr>
          <w:rFonts w:ascii="Times New Roman" w:eastAsia="Calibri" w:hAnsi="Times New Roman" w:cs="Times New Roman"/>
          <w:sz w:val="28"/>
          <w:szCs w:val="28"/>
          <w:lang w:val="en-US" w:eastAsia="en-US"/>
        </w:rPr>
        <w:t xml:space="preserve">), Mr. Rocher should have reported </w:t>
      </w:r>
      <w:r w:rsidR="003E5E29">
        <w:rPr>
          <w:rFonts w:ascii="Times New Roman" w:eastAsia="Calibri" w:hAnsi="Times New Roman" w:cs="Times New Roman"/>
          <w:sz w:val="28"/>
          <w:szCs w:val="28"/>
          <w:lang w:val="en-US" w:eastAsia="en-US"/>
        </w:rPr>
        <w:t>sixteen</w:t>
      </w:r>
      <w:r w:rsidRPr="00FD5AD9">
        <w:rPr>
          <w:rFonts w:ascii="Times New Roman" w:eastAsia="Calibri" w:hAnsi="Times New Roman" w:cs="Times New Roman"/>
          <w:sz w:val="28"/>
          <w:szCs w:val="28"/>
          <w:lang w:val="en-US" w:eastAsia="en-US"/>
        </w:rPr>
        <w:t xml:space="preserve"> times. </w:t>
      </w:r>
      <w:r w:rsidR="004D3466">
        <w:rPr>
          <w:rFonts w:ascii="Times New Roman" w:eastAsia="Calibri" w:hAnsi="Times New Roman" w:cs="Times New Roman"/>
          <w:sz w:val="28"/>
          <w:szCs w:val="28"/>
          <w:lang w:val="en-US" w:eastAsia="en-US"/>
        </w:rPr>
        <w:t xml:space="preserve"> </w:t>
      </w:r>
      <w:r w:rsidRPr="00FD5AD9">
        <w:rPr>
          <w:rFonts w:ascii="Times New Roman" w:eastAsia="Calibri" w:hAnsi="Times New Roman" w:cs="Times New Roman"/>
          <w:sz w:val="28"/>
          <w:szCs w:val="28"/>
          <w:lang w:val="en-US" w:eastAsia="en-US"/>
        </w:rPr>
        <w:t xml:space="preserve">He missed half of those completely, and reported on the wrong day on three other occasions.  In short, he complied with his reporting terms a third of the time during that period.  </w:t>
      </w:r>
    </w:p>
    <w:p w:rsidR="00A37794" w:rsidRPr="002C3BE5" w:rsidRDefault="00A37794" w:rsidP="00A37794">
      <w:pPr>
        <w:pStyle w:val="ListParagraph"/>
        <w:rPr>
          <w:rFonts w:ascii="Times New Roman" w:eastAsia="Calibri" w:hAnsi="Times New Roman" w:cs="Times New Roman"/>
          <w:sz w:val="28"/>
          <w:szCs w:val="28"/>
          <w:lang w:val="en-US" w:eastAsia="en-US"/>
        </w:rPr>
      </w:pPr>
    </w:p>
    <w:p w:rsidR="00A37794" w:rsidRPr="002C3BE5" w:rsidRDefault="00FD5AD9" w:rsidP="0025433A">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 xml:space="preserve">The other breach also went to the heart of the release plan, which was to have Mr. Rocher attend treatment and maintain his sobriety once he returned to Yellowknife.  It is, of </w:t>
      </w:r>
      <w:r w:rsidR="002813A3" w:rsidRPr="002C3BE5">
        <w:rPr>
          <w:rFonts w:ascii="Times New Roman" w:eastAsia="Calibri" w:hAnsi="Times New Roman" w:cs="Times New Roman"/>
          <w:sz w:val="28"/>
          <w:szCs w:val="28"/>
          <w:lang w:val="en-US" w:eastAsia="en-US"/>
        </w:rPr>
        <w:t>course</w:t>
      </w:r>
      <w:r w:rsidRPr="00FD5AD9">
        <w:rPr>
          <w:rFonts w:ascii="Times New Roman" w:eastAsia="Calibri" w:hAnsi="Times New Roman" w:cs="Times New Roman"/>
          <w:sz w:val="28"/>
          <w:szCs w:val="28"/>
          <w:lang w:val="en-US" w:eastAsia="en-US"/>
        </w:rPr>
        <w:t>, not unusual for persons suffering from addictions to struggle with achieving sobriety, even after treatment.  Still, the November 24</w:t>
      </w:r>
      <w:r w:rsidRPr="00FD5AD9">
        <w:rPr>
          <w:rFonts w:ascii="Times New Roman" w:eastAsia="Calibri" w:hAnsi="Times New Roman" w:cs="Times New Roman"/>
          <w:sz w:val="28"/>
          <w:szCs w:val="28"/>
          <w:vertAlign w:val="superscript"/>
          <w:lang w:val="en-US" w:eastAsia="en-US"/>
        </w:rPr>
        <w:t>th</w:t>
      </w:r>
      <w:r w:rsidR="000C4952">
        <w:rPr>
          <w:rFonts w:ascii="Times New Roman" w:eastAsia="Calibri" w:hAnsi="Times New Roman" w:cs="Times New Roman"/>
          <w:sz w:val="28"/>
          <w:szCs w:val="28"/>
          <w:vertAlign w:val="superscript"/>
          <w:lang w:val="en-US" w:eastAsia="en-US"/>
        </w:rPr>
        <w:t xml:space="preserve"> </w:t>
      </w:r>
      <w:r w:rsidR="000C4952" w:rsidRPr="00576497">
        <w:rPr>
          <w:rFonts w:ascii="Times New Roman" w:eastAsia="Calibri" w:hAnsi="Times New Roman" w:cs="Times New Roman"/>
          <w:sz w:val="28"/>
          <w:szCs w:val="28"/>
          <w:lang w:val="en-US" w:eastAsia="en-US"/>
        </w:rPr>
        <w:t>2016</w:t>
      </w:r>
      <w:r w:rsidRPr="00FD5AD9">
        <w:rPr>
          <w:rFonts w:ascii="Times New Roman" w:eastAsia="Calibri" w:hAnsi="Times New Roman" w:cs="Times New Roman"/>
          <w:sz w:val="28"/>
          <w:szCs w:val="28"/>
          <w:lang w:val="en-US" w:eastAsia="en-US"/>
        </w:rPr>
        <w:t xml:space="preserve"> events </w:t>
      </w:r>
      <w:r w:rsidR="00377E8B">
        <w:rPr>
          <w:rFonts w:ascii="Times New Roman" w:eastAsia="Calibri" w:hAnsi="Times New Roman" w:cs="Times New Roman"/>
          <w:sz w:val="28"/>
          <w:szCs w:val="28"/>
          <w:lang w:val="en-US" w:eastAsia="en-US"/>
        </w:rPr>
        <w:t>reflect</w:t>
      </w:r>
      <w:r w:rsidRPr="00FD5AD9">
        <w:rPr>
          <w:rFonts w:ascii="Times New Roman" w:eastAsia="Calibri" w:hAnsi="Times New Roman" w:cs="Times New Roman"/>
          <w:sz w:val="28"/>
          <w:szCs w:val="28"/>
          <w:lang w:val="en-US" w:eastAsia="en-US"/>
        </w:rPr>
        <w:t xml:space="preserve"> a flagrant breach of Mr. Rocher’s release terms.  </w:t>
      </w:r>
    </w:p>
    <w:p w:rsidR="00A37794" w:rsidRPr="002C3BE5" w:rsidRDefault="00A37794" w:rsidP="00A37794">
      <w:pPr>
        <w:pStyle w:val="ListParagraph"/>
        <w:rPr>
          <w:rFonts w:ascii="Times New Roman" w:eastAsia="Calibri" w:hAnsi="Times New Roman" w:cs="Times New Roman"/>
          <w:sz w:val="28"/>
          <w:szCs w:val="28"/>
          <w:lang w:val="en-US" w:eastAsia="en-US"/>
        </w:rPr>
      </w:pPr>
    </w:p>
    <w:p w:rsidR="00FD5AD9" w:rsidRPr="00FD5AD9" w:rsidRDefault="00FD5AD9" w:rsidP="0025433A">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At the same time, this is not a situation where the breaches had any immediate impact on the administration of justice (unlike what happens when an accused fails to report and absconds, or misses a trial date), or resulted in someone being victimized or harmed (such as the situation where an accused breaches a no-contact order, or breaches a no-alcohol order and commits a crime of violence while under the influence):</w:t>
      </w:r>
    </w:p>
    <w:p w:rsidR="00FD5AD9" w:rsidRPr="00FD5AD9" w:rsidRDefault="00FD5AD9" w:rsidP="0000621B">
      <w:pPr>
        <w:spacing w:after="0" w:line="240" w:lineRule="auto"/>
        <w:jc w:val="both"/>
        <w:rPr>
          <w:rFonts w:ascii="Times New Roman" w:eastAsia="Calibri" w:hAnsi="Times New Roman" w:cs="Times New Roman"/>
          <w:sz w:val="28"/>
          <w:szCs w:val="28"/>
          <w:lang w:val="en-US" w:eastAsia="en-US"/>
        </w:rPr>
      </w:pPr>
    </w:p>
    <w:p w:rsidR="00FD5AD9" w:rsidRPr="00FD5AD9" w:rsidRDefault="00FD5AD9" w:rsidP="00A37794">
      <w:pPr>
        <w:spacing w:after="0" w:line="240" w:lineRule="auto"/>
        <w:ind w:left="1440" w:right="720"/>
        <w:jc w:val="both"/>
        <w:rPr>
          <w:rFonts w:ascii="Times New Roman" w:eastAsia="Calibri" w:hAnsi="Times New Roman" w:cs="Times New Roman"/>
          <w:sz w:val="24"/>
          <w:szCs w:val="24"/>
          <w:lang w:val="en-US" w:eastAsia="en-US"/>
        </w:rPr>
      </w:pPr>
      <w:r w:rsidRPr="00FD5AD9">
        <w:rPr>
          <w:rFonts w:ascii="Times New Roman" w:eastAsia="Calibri" w:hAnsi="Times New Roman" w:cs="Times New Roman"/>
          <w:sz w:val="24"/>
          <w:szCs w:val="24"/>
          <w:lang w:val="en-US" w:eastAsia="en-US"/>
        </w:rPr>
        <w:t>If the breach has serious consequences, it is all the more reason for the Court to be concerned about the bail system being undermined.  For example, if a person who is bound by a recognizance fails to appear at their trial, such that resources are wasted and witnesses are inconvenienced, the concern about upholding the bail process through forfeiture is highlighted.  The same is true if the breach is associated with further criminal activity.</w:t>
      </w:r>
    </w:p>
    <w:p w:rsidR="00FD5AD9" w:rsidRPr="00FD5AD9" w:rsidRDefault="00FD5AD9" w:rsidP="00A37794">
      <w:pPr>
        <w:spacing w:after="0" w:line="240" w:lineRule="auto"/>
        <w:ind w:right="720"/>
        <w:jc w:val="both"/>
        <w:rPr>
          <w:rFonts w:ascii="Times New Roman" w:eastAsia="Calibri" w:hAnsi="Times New Roman" w:cs="Times New Roman"/>
          <w:i/>
          <w:sz w:val="28"/>
          <w:szCs w:val="28"/>
          <w:lang w:val="en-US" w:eastAsia="en-US"/>
        </w:rPr>
      </w:pPr>
    </w:p>
    <w:p w:rsidR="00FD5AD9" w:rsidRPr="00FD5AD9" w:rsidRDefault="00D219BA" w:rsidP="0000621B">
      <w:pPr>
        <w:spacing w:after="0" w:line="240" w:lineRule="auto"/>
        <w:jc w:val="both"/>
        <w:rPr>
          <w:rFonts w:ascii="Times New Roman" w:eastAsia="Calibri" w:hAnsi="Times New Roman" w:cs="Times New Roman"/>
          <w:sz w:val="28"/>
          <w:szCs w:val="28"/>
          <w:lang w:val="en-US" w:eastAsia="en-US"/>
        </w:rPr>
      </w:pPr>
      <w:r>
        <w:rPr>
          <w:rFonts w:ascii="Times New Roman" w:eastAsia="Calibri" w:hAnsi="Times New Roman" w:cs="Times New Roman"/>
          <w:i/>
          <w:sz w:val="28"/>
          <w:szCs w:val="28"/>
          <w:lang w:val="en-US" w:eastAsia="en-US"/>
        </w:rPr>
        <w:t>Attorney General of Canada</w:t>
      </w:r>
      <w:r w:rsidR="00FD5AD9" w:rsidRPr="00FD5AD9">
        <w:rPr>
          <w:rFonts w:ascii="Times New Roman" w:eastAsia="Calibri" w:hAnsi="Times New Roman" w:cs="Times New Roman"/>
          <w:i/>
          <w:sz w:val="28"/>
          <w:szCs w:val="28"/>
          <w:lang w:val="en-US" w:eastAsia="en-US"/>
        </w:rPr>
        <w:t xml:space="preserve"> v Nayally</w:t>
      </w:r>
      <w:r>
        <w:rPr>
          <w:rFonts w:ascii="Times New Roman" w:eastAsia="Calibri" w:hAnsi="Times New Roman" w:cs="Times New Roman"/>
          <w:i/>
          <w:sz w:val="28"/>
          <w:szCs w:val="28"/>
          <w:lang w:val="en-US" w:eastAsia="en-US"/>
        </w:rPr>
        <w:t xml:space="preserve"> et al.</w:t>
      </w:r>
      <w:r w:rsidR="00FD5AD9" w:rsidRPr="00FD5AD9">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val="en-US" w:eastAsia="en-US"/>
        </w:rPr>
        <w:t>2012 NWTSC 56</w:t>
      </w:r>
      <w:r w:rsidR="00FD5AD9" w:rsidRPr="00FD5AD9">
        <w:rPr>
          <w:rFonts w:ascii="Times New Roman" w:eastAsia="Calibri" w:hAnsi="Times New Roman" w:cs="Times New Roman"/>
          <w:sz w:val="28"/>
          <w:szCs w:val="28"/>
          <w:lang w:val="en-US" w:eastAsia="en-US"/>
        </w:rPr>
        <w:t>, para 29.</w:t>
      </w:r>
    </w:p>
    <w:p w:rsidR="00FD5AD9" w:rsidRPr="00FD5AD9" w:rsidRDefault="00FD5AD9" w:rsidP="0000621B">
      <w:pPr>
        <w:spacing w:after="0" w:line="240" w:lineRule="auto"/>
        <w:jc w:val="both"/>
        <w:rPr>
          <w:rFonts w:ascii="Times New Roman" w:eastAsia="Calibri" w:hAnsi="Times New Roman" w:cs="Times New Roman"/>
          <w:sz w:val="28"/>
          <w:szCs w:val="28"/>
          <w:lang w:val="en-US" w:eastAsia="en-US"/>
        </w:rPr>
      </w:pPr>
    </w:p>
    <w:p w:rsidR="00A37794" w:rsidRPr="002C3BE5" w:rsidRDefault="00FD5AD9" w:rsidP="00D5137D">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2C3BE5">
        <w:rPr>
          <w:rFonts w:ascii="Times New Roman" w:eastAsia="Calibri" w:hAnsi="Times New Roman" w:cs="Times New Roman"/>
          <w:sz w:val="28"/>
          <w:szCs w:val="28"/>
          <w:lang w:val="en-US" w:eastAsia="en-US"/>
        </w:rPr>
        <w:t xml:space="preserve">Here, the second breach constituted criminal activity.  But the person harmed </w:t>
      </w:r>
      <w:r w:rsidR="001E6AE9">
        <w:rPr>
          <w:rFonts w:ascii="Times New Roman" w:eastAsia="Calibri" w:hAnsi="Times New Roman" w:cs="Times New Roman"/>
          <w:sz w:val="28"/>
          <w:szCs w:val="28"/>
          <w:lang w:val="en-US" w:eastAsia="en-US"/>
        </w:rPr>
        <w:t>by that breach</w:t>
      </w:r>
      <w:r w:rsidRPr="002C3BE5">
        <w:rPr>
          <w:rFonts w:ascii="Times New Roman" w:eastAsia="Calibri" w:hAnsi="Times New Roman" w:cs="Times New Roman"/>
          <w:sz w:val="28"/>
          <w:szCs w:val="28"/>
          <w:lang w:val="en-US" w:eastAsia="en-US"/>
        </w:rPr>
        <w:t xml:space="preserve"> was Mr. Rocher himself.  He overdosed on a very dangerous drug and had to be hospitalized. </w:t>
      </w:r>
      <w:r w:rsidR="000C4952">
        <w:rPr>
          <w:rFonts w:ascii="Times New Roman" w:eastAsia="Calibri" w:hAnsi="Times New Roman" w:cs="Times New Roman"/>
          <w:sz w:val="28"/>
          <w:szCs w:val="28"/>
          <w:lang w:val="en-US" w:eastAsia="en-US"/>
        </w:rPr>
        <w:t xml:space="preserve"> </w:t>
      </w:r>
      <w:r w:rsidRPr="002C3BE5">
        <w:rPr>
          <w:rFonts w:ascii="Times New Roman" w:eastAsia="Calibri" w:hAnsi="Times New Roman" w:cs="Times New Roman"/>
          <w:sz w:val="28"/>
          <w:szCs w:val="28"/>
          <w:lang w:val="en-US" w:eastAsia="en-US"/>
        </w:rPr>
        <w:t>There were immediate consequences to him for his conduct, quite apart from the reach of the criminal justice system.</w:t>
      </w:r>
    </w:p>
    <w:p w:rsidR="00A37794" w:rsidRPr="002C3BE5" w:rsidRDefault="00A37794" w:rsidP="00A37794">
      <w:pPr>
        <w:pStyle w:val="ListParagraph"/>
        <w:spacing w:after="0" w:line="240" w:lineRule="auto"/>
        <w:ind w:left="0"/>
        <w:jc w:val="both"/>
        <w:rPr>
          <w:rFonts w:ascii="Times New Roman" w:eastAsia="Calibri" w:hAnsi="Times New Roman" w:cs="Times New Roman"/>
          <w:sz w:val="28"/>
          <w:szCs w:val="28"/>
          <w:lang w:val="en-US" w:eastAsia="en-US"/>
        </w:rPr>
      </w:pPr>
    </w:p>
    <w:p w:rsidR="00A37794" w:rsidRPr="002C3BE5" w:rsidRDefault="00FD5AD9" w:rsidP="00522183">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 xml:space="preserve">The Crown points out that the sentences imposed for the two breaches were nominal and that there is no concern here about “double punishment”.  That is a consideration, but it must be weighed against the balance of the circumstances.  </w:t>
      </w:r>
    </w:p>
    <w:p w:rsidR="00A37794" w:rsidRPr="002C3BE5" w:rsidRDefault="00A37794" w:rsidP="00A37794">
      <w:pPr>
        <w:pStyle w:val="ListParagraph"/>
        <w:rPr>
          <w:rFonts w:ascii="Times New Roman" w:eastAsia="Calibri" w:hAnsi="Times New Roman" w:cs="Times New Roman"/>
          <w:sz w:val="28"/>
          <w:szCs w:val="28"/>
          <w:lang w:val="en-US" w:eastAsia="en-US"/>
        </w:rPr>
      </w:pPr>
    </w:p>
    <w:p w:rsidR="00A37794" w:rsidRPr="002C3BE5" w:rsidRDefault="00FD5AD9" w:rsidP="00827651">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As I already noted, the exercise of the discretionary power set out at subsection 771(2) required balancing the objectives of the bail system, the breaches committed, their consequences, and the overall circumstances disclosed by the evidence.</w:t>
      </w:r>
    </w:p>
    <w:p w:rsidR="00A37794" w:rsidRPr="002C3BE5" w:rsidRDefault="00A37794" w:rsidP="00A37794">
      <w:pPr>
        <w:pStyle w:val="ListParagraph"/>
        <w:rPr>
          <w:rFonts w:ascii="Times New Roman" w:eastAsia="Calibri" w:hAnsi="Times New Roman" w:cs="Times New Roman"/>
          <w:sz w:val="28"/>
          <w:szCs w:val="28"/>
          <w:lang w:val="en-US" w:eastAsia="en-US"/>
        </w:rPr>
      </w:pPr>
    </w:p>
    <w:p w:rsidR="00A37794" w:rsidRPr="002C3BE5" w:rsidRDefault="00FD5AD9" w:rsidP="008B54EB">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 xml:space="preserve">Having done so, I am satisfied that some forfeiture is required in this case to uphold the integrity of the bail system and reflect the flagrant nature of the breaches that were committed.   However, </w:t>
      </w:r>
      <w:r w:rsidR="001E6AE9">
        <w:rPr>
          <w:rFonts w:ascii="Times New Roman" w:eastAsia="Calibri" w:hAnsi="Times New Roman" w:cs="Times New Roman"/>
          <w:sz w:val="28"/>
          <w:szCs w:val="28"/>
          <w:lang w:val="en-US" w:eastAsia="en-US"/>
        </w:rPr>
        <w:t xml:space="preserve">given the amount of money that was deposited, </w:t>
      </w:r>
      <w:r w:rsidRPr="00FD5AD9">
        <w:rPr>
          <w:rFonts w:ascii="Times New Roman" w:eastAsia="Calibri" w:hAnsi="Times New Roman" w:cs="Times New Roman"/>
          <w:sz w:val="28"/>
          <w:szCs w:val="28"/>
          <w:lang w:val="en-US" w:eastAsia="en-US"/>
        </w:rPr>
        <w:t xml:space="preserve">I am not persuaded that </w:t>
      </w:r>
      <w:r w:rsidR="001E6AE9">
        <w:rPr>
          <w:rFonts w:ascii="Times New Roman" w:eastAsia="Calibri" w:hAnsi="Times New Roman" w:cs="Times New Roman"/>
          <w:sz w:val="28"/>
          <w:szCs w:val="28"/>
          <w:lang w:val="en-US" w:eastAsia="en-US"/>
        </w:rPr>
        <w:t>full</w:t>
      </w:r>
      <w:r w:rsidRPr="00FD5AD9">
        <w:rPr>
          <w:rFonts w:ascii="Times New Roman" w:eastAsia="Calibri" w:hAnsi="Times New Roman" w:cs="Times New Roman"/>
          <w:sz w:val="28"/>
          <w:szCs w:val="28"/>
          <w:lang w:val="en-US" w:eastAsia="en-US"/>
        </w:rPr>
        <w:t xml:space="preserve"> forfeit</w:t>
      </w:r>
      <w:r w:rsidR="001E6AE9">
        <w:rPr>
          <w:rFonts w:ascii="Times New Roman" w:eastAsia="Calibri" w:hAnsi="Times New Roman" w:cs="Times New Roman"/>
          <w:sz w:val="28"/>
          <w:szCs w:val="28"/>
          <w:lang w:val="en-US" w:eastAsia="en-US"/>
        </w:rPr>
        <w:t>ure is required</w:t>
      </w:r>
      <w:r w:rsidRPr="00FD5AD9">
        <w:rPr>
          <w:rFonts w:ascii="Times New Roman" w:eastAsia="Calibri" w:hAnsi="Times New Roman" w:cs="Times New Roman"/>
          <w:sz w:val="28"/>
          <w:szCs w:val="28"/>
          <w:lang w:val="en-US" w:eastAsia="en-US"/>
        </w:rPr>
        <w:t xml:space="preserve"> to achieve this purpose.</w:t>
      </w:r>
    </w:p>
    <w:p w:rsidR="00A37794" w:rsidRPr="002C3BE5" w:rsidRDefault="00A37794" w:rsidP="00A37794">
      <w:pPr>
        <w:pStyle w:val="ListParagraph"/>
        <w:rPr>
          <w:rFonts w:ascii="Times New Roman" w:eastAsia="Calibri" w:hAnsi="Times New Roman" w:cs="Times New Roman"/>
          <w:sz w:val="28"/>
          <w:szCs w:val="28"/>
          <w:lang w:val="en-US" w:eastAsia="en-US"/>
        </w:rPr>
      </w:pPr>
    </w:p>
    <w:p w:rsidR="00FD5AD9" w:rsidRPr="00FD5AD9" w:rsidRDefault="00FD5AD9" w:rsidP="008B54EB">
      <w:pPr>
        <w:pStyle w:val="ListParagraph"/>
        <w:numPr>
          <w:ilvl w:val="0"/>
          <w:numId w:val="12"/>
        </w:numPr>
        <w:spacing w:after="0" w:line="240" w:lineRule="auto"/>
        <w:ind w:left="0" w:firstLine="0"/>
        <w:jc w:val="both"/>
        <w:rPr>
          <w:rFonts w:ascii="Times New Roman" w:eastAsia="Calibri" w:hAnsi="Times New Roman" w:cs="Times New Roman"/>
          <w:sz w:val="28"/>
          <w:szCs w:val="28"/>
          <w:lang w:val="en-US" w:eastAsia="en-US"/>
        </w:rPr>
      </w:pPr>
      <w:r w:rsidRPr="00FD5AD9">
        <w:rPr>
          <w:rFonts w:ascii="Times New Roman" w:eastAsia="Calibri" w:hAnsi="Times New Roman" w:cs="Times New Roman"/>
          <w:sz w:val="28"/>
          <w:szCs w:val="28"/>
          <w:lang w:val="en-US" w:eastAsia="en-US"/>
        </w:rPr>
        <w:t>Accordingly, I order the forfeiture of $</w:t>
      </w:r>
      <w:r w:rsidR="001E6AE9">
        <w:rPr>
          <w:rFonts w:ascii="Times New Roman" w:eastAsia="Calibri" w:hAnsi="Times New Roman" w:cs="Times New Roman"/>
          <w:sz w:val="28"/>
          <w:szCs w:val="28"/>
          <w:lang w:val="en-US" w:eastAsia="en-US"/>
        </w:rPr>
        <w:t>6</w:t>
      </w:r>
      <w:r w:rsidRPr="00FD5AD9">
        <w:rPr>
          <w:rFonts w:ascii="Times New Roman" w:eastAsia="Calibri" w:hAnsi="Times New Roman" w:cs="Times New Roman"/>
          <w:sz w:val="28"/>
          <w:szCs w:val="28"/>
          <w:lang w:val="en-US" w:eastAsia="en-US"/>
        </w:rPr>
        <w:t>,000.00 of the cash monies.  The remaining $</w:t>
      </w:r>
      <w:r w:rsidR="001E6AE9">
        <w:rPr>
          <w:rFonts w:ascii="Times New Roman" w:eastAsia="Calibri" w:hAnsi="Times New Roman" w:cs="Times New Roman"/>
          <w:sz w:val="28"/>
          <w:szCs w:val="28"/>
          <w:lang w:val="en-US" w:eastAsia="en-US"/>
        </w:rPr>
        <w:t>4</w:t>
      </w:r>
      <w:r w:rsidRPr="00FD5AD9">
        <w:rPr>
          <w:rFonts w:ascii="Times New Roman" w:eastAsia="Calibri" w:hAnsi="Times New Roman" w:cs="Times New Roman"/>
          <w:sz w:val="28"/>
          <w:szCs w:val="28"/>
          <w:lang w:val="en-US" w:eastAsia="en-US"/>
        </w:rPr>
        <w:t>,000.00 shall be returned to Les Rocher, in accordance with the Assignment of Bail signed on May 2, 2016.</w:t>
      </w:r>
    </w:p>
    <w:p w:rsidR="002D3834" w:rsidRPr="002C3BE5" w:rsidRDefault="002D3834" w:rsidP="0000621B">
      <w:pPr>
        <w:pStyle w:val="ListParagraph"/>
        <w:spacing w:after="240" w:line="240" w:lineRule="auto"/>
        <w:ind w:left="0"/>
        <w:contextualSpacing w:val="0"/>
        <w:jc w:val="both"/>
        <w:rPr>
          <w:rFonts w:ascii="Times New Roman" w:hAnsi="Times New Roman" w:cs="Times New Roman"/>
          <w:sz w:val="28"/>
          <w:szCs w:val="28"/>
        </w:rPr>
      </w:pPr>
    </w:p>
    <w:p w:rsidR="008A64AC" w:rsidRPr="002C3BE5" w:rsidRDefault="008A64AC" w:rsidP="009827DE">
      <w:pPr>
        <w:spacing w:after="0" w:line="240" w:lineRule="auto"/>
        <w:ind w:left="2430"/>
        <w:jc w:val="right"/>
        <w:rPr>
          <w:rFonts w:ascii="Times New Roman" w:hAnsi="Times New Roman" w:cs="Times New Roman"/>
          <w:sz w:val="28"/>
          <w:szCs w:val="28"/>
        </w:rPr>
      </w:pPr>
    </w:p>
    <w:p w:rsidR="006E4754" w:rsidRPr="002C3BE5" w:rsidRDefault="005014A5" w:rsidP="00A37794">
      <w:pPr>
        <w:spacing w:after="0" w:line="240" w:lineRule="auto"/>
        <w:ind w:left="5310" w:firstLine="450"/>
        <w:jc w:val="center"/>
        <w:rPr>
          <w:rFonts w:ascii="Times New Roman" w:hAnsi="Times New Roman" w:cs="Times New Roman"/>
          <w:sz w:val="28"/>
          <w:szCs w:val="28"/>
          <w:lang w:val="fr-CA"/>
        </w:rPr>
      </w:pPr>
      <w:r w:rsidRPr="002C3BE5">
        <w:rPr>
          <w:rFonts w:ascii="Times New Roman" w:hAnsi="Times New Roman" w:cs="Times New Roman"/>
          <w:sz w:val="28"/>
          <w:szCs w:val="28"/>
        </w:rPr>
        <w:fldChar w:fldCharType="begin"/>
      </w:r>
      <w:r w:rsidR="006E4754" w:rsidRPr="002C3BE5">
        <w:rPr>
          <w:rFonts w:ascii="Times New Roman" w:hAnsi="Times New Roman" w:cs="Times New Roman"/>
          <w:sz w:val="28"/>
          <w:szCs w:val="28"/>
          <w:lang w:val="fr-CA"/>
        </w:rPr>
        <w:instrText xml:space="preserve"> SEQ CHAPTER \h \r 1</w:instrText>
      </w:r>
      <w:r w:rsidRPr="002C3BE5">
        <w:rPr>
          <w:rFonts w:ascii="Times New Roman" w:hAnsi="Times New Roman" w:cs="Times New Roman"/>
          <w:sz w:val="28"/>
          <w:szCs w:val="28"/>
        </w:rPr>
        <w:fldChar w:fldCharType="end"/>
      </w:r>
      <w:r w:rsidR="006E4754" w:rsidRPr="002C3BE5">
        <w:rPr>
          <w:rFonts w:ascii="Times New Roman" w:hAnsi="Times New Roman" w:cs="Times New Roman"/>
          <w:sz w:val="28"/>
          <w:szCs w:val="28"/>
          <w:lang w:val="fr-CA"/>
        </w:rPr>
        <w:t>L.A. Charbonneau</w:t>
      </w:r>
    </w:p>
    <w:p w:rsidR="006E4754" w:rsidRPr="002C3BE5" w:rsidRDefault="00A37794" w:rsidP="003C4D2B">
      <w:pPr>
        <w:tabs>
          <w:tab w:val="left" w:pos="720"/>
          <w:tab w:val="left" w:pos="1440"/>
          <w:tab w:val="left" w:pos="2160"/>
          <w:tab w:val="left" w:pos="2880"/>
          <w:tab w:val="left" w:pos="3600"/>
          <w:tab w:val="left" w:pos="4320"/>
          <w:tab w:val="left" w:pos="5040"/>
          <w:tab w:val="left" w:pos="5760"/>
          <w:tab w:val="left" w:pos="6480"/>
        </w:tabs>
        <w:spacing w:after="0" w:line="240" w:lineRule="auto"/>
        <w:ind w:left="2430" w:hanging="6480"/>
        <w:jc w:val="center"/>
        <w:rPr>
          <w:rFonts w:ascii="Times New Roman" w:hAnsi="Times New Roman" w:cs="Times New Roman"/>
          <w:sz w:val="28"/>
          <w:szCs w:val="28"/>
          <w:lang w:val="fr-CA"/>
        </w:rPr>
      </w:pPr>
      <w:r w:rsidRPr="002C3BE5">
        <w:rPr>
          <w:rFonts w:ascii="Times New Roman" w:hAnsi="Times New Roman" w:cs="Times New Roman"/>
          <w:sz w:val="28"/>
          <w:szCs w:val="28"/>
          <w:lang w:val="fr-CA"/>
        </w:rPr>
        <w:tab/>
      </w:r>
      <w:r w:rsidRPr="002C3BE5">
        <w:rPr>
          <w:rFonts w:ascii="Times New Roman" w:hAnsi="Times New Roman" w:cs="Times New Roman"/>
          <w:sz w:val="28"/>
          <w:szCs w:val="28"/>
          <w:lang w:val="fr-CA"/>
        </w:rPr>
        <w:tab/>
      </w:r>
      <w:r w:rsidRPr="002C3BE5">
        <w:rPr>
          <w:rFonts w:ascii="Times New Roman" w:hAnsi="Times New Roman" w:cs="Times New Roman"/>
          <w:sz w:val="28"/>
          <w:szCs w:val="28"/>
          <w:lang w:val="fr-CA"/>
        </w:rPr>
        <w:tab/>
      </w:r>
      <w:r w:rsidRPr="002C3BE5">
        <w:rPr>
          <w:rFonts w:ascii="Times New Roman" w:hAnsi="Times New Roman" w:cs="Times New Roman"/>
          <w:sz w:val="28"/>
          <w:szCs w:val="28"/>
          <w:lang w:val="fr-CA"/>
        </w:rPr>
        <w:tab/>
      </w:r>
      <w:r w:rsidRPr="002C3BE5">
        <w:rPr>
          <w:rFonts w:ascii="Times New Roman" w:hAnsi="Times New Roman" w:cs="Times New Roman"/>
          <w:sz w:val="28"/>
          <w:szCs w:val="28"/>
          <w:lang w:val="fr-CA"/>
        </w:rPr>
        <w:tab/>
      </w:r>
      <w:r w:rsidRPr="002C3BE5">
        <w:rPr>
          <w:rFonts w:ascii="Times New Roman" w:hAnsi="Times New Roman" w:cs="Times New Roman"/>
          <w:sz w:val="28"/>
          <w:szCs w:val="28"/>
          <w:lang w:val="fr-CA"/>
        </w:rPr>
        <w:tab/>
      </w:r>
      <w:r w:rsidRPr="002C3BE5">
        <w:rPr>
          <w:rFonts w:ascii="Times New Roman" w:hAnsi="Times New Roman" w:cs="Times New Roman"/>
          <w:sz w:val="28"/>
          <w:szCs w:val="28"/>
          <w:lang w:val="fr-CA"/>
        </w:rPr>
        <w:tab/>
      </w:r>
      <w:r w:rsidR="003C4D2B" w:rsidRPr="002C3BE5">
        <w:rPr>
          <w:rFonts w:ascii="Times New Roman" w:hAnsi="Times New Roman" w:cs="Times New Roman"/>
          <w:sz w:val="28"/>
          <w:szCs w:val="28"/>
          <w:lang w:val="fr-CA"/>
        </w:rPr>
        <w:tab/>
      </w:r>
      <w:r w:rsidR="003C4D2B" w:rsidRPr="002C3BE5">
        <w:rPr>
          <w:rFonts w:ascii="Times New Roman" w:hAnsi="Times New Roman" w:cs="Times New Roman"/>
          <w:sz w:val="28"/>
          <w:szCs w:val="28"/>
          <w:lang w:val="fr-CA"/>
        </w:rPr>
        <w:tab/>
      </w:r>
      <w:r w:rsidR="006E4754" w:rsidRPr="002C3BE5">
        <w:rPr>
          <w:rFonts w:ascii="Times New Roman" w:hAnsi="Times New Roman" w:cs="Times New Roman"/>
          <w:sz w:val="28"/>
          <w:szCs w:val="28"/>
          <w:lang w:val="fr-CA"/>
        </w:rPr>
        <w:t>J.S.C.</w:t>
      </w:r>
    </w:p>
    <w:p w:rsidR="006E4754" w:rsidRPr="002C3BE5" w:rsidRDefault="006E4754" w:rsidP="009827DE">
      <w:pPr>
        <w:spacing w:after="0" w:line="240" w:lineRule="auto"/>
        <w:rPr>
          <w:rFonts w:ascii="Times New Roman" w:hAnsi="Times New Roman" w:cs="Times New Roman"/>
          <w:sz w:val="28"/>
          <w:szCs w:val="28"/>
        </w:rPr>
      </w:pPr>
      <w:r w:rsidRPr="002C3BE5">
        <w:rPr>
          <w:rFonts w:ascii="Times New Roman" w:hAnsi="Times New Roman" w:cs="Times New Roman"/>
          <w:sz w:val="28"/>
          <w:szCs w:val="28"/>
        </w:rPr>
        <w:t xml:space="preserve">Dated this </w:t>
      </w:r>
      <w:r w:rsidR="00E16289" w:rsidRPr="002C3BE5">
        <w:rPr>
          <w:rFonts w:ascii="Times New Roman" w:hAnsi="Times New Roman" w:cs="Times New Roman"/>
          <w:sz w:val="28"/>
          <w:szCs w:val="28"/>
        </w:rPr>
        <w:t>11</w:t>
      </w:r>
      <w:r w:rsidRPr="002C3BE5">
        <w:rPr>
          <w:rFonts w:ascii="Times New Roman" w:hAnsi="Times New Roman" w:cs="Times New Roman"/>
          <w:sz w:val="28"/>
          <w:szCs w:val="28"/>
          <w:vertAlign w:val="superscript"/>
        </w:rPr>
        <w:t>th</w:t>
      </w:r>
      <w:r w:rsidRPr="002C3BE5">
        <w:rPr>
          <w:rFonts w:ascii="Times New Roman" w:hAnsi="Times New Roman" w:cs="Times New Roman"/>
          <w:sz w:val="28"/>
          <w:szCs w:val="28"/>
        </w:rPr>
        <w:t xml:space="preserve"> day of </w:t>
      </w:r>
      <w:r w:rsidR="003C4D2B" w:rsidRPr="002C3BE5">
        <w:rPr>
          <w:rFonts w:ascii="Times New Roman" w:hAnsi="Times New Roman" w:cs="Times New Roman"/>
          <w:sz w:val="28"/>
          <w:szCs w:val="28"/>
        </w:rPr>
        <w:t>May 2017</w:t>
      </w:r>
      <w:r w:rsidRPr="002C3BE5">
        <w:rPr>
          <w:rFonts w:ascii="Times New Roman" w:hAnsi="Times New Roman" w:cs="Times New Roman"/>
          <w:sz w:val="28"/>
          <w:szCs w:val="28"/>
        </w:rPr>
        <w:t>.</w:t>
      </w:r>
    </w:p>
    <w:p w:rsidR="006E4754" w:rsidRPr="002C3BE5" w:rsidRDefault="006E4754" w:rsidP="009827DE">
      <w:pPr>
        <w:spacing w:after="0" w:line="240" w:lineRule="auto"/>
        <w:ind w:left="2430"/>
        <w:rPr>
          <w:rFonts w:ascii="Times New Roman" w:hAnsi="Times New Roman" w:cs="Times New Roman"/>
          <w:sz w:val="28"/>
          <w:szCs w:val="28"/>
        </w:rPr>
      </w:pPr>
      <w:r w:rsidRPr="002C3BE5">
        <w:rPr>
          <w:rFonts w:ascii="Times New Roman" w:hAnsi="Times New Roman" w:cs="Times New Roman"/>
          <w:sz w:val="28"/>
          <w:szCs w:val="28"/>
        </w:rPr>
        <w:tab/>
      </w:r>
      <w:r w:rsidRPr="002C3BE5">
        <w:rPr>
          <w:rFonts w:ascii="Times New Roman" w:hAnsi="Times New Roman" w:cs="Times New Roman"/>
          <w:sz w:val="28"/>
          <w:szCs w:val="28"/>
        </w:rPr>
        <w:tab/>
      </w:r>
      <w:r w:rsidRPr="002C3BE5">
        <w:rPr>
          <w:rFonts w:ascii="Times New Roman" w:hAnsi="Times New Roman" w:cs="Times New Roman"/>
          <w:sz w:val="28"/>
          <w:szCs w:val="28"/>
        </w:rPr>
        <w:tab/>
      </w:r>
    </w:p>
    <w:p w:rsidR="006E4754" w:rsidRPr="002C3BE5" w:rsidRDefault="006E4754" w:rsidP="009827DE">
      <w:pPr>
        <w:spacing w:after="0" w:line="240" w:lineRule="auto"/>
        <w:rPr>
          <w:rFonts w:ascii="Times New Roman" w:hAnsi="Times New Roman" w:cs="Times New Roman"/>
          <w:sz w:val="28"/>
          <w:szCs w:val="28"/>
        </w:rPr>
      </w:pPr>
      <w:r w:rsidRPr="002C3BE5">
        <w:rPr>
          <w:rFonts w:ascii="Times New Roman" w:hAnsi="Times New Roman" w:cs="Times New Roman"/>
          <w:sz w:val="28"/>
          <w:szCs w:val="28"/>
        </w:rPr>
        <w:t xml:space="preserve">Counsel for the Applicant: </w:t>
      </w:r>
      <w:r w:rsidRPr="002C3BE5">
        <w:rPr>
          <w:rFonts w:ascii="Times New Roman" w:hAnsi="Times New Roman" w:cs="Times New Roman"/>
          <w:sz w:val="28"/>
          <w:szCs w:val="28"/>
        </w:rPr>
        <w:tab/>
      </w:r>
      <w:r w:rsidR="00E16289" w:rsidRPr="002C3BE5">
        <w:rPr>
          <w:rFonts w:ascii="Times New Roman" w:hAnsi="Times New Roman" w:cs="Times New Roman"/>
          <w:sz w:val="28"/>
          <w:szCs w:val="28"/>
        </w:rPr>
        <w:tab/>
      </w:r>
      <w:r w:rsidR="003C4D2B" w:rsidRPr="002C3BE5">
        <w:rPr>
          <w:rFonts w:ascii="Times New Roman" w:hAnsi="Times New Roman" w:cs="Times New Roman"/>
          <w:sz w:val="28"/>
          <w:szCs w:val="28"/>
        </w:rPr>
        <w:t>Duane Praught</w:t>
      </w:r>
    </w:p>
    <w:p w:rsidR="008A64AC" w:rsidRDefault="00CB0215" w:rsidP="00641E7C">
      <w:pPr>
        <w:spacing w:after="0" w:line="240" w:lineRule="auto"/>
        <w:rPr>
          <w:rFonts w:ascii="Times New Roman" w:hAnsi="Times New Roman" w:cs="Times New Roman"/>
          <w:sz w:val="24"/>
          <w:szCs w:val="24"/>
        </w:rPr>
        <w:sectPr w:rsidR="008A64AC" w:rsidSect="00EA0BCD">
          <w:headerReference w:type="default" r:id="rId8"/>
          <w:headerReference w:type="first" r:id="rId9"/>
          <w:pgSz w:w="12240" w:h="15840" w:code="1"/>
          <w:pgMar w:top="1440" w:right="1440" w:bottom="1440" w:left="1440" w:header="720" w:footer="720" w:gutter="0"/>
          <w:cols w:space="288"/>
          <w:titlePg/>
          <w:docGrid w:linePitch="360"/>
        </w:sectPr>
      </w:pPr>
      <w:r w:rsidRPr="002C3BE5">
        <w:rPr>
          <w:rFonts w:ascii="Times New Roman" w:hAnsi="Times New Roman" w:cs="Times New Roman"/>
          <w:sz w:val="28"/>
          <w:szCs w:val="28"/>
        </w:rPr>
        <w:t>Counsel for the Respondent:</w:t>
      </w:r>
      <w:r w:rsidRPr="002C3BE5">
        <w:rPr>
          <w:rFonts w:ascii="Times New Roman" w:hAnsi="Times New Roman" w:cs="Times New Roman"/>
          <w:sz w:val="28"/>
          <w:szCs w:val="28"/>
        </w:rPr>
        <w:tab/>
      </w:r>
      <w:r w:rsidRPr="002C3BE5">
        <w:rPr>
          <w:rFonts w:ascii="Times New Roman" w:hAnsi="Times New Roman" w:cs="Times New Roman"/>
          <w:sz w:val="28"/>
          <w:szCs w:val="28"/>
        </w:rPr>
        <w:tab/>
        <w:t>Robbie Davidson</w:t>
      </w:r>
    </w:p>
    <w:tbl>
      <w:tblPr>
        <w:tblStyle w:val="TableGrid"/>
        <w:tblpPr w:leftFromText="180" w:rightFromText="180" w:vertAnchor="text" w:horzAnchor="margin" w:tblpXSpec="right" w:tblpY="824"/>
        <w:tblW w:w="6516" w:type="dxa"/>
        <w:tblBorders>
          <w:top w:val="none" w:sz="0" w:space="0" w:color="auto"/>
          <w:left w:val="none" w:sz="0" w:space="0" w:color="auto"/>
          <w:right w:val="none" w:sz="0" w:space="0" w:color="auto"/>
        </w:tblBorders>
        <w:tblLook w:val="04A0" w:firstRow="1" w:lastRow="0" w:firstColumn="1" w:lastColumn="0" w:noHBand="0" w:noVBand="1"/>
      </w:tblPr>
      <w:tblGrid>
        <w:gridCol w:w="6516"/>
      </w:tblGrid>
      <w:tr w:rsidR="008A64AC" w:rsidRPr="00AF4D4F" w:rsidTr="008A64AC">
        <w:tc>
          <w:tcPr>
            <w:tcW w:w="6516" w:type="dxa"/>
          </w:tcPr>
          <w:p w:rsidR="008A64AC" w:rsidRPr="00AF4D4F" w:rsidRDefault="00313FA0" w:rsidP="008A64AC">
            <w:pPr>
              <w:jc w:val="right"/>
              <w:rPr>
                <w:rFonts w:ascii="Times New Roman" w:hAnsi="Times New Roman" w:cs="Times New Roman"/>
                <w:b/>
                <w:bCs/>
                <w:sz w:val="27"/>
                <w:szCs w:val="27"/>
              </w:rPr>
            </w:pPr>
            <w:r>
              <w:rPr>
                <w:rFonts w:ascii="Times New Roman" w:hAnsi="Times New Roman" w:cs="Times New Roman"/>
                <w:b/>
                <w:bCs/>
                <w:sz w:val="27"/>
                <w:szCs w:val="27"/>
              </w:rPr>
              <w:lastRenderedPageBreak/>
              <w:t>S-1-CR-2017 000 009</w:t>
            </w:r>
          </w:p>
          <w:p w:rsidR="008A64AC" w:rsidRPr="00AF4D4F" w:rsidRDefault="008A64AC" w:rsidP="008A64AC">
            <w:pPr>
              <w:jc w:val="right"/>
              <w:rPr>
                <w:rFonts w:ascii="Times New Roman" w:hAnsi="Times New Roman" w:cs="Times New Roman"/>
                <w:sz w:val="27"/>
                <w:szCs w:val="27"/>
              </w:rPr>
            </w:pPr>
          </w:p>
        </w:tc>
      </w:tr>
      <w:tr w:rsidR="008A64AC" w:rsidRPr="00AF4D4F" w:rsidTr="008A64AC">
        <w:tc>
          <w:tcPr>
            <w:tcW w:w="6516" w:type="dxa"/>
          </w:tcPr>
          <w:p w:rsidR="008A64AC" w:rsidRPr="00AF4D4F" w:rsidRDefault="008A64AC" w:rsidP="008A64AC">
            <w:pPr>
              <w:tabs>
                <w:tab w:val="center" w:pos="2784"/>
              </w:tabs>
              <w:jc w:val="center"/>
              <w:rPr>
                <w:rFonts w:ascii="Times New Roman" w:hAnsi="Times New Roman" w:cs="Times New Roman"/>
                <w:b/>
                <w:bCs/>
                <w:sz w:val="27"/>
                <w:szCs w:val="27"/>
                <w:lang w:val="en-GB"/>
              </w:rPr>
            </w:pPr>
          </w:p>
          <w:p w:rsidR="008A64AC" w:rsidRPr="00AF4D4F" w:rsidRDefault="008A64AC" w:rsidP="008A64AC">
            <w:pPr>
              <w:tabs>
                <w:tab w:val="center" w:pos="2784"/>
              </w:tabs>
              <w:jc w:val="center"/>
              <w:rPr>
                <w:rFonts w:ascii="Times New Roman" w:hAnsi="Times New Roman" w:cs="Times New Roman"/>
                <w:b/>
                <w:bCs/>
                <w:sz w:val="27"/>
                <w:szCs w:val="27"/>
                <w:lang w:val="en-GB"/>
              </w:rPr>
            </w:pPr>
            <w:r w:rsidRPr="00AF4D4F">
              <w:rPr>
                <w:rFonts w:ascii="Times New Roman" w:hAnsi="Times New Roman" w:cs="Times New Roman"/>
                <w:b/>
                <w:bCs/>
                <w:sz w:val="27"/>
                <w:szCs w:val="27"/>
                <w:lang w:val="en-GB"/>
              </w:rPr>
              <w:t>IN THE SUPREME COURT OF THE</w:t>
            </w:r>
          </w:p>
          <w:p w:rsidR="008A64AC" w:rsidRPr="00AF4D4F" w:rsidRDefault="008A64AC" w:rsidP="008A64AC">
            <w:pPr>
              <w:tabs>
                <w:tab w:val="center" w:pos="2784"/>
                <w:tab w:val="left" w:pos="4740"/>
              </w:tabs>
              <w:jc w:val="center"/>
              <w:rPr>
                <w:rFonts w:ascii="Times New Roman" w:hAnsi="Times New Roman" w:cs="Times New Roman"/>
                <w:b/>
                <w:bCs/>
                <w:sz w:val="27"/>
                <w:szCs w:val="27"/>
                <w:lang w:val="en-GB"/>
              </w:rPr>
            </w:pPr>
            <w:r w:rsidRPr="00AF4D4F">
              <w:rPr>
                <w:rFonts w:ascii="Times New Roman" w:hAnsi="Times New Roman" w:cs="Times New Roman"/>
                <w:b/>
                <w:bCs/>
                <w:sz w:val="27"/>
                <w:szCs w:val="27"/>
                <w:lang w:val="en-GB"/>
              </w:rPr>
              <w:t>NORTHWEST TERRITORIES</w:t>
            </w:r>
          </w:p>
          <w:p w:rsidR="008A64AC" w:rsidRPr="00AF4D4F" w:rsidRDefault="008A64AC" w:rsidP="008A64AC">
            <w:pPr>
              <w:pStyle w:val="NoSpacing"/>
              <w:rPr>
                <w:rFonts w:ascii="Times New Roman" w:hAnsi="Times New Roman" w:cs="Times New Roman"/>
                <w:sz w:val="27"/>
                <w:szCs w:val="27"/>
                <w:lang w:val="en-GB"/>
              </w:rPr>
            </w:pPr>
          </w:p>
        </w:tc>
      </w:tr>
      <w:tr w:rsidR="008A64AC" w:rsidRPr="00AF4D4F" w:rsidTr="008A64AC">
        <w:tc>
          <w:tcPr>
            <w:tcW w:w="6516" w:type="dxa"/>
          </w:tcPr>
          <w:p w:rsidR="008A64AC" w:rsidRPr="00AF4D4F" w:rsidRDefault="008A64AC" w:rsidP="008A64AC">
            <w:pPr>
              <w:tabs>
                <w:tab w:val="left" w:pos="720"/>
                <w:tab w:val="left" w:pos="1452"/>
                <w:tab w:val="left" w:pos="2392"/>
              </w:tabs>
              <w:jc w:val="both"/>
              <w:rPr>
                <w:rFonts w:ascii="Times New Roman" w:hAnsi="Times New Roman" w:cs="Times New Roman"/>
                <w:bCs/>
                <w:sz w:val="27"/>
                <w:szCs w:val="27"/>
                <w:lang w:val="en-GB"/>
              </w:rPr>
            </w:pPr>
          </w:p>
          <w:p w:rsidR="008A64AC" w:rsidRPr="00AF4D4F" w:rsidRDefault="008A64AC" w:rsidP="008A64AC">
            <w:pPr>
              <w:tabs>
                <w:tab w:val="left" w:pos="720"/>
                <w:tab w:val="left" w:pos="1452"/>
                <w:tab w:val="left" w:pos="2392"/>
              </w:tabs>
              <w:jc w:val="both"/>
              <w:rPr>
                <w:rFonts w:ascii="Times New Roman" w:hAnsi="Times New Roman" w:cs="Times New Roman"/>
                <w:bCs/>
                <w:sz w:val="27"/>
                <w:szCs w:val="27"/>
                <w:lang w:val="en-GB"/>
              </w:rPr>
            </w:pPr>
            <w:r w:rsidRPr="00AF4D4F">
              <w:rPr>
                <w:rFonts w:ascii="Times New Roman" w:hAnsi="Times New Roman" w:cs="Times New Roman"/>
                <w:bCs/>
                <w:sz w:val="27"/>
                <w:szCs w:val="27"/>
                <w:lang w:val="en-GB"/>
              </w:rPr>
              <w:t>BETWEEN</w:t>
            </w:r>
          </w:p>
          <w:p w:rsidR="008A64AC" w:rsidRPr="00AF4D4F" w:rsidRDefault="008A64AC" w:rsidP="008A64AC">
            <w:pPr>
              <w:tabs>
                <w:tab w:val="left" w:pos="720"/>
                <w:tab w:val="left" w:pos="1452"/>
                <w:tab w:val="left" w:pos="2392"/>
              </w:tabs>
              <w:ind w:firstLine="720"/>
              <w:jc w:val="both"/>
              <w:rPr>
                <w:rFonts w:ascii="Times New Roman" w:hAnsi="Times New Roman" w:cs="Times New Roman"/>
                <w:b/>
                <w:bCs/>
                <w:sz w:val="27"/>
                <w:szCs w:val="27"/>
                <w:lang w:val="en-GB"/>
              </w:rPr>
            </w:pPr>
          </w:p>
          <w:p w:rsidR="00313FA0" w:rsidRDefault="00313FA0" w:rsidP="00313FA0">
            <w:pPr>
              <w:jc w:val="center"/>
              <w:rPr>
                <w:rFonts w:ascii="Times New Roman" w:hAnsi="Times New Roman" w:cs="Times New Roman"/>
                <w:sz w:val="27"/>
                <w:szCs w:val="27"/>
              </w:rPr>
            </w:pPr>
            <w:r w:rsidRPr="00313FA0">
              <w:rPr>
                <w:rFonts w:ascii="Times New Roman" w:hAnsi="Times New Roman" w:cs="Times New Roman"/>
                <w:sz w:val="27"/>
                <w:szCs w:val="27"/>
              </w:rPr>
              <w:t>ATTORNEY GENERAL OF CANADA</w:t>
            </w:r>
          </w:p>
          <w:p w:rsidR="00CB0215" w:rsidRPr="00313FA0" w:rsidRDefault="00CB0215" w:rsidP="00313FA0">
            <w:pPr>
              <w:jc w:val="center"/>
              <w:rPr>
                <w:rFonts w:ascii="Times New Roman" w:hAnsi="Times New Roman" w:cs="Times New Roman"/>
                <w:sz w:val="27"/>
                <w:szCs w:val="27"/>
              </w:rPr>
            </w:pPr>
          </w:p>
          <w:p w:rsidR="00313FA0" w:rsidRPr="00313FA0" w:rsidRDefault="00313FA0" w:rsidP="00313FA0">
            <w:pPr>
              <w:jc w:val="right"/>
              <w:rPr>
                <w:rFonts w:ascii="Times New Roman" w:hAnsi="Times New Roman" w:cs="Times New Roman"/>
                <w:sz w:val="27"/>
                <w:szCs w:val="27"/>
              </w:rPr>
            </w:pPr>
            <w:r w:rsidRPr="00313FA0">
              <w:rPr>
                <w:rFonts w:ascii="Times New Roman" w:hAnsi="Times New Roman" w:cs="Times New Roman"/>
                <w:sz w:val="27"/>
                <w:szCs w:val="27"/>
              </w:rPr>
              <w:t>Applicant</w:t>
            </w:r>
          </w:p>
          <w:p w:rsidR="00313FA0" w:rsidRPr="00313FA0" w:rsidRDefault="00313FA0" w:rsidP="00313FA0">
            <w:pPr>
              <w:jc w:val="center"/>
              <w:rPr>
                <w:rFonts w:ascii="Times New Roman" w:hAnsi="Times New Roman" w:cs="Times New Roman"/>
                <w:sz w:val="27"/>
                <w:szCs w:val="27"/>
              </w:rPr>
            </w:pPr>
          </w:p>
          <w:p w:rsidR="00313FA0" w:rsidRPr="00313FA0" w:rsidRDefault="00313FA0" w:rsidP="00313FA0">
            <w:pPr>
              <w:jc w:val="center"/>
              <w:rPr>
                <w:rFonts w:ascii="Times New Roman" w:hAnsi="Times New Roman" w:cs="Times New Roman"/>
                <w:sz w:val="27"/>
                <w:szCs w:val="27"/>
              </w:rPr>
            </w:pPr>
          </w:p>
          <w:p w:rsidR="00313FA0" w:rsidRDefault="00313FA0" w:rsidP="00313FA0">
            <w:pPr>
              <w:jc w:val="center"/>
              <w:rPr>
                <w:rFonts w:ascii="Times New Roman" w:hAnsi="Times New Roman" w:cs="Times New Roman"/>
                <w:sz w:val="27"/>
                <w:szCs w:val="27"/>
              </w:rPr>
            </w:pPr>
            <w:r w:rsidRPr="00313FA0">
              <w:rPr>
                <w:rFonts w:ascii="Times New Roman" w:hAnsi="Times New Roman" w:cs="Times New Roman"/>
                <w:sz w:val="27"/>
                <w:szCs w:val="27"/>
              </w:rPr>
              <w:t xml:space="preserve">  - and –</w:t>
            </w:r>
          </w:p>
          <w:p w:rsidR="00CB0215" w:rsidRPr="00313FA0" w:rsidRDefault="00CB0215" w:rsidP="00313FA0">
            <w:pPr>
              <w:jc w:val="center"/>
              <w:rPr>
                <w:rFonts w:ascii="Times New Roman" w:hAnsi="Times New Roman" w:cs="Times New Roman"/>
                <w:sz w:val="27"/>
                <w:szCs w:val="27"/>
              </w:rPr>
            </w:pPr>
          </w:p>
          <w:p w:rsidR="00313FA0" w:rsidRPr="00313FA0" w:rsidRDefault="00313FA0" w:rsidP="00313FA0">
            <w:pPr>
              <w:jc w:val="center"/>
              <w:rPr>
                <w:rFonts w:ascii="Times New Roman" w:hAnsi="Times New Roman" w:cs="Times New Roman"/>
                <w:sz w:val="27"/>
                <w:szCs w:val="27"/>
              </w:rPr>
            </w:pPr>
          </w:p>
          <w:p w:rsidR="00313FA0" w:rsidRPr="00313FA0" w:rsidRDefault="00313FA0" w:rsidP="00313FA0">
            <w:pPr>
              <w:jc w:val="center"/>
              <w:rPr>
                <w:rFonts w:ascii="Times New Roman" w:hAnsi="Times New Roman" w:cs="Times New Roman"/>
                <w:sz w:val="27"/>
                <w:szCs w:val="27"/>
              </w:rPr>
            </w:pPr>
            <w:r w:rsidRPr="00313FA0">
              <w:rPr>
                <w:rFonts w:ascii="Times New Roman" w:hAnsi="Times New Roman" w:cs="Times New Roman"/>
                <w:sz w:val="27"/>
                <w:szCs w:val="27"/>
              </w:rPr>
              <w:t>LINDSEY ROCHER</w:t>
            </w:r>
          </w:p>
          <w:p w:rsidR="00313FA0" w:rsidRPr="00313FA0" w:rsidRDefault="00313FA0" w:rsidP="00313FA0">
            <w:pPr>
              <w:jc w:val="right"/>
              <w:rPr>
                <w:rFonts w:ascii="Times New Roman" w:hAnsi="Times New Roman" w:cs="Times New Roman"/>
                <w:sz w:val="27"/>
                <w:szCs w:val="27"/>
              </w:rPr>
            </w:pPr>
            <w:r w:rsidRPr="00313FA0">
              <w:rPr>
                <w:rFonts w:ascii="Times New Roman" w:hAnsi="Times New Roman" w:cs="Times New Roman"/>
                <w:sz w:val="27"/>
                <w:szCs w:val="27"/>
              </w:rPr>
              <w:t>Respondent</w:t>
            </w:r>
          </w:p>
          <w:p w:rsidR="008A64AC" w:rsidRPr="00AF4D4F" w:rsidRDefault="008A64AC" w:rsidP="008A64AC">
            <w:pPr>
              <w:tabs>
                <w:tab w:val="left" w:pos="720"/>
                <w:tab w:val="left" w:pos="1452"/>
                <w:tab w:val="left" w:pos="2392"/>
              </w:tabs>
              <w:jc w:val="center"/>
              <w:rPr>
                <w:rFonts w:ascii="Times New Roman" w:hAnsi="Times New Roman" w:cs="Times New Roman"/>
                <w:sz w:val="27"/>
                <w:szCs w:val="27"/>
                <w:lang w:val="en-GB"/>
              </w:rPr>
            </w:pPr>
          </w:p>
          <w:p w:rsidR="008A64AC" w:rsidRPr="00AF4D4F" w:rsidRDefault="008A64AC" w:rsidP="008A64AC">
            <w:pPr>
              <w:rPr>
                <w:rFonts w:ascii="Times New Roman" w:hAnsi="Times New Roman" w:cs="Times New Roman"/>
                <w:sz w:val="27"/>
                <w:szCs w:val="27"/>
              </w:rPr>
            </w:pPr>
          </w:p>
        </w:tc>
      </w:tr>
      <w:tr w:rsidR="008A64AC" w:rsidRPr="00AF4D4F" w:rsidTr="008A64AC">
        <w:tc>
          <w:tcPr>
            <w:tcW w:w="6516" w:type="dxa"/>
          </w:tcPr>
          <w:p w:rsidR="008A64AC" w:rsidRPr="00AF4D4F" w:rsidRDefault="008A64AC" w:rsidP="008A64AC">
            <w:pPr>
              <w:tabs>
                <w:tab w:val="left" w:pos="720"/>
                <w:tab w:val="left" w:pos="1452"/>
                <w:tab w:val="left" w:pos="2392"/>
              </w:tabs>
              <w:jc w:val="center"/>
              <w:rPr>
                <w:rFonts w:ascii="Times New Roman" w:hAnsi="Times New Roman" w:cs="Times New Roman"/>
                <w:sz w:val="27"/>
                <w:szCs w:val="27"/>
                <w:lang w:val="en-GB"/>
              </w:rPr>
            </w:pPr>
          </w:p>
          <w:p w:rsidR="00CB0215" w:rsidRDefault="008A64AC" w:rsidP="008A64AC">
            <w:pPr>
              <w:tabs>
                <w:tab w:val="left" w:pos="720"/>
                <w:tab w:val="left" w:pos="1452"/>
                <w:tab w:val="left" w:pos="2392"/>
              </w:tabs>
              <w:jc w:val="center"/>
              <w:rPr>
                <w:rFonts w:ascii="Times New Roman" w:hAnsi="Times New Roman" w:cs="Times New Roman"/>
                <w:sz w:val="27"/>
                <w:szCs w:val="27"/>
                <w:lang w:val="en-GB"/>
              </w:rPr>
            </w:pPr>
            <w:r w:rsidRPr="00AF4D4F">
              <w:rPr>
                <w:rFonts w:ascii="Times New Roman" w:hAnsi="Times New Roman" w:cs="Times New Roman"/>
                <w:sz w:val="27"/>
                <w:szCs w:val="27"/>
                <w:lang w:val="en-GB"/>
              </w:rPr>
              <w:t>MEMORANDUM OF JUDGMENT</w:t>
            </w:r>
            <w:r w:rsidR="00313FA0">
              <w:rPr>
                <w:rFonts w:ascii="Times New Roman" w:hAnsi="Times New Roman" w:cs="Times New Roman"/>
                <w:sz w:val="27"/>
                <w:szCs w:val="27"/>
                <w:lang w:val="en-GB"/>
              </w:rPr>
              <w:t xml:space="preserve"> </w:t>
            </w:r>
          </w:p>
          <w:p w:rsidR="008A64AC" w:rsidRPr="00AF4D4F" w:rsidRDefault="00CB0215" w:rsidP="008A64AC">
            <w:pPr>
              <w:tabs>
                <w:tab w:val="left" w:pos="720"/>
                <w:tab w:val="left" w:pos="1452"/>
                <w:tab w:val="left" w:pos="2392"/>
              </w:tabs>
              <w:jc w:val="center"/>
              <w:rPr>
                <w:rFonts w:ascii="Times New Roman" w:hAnsi="Times New Roman" w:cs="Times New Roman"/>
                <w:sz w:val="27"/>
                <w:szCs w:val="27"/>
                <w:lang w:val="en-GB"/>
              </w:rPr>
            </w:pPr>
            <w:r>
              <w:rPr>
                <w:rFonts w:ascii="Times New Roman" w:hAnsi="Times New Roman" w:cs="Times New Roman"/>
                <w:sz w:val="27"/>
                <w:szCs w:val="27"/>
                <w:lang w:val="en-GB"/>
              </w:rPr>
              <w:t xml:space="preserve">(FORFEITURE APPLICATION) </w:t>
            </w:r>
            <w:r w:rsidR="00313FA0">
              <w:rPr>
                <w:rFonts w:ascii="Times New Roman" w:hAnsi="Times New Roman" w:cs="Times New Roman"/>
                <w:sz w:val="27"/>
                <w:szCs w:val="27"/>
                <w:lang w:val="en-GB"/>
              </w:rPr>
              <w:t>OF</w:t>
            </w:r>
          </w:p>
          <w:p w:rsidR="008A64AC" w:rsidRPr="00AF4D4F" w:rsidRDefault="008A64AC" w:rsidP="008A64AC">
            <w:pPr>
              <w:tabs>
                <w:tab w:val="left" w:pos="720"/>
                <w:tab w:val="left" w:pos="1452"/>
                <w:tab w:val="left" w:pos="2392"/>
              </w:tabs>
              <w:jc w:val="center"/>
              <w:rPr>
                <w:rFonts w:ascii="Times New Roman" w:hAnsi="Times New Roman" w:cs="Times New Roman"/>
                <w:sz w:val="27"/>
                <w:szCs w:val="27"/>
                <w:lang w:val="en-GB"/>
              </w:rPr>
            </w:pPr>
            <w:r w:rsidRPr="00AF4D4F">
              <w:rPr>
                <w:rFonts w:ascii="Times New Roman" w:hAnsi="Times New Roman" w:cs="Times New Roman"/>
                <w:sz w:val="27"/>
                <w:szCs w:val="27"/>
                <w:lang w:val="en-GB"/>
              </w:rPr>
              <w:t>THE HONOURABLE JUSTICE L.A. CHARBONNEAU</w:t>
            </w:r>
          </w:p>
          <w:p w:rsidR="008A64AC" w:rsidRPr="00AF4D4F" w:rsidRDefault="008A64AC" w:rsidP="008A64AC">
            <w:pPr>
              <w:tabs>
                <w:tab w:val="left" w:pos="720"/>
                <w:tab w:val="left" w:pos="1452"/>
                <w:tab w:val="left" w:pos="2392"/>
              </w:tabs>
              <w:jc w:val="center"/>
              <w:rPr>
                <w:rFonts w:ascii="Times New Roman" w:hAnsi="Times New Roman" w:cs="Times New Roman"/>
                <w:sz w:val="27"/>
                <w:szCs w:val="27"/>
                <w:lang w:val="en-GB"/>
              </w:rPr>
            </w:pPr>
          </w:p>
        </w:tc>
      </w:tr>
    </w:tbl>
    <w:p w:rsidR="000812FA" w:rsidRPr="00EA0BCD" w:rsidRDefault="000812FA" w:rsidP="00EA0BCD">
      <w:pPr>
        <w:spacing w:after="0" w:line="240" w:lineRule="auto"/>
        <w:jc w:val="both"/>
        <w:rPr>
          <w:rFonts w:ascii="Times New Roman" w:hAnsi="Times New Roman" w:cs="Times New Roman"/>
        </w:rPr>
      </w:pPr>
    </w:p>
    <w:sectPr w:rsidR="000812FA" w:rsidRPr="00EA0BCD" w:rsidSect="00EA0BCD">
      <w:headerReference w:type="first" r:id="rId10"/>
      <w:pgSz w:w="12240" w:h="15840" w:code="1"/>
      <w:pgMar w:top="1440" w:right="1440" w:bottom="1440" w:left="1440" w:header="720" w:footer="720" w:gutter="0"/>
      <w:cols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0E0" w:rsidRDefault="00FB30E0" w:rsidP="005B5B19">
      <w:pPr>
        <w:spacing w:after="0" w:line="240" w:lineRule="auto"/>
      </w:pPr>
      <w:r>
        <w:separator/>
      </w:r>
    </w:p>
  </w:endnote>
  <w:endnote w:type="continuationSeparator" w:id="0">
    <w:p w:rsidR="00FB30E0" w:rsidRDefault="00FB30E0"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0E0" w:rsidRDefault="00FB30E0" w:rsidP="005B5B19">
      <w:pPr>
        <w:spacing w:after="0" w:line="240" w:lineRule="auto"/>
      </w:pPr>
      <w:r>
        <w:separator/>
      </w:r>
    </w:p>
  </w:footnote>
  <w:footnote w:type="continuationSeparator" w:id="0">
    <w:p w:rsidR="00FB30E0" w:rsidRDefault="00FB30E0"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AC" w:rsidRPr="00F320C3" w:rsidRDefault="008A64AC">
    <w:pPr>
      <w:pStyle w:val="Header"/>
      <w:jc w:val="right"/>
      <w:rPr>
        <w:rFonts w:ascii="Times New Roman" w:hAnsi="Times New Roman" w:cs="Times New Roman"/>
      </w:rPr>
    </w:pPr>
    <w:r w:rsidRPr="00F320C3">
      <w:rPr>
        <w:rFonts w:ascii="Times New Roman" w:hAnsi="Times New Roman" w:cs="Times New Roman"/>
      </w:rPr>
      <w:t xml:space="preserve">Page:  </w:t>
    </w:r>
    <w:sdt>
      <w:sdtPr>
        <w:rPr>
          <w:rFonts w:ascii="Times New Roman" w:hAnsi="Times New Roman" w:cs="Times New Roman"/>
        </w:rPr>
        <w:id w:val="603237367"/>
        <w:docPartObj>
          <w:docPartGallery w:val="Page Numbers (Top of Page)"/>
          <w:docPartUnique/>
        </w:docPartObj>
      </w:sdtPr>
      <w:sdtEndPr/>
      <w:sdtContent>
        <w:r w:rsidRPr="00F320C3">
          <w:rPr>
            <w:rFonts w:ascii="Times New Roman" w:hAnsi="Times New Roman" w:cs="Times New Roman"/>
          </w:rPr>
          <w:fldChar w:fldCharType="begin"/>
        </w:r>
        <w:r w:rsidRPr="00F320C3">
          <w:rPr>
            <w:rFonts w:ascii="Times New Roman" w:hAnsi="Times New Roman" w:cs="Times New Roman"/>
          </w:rPr>
          <w:instrText xml:space="preserve"> PAGE   \* MERGEFORMAT </w:instrText>
        </w:r>
        <w:r w:rsidRPr="00F320C3">
          <w:rPr>
            <w:rFonts w:ascii="Times New Roman" w:hAnsi="Times New Roman" w:cs="Times New Roman"/>
          </w:rPr>
          <w:fldChar w:fldCharType="separate"/>
        </w:r>
        <w:r w:rsidR="008C4DEA">
          <w:rPr>
            <w:rFonts w:ascii="Times New Roman" w:hAnsi="Times New Roman" w:cs="Times New Roman"/>
            <w:noProof/>
          </w:rPr>
          <w:t>6</w:t>
        </w:r>
        <w:r w:rsidRPr="00F320C3">
          <w:rPr>
            <w:rFonts w:ascii="Times New Roman" w:hAnsi="Times New Roman" w:cs="Times New Roman"/>
            <w:noProof/>
          </w:rPr>
          <w:fldChar w:fldCharType="end"/>
        </w:r>
      </w:sdtContent>
    </w:sdt>
  </w:p>
  <w:p w:rsidR="008A64AC" w:rsidRDefault="008A6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AC" w:rsidRDefault="008A64AC">
    <w:pPr>
      <w:pStyle w:val="Header"/>
      <w:jc w:val="right"/>
    </w:pPr>
  </w:p>
  <w:p w:rsidR="008A64AC" w:rsidRDefault="008A64AC"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AC" w:rsidRDefault="008A64AC"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C78B5"/>
    <w:multiLevelType w:val="hybridMultilevel"/>
    <w:tmpl w:val="9BF48A12"/>
    <w:lvl w:ilvl="0" w:tplc="E19CA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77E57"/>
    <w:multiLevelType w:val="hybridMultilevel"/>
    <w:tmpl w:val="07E2CB66"/>
    <w:lvl w:ilvl="0" w:tplc="D70EE716">
      <w:start w:val="1"/>
      <w:numFmt w:val="decimal"/>
      <w:lvlText w:val="[%1]"/>
      <w:lvlJc w:val="left"/>
      <w:pPr>
        <w:ind w:left="720" w:hanging="36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A6088"/>
    <w:multiLevelType w:val="hybridMultilevel"/>
    <w:tmpl w:val="34BEEE78"/>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10B6D"/>
    <w:multiLevelType w:val="hybridMultilevel"/>
    <w:tmpl w:val="1CEA9178"/>
    <w:lvl w:ilvl="0" w:tplc="E19CA2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031B7"/>
    <w:multiLevelType w:val="hybridMultilevel"/>
    <w:tmpl w:val="0C4C29F2"/>
    <w:lvl w:ilvl="0" w:tplc="E19CA228">
      <w:start w:val="1"/>
      <w:numFmt w:val="upperRoman"/>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21D63EBE"/>
    <w:multiLevelType w:val="hybridMultilevel"/>
    <w:tmpl w:val="A5AC50B6"/>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933ED"/>
    <w:multiLevelType w:val="hybridMultilevel"/>
    <w:tmpl w:val="85E64E28"/>
    <w:lvl w:ilvl="0" w:tplc="D70EE716">
      <w:start w:val="1"/>
      <w:numFmt w:val="decimal"/>
      <w:lvlText w:val="[%1]"/>
      <w:lvlJc w:val="left"/>
      <w:pPr>
        <w:ind w:left="720" w:hanging="36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745ED9"/>
    <w:multiLevelType w:val="hybridMultilevel"/>
    <w:tmpl w:val="D40E9B92"/>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B7F9F"/>
    <w:multiLevelType w:val="hybridMultilevel"/>
    <w:tmpl w:val="D9368276"/>
    <w:lvl w:ilvl="0" w:tplc="E19CA2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D3411"/>
    <w:multiLevelType w:val="hybridMultilevel"/>
    <w:tmpl w:val="6F2C8EE4"/>
    <w:lvl w:ilvl="0" w:tplc="D70EE716">
      <w:start w:val="1"/>
      <w:numFmt w:val="decimal"/>
      <w:lvlText w:val="[%1]"/>
      <w:lvlJc w:val="left"/>
      <w:pPr>
        <w:ind w:left="360" w:hanging="360"/>
      </w:pPr>
      <w:rPr>
        <w:rFonts w:ascii="Times New Roman" w:hAnsi="Times New Roman" w:hint="default"/>
        <w:b w:val="0"/>
        <w:i w:val="0"/>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9E7432F"/>
    <w:multiLevelType w:val="hybridMultilevel"/>
    <w:tmpl w:val="28384678"/>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14C6B"/>
    <w:multiLevelType w:val="hybridMultilevel"/>
    <w:tmpl w:val="E5F8E83A"/>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E3F7F"/>
    <w:multiLevelType w:val="hybridMultilevel"/>
    <w:tmpl w:val="AEC69332"/>
    <w:lvl w:ilvl="0" w:tplc="E19CA2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B7CC1"/>
    <w:multiLevelType w:val="hybridMultilevel"/>
    <w:tmpl w:val="A57E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744C4C7F"/>
    <w:multiLevelType w:val="hybridMultilevel"/>
    <w:tmpl w:val="C7DE164E"/>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95B47"/>
    <w:multiLevelType w:val="hybridMultilevel"/>
    <w:tmpl w:val="3A30B196"/>
    <w:lvl w:ilvl="0" w:tplc="7FE02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0"/>
  </w:num>
  <w:num w:numId="5">
    <w:abstractNumId w:val="19"/>
  </w:num>
  <w:num w:numId="6">
    <w:abstractNumId w:val="1"/>
  </w:num>
  <w:num w:numId="7">
    <w:abstractNumId w:val="14"/>
  </w:num>
  <w:num w:numId="8">
    <w:abstractNumId w:val="18"/>
  </w:num>
  <w:num w:numId="9">
    <w:abstractNumId w:val="3"/>
  </w:num>
  <w:num w:numId="10">
    <w:abstractNumId w:val="10"/>
  </w:num>
  <w:num w:numId="11">
    <w:abstractNumId w:val="21"/>
  </w:num>
  <w:num w:numId="12">
    <w:abstractNumId w:val="8"/>
  </w:num>
  <w:num w:numId="13">
    <w:abstractNumId w:val="2"/>
  </w:num>
  <w:num w:numId="14">
    <w:abstractNumId w:val="16"/>
  </w:num>
  <w:num w:numId="15">
    <w:abstractNumId w:val="11"/>
  </w:num>
  <w:num w:numId="16">
    <w:abstractNumId w:val="17"/>
  </w:num>
  <w:num w:numId="17">
    <w:abstractNumId w:val="7"/>
  </w:num>
  <w:num w:numId="18">
    <w:abstractNumId w:val="6"/>
  </w:num>
  <w:num w:numId="19">
    <w:abstractNumId w:val="12"/>
  </w:num>
  <w:num w:numId="20">
    <w:abstractNumId w:val="15"/>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621B"/>
    <w:rsid w:val="000812FA"/>
    <w:rsid w:val="00086E43"/>
    <w:rsid w:val="000C4952"/>
    <w:rsid w:val="000F53DB"/>
    <w:rsid w:val="001027E5"/>
    <w:rsid w:val="00126CC1"/>
    <w:rsid w:val="00150E79"/>
    <w:rsid w:val="001904DB"/>
    <w:rsid w:val="001922F6"/>
    <w:rsid w:val="001B02D8"/>
    <w:rsid w:val="001E0F8F"/>
    <w:rsid w:val="001E5129"/>
    <w:rsid w:val="001E6AE9"/>
    <w:rsid w:val="001F5970"/>
    <w:rsid w:val="00206228"/>
    <w:rsid w:val="00216D35"/>
    <w:rsid w:val="0022065A"/>
    <w:rsid w:val="002419C1"/>
    <w:rsid w:val="00243106"/>
    <w:rsid w:val="002576F5"/>
    <w:rsid w:val="002813A3"/>
    <w:rsid w:val="002B6DE2"/>
    <w:rsid w:val="002C3BE5"/>
    <w:rsid w:val="002D3834"/>
    <w:rsid w:val="003079CA"/>
    <w:rsid w:val="00313FA0"/>
    <w:rsid w:val="00321645"/>
    <w:rsid w:val="00322DDF"/>
    <w:rsid w:val="0033417F"/>
    <w:rsid w:val="00335901"/>
    <w:rsid w:val="00377E8B"/>
    <w:rsid w:val="003C4100"/>
    <w:rsid w:val="003C4D2B"/>
    <w:rsid w:val="003D3E8C"/>
    <w:rsid w:val="003D6BE0"/>
    <w:rsid w:val="003E5E29"/>
    <w:rsid w:val="003E7140"/>
    <w:rsid w:val="003F2B8B"/>
    <w:rsid w:val="00403FAD"/>
    <w:rsid w:val="00496A4E"/>
    <w:rsid w:val="004A17E5"/>
    <w:rsid w:val="004D3466"/>
    <w:rsid w:val="005014A5"/>
    <w:rsid w:val="005259A6"/>
    <w:rsid w:val="00533F06"/>
    <w:rsid w:val="00567B22"/>
    <w:rsid w:val="00572126"/>
    <w:rsid w:val="00576497"/>
    <w:rsid w:val="005B5B19"/>
    <w:rsid w:val="00616EC4"/>
    <w:rsid w:val="00626EC2"/>
    <w:rsid w:val="00641E7C"/>
    <w:rsid w:val="00654015"/>
    <w:rsid w:val="006A3166"/>
    <w:rsid w:val="006E4754"/>
    <w:rsid w:val="006E6EA8"/>
    <w:rsid w:val="00715E6C"/>
    <w:rsid w:val="007248DC"/>
    <w:rsid w:val="007404D1"/>
    <w:rsid w:val="00756B96"/>
    <w:rsid w:val="00777B6B"/>
    <w:rsid w:val="00790293"/>
    <w:rsid w:val="007A78F5"/>
    <w:rsid w:val="007E4421"/>
    <w:rsid w:val="0082578A"/>
    <w:rsid w:val="00845A8E"/>
    <w:rsid w:val="00852397"/>
    <w:rsid w:val="00866B24"/>
    <w:rsid w:val="008A64AC"/>
    <w:rsid w:val="008C09DB"/>
    <w:rsid w:val="008C2890"/>
    <w:rsid w:val="008C4DEA"/>
    <w:rsid w:val="008C7ECF"/>
    <w:rsid w:val="00905A55"/>
    <w:rsid w:val="009442BA"/>
    <w:rsid w:val="00966883"/>
    <w:rsid w:val="00967D4E"/>
    <w:rsid w:val="00974606"/>
    <w:rsid w:val="009827DE"/>
    <w:rsid w:val="009A2A34"/>
    <w:rsid w:val="009A3828"/>
    <w:rsid w:val="009C2CC4"/>
    <w:rsid w:val="009C474B"/>
    <w:rsid w:val="009E71F8"/>
    <w:rsid w:val="00A06F57"/>
    <w:rsid w:val="00A328F6"/>
    <w:rsid w:val="00A37794"/>
    <w:rsid w:val="00A46DED"/>
    <w:rsid w:val="00A90A7A"/>
    <w:rsid w:val="00AE2488"/>
    <w:rsid w:val="00AF4D4F"/>
    <w:rsid w:val="00B179A3"/>
    <w:rsid w:val="00B26EF3"/>
    <w:rsid w:val="00B512D6"/>
    <w:rsid w:val="00B94F8E"/>
    <w:rsid w:val="00BF70DB"/>
    <w:rsid w:val="00C16E50"/>
    <w:rsid w:val="00C67B41"/>
    <w:rsid w:val="00C721D7"/>
    <w:rsid w:val="00CA135F"/>
    <w:rsid w:val="00CB0215"/>
    <w:rsid w:val="00D1760C"/>
    <w:rsid w:val="00D219BA"/>
    <w:rsid w:val="00D47B98"/>
    <w:rsid w:val="00D73033"/>
    <w:rsid w:val="00D9787B"/>
    <w:rsid w:val="00DA6CBF"/>
    <w:rsid w:val="00DC374F"/>
    <w:rsid w:val="00DD1298"/>
    <w:rsid w:val="00DD3674"/>
    <w:rsid w:val="00DE1B55"/>
    <w:rsid w:val="00E16289"/>
    <w:rsid w:val="00E27DFA"/>
    <w:rsid w:val="00E47106"/>
    <w:rsid w:val="00E528A5"/>
    <w:rsid w:val="00E64C4B"/>
    <w:rsid w:val="00E667AC"/>
    <w:rsid w:val="00E76427"/>
    <w:rsid w:val="00E7675C"/>
    <w:rsid w:val="00E802F6"/>
    <w:rsid w:val="00E9539E"/>
    <w:rsid w:val="00EA0BCD"/>
    <w:rsid w:val="00EA15D9"/>
    <w:rsid w:val="00EC0E5D"/>
    <w:rsid w:val="00ED6BFF"/>
    <w:rsid w:val="00EE6914"/>
    <w:rsid w:val="00EE7A78"/>
    <w:rsid w:val="00F320C3"/>
    <w:rsid w:val="00F60C86"/>
    <w:rsid w:val="00F73AA7"/>
    <w:rsid w:val="00FB30E0"/>
    <w:rsid w:val="00FB798C"/>
    <w:rsid w:val="00FC7EC1"/>
    <w:rsid w:val="00FD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2BD3A1B-2080-4FD7-A15F-15DFA450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6E4754"/>
    <w:pPr>
      <w:spacing w:after="0" w:line="240" w:lineRule="auto"/>
      <w:jc w:val="both"/>
    </w:pPr>
    <w:rPr>
      <w:rFonts w:ascii="Arial" w:hAnsi="Arial"/>
    </w:rPr>
  </w:style>
  <w:style w:type="table" w:styleId="TableGrid">
    <w:name w:val="Table Grid"/>
    <w:basedOn w:val="TableNormal"/>
    <w:uiPriority w:val="59"/>
    <w:rsid w:val="006E4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259A6"/>
    <w:rPr>
      <w:color w:val="808080"/>
    </w:rPr>
  </w:style>
  <w:style w:type="paragraph" w:customStyle="1" w:styleId="subsection">
    <w:name w:val="subsection"/>
    <w:basedOn w:val="Normal"/>
    <w:rsid w:val="00DC374F"/>
    <w:pPr>
      <w:spacing w:before="168" w:after="120" w:line="240" w:lineRule="auto"/>
      <w:ind w:firstLine="360"/>
    </w:pPr>
    <w:rPr>
      <w:rFonts w:ascii="Times New Roman" w:eastAsia="Times New Roman" w:hAnsi="Times New Roman" w:cs="Times New Roman"/>
      <w:sz w:val="24"/>
      <w:szCs w:val="24"/>
    </w:rPr>
  </w:style>
  <w:style w:type="paragraph" w:customStyle="1" w:styleId="paragraph">
    <w:name w:val="paragraph"/>
    <w:basedOn w:val="Normal"/>
    <w:rsid w:val="00DC374F"/>
    <w:pPr>
      <w:spacing w:before="168" w:after="120" w:line="240" w:lineRule="auto"/>
      <w:ind w:left="360"/>
    </w:pPr>
    <w:rPr>
      <w:rFonts w:ascii="Times New Roman" w:eastAsia="Times New Roman" w:hAnsi="Times New Roman" w:cs="Times New Roman"/>
      <w:sz w:val="24"/>
      <w:szCs w:val="24"/>
    </w:rPr>
  </w:style>
  <w:style w:type="character" w:customStyle="1" w:styleId="sectionlabel">
    <w:name w:val="sectionlabel"/>
    <w:basedOn w:val="DefaultParagraphFont"/>
    <w:rsid w:val="00DC374F"/>
    <w:rPr>
      <w:b/>
      <w:bCs/>
    </w:rPr>
  </w:style>
  <w:style w:type="character" w:styleId="Emphasis">
    <w:name w:val="Emphasis"/>
    <w:basedOn w:val="DefaultParagraphFont"/>
    <w:uiPriority w:val="20"/>
    <w:qFormat/>
    <w:rsid w:val="00DC374F"/>
    <w:rPr>
      <w:i/>
      <w:iCs/>
    </w:rPr>
  </w:style>
  <w:style w:type="character" w:customStyle="1" w:styleId="otherlang">
    <w:name w:val="otherlang"/>
    <w:basedOn w:val="DefaultParagraphFont"/>
    <w:rsid w:val="00DC37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4559">
      <w:bodyDiv w:val="1"/>
      <w:marLeft w:val="0"/>
      <w:marRight w:val="0"/>
      <w:marTop w:val="0"/>
      <w:marBottom w:val="0"/>
      <w:divBdr>
        <w:top w:val="none" w:sz="0" w:space="0" w:color="auto"/>
        <w:left w:val="none" w:sz="0" w:space="0" w:color="auto"/>
        <w:bottom w:val="none" w:sz="0" w:space="0" w:color="auto"/>
        <w:right w:val="none" w:sz="0" w:space="0" w:color="auto"/>
      </w:divBdr>
      <w:divsChild>
        <w:div w:id="513500929">
          <w:marLeft w:val="75"/>
          <w:marRight w:val="75"/>
          <w:marTop w:val="0"/>
          <w:marBottom w:val="0"/>
          <w:divBdr>
            <w:top w:val="none" w:sz="0" w:space="0" w:color="auto"/>
            <w:left w:val="none" w:sz="0" w:space="0" w:color="auto"/>
            <w:bottom w:val="none" w:sz="0" w:space="0" w:color="auto"/>
            <w:right w:val="none" w:sz="0" w:space="0" w:color="auto"/>
          </w:divBdr>
          <w:divsChild>
            <w:div w:id="1071469591">
              <w:marLeft w:val="0"/>
              <w:marRight w:val="0"/>
              <w:marTop w:val="0"/>
              <w:marBottom w:val="105"/>
              <w:divBdr>
                <w:top w:val="none" w:sz="0" w:space="0" w:color="auto"/>
                <w:left w:val="none" w:sz="0" w:space="0" w:color="auto"/>
                <w:bottom w:val="none" w:sz="0" w:space="0" w:color="auto"/>
                <w:right w:val="none" w:sz="0" w:space="0" w:color="auto"/>
              </w:divBdr>
              <w:divsChild>
                <w:div w:id="588318582">
                  <w:marLeft w:val="0"/>
                  <w:marRight w:val="0"/>
                  <w:marTop w:val="105"/>
                  <w:marBottom w:val="0"/>
                  <w:divBdr>
                    <w:top w:val="none" w:sz="0" w:space="0" w:color="auto"/>
                    <w:left w:val="none" w:sz="0" w:space="0" w:color="auto"/>
                    <w:bottom w:val="none" w:sz="0" w:space="0" w:color="auto"/>
                    <w:right w:val="none" w:sz="0" w:space="0" w:color="auto"/>
                  </w:divBdr>
                  <w:divsChild>
                    <w:div w:id="803817915">
                      <w:marLeft w:val="0"/>
                      <w:marRight w:val="0"/>
                      <w:marTop w:val="0"/>
                      <w:marBottom w:val="105"/>
                      <w:divBdr>
                        <w:top w:val="none" w:sz="0" w:space="0" w:color="auto"/>
                        <w:left w:val="none" w:sz="0" w:space="0" w:color="auto"/>
                        <w:bottom w:val="none" w:sz="0" w:space="0" w:color="auto"/>
                        <w:right w:val="none" w:sz="0" w:space="0" w:color="auto"/>
                      </w:divBdr>
                      <w:divsChild>
                        <w:div w:id="135418390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74553">
      <w:bodyDiv w:val="1"/>
      <w:marLeft w:val="0"/>
      <w:marRight w:val="0"/>
      <w:marTop w:val="0"/>
      <w:marBottom w:val="0"/>
      <w:divBdr>
        <w:top w:val="none" w:sz="0" w:space="0" w:color="auto"/>
        <w:left w:val="none" w:sz="0" w:space="0" w:color="auto"/>
        <w:bottom w:val="none" w:sz="0" w:space="0" w:color="auto"/>
        <w:right w:val="none" w:sz="0" w:space="0" w:color="auto"/>
      </w:divBdr>
      <w:divsChild>
        <w:div w:id="249434394">
          <w:marLeft w:val="75"/>
          <w:marRight w:val="75"/>
          <w:marTop w:val="0"/>
          <w:marBottom w:val="0"/>
          <w:divBdr>
            <w:top w:val="none" w:sz="0" w:space="0" w:color="auto"/>
            <w:left w:val="none" w:sz="0" w:space="0" w:color="auto"/>
            <w:bottom w:val="none" w:sz="0" w:space="0" w:color="auto"/>
            <w:right w:val="none" w:sz="0" w:space="0" w:color="auto"/>
          </w:divBdr>
          <w:divsChild>
            <w:div w:id="1802532846">
              <w:marLeft w:val="0"/>
              <w:marRight w:val="0"/>
              <w:marTop w:val="0"/>
              <w:marBottom w:val="105"/>
              <w:divBdr>
                <w:top w:val="none" w:sz="0" w:space="0" w:color="auto"/>
                <w:left w:val="none" w:sz="0" w:space="0" w:color="auto"/>
                <w:bottom w:val="none" w:sz="0" w:space="0" w:color="auto"/>
                <w:right w:val="none" w:sz="0" w:space="0" w:color="auto"/>
              </w:divBdr>
              <w:divsChild>
                <w:div w:id="2094206372">
                  <w:marLeft w:val="0"/>
                  <w:marRight w:val="0"/>
                  <w:marTop w:val="105"/>
                  <w:marBottom w:val="0"/>
                  <w:divBdr>
                    <w:top w:val="none" w:sz="0" w:space="0" w:color="auto"/>
                    <w:left w:val="none" w:sz="0" w:space="0" w:color="auto"/>
                    <w:bottom w:val="none" w:sz="0" w:space="0" w:color="auto"/>
                    <w:right w:val="none" w:sz="0" w:space="0" w:color="auto"/>
                  </w:divBdr>
                  <w:divsChild>
                    <w:div w:id="2136484693">
                      <w:marLeft w:val="0"/>
                      <w:marRight w:val="0"/>
                      <w:marTop w:val="0"/>
                      <w:marBottom w:val="105"/>
                      <w:divBdr>
                        <w:top w:val="none" w:sz="0" w:space="0" w:color="auto"/>
                        <w:left w:val="none" w:sz="0" w:space="0" w:color="auto"/>
                        <w:bottom w:val="none" w:sz="0" w:space="0" w:color="auto"/>
                        <w:right w:val="none" w:sz="0" w:space="0" w:color="auto"/>
                      </w:divBdr>
                      <w:divsChild>
                        <w:div w:id="120096912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F94D-C66C-4E8E-82B8-E8948ACF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Shirley Mair</cp:lastModifiedBy>
  <cp:revision>6</cp:revision>
  <cp:lastPrinted>2017-05-11T16:23:00Z</cp:lastPrinted>
  <dcterms:created xsi:type="dcterms:W3CDTF">2017-05-11T16:09:00Z</dcterms:created>
  <dcterms:modified xsi:type="dcterms:W3CDTF">2017-05-11T16:32:00Z</dcterms:modified>
</cp:coreProperties>
</file>