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CAC5" w14:textId="77777777" w:rsidR="00283549" w:rsidRPr="004857E7" w:rsidRDefault="00283549" w:rsidP="004857E7">
      <w:pPr>
        <w:pStyle w:val="TableText"/>
        <w:jc w:val="center"/>
        <w:rPr>
          <w:b/>
          <w:sz w:val="32"/>
          <w:szCs w:val="32"/>
        </w:rPr>
      </w:pPr>
      <w:bookmarkStart w:id="0" w:name="frTitle"/>
      <w:bookmarkEnd w:id="0"/>
      <w:r w:rsidRPr="004857E7">
        <w:rPr>
          <w:b/>
          <w:sz w:val="32"/>
          <w:szCs w:val="32"/>
        </w:rPr>
        <w:t xml:space="preserve">In the Court of Appeal </w:t>
      </w:r>
      <w:r w:rsidR="009D39EA">
        <w:rPr>
          <w:b/>
          <w:sz w:val="32"/>
          <w:szCs w:val="32"/>
        </w:rPr>
        <w:t>for the Northwest Territories</w:t>
      </w:r>
      <w:r w:rsidRPr="004857E7">
        <w:rPr>
          <w:b/>
          <w:sz w:val="32"/>
          <w:szCs w:val="32"/>
        </w:rPr>
        <w:t xml:space="preserve"> </w:t>
      </w:r>
    </w:p>
    <w:p w14:paraId="71A89B90" w14:textId="55E83320" w:rsidR="0078224A" w:rsidRPr="00756B75" w:rsidRDefault="00283549" w:rsidP="00C3547F">
      <w:pPr>
        <w:ind w:left="0"/>
        <w:rPr>
          <w:rFonts w:eastAsia="PMingLiU"/>
          <w:b/>
        </w:rPr>
      </w:pPr>
      <w:bookmarkStart w:id="1" w:name="frCitation"/>
      <w:bookmarkEnd w:id="1"/>
      <w:r w:rsidRPr="00756B75">
        <w:rPr>
          <w:rFonts w:eastAsia="PMingLiU"/>
          <w:b/>
        </w:rPr>
        <w:t xml:space="preserve">Citation: </w:t>
      </w:r>
      <w:r w:rsidR="00756B75" w:rsidRPr="0073275C">
        <w:rPr>
          <w:rFonts w:eastAsia="PMingLiU"/>
          <w:b/>
          <w:i/>
          <w:iCs/>
        </w:rPr>
        <w:t>R v Thomas</w:t>
      </w:r>
      <w:r w:rsidR="00756B75" w:rsidRPr="00756B75">
        <w:rPr>
          <w:rFonts w:eastAsia="PMingLiU"/>
          <w:b/>
        </w:rPr>
        <w:t>, 202</w:t>
      </w:r>
      <w:r w:rsidR="00AF262C">
        <w:rPr>
          <w:rFonts w:eastAsia="PMingLiU"/>
          <w:b/>
        </w:rPr>
        <w:t>4</w:t>
      </w:r>
      <w:r w:rsidR="00756B75" w:rsidRPr="00756B75">
        <w:rPr>
          <w:rFonts w:eastAsia="PMingLiU"/>
          <w:b/>
        </w:rPr>
        <w:t xml:space="preserve"> N</w:t>
      </w:r>
      <w:r w:rsidR="00756B75">
        <w:rPr>
          <w:rFonts w:eastAsia="PMingLiU"/>
          <w:b/>
        </w:rPr>
        <w:t xml:space="preserve">WTCA </w:t>
      </w:r>
      <w:r w:rsidR="00224866">
        <w:rPr>
          <w:rFonts w:eastAsia="PMingLiU"/>
          <w:b/>
        </w:rPr>
        <w:t>3</w:t>
      </w:r>
    </w:p>
    <w:p w14:paraId="75CF4CD1" w14:textId="6FA09C52" w:rsidR="00283549" w:rsidRPr="007D7912" w:rsidRDefault="00283549" w:rsidP="00E11681">
      <w:pPr>
        <w:tabs>
          <w:tab w:val="right" w:pos="9360"/>
        </w:tabs>
        <w:ind w:left="0"/>
        <w:rPr>
          <w:rFonts w:eastAsia="PMingLiU"/>
          <w:color w:val="000000"/>
          <w:lang w:val="en-US"/>
        </w:rPr>
      </w:pPr>
      <w:r w:rsidRPr="00756B75">
        <w:rPr>
          <w:rFonts w:eastAsia="PMingLiU"/>
          <w:b/>
        </w:rPr>
        <w:tab/>
      </w:r>
      <w:r w:rsidRPr="007D7912">
        <w:rPr>
          <w:rFonts w:eastAsia="PMingLiU"/>
          <w:b/>
          <w:bCs/>
          <w:lang w:val="en-US"/>
        </w:rPr>
        <w:t>Date:</w:t>
      </w:r>
      <w:r w:rsidRPr="007D7912">
        <w:rPr>
          <w:rFonts w:eastAsia="PMingLiU"/>
          <w:lang w:val="en-US"/>
        </w:rPr>
        <w:t xml:space="preserve"> </w:t>
      </w:r>
      <w:r w:rsidR="00C3547F" w:rsidRPr="007D7912">
        <w:rPr>
          <w:rFonts w:eastAsia="PMingLiU"/>
          <w:lang w:val="en-US"/>
        </w:rPr>
        <w:t>20</w:t>
      </w:r>
      <w:r w:rsidR="00BB1BDE" w:rsidRPr="007D7912">
        <w:rPr>
          <w:rFonts w:eastAsia="PMingLiU"/>
          <w:lang w:val="en-US"/>
        </w:rPr>
        <w:t>2</w:t>
      </w:r>
      <w:r w:rsidR="00AF262C">
        <w:rPr>
          <w:rFonts w:eastAsia="PMingLiU"/>
          <w:lang w:val="en-US"/>
        </w:rPr>
        <w:t>4</w:t>
      </w:r>
      <w:r w:rsidR="00907CDD">
        <w:rPr>
          <w:rFonts w:eastAsia="PMingLiU"/>
          <w:lang w:val="en-US"/>
        </w:rPr>
        <w:t xml:space="preserve"> </w:t>
      </w:r>
      <w:r w:rsidR="00A92BE0">
        <w:rPr>
          <w:rFonts w:eastAsia="PMingLiU"/>
          <w:lang w:val="en-US"/>
        </w:rPr>
        <w:t>04</w:t>
      </w:r>
      <w:r w:rsidR="00907CDD">
        <w:rPr>
          <w:rFonts w:eastAsia="PMingLiU"/>
          <w:lang w:val="en-US"/>
        </w:rPr>
        <w:t xml:space="preserve"> </w:t>
      </w:r>
      <w:r w:rsidR="00512E1B">
        <w:rPr>
          <w:rFonts w:eastAsia="PMingLiU"/>
          <w:lang w:val="en-US"/>
        </w:rPr>
        <w:t>24</w:t>
      </w:r>
    </w:p>
    <w:p w14:paraId="2CC2EC2E" w14:textId="7F99FBAF" w:rsidR="00C3547F" w:rsidRPr="004D654D" w:rsidRDefault="00283549" w:rsidP="00E11681">
      <w:pPr>
        <w:tabs>
          <w:tab w:val="right" w:pos="9360"/>
        </w:tabs>
        <w:ind w:left="0"/>
        <w:rPr>
          <w:rFonts w:eastAsia="PMingLiU"/>
        </w:rPr>
      </w:pPr>
      <w:r w:rsidRPr="007D7912">
        <w:rPr>
          <w:rFonts w:eastAsia="PMingLiU"/>
          <w:b/>
          <w:lang w:val="en-US"/>
        </w:rPr>
        <w:tab/>
      </w:r>
      <w:bookmarkStart w:id="2" w:name="frDocket"/>
      <w:bookmarkEnd w:id="2"/>
      <w:r w:rsidRPr="004D654D">
        <w:rPr>
          <w:rFonts w:eastAsia="PMingLiU"/>
          <w:b/>
          <w:bCs/>
        </w:rPr>
        <w:t>Docket:</w:t>
      </w:r>
      <w:r w:rsidR="004D654D" w:rsidRPr="004D654D">
        <w:rPr>
          <w:rFonts w:eastAsia="PMingLiU"/>
          <w:bCs/>
        </w:rPr>
        <w:t xml:space="preserve"> </w:t>
      </w:r>
      <w:r w:rsidR="00C3547F">
        <w:rPr>
          <w:rFonts w:eastAsia="PMingLiU"/>
          <w:bCs/>
        </w:rPr>
        <w:t>A1-AP-</w:t>
      </w:r>
      <w:r w:rsidR="00AD20BC">
        <w:rPr>
          <w:rFonts w:eastAsia="PMingLiU"/>
          <w:bCs/>
        </w:rPr>
        <w:t>2021-000</w:t>
      </w:r>
      <w:r w:rsidR="00907CDD">
        <w:rPr>
          <w:rFonts w:eastAsia="PMingLiU"/>
          <w:bCs/>
        </w:rPr>
        <w:t xml:space="preserve"> </w:t>
      </w:r>
      <w:r w:rsidR="00AD20BC">
        <w:rPr>
          <w:rFonts w:eastAsia="PMingLiU"/>
          <w:bCs/>
        </w:rPr>
        <w:t>008</w:t>
      </w:r>
    </w:p>
    <w:p w14:paraId="4CEB7D19" w14:textId="77777777" w:rsidR="00283549" w:rsidRPr="00973735" w:rsidRDefault="00283549" w:rsidP="00E11681">
      <w:pPr>
        <w:tabs>
          <w:tab w:val="right" w:pos="9360"/>
        </w:tabs>
        <w:ind w:left="0"/>
        <w:rPr>
          <w:rFonts w:eastAsia="PMingLiU"/>
        </w:rPr>
      </w:pPr>
      <w:r w:rsidRPr="009C2254">
        <w:rPr>
          <w:rFonts w:eastAsia="PMingLiU"/>
          <w:b/>
        </w:rPr>
        <w:tab/>
      </w:r>
      <w:bookmarkStart w:id="3" w:name="frRegistry"/>
      <w:bookmarkEnd w:id="3"/>
      <w:r w:rsidRPr="009C2254">
        <w:rPr>
          <w:rFonts w:eastAsia="PMingLiU"/>
          <w:b/>
          <w:bCs/>
        </w:rPr>
        <w:t>Registry:</w:t>
      </w:r>
      <w:r w:rsidRPr="00973735">
        <w:rPr>
          <w:rFonts w:eastAsia="PMingLiU"/>
        </w:rPr>
        <w:t xml:space="preserve"> </w:t>
      </w:r>
      <w:r w:rsidR="009D39EA">
        <w:rPr>
          <w:rFonts w:eastAsia="PMingLiU"/>
        </w:rPr>
        <w:t>Yellowknife</w:t>
      </w:r>
      <w:r w:rsidR="00D131C8">
        <w:rPr>
          <w:rFonts w:eastAsia="PMingLiU"/>
        </w:rPr>
        <w:t>, N.W.T.</w:t>
      </w:r>
    </w:p>
    <w:p w14:paraId="012B0080" w14:textId="77777777" w:rsidR="00283549" w:rsidRPr="009C2254" w:rsidRDefault="00283549" w:rsidP="00E11681">
      <w:pPr>
        <w:ind w:left="0"/>
        <w:rPr>
          <w:rFonts w:eastAsia="PMingLiU"/>
        </w:rPr>
      </w:pPr>
    </w:p>
    <w:p w14:paraId="69BEEEDC" w14:textId="77777777" w:rsidR="00283549" w:rsidRPr="009C2254" w:rsidRDefault="00283549" w:rsidP="00E11681">
      <w:pPr>
        <w:ind w:left="0"/>
        <w:rPr>
          <w:rFonts w:eastAsia="PMingLiU"/>
        </w:rPr>
      </w:pPr>
    </w:p>
    <w:p w14:paraId="5CDE6F3F" w14:textId="77777777" w:rsidR="00283549" w:rsidRPr="009C2254" w:rsidRDefault="00283549" w:rsidP="00E11681">
      <w:pPr>
        <w:ind w:left="0"/>
        <w:rPr>
          <w:rFonts w:eastAsia="PMingLiU"/>
        </w:rPr>
      </w:pPr>
      <w:bookmarkStart w:id="4" w:name="frBetween"/>
      <w:bookmarkEnd w:id="4"/>
      <w:r w:rsidRPr="009C2254">
        <w:rPr>
          <w:rFonts w:eastAsia="PMingLiU"/>
          <w:b/>
          <w:bCs/>
        </w:rPr>
        <w:t>Between:</w:t>
      </w:r>
    </w:p>
    <w:p w14:paraId="5C5EBCD2" w14:textId="77777777" w:rsidR="00283549" w:rsidRPr="009C2254" w:rsidRDefault="00283549" w:rsidP="00E11681">
      <w:pPr>
        <w:ind w:left="0"/>
        <w:rPr>
          <w:rFonts w:eastAsia="PMingLiU"/>
        </w:rPr>
      </w:pPr>
    </w:p>
    <w:p w14:paraId="397EA493" w14:textId="4D94C9BF" w:rsidR="00283549" w:rsidRPr="000A1DC2" w:rsidRDefault="00AD20BC" w:rsidP="00E11681">
      <w:pPr>
        <w:ind w:left="0"/>
        <w:jc w:val="center"/>
        <w:rPr>
          <w:rFonts w:eastAsia="PMingLiU"/>
        </w:rPr>
      </w:pPr>
      <w:r>
        <w:rPr>
          <w:rFonts w:eastAsia="PMingLiU"/>
          <w:b/>
        </w:rPr>
        <w:t>His Majesty the King</w:t>
      </w:r>
    </w:p>
    <w:p w14:paraId="4A7C5E8A" w14:textId="77777777" w:rsidR="00283549" w:rsidRPr="009C2254" w:rsidRDefault="00283549" w:rsidP="00E11681">
      <w:pPr>
        <w:ind w:left="0"/>
        <w:rPr>
          <w:rFonts w:eastAsia="PMingLiU"/>
        </w:rPr>
      </w:pPr>
    </w:p>
    <w:p w14:paraId="2043A462" w14:textId="60319415" w:rsidR="00283549" w:rsidRPr="009C2254" w:rsidRDefault="00283549" w:rsidP="00E11681">
      <w:pPr>
        <w:tabs>
          <w:tab w:val="right" w:pos="9360"/>
        </w:tabs>
        <w:ind w:left="0"/>
        <w:rPr>
          <w:rFonts w:eastAsia="PMingLiU"/>
        </w:rPr>
      </w:pPr>
      <w:r w:rsidRPr="009C2254">
        <w:rPr>
          <w:rFonts w:eastAsia="PMingLiU"/>
        </w:rPr>
        <w:tab/>
      </w:r>
      <w:r w:rsidR="00AD20BC">
        <w:rPr>
          <w:rFonts w:eastAsia="PMingLiU"/>
        </w:rPr>
        <w:t>Respondent</w:t>
      </w:r>
    </w:p>
    <w:p w14:paraId="5E060BAE" w14:textId="77777777" w:rsidR="00283549" w:rsidRPr="009C2254" w:rsidRDefault="00283549" w:rsidP="00E11681">
      <w:pPr>
        <w:ind w:left="0"/>
        <w:rPr>
          <w:rFonts w:eastAsia="PMingLiU"/>
        </w:rPr>
      </w:pPr>
    </w:p>
    <w:p w14:paraId="28FB0860" w14:textId="77777777" w:rsidR="00283549" w:rsidRDefault="00283549" w:rsidP="00E11681">
      <w:pPr>
        <w:tabs>
          <w:tab w:val="center" w:pos="4680"/>
        </w:tabs>
        <w:ind w:left="0"/>
        <w:rPr>
          <w:rFonts w:eastAsia="PMingLiU"/>
        </w:rPr>
      </w:pPr>
      <w:r w:rsidRPr="009C2254">
        <w:rPr>
          <w:rFonts w:eastAsia="PMingLiU"/>
        </w:rPr>
        <w:tab/>
        <w:t xml:space="preserve">- </w:t>
      </w:r>
      <w:bookmarkStart w:id="5" w:name="frAnd"/>
      <w:bookmarkEnd w:id="5"/>
      <w:r w:rsidRPr="009C2254">
        <w:rPr>
          <w:rFonts w:eastAsia="PMingLiU"/>
        </w:rPr>
        <w:t xml:space="preserve">and </w:t>
      </w:r>
      <w:r w:rsidR="005F72BD">
        <w:rPr>
          <w:rFonts w:eastAsia="PMingLiU"/>
        </w:rPr>
        <w:t>–</w:t>
      </w:r>
    </w:p>
    <w:p w14:paraId="417D0F82" w14:textId="77777777" w:rsidR="005F72BD" w:rsidRDefault="005F72BD" w:rsidP="00E11681">
      <w:pPr>
        <w:tabs>
          <w:tab w:val="center" w:pos="4680"/>
        </w:tabs>
        <w:ind w:left="0"/>
        <w:rPr>
          <w:rFonts w:eastAsia="PMingLiU"/>
        </w:rPr>
      </w:pPr>
    </w:p>
    <w:p w14:paraId="75C8D6C0" w14:textId="77777777" w:rsidR="005F72BD" w:rsidRPr="009C2254" w:rsidRDefault="005F72BD" w:rsidP="00E11681">
      <w:pPr>
        <w:tabs>
          <w:tab w:val="center" w:pos="4680"/>
        </w:tabs>
        <w:ind w:left="0"/>
        <w:rPr>
          <w:rFonts w:eastAsia="PMingLiU"/>
        </w:rPr>
      </w:pPr>
    </w:p>
    <w:p w14:paraId="34E36C80" w14:textId="77777777" w:rsidR="00283549" w:rsidRPr="009C2254" w:rsidRDefault="00283549" w:rsidP="00E11681">
      <w:pPr>
        <w:ind w:left="0"/>
        <w:rPr>
          <w:rFonts w:eastAsia="PMingLiU"/>
        </w:rPr>
      </w:pPr>
    </w:p>
    <w:p w14:paraId="13C641F2" w14:textId="52C70BA8" w:rsidR="00283549" w:rsidRPr="000A1DC2" w:rsidRDefault="00AD20BC" w:rsidP="00E11681">
      <w:pPr>
        <w:ind w:left="0"/>
        <w:jc w:val="center"/>
        <w:rPr>
          <w:rFonts w:eastAsia="PMingLiU"/>
        </w:rPr>
      </w:pPr>
      <w:r>
        <w:rPr>
          <w:rFonts w:eastAsia="PMingLiU"/>
          <w:b/>
        </w:rPr>
        <w:t>James George Thomas</w:t>
      </w:r>
    </w:p>
    <w:p w14:paraId="37DC936B" w14:textId="77777777" w:rsidR="00283549" w:rsidRPr="009C2254" w:rsidRDefault="00283549" w:rsidP="00E11681">
      <w:pPr>
        <w:ind w:left="0"/>
        <w:rPr>
          <w:rFonts w:eastAsia="PMingLiU"/>
        </w:rPr>
      </w:pPr>
    </w:p>
    <w:p w14:paraId="241033AF" w14:textId="326FE5C6" w:rsidR="00283549" w:rsidRPr="009C2254" w:rsidRDefault="00283549" w:rsidP="00E11681">
      <w:pPr>
        <w:tabs>
          <w:tab w:val="right" w:pos="9360"/>
        </w:tabs>
        <w:ind w:left="0"/>
        <w:rPr>
          <w:rFonts w:eastAsia="PMingLiU"/>
        </w:rPr>
      </w:pPr>
      <w:r w:rsidRPr="009C2254">
        <w:rPr>
          <w:rFonts w:eastAsia="PMingLiU"/>
        </w:rPr>
        <w:tab/>
      </w:r>
      <w:r w:rsidR="00AD20BC">
        <w:rPr>
          <w:rFonts w:eastAsia="PMingLiU"/>
        </w:rPr>
        <w:t>Appellant</w:t>
      </w:r>
    </w:p>
    <w:p w14:paraId="1C9B82D0" w14:textId="77777777" w:rsidR="00283549" w:rsidRPr="009C2254" w:rsidRDefault="00283549" w:rsidP="00E11681">
      <w:pPr>
        <w:ind w:left="0"/>
        <w:rPr>
          <w:rFonts w:eastAsia="PMingLiU"/>
        </w:rPr>
      </w:pPr>
    </w:p>
    <w:p w14:paraId="14F62EEC" w14:textId="77777777" w:rsidR="00283549" w:rsidRPr="009C2254" w:rsidRDefault="00283549" w:rsidP="00E11681">
      <w:pPr>
        <w:ind w:left="0"/>
        <w:rPr>
          <w:rFonts w:eastAsia="PMingLiU"/>
        </w:rPr>
      </w:pPr>
    </w:p>
    <w:p w14:paraId="4372C08B" w14:textId="77777777" w:rsidR="00283549" w:rsidRPr="009C2254" w:rsidRDefault="00283549" w:rsidP="00E11681">
      <w:pPr>
        <w:ind w:left="0"/>
        <w:rPr>
          <w:rFonts w:eastAsia="PMingLiU"/>
        </w:rPr>
      </w:pPr>
      <w:bookmarkStart w:id="6" w:name="CorrectedJudgment"/>
      <w:bookmarkEnd w:id="6"/>
    </w:p>
    <w:p w14:paraId="24515FCD" w14:textId="77777777" w:rsidR="00283549" w:rsidRPr="009C2254" w:rsidRDefault="00283549" w:rsidP="00E11681">
      <w:pPr>
        <w:ind w:left="0"/>
        <w:rPr>
          <w:rFonts w:eastAsia="PMingLiU"/>
        </w:rPr>
      </w:pPr>
    </w:p>
    <w:p w14:paraId="60D50400" w14:textId="77777777" w:rsidR="000A1DC2" w:rsidRDefault="000A1DC2" w:rsidP="000A1DC2">
      <w:pPr>
        <w:ind w:left="0"/>
        <w:jc w:val="center"/>
        <w:rPr>
          <w:rFonts w:eastAsia="PMingLiU"/>
        </w:rPr>
      </w:pPr>
      <w:bookmarkStart w:id="7" w:name="TheCourt"/>
      <w:bookmarkEnd w:id="7"/>
      <w:r>
        <w:rPr>
          <w:rFonts w:eastAsia="PMingLiU"/>
        </w:rPr>
        <w:t>_______________________________________________________</w:t>
      </w:r>
    </w:p>
    <w:p w14:paraId="67076D9B" w14:textId="77777777" w:rsidR="000A1DC2" w:rsidRDefault="000A1DC2" w:rsidP="000A1DC2">
      <w:pPr>
        <w:ind w:left="0"/>
        <w:jc w:val="center"/>
        <w:rPr>
          <w:rFonts w:eastAsia="PMingLiU"/>
        </w:rPr>
      </w:pPr>
    </w:p>
    <w:p w14:paraId="2304CBF2" w14:textId="77777777" w:rsidR="000A1DC2" w:rsidRDefault="000A1DC2" w:rsidP="000A1DC2">
      <w:pPr>
        <w:ind w:left="0"/>
        <w:jc w:val="left"/>
        <w:rPr>
          <w:rFonts w:eastAsia="PMingLiU"/>
          <w:b/>
        </w:rPr>
      </w:pPr>
      <w:r>
        <w:rPr>
          <w:rFonts w:eastAsia="PMingLiU"/>
          <w:b/>
        </w:rPr>
        <w:t>The Court:</w:t>
      </w:r>
    </w:p>
    <w:p w14:paraId="0A10C754" w14:textId="7E8470E1" w:rsidR="000A1DC2" w:rsidRDefault="000A1DC2" w:rsidP="000A1DC2">
      <w:pPr>
        <w:ind w:left="0"/>
        <w:jc w:val="center"/>
        <w:rPr>
          <w:rFonts w:eastAsia="PMingLiU"/>
          <w:b/>
        </w:rPr>
      </w:pPr>
      <w:bookmarkStart w:id="8" w:name="JusticeTitleStart"/>
      <w:bookmarkStart w:id="9" w:name="JusticeName"/>
      <w:bookmarkEnd w:id="8"/>
      <w:r>
        <w:rPr>
          <w:rFonts w:eastAsia="PMingLiU"/>
          <w:b/>
        </w:rPr>
        <w:t xml:space="preserve">The Honourable Justice </w:t>
      </w:r>
      <w:bookmarkEnd w:id="9"/>
      <w:r w:rsidR="00250559">
        <w:rPr>
          <w:rFonts w:eastAsia="PMingLiU"/>
          <w:b/>
        </w:rPr>
        <w:t>Suzanne Duncan</w:t>
      </w:r>
    </w:p>
    <w:p w14:paraId="40BB8EC6" w14:textId="2B92A195" w:rsidR="000A1DC2" w:rsidRDefault="000A1DC2" w:rsidP="000A1DC2">
      <w:pPr>
        <w:ind w:left="0"/>
        <w:jc w:val="center"/>
        <w:rPr>
          <w:rFonts w:eastAsia="PMingLiU"/>
          <w:b/>
        </w:rPr>
      </w:pPr>
      <w:bookmarkStart w:id="10" w:name="JusticeName2"/>
      <w:r>
        <w:rPr>
          <w:rFonts w:eastAsia="PMingLiU"/>
          <w:b/>
        </w:rPr>
        <w:t>The Honourable</w:t>
      </w:r>
      <w:r w:rsidR="00EC177C">
        <w:rPr>
          <w:rFonts w:eastAsia="PMingLiU"/>
          <w:b/>
        </w:rPr>
        <w:t xml:space="preserve"> </w:t>
      </w:r>
      <w:r>
        <w:rPr>
          <w:rFonts w:eastAsia="PMingLiU"/>
          <w:b/>
        </w:rPr>
        <w:t xml:space="preserve">Justice </w:t>
      </w:r>
      <w:bookmarkEnd w:id="10"/>
      <w:r w:rsidR="00250559">
        <w:rPr>
          <w:rFonts w:eastAsia="PMingLiU"/>
          <w:b/>
        </w:rPr>
        <w:t>Bernette Ho</w:t>
      </w:r>
    </w:p>
    <w:p w14:paraId="766110AD" w14:textId="531085FC" w:rsidR="000A1DC2" w:rsidRDefault="000A1DC2" w:rsidP="000A1DC2">
      <w:pPr>
        <w:ind w:left="0"/>
        <w:jc w:val="center"/>
        <w:rPr>
          <w:rFonts w:eastAsia="PMingLiU"/>
          <w:b/>
        </w:rPr>
      </w:pPr>
      <w:bookmarkStart w:id="11" w:name="JusticeName3"/>
      <w:r>
        <w:rPr>
          <w:rFonts w:eastAsia="PMingLiU"/>
          <w:b/>
        </w:rPr>
        <w:t xml:space="preserve">The Honourable Justice </w:t>
      </w:r>
      <w:bookmarkStart w:id="12" w:name="JusticeTitleEnd"/>
      <w:bookmarkEnd w:id="11"/>
      <w:bookmarkEnd w:id="12"/>
      <w:r w:rsidR="00250559">
        <w:rPr>
          <w:rFonts w:eastAsia="PMingLiU"/>
          <w:b/>
        </w:rPr>
        <w:t>April Grosse</w:t>
      </w:r>
    </w:p>
    <w:p w14:paraId="04C9B962" w14:textId="77777777" w:rsidR="00283549" w:rsidRPr="000A1DC2" w:rsidRDefault="000A1DC2" w:rsidP="000A1DC2">
      <w:pPr>
        <w:ind w:left="0"/>
        <w:jc w:val="center"/>
        <w:rPr>
          <w:rFonts w:eastAsia="PMingLiU"/>
          <w:b/>
        </w:rPr>
      </w:pPr>
      <w:r>
        <w:rPr>
          <w:rFonts w:eastAsia="PMingLiU"/>
          <w:b/>
        </w:rPr>
        <w:t>_______________________________________________________</w:t>
      </w:r>
    </w:p>
    <w:p w14:paraId="49D993E2" w14:textId="77777777" w:rsidR="000A1DC2" w:rsidRDefault="000A1DC2" w:rsidP="000A1DC2">
      <w:pPr>
        <w:keepNext/>
        <w:keepLines/>
        <w:ind w:left="0"/>
        <w:rPr>
          <w:rFonts w:eastAsia="PMingLiU"/>
        </w:rPr>
      </w:pPr>
    </w:p>
    <w:p w14:paraId="3B0B102E" w14:textId="77777777" w:rsidR="000A1DC2" w:rsidRDefault="000A1DC2" w:rsidP="000A1DC2">
      <w:pPr>
        <w:keepNext/>
        <w:keepLines/>
        <w:ind w:left="0"/>
        <w:rPr>
          <w:rFonts w:eastAsia="PMingLiU"/>
        </w:rPr>
      </w:pPr>
    </w:p>
    <w:p w14:paraId="32788EB3" w14:textId="77777777" w:rsidR="000A1DC2" w:rsidRDefault="000A1DC2" w:rsidP="000A1DC2">
      <w:pPr>
        <w:keepNext/>
        <w:keepLines/>
        <w:ind w:left="0"/>
        <w:jc w:val="center"/>
        <w:rPr>
          <w:rFonts w:eastAsia="PMingLiU"/>
        </w:rPr>
      </w:pPr>
      <w:bookmarkStart w:id="13" w:name="JudgmentType"/>
      <w:r w:rsidRPr="000A1DC2">
        <w:rPr>
          <w:rFonts w:eastAsia="PMingLiU"/>
          <w:b/>
        </w:rPr>
        <w:t>Memorandum of Judgment</w:t>
      </w:r>
      <w:bookmarkEnd w:id="13"/>
    </w:p>
    <w:p w14:paraId="560748A3" w14:textId="77777777" w:rsidR="000A1DC2" w:rsidRDefault="000A1DC2" w:rsidP="000A1DC2">
      <w:pPr>
        <w:keepNext/>
        <w:keepLines/>
        <w:ind w:left="0"/>
        <w:jc w:val="center"/>
        <w:rPr>
          <w:rFonts w:eastAsia="PMingLiU"/>
        </w:rPr>
      </w:pPr>
      <w:bookmarkStart w:id="14" w:name="JudgmentTypeCover"/>
      <w:bookmarkEnd w:id="14"/>
    </w:p>
    <w:p w14:paraId="707A665C" w14:textId="77777777" w:rsidR="00283549" w:rsidRPr="000A1DC2" w:rsidRDefault="00283549" w:rsidP="000A1DC2">
      <w:pPr>
        <w:ind w:left="0"/>
        <w:jc w:val="center"/>
        <w:rPr>
          <w:rFonts w:eastAsia="PMingLiU"/>
        </w:rPr>
      </w:pPr>
    </w:p>
    <w:p w14:paraId="22B5CCC3" w14:textId="1F540FAD" w:rsidR="00283549" w:rsidRPr="009C2254" w:rsidRDefault="00283549" w:rsidP="004B6F64">
      <w:pPr>
        <w:tabs>
          <w:tab w:val="center" w:pos="4680"/>
        </w:tabs>
        <w:ind w:left="0"/>
        <w:rPr>
          <w:rFonts w:eastAsia="PMingLiU"/>
        </w:rPr>
      </w:pPr>
      <w:r w:rsidRPr="009C2254">
        <w:rPr>
          <w:rFonts w:eastAsia="PMingLiU"/>
        </w:rPr>
        <w:tab/>
      </w:r>
      <w:bookmarkStart w:id="15" w:name="TrialJudgmentType"/>
      <w:bookmarkEnd w:id="15"/>
      <w:r w:rsidR="000A1DC2">
        <w:rPr>
          <w:rFonts w:eastAsia="PMingLiU"/>
        </w:rPr>
        <w:t xml:space="preserve">Appeal from the </w:t>
      </w:r>
      <w:r w:rsidR="009F243A">
        <w:rPr>
          <w:rFonts w:eastAsia="PMingLiU"/>
        </w:rPr>
        <w:t>Conviction and Sentence</w:t>
      </w:r>
      <w:r w:rsidR="000A1DC2">
        <w:rPr>
          <w:rFonts w:eastAsia="PMingLiU"/>
        </w:rPr>
        <w:t xml:space="preserve"> by</w:t>
      </w:r>
    </w:p>
    <w:p w14:paraId="337D19B3" w14:textId="54F09FBD" w:rsidR="00283549" w:rsidRDefault="00283549" w:rsidP="00C3547F">
      <w:pPr>
        <w:tabs>
          <w:tab w:val="center" w:pos="4680"/>
        </w:tabs>
        <w:ind w:left="0"/>
        <w:rPr>
          <w:rFonts w:eastAsia="PMingLiU"/>
        </w:rPr>
      </w:pPr>
      <w:r w:rsidRPr="009C2254">
        <w:rPr>
          <w:rFonts w:eastAsia="PMingLiU"/>
        </w:rPr>
        <w:tab/>
      </w:r>
      <w:r w:rsidR="00A33E74">
        <w:rPr>
          <w:rFonts w:eastAsia="PMingLiU"/>
        </w:rPr>
        <w:t xml:space="preserve">The Honourable </w:t>
      </w:r>
      <w:r w:rsidR="00A27122">
        <w:rPr>
          <w:rFonts w:eastAsia="PMingLiU"/>
        </w:rPr>
        <w:t>Justice A.M. Mah</w:t>
      </w:r>
      <w:r w:rsidR="005837C7">
        <w:rPr>
          <w:rFonts w:eastAsia="PMingLiU"/>
        </w:rPr>
        <w:t>a</w:t>
      </w:r>
      <w:r w:rsidR="00A27122">
        <w:rPr>
          <w:rFonts w:eastAsia="PMingLiU"/>
        </w:rPr>
        <w:t>r</w:t>
      </w:r>
    </w:p>
    <w:p w14:paraId="426EC4E9" w14:textId="1B09335A" w:rsidR="00A33E74" w:rsidRDefault="00124FFA" w:rsidP="00A33E74">
      <w:pPr>
        <w:tabs>
          <w:tab w:val="center" w:pos="4680"/>
        </w:tabs>
        <w:ind w:left="0"/>
        <w:jc w:val="center"/>
        <w:rPr>
          <w:rFonts w:eastAsia="PMingLiU"/>
        </w:rPr>
      </w:pPr>
      <w:r>
        <w:rPr>
          <w:rFonts w:eastAsia="PMingLiU"/>
        </w:rPr>
        <w:t>Conviction d</w:t>
      </w:r>
      <w:r w:rsidR="00A33E74">
        <w:rPr>
          <w:rFonts w:eastAsia="PMingLiU"/>
        </w:rPr>
        <w:t>ated the</w:t>
      </w:r>
      <w:r w:rsidR="00CF768C">
        <w:rPr>
          <w:rFonts w:eastAsia="PMingLiU"/>
        </w:rPr>
        <w:t xml:space="preserve"> 16</w:t>
      </w:r>
      <w:r w:rsidR="00CF768C" w:rsidRPr="00CF768C">
        <w:rPr>
          <w:rFonts w:eastAsia="PMingLiU"/>
          <w:vertAlign w:val="superscript"/>
        </w:rPr>
        <w:t>th</w:t>
      </w:r>
      <w:r w:rsidR="00CF768C">
        <w:rPr>
          <w:rFonts w:eastAsia="PMingLiU"/>
        </w:rPr>
        <w:t xml:space="preserve"> </w:t>
      </w:r>
      <w:r w:rsidR="00A33E74">
        <w:rPr>
          <w:rFonts w:eastAsia="PMingLiU"/>
        </w:rPr>
        <w:t xml:space="preserve">day of </w:t>
      </w:r>
      <w:r w:rsidR="00CF768C">
        <w:rPr>
          <w:rFonts w:eastAsia="PMingLiU"/>
        </w:rPr>
        <w:t>November</w:t>
      </w:r>
      <w:r w:rsidR="00A33E74">
        <w:rPr>
          <w:rFonts w:eastAsia="PMingLiU"/>
        </w:rPr>
        <w:t>, 20</w:t>
      </w:r>
      <w:r w:rsidR="00CF768C">
        <w:rPr>
          <w:rFonts w:eastAsia="PMingLiU"/>
        </w:rPr>
        <w:t>21</w:t>
      </w:r>
      <w:r w:rsidR="00CF768C">
        <w:rPr>
          <w:rFonts w:eastAsia="PMingLiU"/>
        </w:rPr>
        <w:br/>
        <w:t>Sentence dated the 15</w:t>
      </w:r>
      <w:r w:rsidR="00CF768C" w:rsidRPr="00CF768C">
        <w:rPr>
          <w:rFonts w:eastAsia="PMingLiU"/>
          <w:vertAlign w:val="superscript"/>
        </w:rPr>
        <w:t>th</w:t>
      </w:r>
      <w:r w:rsidR="00CF768C">
        <w:rPr>
          <w:rFonts w:eastAsia="PMingLiU"/>
        </w:rPr>
        <w:t xml:space="preserve"> day of December, 2021</w:t>
      </w:r>
    </w:p>
    <w:p w14:paraId="55C62BF6" w14:textId="5112E295" w:rsidR="00A33E74" w:rsidRDefault="00A33E74" w:rsidP="00A33E74">
      <w:pPr>
        <w:tabs>
          <w:tab w:val="center" w:pos="4680"/>
        </w:tabs>
        <w:ind w:left="0"/>
        <w:jc w:val="center"/>
        <w:rPr>
          <w:rFonts w:eastAsia="PMingLiU"/>
        </w:rPr>
      </w:pPr>
      <w:r>
        <w:rPr>
          <w:rFonts w:eastAsia="PMingLiU"/>
        </w:rPr>
        <w:t>(</w:t>
      </w:r>
      <w:r w:rsidR="00F3594B">
        <w:rPr>
          <w:rFonts w:eastAsia="PMingLiU"/>
        </w:rPr>
        <w:t xml:space="preserve">2022 NWTSC 3; 2022 NWTSC 4; </w:t>
      </w:r>
      <w:r>
        <w:rPr>
          <w:rFonts w:eastAsia="PMingLiU"/>
        </w:rPr>
        <w:t xml:space="preserve">Docket: </w:t>
      </w:r>
      <w:r w:rsidR="00124FFA">
        <w:rPr>
          <w:rFonts w:eastAsia="PMingLiU"/>
        </w:rPr>
        <w:t>S-1-CR-2019-000020)</w:t>
      </w:r>
    </w:p>
    <w:p w14:paraId="614FBF18" w14:textId="77777777" w:rsidR="002B6E0A" w:rsidRDefault="002B6E0A">
      <w:pPr>
        <w:spacing w:after="200" w:line="276" w:lineRule="auto"/>
        <w:ind w:left="0"/>
        <w:jc w:val="left"/>
        <w:rPr>
          <w:rFonts w:eastAsia="PMingLiU"/>
        </w:rPr>
      </w:pPr>
      <w:r>
        <w:rPr>
          <w:rFonts w:eastAsia="PMingLiU"/>
        </w:rPr>
        <w:br w:type="page"/>
      </w:r>
    </w:p>
    <w:p w14:paraId="4B62D81B" w14:textId="77777777" w:rsidR="002B6E0A" w:rsidRPr="009C2254" w:rsidRDefault="002B6E0A" w:rsidP="00C3547F">
      <w:pPr>
        <w:tabs>
          <w:tab w:val="center" w:pos="4680"/>
        </w:tabs>
        <w:ind w:left="0"/>
        <w:rPr>
          <w:rFonts w:eastAsia="PMingLiU"/>
        </w:rPr>
        <w:sectPr w:rsidR="002B6E0A" w:rsidRPr="009C2254" w:rsidSect="003545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152" w:footer="1440" w:gutter="0"/>
          <w:cols w:space="720"/>
          <w:noEndnote/>
          <w:docGrid w:linePitch="326"/>
        </w:sectPr>
      </w:pPr>
    </w:p>
    <w:p w14:paraId="2A095C3A" w14:textId="77777777" w:rsidR="002B6E0A" w:rsidRPr="00A120A5" w:rsidRDefault="002B6E0A" w:rsidP="002B6E0A">
      <w:pPr>
        <w:ind w:left="0"/>
        <w:jc w:val="center"/>
        <w:rPr>
          <w:rFonts w:eastAsia="PMingLiU"/>
          <w:b/>
        </w:rPr>
      </w:pPr>
      <w:r w:rsidRPr="00A120A5">
        <w:rPr>
          <w:rFonts w:eastAsia="PMingLiU"/>
          <w:b/>
        </w:rPr>
        <w:lastRenderedPageBreak/>
        <w:t>_______________________________________________________</w:t>
      </w:r>
    </w:p>
    <w:p w14:paraId="4423DD6F" w14:textId="77777777" w:rsidR="002B6E0A" w:rsidRPr="00A120A5" w:rsidRDefault="002B6E0A" w:rsidP="002B6E0A">
      <w:pPr>
        <w:ind w:left="0"/>
        <w:jc w:val="center"/>
        <w:rPr>
          <w:rFonts w:eastAsia="PMingLiU"/>
          <w:b/>
        </w:rPr>
      </w:pPr>
    </w:p>
    <w:p w14:paraId="2EF2C64A" w14:textId="77777777" w:rsidR="002B6E0A" w:rsidRDefault="006F1DAA" w:rsidP="002B6E0A">
      <w:pPr>
        <w:ind w:left="0"/>
        <w:jc w:val="center"/>
        <w:rPr>
          <w:rFonts w:eastAsia="PMingLiU"/>
          <w:b/>
        </w:rPr>
      </w:pPr>
      <w:bookmarkStart w:id="16" w:name="JudgmentTypeStart"/>
      <w:bookmarkStart w:id="17" w:name="JudgmentTypeEnd"/>
      <w:bookmarkStart w:id="18" w:name="JudgmentTypeDocument"/>
      <w:bookmarkEnd w:id="16"/>
      <w:bookmarkEnd w:id="17"/>
      <w:bookmarkEnd w:id="18"/>
      <w:r>
        <w:rPr>
          <w:rFonts w:eastAsia="PMingLiU"/>
          <w:b/>
        </w:rPr>
        <w:t>Memorandum of Judgment</w:t>
      </w:r>
    </w:p>
    <w:p w14:paraId="32ADCBFE" w14:textId="77777777" w:rsidR="002B6E0A" w:rsidRPr="00A120A5" w:rsidRDefault="002B6E0A" w:rsidP="002B6E0A">
      <w:pPr>
        <w:ind w:left="0"/>
        <w:jc w:val="center"/>
        <w:rPr>
          <w:rFonts w:eastAsia="PMingLiU"/>
          <w:b/>
        </w:rPr>
      </w:pPr>
      <w:r w:rsidRPr="00A120A5">
        <w:rPr>
          <w:rFonts w:eastAsia="PMingLiU"/>
          <w:b/>
        </w:rPr>
        <w:t>_______________________________________________________</w:t>
      </w:r>
    </w:p>
    <w:p w14:paraId="160A9877" w14:textId="77777777" w:rsidR="002B6E0A" w:rsidRPr="00EF4F02" w:rsidRDefault="006F1DAA" w:rsidP="002B6E0A">
      <w:pPr>
        <w:pStyle w:val="Heading1"/>
        <w:rPr>
          <w:lang w:val="en-US"/>
        </w:rPr>
      </w:pPr>
      <w:r>
        <w:rPr>
          <w:lang w:val="en-US"/>
        </w:rPr>
        <w:t>The Court:</w:t>
      </w:r>
    </w:p>
    <w:p w14:paraId="0F690AA3" w14:textId="2352EB55" w:rsidR="00DF3F2B" w:rsidRDefault="00DF3F2B" w:rsidP="00A92BE0">
      <w:pPr>
        <w:pStyle w:val="FelskyNumbering12"/>
        <w:spacing w:line="240" w:lineRule="auto"/>
      </w:pPr>
      <w:r>
        <w:t xml:space="preserve">The appellant was charged with the </w:t>
      </w:r>
      <w:r w:rsidR="00263851">
        <w:t>first-degree</w:t>
      </w:r>
      <w:r>
        <w:t xml:space="preserve"> murder of Alex Norwe</w:t>
      </w:r>
      <w:r w:rsidR="000D2559">
        <w:t>g</w:t>
      </w:r>
      <w:r>
        <w:t>ian</w:t>
      </w:r>
      <w:r w:rsidR="00EE2C94">
        <w:t>. The victim died</w:t>
      </w:r>
      <w:r>
        <w:t xml:space="preserve"> </w:t>
      </w:r>
      <w:r w:rsidR="009A0A33">
        <w:t xml:space="preserve">on a remote road </w:t>
      </w:r>
      <w:r w:rsidR="002340A1">
        <w:t>on the K’atl’</w:t>
      </w:r>
      <w:r w:rsidR="000E53D8">
        <w:t>o</w:t>
      </w:r>
      <w:r w:rsidR="002340A1">
        <w:t>deeche First Nation Reserve, Northwest Territories</w:t>
      </w:r>
      <w:r w:rsidR="009E6B6B">
        <w:t xml:space="preserve"> </w:t>
      </w:r>
      <w:r w:rsidR="00B677D0">
        <w:t>in the early morning of December 27,</w:t>
      </w:r>
      <w:r w:rsidR="0088717A">
        <w:t xml:space="preserve"> </w:t>
      </w:r>
      <w:r w:rsidR="009E6B6B">
        <w:t>2017.</w:t>
      </w:r>
    </w:p>
    <w:p w14:paraId="6CE00E39" w14:textId="68A3652B" w:rsidR="007D7912" w:rsidRDefault="005F2F5B" w:rsidP="00A92BE0">
      <w:pPr>
        <w:pStyle w:val="FelskyNumbering12"/>
        <w:spacing w:line="240" w:lineRule="auto"/>
      </w:pPr>
      <w:r>
        <w:t>Following a five-week judge-alone trial, t</w:t>
      </w:r>
      <w:r w:rsidR="007D7912">
        <w:t>he appellant was convicted of second-degree murder and robbery.</w:t>
      </w:r>
      <w:r>
        <w:t xml:space="preserve"> </w:t>
      </w:r>
      <w:r w:rsidR="008C01F6">
        <w:t>On the murder conviction, t</w:t>
      </w:r>
      <w:r w:rsidR="00334B2C">
        <w:t>he appellant</w:t>
      </w:r>
      <w:r w:rsidR="007D7912">
        <w:t xml:space="preserve"> was sentenced to life imprisonment with no possibility </w:t>
      </w:r>
      <w:r w:rsidR="00C872A1">
        <w:t>of</w:t>
      </w:r>
      <w:r w:rsidR="007D7912">
        <w:t xml:space="preserve"> parole for ten years</w:t>
      </w:r>
      <w:r w:rsidR="008C01F6">
        <w:t xml:space="preserve">. The appellant was sentenced to </w:t>
      </w:r>
      <w:r w:rsidR="007D7912">
        <w:t>ten years for the robbery</w:t>
      </w:r>
      <w:r w:rsidR="008C01F6">
        <w:t xml:space="preserve">, </w:t>
      </w:r>
      <w:r w:rsidR="007D7912">
        <w:t>to be served concurrently</w:t>
      </w:r>
      <w:r w:rsidR="008C01F6">
        <w:t xml:space="preserve"> to the murder sentence.</w:t>
      </w:r>
    </w:p>
    <w:p w14:paraId="6A8E86C2" w14:textId="7BFB9A0B" w:rsidR="007D7912" w:rsidRDefault="007D7912" w:rsidP="00A92BE0">
      <w:pPr>
        <w:pStyle w:val="FelskyNumbering12"/>
        <w:spacing w:line="240" w:lineRule="auto"/>
      </w:pPr>
      <w:r>
        <w:t xml:space="preserve">The appellant appeals the second-degree murder conviction and the sentence imposed for robbery. He submits that a manslaughter conviction should be substituted and remitted to the trial judge for sentencing. He further submits that the robbery sentence should be reduced to </w:t>
      </w:r>
      <w:r w:rsidR="00334B2C">
        <w:t>six</w:t>
      </w:r>
      <w:r>
        <w:t xml:space="preserve"> years.</w:t>
      </w:r>
    </w:p>
    <w:p w14:paraId="4D701056" w14:textId="043A00AE" w:rsidR="00B103AC" w:rsidRDefault="007D7912" w:rsidP="00A92BE0">
      <w:pPr>
        <w:pStyle w:val="FelskyNumbering12"/>
        <w:spacing w:line="240" w:lineRule="auto"/>
      </w:pPr>
      <w:r>
        <w:t xml:space="preserve">For the reasons outlined herein, </w:t>
      </w:r>
      <w:r w:rsidR="00754227">
        <w:t xml:space="preserve">we </w:t>
      </w:r>
      <w:r w:rsidR="003B68B8">
        <w:t xml:space="preserve">dismiss the conviction appeal, </w:t>
      </w:r>
      <w:r w:rsidR="00754227">
        <w:t>set aside the second-degree murder conviction, substitute a conviction for manslaughter</w:t>
      </w:r>
      <w:r w:rsidR="00D23001">
        <w:t xml:space="preserve">, and </w:t>
      </w:r>
      <w:r w:rsidR="00B103AC">
        <w:t xml:space="preserve">remit the </w:t>
      </w:r>
      <w:r w:rsidR="00D23001">
        <w:t>matter to the trial court to impose sentence.</w:t>
      </w:r>
      <w:r w:rsidR="00B103AC">
        <w:t xml:space="preserve"> </w:t>
      </w:r>
    </w:p>
    <w:p w14:paraId="78D4A999" w14:textId="34F59C0B" w:rsidR="007D7912" w:rsidRDefault="007D7912" w:rsidP="00A92BE0">
      <w:pPr>
        <w:pStyle w:val="FelskyNumbering12"/>
        <w:spacing w:line="240" w:lineRule="auto"/>
      </w:pPr>
      <w:r>
        <w:t>The appeal of the robbery sentence is</w:t>
      </w:r>
      <w:r w:rsidR="007B4EDF">
        <w:t xml:space="preserve"> dismissed. </w:t>
      </w:r>
    </w:p>
    <w:p w14:paraId="117B4CB8" w14:textId="02921C27" w:rsidR="007D7912" w:rsidRPr="00E92613" w:rsidRDefault="008E56D0" w:rsidP="00A92BE0">
      <w:pPr>
        <w:pStyle w:val="FelskyNumbering12"/>
        <w:numPr>
          <w:ilvl w:val="0"/>
          <w:numId w:val="0"/>
        </w:numPr>
        <w:spacing w:line="240" w:lineRule="auto"/>
      </w:pPr>
      <w:r>
        <w:rPr>
          <w:u w:val="single"/>
        </w:rPr>
        <w:t>Circumstances of the Offence</w:t>
      </w:r>
    </w:p>
    <w:p w14:paraId="423AE551" w14:textId="09B4757F" w:rsidR="007D7912" w:rsidRDefault="007D7912" w:rsidP="00A92BE0">
      <w:pPr>
        <w:pStyle w:val="FelskyNumbering12"/>
        <w:spacing w:line="240" w:lineRule="auto"/>
      </w:pPr>
      <w:r>
        <w:t xml:space="preserve">The victim returned to Hay River in December 2017 to celebrate the holiday season with his family. While in Hay River, the victim </w:t>
      </w:r>
      <w:r w:rsidR="00281C8F">
        <w:t>was dealing</w:t>
      </w:r>
      <w:r>
        <w:t xml:space="preserve"> crack cocaine. He used an area known as </w:t>
      </w:r>
      <w:r w:rsidR="004F0BCE">
        <w:t>“</w:t>
      </w:r>
      <w:r>
        <w:t>the Portage</w:t>
      </w:r>
      <w:r w:rsidR="004F0BCE">
        <w:t>”</w:t>
      </w:r>
      <w:r>
        <w:t xml:space="preserve"> on Wilderness Lodge Road to conduct drug transactions from his </w:t>
      </w:r>
      <w:r w:rsidR="00E84C6F">
        <w:t>car</w:t>
      </w:r>
      <w:r>
        <w:t>. This location was described by the trial judge as “quite isolated, being on a private gated road.”</w:t>
      </w:r>
      <w:r w:rsidR="00F644FC">
        <w:t xml:space="preserve"> </w:t>
      </w:r>
    </w:p>
    <w:p w14:paraId="687C3049" w14:textId="3E0C6B93" w:rsidR="007D7912" w:rsidRDefault="007D7912" w:rsidP="00A92BE0">
      <w:pPr>
        <w:pStyle w:val="FelskyNumbering12"/>
        <w:spacing w:line="240" w:lineRule="auto"/>
      </w:pPr>
      <w:r>
        <w:t>On December 26, 2017, the appellant drove Sasha Cayen and Tyler Cayen to the Portage</w:t>
      </w:r>
      <w:r w:rsidR="00B038C5">
        <w:t xml:space="preserve">. </w:t>
      </w:r>
      <w:r>
        <w:t xml:space="preserve">Sasha bought a gram of crack cocaine from the victim. The victim later called Sasha for help because his car </w:t>
      </w:r>
      <w:r w:rsidR="005B7AA8">
        <w:t xml:space="preserve">was </w:t>
      </w:r>
      <w:r>
        <w:t>stuck in a snowbank</w:t>
      </w:r>
      <w:r w:rsidR="005B7AA8">
        <w:t>. T</w:t>
      </w:r>
      <w:r>
        <w:t>he appellant, together with Sasha and Tyler, returned to help remove the car. The victim gave Sasha a small quantity of drugs and a few dollars</w:t>
      </w:r>
      <w:r w:rsidR="00F621D2">
        <w:t xml:space="preserve"> in exchange</w:t>
      </w:r>
      <w:r>
        <w:t xml:space="preserve">. </w:t>
      </w:r>
    </w:p>
    <w:p w14:paraId="7F5554E1" w14:textId="58D215C7" w:rsidR="007D7912" w:rsidRDefault="007D7912" w:rsidP="00A92BE0">
      <w:pPr>
        <w:pStyle w:val="FelskyNumbering12"/>
        <w:spacing w:line="240" w:lineRule="auto"/>
      </w:pPr>
      <w:r>
        <w:t>The appellant, Sasha</w:t>
      </w:r>
      <w:r w:rsidR="00E30EEF">
        <w:t>,</w:t>
      </w:r>
      <w:r>
        <w:t xml:space="preserve"> and Tyler returned to the appellant’s house where Levi Cayen joined them. </w:t>
      </w:r>
      <w:r w:rsidR="00B038C5">
        <w:t>There, a plan</w:t>
      </w:r>
      <w:r w:rsidR="005715B9">
        <w:t xml:space="preserve"> was made</w:t>
      </w:r>
      <w:r>
        <w:t xml:space="preserve"> to rob the victim.</w:t>
      </w:r>
      <w:r w:rsidR="00B038C5">
        <w:t xml:space="preserve"> </w:t>
      </w:r>
      <w:r>
        <w:t xml:space="preserve">Sasha </w:t>
      </w:r>
      <w:r w:rsidR="009A2FCE">
        <w:t xml:space="preserve">would </w:t>
      </w:r>
      <w:r w:rsidR="000640CF">
        <w:t xml:space="preserve">contact the victim to </w:t>
      </w:r>
      <w:r>
        <w:t xml:space="preserve">set up a </w:t>
      </w:r>
      <w:r w:rsidR="00377097">
        <w:t xml:space="preserve">drug </w:t>
      </w:r>
      <w:r>
        <w:t>buy</w:t>
      </w:r>
      <w:r w:rsidR="000F66C0">
        <w:t xml:space="preserve"> to </w:t>
      </w:r>
      <w:r w:rsidR="005715B9">
        <w:t>lure the victim to</w:t>
      </w:r>
      <w:r>
        <w:t xml:space="preserve"> the Portage</w:t>
      </w:r>
      <w:r w:rsidR="005A0E5D">
        <w:t xml:space="preserve"> where they would rob him. </w:t>
      </w:r>
      <w:r w:rsidR="001D7DF4">
        <w:t xml:space="preserve">The appellant and Levi traveled by skidoo to the Portage to carry out </w:t>
      </w:r>
      <w:r w:rsidR="00E84C6F">
        <w:t>the robbery.</w:t>
      </w:r>
    </w:p>
    <w:p w14:paraId="52AE4784" w14:textId="77777777" w:rsidR="00266DD8" w:rsidRDefault="003B7169" w:rsidP="00A92BE0">
      <w:pPr>
        <w:pStyle w:val="FelskyNumbering12"/>
        <w:spacing w:line="240" w:lineRule="auto"/>
      </w:pPr>
      <w:r>
        <w:t xml:space="preserve">The general sequence </w:t>
      </w:r>
      <w:r w:rsidR="00315752">
        <w:t>and timing o</w:t>
      </w:r>
      <w:r>
        <w:t>f even</w:t>
      </w:r>
      <w:r w:rsidR="00457488">
        <w:t xml:space="preserve">ts </w:t>
      </w:r>
      <w:r w:rsidR="00315752">
        <w:t xml:space="preserve">were </w:t>
      </w:r>
      <w:r w:rsidR="00457488">
        <w:t xml:space="preserve">largely </w:t>
      </w:r>
      <w:r w:rsidR="00315752">
        <w:t xml:space="preserve">not </w:t>
      </w:r>
      <w:r w:rsidR="00457488">
        <w:t>in dispute.</w:t>
      </w:r>
      <w:r w:rsidR="001D7DF4">
        <w:t xml:space="preserve"> </w:t>
      </w:r>
      <w:r w:rsidR="00263851">
        <w:t>During</w:t>
      </w:r>
      <w:r w:rsidR="001D7DF4">
        <w:t xml:space="preserve"> the robbery, the appellant and Levi</w:t>
      </w:r>
      <w:r w:rsidR="001B15BA">
        <w:t xml:space="preserve"> beat the victim</w:t>
      </w:r>
      <w:r w:rsidR="00084963">
        <w:t xml:space="preserve"> and</w:t>
      </w:r>
      <w:r w:rsidR="001B15BA">
        <w:t xml:space="preserve"> smashed </w:t>
      </w:r>
      <w:r w:rsidR="004D488C">
        <w:t xml:space="preserve">all but one of the windows </w:t>
      </w:r>
      <w:r w:rsidR="001B15BA">
        <w:t xml:space="preserve">of the victim’s </w:t>
      </w:r>
      <w:r w:rsidR="00481324">
        <w:t>car</w:t>
      </w:r>
      <w:r w:rsidR="001B15BA">
        <w:t xml:space="preserve">. </w:t>
      </w:r>
      <w:r w:rsidR="002A5C5E">
        <w:t>They took the victim’s jacket</w:t>
      </w:r>
      <w:r w:rsidR="00E57FAD">
        <w:t xml:space="preserve"> </w:t>
      </w:r>
      <w:r w:rsidR="002A5C5E">
        <w:t>and phone.</w:t>
      </w:r>
      <w:r w:rsidR="0070536B">
        <w:t xml:space="preserve"> They allowed the victim to leave, and the victim returned </w:t>
      </w:r>
      <w:r w:rsidR="0070536B">
        <w:lastRenderedPageBreak/>
        <w:t>to his car</w:t>
      </w:r>
      <w:r w:rsidR="008C0563">
        <w:rPr>
          <w:rFonts w:cs="Times New Roman"/>
        </w:rPr>
        <w:t xml:space="preserve">, </w:t>
      </w:r>
      <w:r w:rsidR="0070536B">
        <w:t>either on his own or with the assistance of one or more of Levi and the appellant. The victim started to drive away</w:t>
      </w:r>
      <w:r w:rsidR="00FB47E5">
        <w:t xml:space="preserve"> but </w:t>
      </w:r>
      <w:r w:rsidR="00232B53">
        <w:t>the car came up against a snowbank and</w:t>
      </w:r>
      <w:r w:rsidR="00FB47E5">
        <w:t xml:space="preserve"> stop</w:t>
      </w:r>
      <w:r w:rsidR="00232B53">
        <w:t>ped</w:t>
      </w:r>
      <w:r w:rsidR="00B76FEC">
        <w:t>.</w:t>
      </w:r>
      <w:r w:rsidR="00DE28ED">
        <w:t xml:space="preserve"> </w:t>
      </w:r>
      <w:r w:rsidR="00982C29">
        <w:t xml:space="preserve">The appellant and Levi </w:t>
      </w:r>
      <w:r w:rsidR="009D0905">
        <w:t xml:space="preserve">then </w:t>
      </w:r>
      <w:r w:rsidR="00982C29">
        <w:t xml:space="preserve">left by skidoo and returned to the appellant’s home. </w:t>
      </w:r>
      <w:r w:rsidR="00FB03D2">
        <w:t>The trial judge found that</w:t>
      </w:r>
      <w:r w:rsidR="00E022C3">
        <w:t xml:space="preserve"> the appellant and Levi saw the victim’s car </w:t>
      </w:r>
      <w:r w:rsidR="009959F5">
        <w:t xml:space="preserve">stop </w:t>
      </w:r>
      <w:r w:rsidR="00F4784B">
        <w:t>against the</w:t>
      </w:r>
      <w:r w:rsidR="00E022C3">
        <w:t xml:space="preserve"> snowbank before they left. </w:t>
      </w:r>
    </w:p>
    <w:p w14:paraId="7B5ED36E" w14:textId="76F8219C" w:rsidR="00FB47E5" w:rsidRDefault="00C8699E" w:rsidP="00A92BE0">
      <w:pPr>
        <w:pStyle w:val="FelskyNumbering12"/>
        <w:spacing w:line="240" w:lineRule="auto"/>
      </w:pPr>
      <w:r>
        <w:t>On their way to</w:t>
      </w:r>
      <w:r w:rsidR="003B201B">
        <w:t xml:space="preserve"> commit</w:t>
      </w:r>
      <w:r w:rsidR="00E57FAD">
        <w:t xml:space="preserve"> the robbery</w:t>
      </w:r>
      <w:r w:rsidR="00FB47E5">
        <w:t>, the appellant and Levi</w:t>
      </w:r>
      <w:r w:rsidR="00E57FAD">
        <w:t xml:space="preserve"> “dummy-locked” the gate to the entrance of </w:t>
      </w:r>
      <w:r w:rsidR="006D4B26">
        <w:t xml:space="preserve">the </w:t>
      </w:r>
      <w:r w:rsidR="00E57FAD">
        <w:t>Portage road</w:t>
      </w:r>
      <w:r w:rsidR="009D0905">
        <w:t xml:space="preserve"> so that it appeared to be locked but it was not in fact locked.</w:t>
      </w:r>
    </w:p>
    <w:p w14:paraId="3A9C7935" w14:textId="79BB6050" w:rsidR="00FC3F2F" w:rsidRDefault="003B2DAE" w:rsidP="00A92BE0">
      <w:pPr>
        <w:pStyle w:val="FelskyNumbering12"/>
        <w:spacing w:line="240" w:lineRule="auto"/>
      </w:pPr>
      <w:r>
        <w:t xml:space="preserve">In the Crown’s closing, </w:t>
      </w:r>
      <w:r w:rsidR="00976096">
        <w:t xml:space="preserve">counsel took the position </w:t>
      </w:r>
      <w:r>
        <w:t>that</w:t>
      </w:r>
      <w:r w:rsidR="00976096">
        <w:rPr>
          <w:rFonts w:cs="Times New Roman"/>
        </w:rPr>
        <w:t>—</w:t>
      </w:r>
      <w:r w:rsidR="00767DEA">
        <w:t>based on cell phone records</w:t>
      </w:r>
      <w:r w:rsidR="00976096">
        <w:rPr>
          <w:rFonts w:cs="Times New Roman"/>
        </w:rPr>
        <w:t>—</w:t>
      </w:r>
      <w:r w:rsidR="00767DEA">
        <w:t xml:space="preserve">the robbery took place </w:t>
      </w:r>
      <w:r w:rsidR="007C42AA">
        <w:t>sometime between 2:25 an</w:t>
      </w:r>
      <w:r w:rsidR="006A2D4D">
        <w:t>d</w:t>
      </w:r>
      <w:r w:rsidR="007C42AA">
        <w:t xml:space="preserve"> 3:45 am</w:t>
      </w:r>
      <w:r w:rsidR="006A2D4D">
        <w:t xml:space="preserve"> [Transcript </w:t>
      </w:r>
      <w:r w:rsidR="002C7035">
        <w:t>2176-2177]</w:t>
      </w:r>
      <w:r w:rsidR="007C42AA">
        <w:t>. At</w:t>
      </w:r>
      <w:r w:rsidR="00FC3F2F">
        <w:t xml:space="preserve"> 3:00 am on December 27, 2017</w:t>
      </w:r>
      <w:r w:rsidR="007C42AA">
        <w:t>,</w:t>
      </w:r>
      <w:r w:rsidR="002600A8">
        <w:t xml:space="preserve"> </w:t>
      </w:r>
      <w:r w:rsidR="00FC3F2F">
        <w:t>the temperature was minus 2</w:t>
      </w:r>
      <w:r w:rsidR="005A57D8">
        <w:t>2.6</w:t>
      </w:r>
      <w:r w:rsidR="00FC3F2F">
        <w:t xml:space="preserve"> degree</w:t>
      </w:r>
      <w:r w:rsidR="00263851">
        <w:t>s</w:t>
      </w:r>
      <w:r w:rsidR="00FC3F2F">
        <w:t xml:space="preserve"> </w:t>
      </w:r>
      <w:r w:rsidR="005A57D8">
        <w:t>C</w:t>
      </w:r>
      <w:r w:rsidR="00FC3F2F">
        <w:t>elsius with a windchill factor of minus 32 degrees Celsius.</w:t>
      </w:r>
      <w:r w:rsidR="00732556">
        <w:t xml:space="preserve"> The trial judge</w:t>
      </w:r>
      <w:r w:rsidR="00BC3D01">
        <w:t xml:space="preserve"> appears to have accepted the Crown’s timeline</w:t>
      </w:r>
      <w:r w:rsidR="006F1D8D">
        <w:t>.</w:t>
      </w:r>
    </w:p>
    <w:p w14:paraId="3611D409" w14:textId="44B60FEC" w:rsidR="00DE28ED" w:rsidRDefault="00D73880" w:rsidP="00A92BE0">
      <w:pPr>
        <w:pStyle w:val="FelskyNumbering12"/>
        <w:spacing w:line="240" w:lineRule="auto"/>
      </w:pPr>
      <w:r>
        <w:t>The trial judge found that a</w:t>
      </w:r>
      <w:r w:rsidR="00DE28ED">
        <w:t>round 4:00 am</w:t>
      </w:r>
      <w:r w:rsidR="003639FA">
        <w:t>,</w:t>
      </w:r>
      <w:r w:rsidR="00DE28ED">
        <w:t xml:space="preserve"> Levi, at the direction of the appellant, called the police alerting them to a possible drunk</w:t>
      </w:r>
      <w:r w:rsidR="003639FA">
        <w:t xml:space="preserve"> </w:t>
      </w:r>
      <w:r w:rsidR="00DE28ED">
        <w:t xml:space="preserve">driver near the </w:t>
      </w:r>
      <w:r w:rsidR="00FC3F2F">
        <w:t>Portage</w:t>
      </w:r>
      <w:r w:rsidR="00DE28ED">
        <w:t xml:space="preserve">. </w:t>
      </w:r>
      <w:r w:rsidR="00812441">
        <w:t>The trial judge found the call was unclear. As the p</w:t>
      </w:r>
      <w:r w:rsidR="00DE28ED">
        <w:t xml:space="preserve">olice </w:t>
      </w:r>
      <w:r w:rsidR="00A6759B">
        <w:t xml:space="preserve">were </w:t>
      </w:r>
      <w:r w:rsidR="00812441">
        <w:t>ask</w:t>
      </w:r>
      <w:r w:rsidR="00A6759B">
        <w:t>ing</w:t>
      </w:r>
      <w:r w:rsidR="00812441">
        <w:t xml:space="preserve"> for more information, Levi cut the call off and the police did not investigate further. </w:t>
      </w:r>
    </w:p>
    <w:p w14:paraId="6CD1D70D" w14:textId="1987AF38" w:rsidR="002048BD" w:rsidRDefault="00173FB2" w:rsidP="00A92BE0">
      <w:pPr>
        <w:pStyle w:val="FelskyNumbering12"/>
        <w:spacing w:line="240" w:lineRule="auto"/>
      </w:pPr>
      <w:r>
        <w:t>On December 28, 2017,</w:t>
      </w:r>
      <w:r w:rsidR="00E11064">
        <w:t xml:space="preserve"> a snowplough </w:t>
      </w:r>
      <w:r w:rsidR="00A43F59">
        <w:t xml:space="preserve">driver </w:t>
      </w:r>
      <w:r w:rsidR="00E11064">
        <w:t>discovered</w:t>
      </w:r>
      <w:r>
        <w:t xml:space="preserve"> </w:t>
      </w:r>
      <w:r w:rsidR="00E94583">
        <w:t xml:space="preserve">the </w:t>
      </w:r>
      <w:r w:rsidR="007D7912">
        <w:t xml:space="preserve">victim’s </w:t>
      </w:r>
      <w:r w:rsidR="00B93B45">
        <w:t xml:space="preserve">severely beaten </w:t>
      </w:r>
      <w:r w:rsidR="007D7912">
        <w:t>body</w:t>
      </w:r>
      <w:r w:rsidR="009F7DD5">
        <w:t xml:space="preserve"> </w:t>
      </w:r>
      <w:r>
        <w:t>in the driver’s side seat of his car</w:t>
      </w:r>
      <w:r w:rsidR="002F7126">
        <w:t xml:space="preserve"> at the Portage</w:t>
      </w:r>
      <w:r w:rsidR="007568F8">
        <w:t xml:space="preserve"> with the car still up against the snowbank.</w:t>
      </w:r>
    </w:p>
    <w:p w14:paraId="69D7CC40" w14:textId="24023613" w:rsidR="00F644FC" w:rsidRDefault="002048BD" w:rsidP="00A92BE0">
      <w:pPr>
        <w:pStyle w:val="FelskyNumbering12"/>
        <w:spacing w:line="240" w:lineRule="auto"/>
      </w:pPr>
      <w:r>
        <w:t>Dr. Weinberg</w:t>
      </w:r>
      <w:r w:rsidR="00405073">
        <w:t>, a forensic pathologist,</w:t>
      </w:r>
      <w:r>
        <w:t xml:space="preserve"> testified for the Crown. </w:t>
      </w:r>
      <w:r w:rsidR="00474774">
        <w:t>The victim</w:t>
      </w:r>
      <w:r w:rsidR="00AC750A">
        <w:t xml:space="preserve"> had </w:t>
      </w:r>
      <w:r w:rsidR="00E94583">
        <w:t>four lacerations to his head</w:t>
      </w:r>
      <w:r w:rsidR="00474774">
        <w:t xml:space="preserve"> that resulted in significant bleeding</w:t>
      </w:r>
      <w:r w:rsidR="00B81C4A">
        <w:t xml:space="preserve">. </w:t>
      </w:r>
      <w:r w:rsidR="00474774">
        <w:t xml:space="preserve">He </w:t>
      </w:r>
      <w:r w:rsidR="00B81C4A">
        <w:t>suffered</w:t>
      </w:r>
      <w:r w:rsidR="00E94583">
        <w:t xml:space="preserve"> significant </w:t>
      </w:r>
      <w:r w:rsidR="00474774">
        <w:t>blunt force head injuries resulting in various internal trauma including bruising to the scalp</w:t>
      </w:r>
      <w:r>
        <w:t xml:space="preserve">, </w:t>
      </w:r>
      <w:r w:rsidR="00A829AF">
        <w:t>a skull fracture</w:t>
      </w:r>
      <w:r>
        <w:t>, and swelling of the brain</w:t>
      </w:r>
      <w:r w:rsidR="00474774">
        <w:t>.</w:t>
      </w:r>
      <w:r w:rsidR="00A829AF">
        <w:t xml:space="preserve"> T</w:t>
      </w:r>
      <w:r w:rsidR="0069396D">
        <w:t>he victim had a diastatic fracture at the back of his head, which would have required</w:t>
      </w:r>
      <w:r w:rsidR="00927FAB">
        <w:t xml:space="preserve"> a substantial amount of force</w:t>
      </w:r>
      <w:r w:rsidR="001C79FC">
        <w:t>.</w:t>
      </w:r>
      <w:r w:rsidR="00D15F9F">
        <w:t xml:space="preserve"> </w:t>
      </w:r>
      <w:r w:rsidR="009360DE">
        <w:t>The victim</w:t>
      </w:r>
      <w:r w:rsidR="003E385D">
        <w:t xml:space="preserve"> w</w:t>
      </w:r>
      <w:r w:rsidR="00405073">
        <w:t>ould have been</w:t>
      </w:r>
      <w:r w:rsidR="003E385D">
        <w:t xml:space="preserve"> suffering from a</w:t>
      </w:r>
      <w:r w:rsidR="00360C9E">
        <w:t>n “altered mental status”</w:t>
      </w:r>
      <w:r w:rsidR="003E385D">
        <w:t xml:space="preserve"> after sustaining the blunt head tr</w:t>
      </w:r>
      <w:r w:rsidR="00C02C4E">
        <w:t>auma</w:t>
      </w:r>
      <w:r w:rsidR="00360C9E">
        <w:t>.</w:t>
      </w:r>
      <w:r w:rsidR="007C66D0">
        <w:t xml:space="preserve"> He also suffered various injuries to his extremities.</w:t>
      </w:r>
      <w:r>
        <w:t xml:space="preserve"> </w:t>
      </w:r>
      <w:r w:rsidR="00F644FC">
        <w:t>Dr. Weinberg concluded that the cause of death was hypothermia.</w:t>
      </w:r>
      <w:r w:rsidR="004F0BCE">
        <w:t xml:space="preserve"> </w:t>
      </w:r>
      <w:r w:rsidR="00A6759B">
        <w:t xml:space="preserve">While </w:t>
      </w:r>
      <w:r w:rsidR="004F0BCE">
        <w:t>Dr. Weinberg could not pinpoint the time of death</w:t>
      </w:r>
      <w:r w:rsidR="00A6759B">
        <w:t xml:space="preserve"> and </w:t>
      </w:r>
      <w:r w:rsidR="004F0BCE">
        <w:t xml:space="preserve">estimated the victim could have survived in the cold for </w:t>
      </w:r>
      <w:r w:rsidR="00A6759B">
        <w:t xml:space="preserve">many </w:t>
      </w:r>
      <w:r w:rsidR="004F0BCE">
        <w:t>hours</w:t>
      </w:r>
      <w:r w:rsidR="00A6759B">
        <w:t>, he concluded he</w:t>
      </w:r>
      <w:r w:rsidR="004F0BCE">
        <w:t xml:space="preserve"> would have died within 24 hours.</w:t>
      </w:r>
    </w:p>
    <w:p w14:paraId="7AA59291" w14:textId="5A9CBED9" w:rsidR="008E56D0" w:rsidRPr="008E56D0" w:rsidRDefault="008E56D0" w:rsidP="00A92BE0">
      <w:pPr>
        <w:pStyle w:val="FelskyNumbering12"/>
        <w:numPr>
          <w:ilvl w:val="0"/>
          <w:numId w:val="0"/>
        </w:numPr>
        <w:spacing w:line="240" w:lineRule="auto"/>
        <w:rPr>
          <w:u w:val="single"/>
        </w:rPr>
      </w:pPr>
      <w:r>
        <w:rPr>
          <w:u w:val="single"/>
        </w:rPr>
        <w:t>Parties’ Position at Trial</w:t>
      </w:r>
    </w:p>
    <w:p w14:paraId="15A6CECC" w14:textId="3FCA71B0" w:rsidR="004633CA" w:rsidRDefault="004633CA" w:rsidP="00A92BE0">
      <w:pPr>
        <w:pStyle w:val="FelskyNumbering12"/>
        <w:spacing w:line="240" w:lineRule="auto"/>
      </w:pPr>
      <w:r>
        <w:t xml:space="preserve">The Crown’s theory of the case </w:t>
      </w:r>
      <w:r w:rsidR="007405EF">
        <w:t xml:space="preserve">was that </w:t>
      </w:r>
      <w:r w:rsidR="000A122A">
        <w:t>the appellant</w:t>
      </w:r>
      <w:r w:rsidR="001C79BC">
        <w:t xml:space="preserve"> participated in</w:t>
      </w:r>
      <w:r w:rsidR="007405EF">
        <w:t xml:space="preserve"> a series of acts</w:t>
      </w:r>
      <w:r w:rsidR="003563A9">
        <w:t xml:space="preserve"> </w:t>
      </w:r>
      <w:r w:rsidR="007405EF">
        <w:t>that culminated in the act of leaving the victim</w:t>
      </w:r>
      <w:r w:rsidR="00CD0C65">
        <w:t xml:space="preserve">. The Crown </w:t>
      </w:r>
      <w:r w:rsidR="00CA70E1">
        <w:t>argued</w:t>
      </w:r>
      <w:r w:rsidR="00CD0C65">
        <w:t xml:space="preserve"> </w:t>
      </w:r>
      <w:r w:rsidR="008D155D">
        <w:t>that the</w:t>
      </w:r>
      <w:r w:rsidR="00CD0C65">
        <w:t xml:space="preserve"> </w:t>
      </w:r>
      <w:r w:rsidR="00CD0C65">
        <w:rPr>
          <w:i/>
          <w:iCs/>
        </w:rPr>
        <w:t xml:space="preserve">mens rea </w:t>
      </w:r>
      <w:r w:rsidR="00CD0C65">
        <w:t>for murder was established because the appellant knew the victim was likely to die</w:t>
      </w:r>
      <w:r w:rsidR="00FD38A8">
        <w:rPr>
          <w:rFonts w:cs="Times New Roman"/>
        </w:rPr>
        <w:t>—</w:t>
      </w:r>
      <w:r w:rsidR="00764AFD">
        <w:t>given the victim’s</w:t>
      </w:r>
      <w:r w:rsidR="00D85454">
        <w:t xml:space="preserve"> condition</w:t>
      </w:r>
      <w:r w:rsidR="009A44BA">
        <w:t xml:space="preserve">, that his car </w:t>
      </w:r>
      <w:r w:rsidR="00D81459">
        <w:t>was stopped against the</w:t>
      </w:r>
      <w:r w:rsidR="009A44BA">
        <w:t xml:space="preserve"> snowbank, </w:t>
      </w:r>
      <w:r w:rsidR="00D85454">
        <w:t>and the weather</w:t>
      </w:r>
      <w:r w:rsidR="00FD38A8">
        <w:rPr>
          <w:rFonts w:cs="Times New Roman"/>
        </w:rPr>
        <w:t>—</w:t>
      </w:r>
      <w:r w:rsidR="00CD0C65">
        <w:t xml:space="preserve">and </w:t>
      </w:r>
      <w:r w:rsidR="00CD0C65" w:rsidRPr="00B24819">
        <w:t>left any way</w:t>
      </w:r>
      <w:r w:rsidR="002E3540" w:rsidRPr="00B24819">
        <w:t xml:space="preserve">. </w:t>
      </w:r>
      <w:r w:rsidR="00320236" w:rsidRPr="00B24819">
        <w:t xml:space="preserve">The Crown </w:t>
      </w:r>
      <w:r w:rsidR="005028A0">
        <w:t>argued</w:t>
      </w:r>
      <w:r w:rsidR="00320236" w:rsidRPr="00B24819">
        <w:t xml:space="preserve"> t</w:t>
      </w:r>
      <w:r w:rsidR="00DC6D60" w:rsidRPr="00B24819">
        <w:t xml:space="preserve">he act of leaving </w:t>
      </w:r>
      <w:r w:rsidR="0076197A">
        <w:t xml:space="preserve">was </w:t>
      </w:r>
      <w:r w:rsidR="00DC6D60" w:rsidRPr="00B24819">
        <w:t xml:space="preserve">an unlawful act. </w:t>
      </w:r>
      <w:r w:rsidR="002E3540" w:rsidRPr="00B24819">
        <w:t>The Crown</w:t>
      </w:r>
      <w:r w:rsidR="002E3540">
        <w:t xml:space="preserve"> also argued that the murder was committed while the victim was forcibly confined, thereby justifying a first-degree murder conviction</w:t>
      </w:r>
      <w:r w:rsidR="00B24819">
        <w:t xml:space="preserve"> under section 231(5) of the </w:t>
      </w:r>
      <w:r w:rsidR="00B24819">
        <w:rPr>
          <w:i/>
          <w:iCs/>
        </w:rPr>
        <w:t>Criminal Code</w:t>
      </w:r>
      <w:r w:rsidR="00B24819">
        <w:t xml:space="preserve">, RSC 1985, c </w:t>
      </w:r>
      <w:r w:rsidR="00CA70E1">
        <w:t>C-46.</w:t>
      </w:r>
    </w:p>
    <w:p w14:paraId="14B51E5A" w14:textId="392F0438" w:rsidR="002E3540" w:rsidRDefault="002E3540" w:rsidP="00A92BE0">
      <w:pPr>
        <w:pStyle w:val="FelskyNumbering12"/>
        <w:spacing w:line="240" w:lineRule="auto"/>
      </w:pPr>
      <w:r>
        <w:t>The defence theory was that while</w:t>
      </w:r>
      <w:r w:rsidR="00A91561">
        <w:t xml:space="preserve"> the appellant was guilty of the robbery,</w:t>
      </w:r>
      <w:r w:rsidR="004F0BCE">
        <w:t xml:space="preserve"> he did not </w:t>
      </w:r>
      <w:r w:rsidR="00D6121F">
        <w:t>participate in the beating</w:t>
      </w:r>
      <w:r w:rsidR="004F0BCE">
        <w:t xml:space="preserve"> and was therefore</w:t>
      </w:r>
      <w:r w:rsidR="00A91561">
        <w:t xml:space="preserve"> not guilty of any homicide, whether manslaughter or murder</w:t>
      </w:r>
      <w:r w:rsidR="004F0BCE">
        <w:t xml:space="preserve">. The defence position was </w:t>
      </w:r>
      <w:r w:rsidR="00A91561">
        <w:t xml:space="preserve">Levi </w:t>
      </w:r>
      <w:r w:rsidR="009352B4">
        <w:t>beat the victim.</w:t>
      </w:r>
      <w:r w:rsidR="00D16A19">
        <w:t xml:space="preserve"> The defence </w:t>
      </w:r>
      <w:r w:rsidR="00B555E1">
        <w:t xml:space="preserve">also </w:t>
      </w:r>
      <w:r w:rsidR="00D16A19">
        <w:t>argued that the Crown failed to prove that the appellant had the subjective intention required for murder.</w:t>
      </w:r>
    </w:p>
    <w:p w14:paraId="4E9D79CE" w14:textId="74793737" w:rsidR="007D7912" w:rsidRDefault="00B3139F" w:rsidP="00A92BE0">
      <w:pPr>
        <w:pStyle w:val="FelskyNumbering12"/>
        <w:numPr>
          <w:ilvl w:val="0"/>
          <w:numId w:val="0"/>
        </w:numPr>
        <w:spacing w:line="240" w:lineRule="auto"/>
      </w:pPr>
      <w:r>
        <w:rPr>
          <w:u w:val="single"/>
        </w:rPr>
        <w:lastRenderedPageBreak/>
        <w:t>Reasons for Conviction</w:t>
      </w:r>
    </w:p>
    <w:p w14:paraId="1FEAF2F3" w14:textId="335FDE59" w:rsidR="007D7912" w:rsidRDefault="007D7912" w:rsidP="00A92BE0">
      <w:pPr>
        <w:pStyle w:val="FelskyNumbering12"/>
        <w:spacing w:line="240" w:lineRule="auto"/>
      </w:pPr>
      <w:r>
        <w:t>The trial judge</w:t>
      </w:r>
      <w:r w:rsidR="00C2230E">
        <w:t xml:space="preserve"> first considered </w:t>
      </w:r>
      <w:r w:rsidR="00FF34DA">
        <w:t>second</w:t>
      </w:r>
      <w:r w:rsidR="005C6FCD">
        <w:t>-</w:t>
      </w:r>
      <w:r w:rsidR="00FF34DA">
        <w:t>degree murder before turning to</w:t>
      </w:r>
      <w:r w:rsidR="005C6FCD">
        <w:t xml:space="preserve"> </w:t>
      </w:r>
      <w:r w:rsidR="006274FC">
        <w:t>whether the Crown had established</w:t>
      </w:r>
      <w:r w:rsidR="005C6FCD">
        <w:t xml:space="preserve"> forcible con</w:t>
      </w:r>
      <w:r w:rsidR="006274FC">
        <w:t>finement</w:t>
      </w:r>
      <w:r w:rsidR="00A43F59">
        <w:t xml:space="preserve"> for the purposes of</w:t>
      </w:r>
      <w:r w:rsidR="006274FC">
        <w:t xml:space="preserve"> s</w:t>
      </w:r>
      <w:r w:rsidR="00B555E1">
        <w:t>ection</w:t>
      </w:r>
      <w:r w:rsidR="006274FC">
        <w:t xml:space="preserve"> 231(5)</w:t>
      </w:r>
      <w:r w:rsidR="005C6FCD">
        <w:t>. His</w:t>
      </w:r>
      <w:r>
        <w:t xml:space="preserve"> analysis of second-degree murder </w:t>
      </w:r>
      <w:r w:rsidR="007011C6">
        <w:t xml:space="preserve">under section 229(a) </w:t>
      </w:r>
      <w:r>
        <w:t>is reproduced in its entirety below</w:t>
      </w:r>
      <w:r w:rsidR="00EF0484">
        <w:t xml:space="preserve"> (</w:t>
      </w:r>
      <w:r w:rsidR="00EF0484">
        <w:rPr>
          <w:i/>
          <w:iCs/>
        </w:rPr>
        <w:t>R v Thomas</w:t>
      </w:r>
      <w:r w:rsidR="00EF0484">
        <w:t>, 2022 NWTSC 3)</w:t>
      </w:r>
      <w:r w:rsidR="007F79E1">
        <w:t xml:space="preserve"> (emphasis added)</w:t>
      </w:r>
      <w:r>
        <w:t>:</w:t>
      </w:r>
    </w:p>
    <w:p w14:paraId="13772055" w14:textId="77777777" w:rsidR="007D7912" w:rsidRDefault="007D7912" w:rsidP="00A92BE0">
      <w:pPr>
        <w:pStyle w:val="1stQuote"/>
      </w:pPr>
      <w:r>
        <w:t xml:space="preserve">Second degree murder requires either an actual intention to kill or the intention to cause bodily harm that the accused knows is likely to cause death and the accused is reckless as to whether or not death ensues. </w:t>
      </w:r>
    </w:p>
    <w:p w14:paraId="5C201E5D" w14:textId="1A88356C" w:rsidR="007D7912" w:rsidRPr="00E92613" w:rsidRDefault="007D7912" w:rsidP="00A92BE0">
      <w:pPr>
        <w:pStyle w:val="1stQuote"/>
      </w:pPr>
      <w:r>
        <w:t xml:space="preserve">As I already said, </w:t>
      </w:r>
      <w:r w:rsidRPr="007F79E1">
        <w:rPr>
          <w:u w:val="single"/>
        </w:rPr>
        <w:t>I do not find that there was any actual intention to kill in this case. The bodily harm inflicted during the robbery in which the accused participated was very serious but not sufficient to allow me to draw the legal conclusion that the accused would have known it was likely to cause death.</w:t>
      </w:r>
    </w:p>
    <w:p w14:paraId="5739CC8C" w14:textId="77777777" w:rsidR="007D7912" w:rsidRDefault="007D7912" w:rsidP="00A92BE0">
      <w:pPr>
        <w:pStyle w:val="1stQuote"/>
      </w:pPr>
      <w:r>
        <w:t>What this case comes down to is the decision to leave Alex Norwegian at the Portage and its consequences, the consequences that flow from that decision. I suspect, and I am prepared to give the [appellant] the benefit of this suspicion, that he fully intended that Alex Norwegian would be able to leave the Portage and drive home. This was not a reasonable expectation and when this did not happen, [the appellant] made the decision to leave him there incapacitated, not dressed for the weather, in a car with no windows on a deserted road in the middle of the night in minus 20 temperatures.</w:t>
      </w:r>
    </w:p>
    <w:p w14:paraId="5F68ECE0" w14:textId="3ACE5314" w:rsidR="007D7912" w:rsidRDefault="007D7912" w:rsidP="00A92BE0">
      <w:pPr>
        <w:pStyle w:val="1stQuote"/>
      </w:pPr>
      <w:r>
        <w:t xml:space="preserve">At that point in this situation entirely caused by the actions of [the appellant] and Levi Cayen, this decision was the one which likely caused the death of Alex Norwegian. He was likely to die under those circumstances. I also find that [the appellant] had to be aware of this. </w:t>
      </w:r>
      <w:r w:rsidRPr="00F953CD">
        <w:rPr>
          <w:u w:val="single"/>
        </w:rPr>
        <w:t>The robbery, the injuries, the decision to leave, form a continuous string of actions all of which [the appellant] is responsible for, especially so the fatal decision to leave.</w:t>
      </w:r>
      <w:r>
        <w:t xml:space="preserve"> </w:t>
      </w:r>
    </w:p>
    <w:p w14:paraId="57543B4B" w14:textId="77777777" w:rsidR="007D7912" w:rsidRDefault="007D7912" w:rsidP="00A92BE0">
      <w:pPr>
        <w:pStyle w:val="1stQuote"/>
      </w:pPr>
      <w:r>
        <w:t>The mental element or guilty mind in this case falls very close to the line between manslaughter and murder. If Alex Norwegian had been able to drive away and lost consciousness further down the road out of sight, this would have been an extremely serious manslaughter with robbery, but that is not what happened here</w:t>
      </w:r>
      <w:r w:rsidRPr="002C4653">
        <w:t xml:space="preserve">. </w:t>
      </w:r>
      <w:r w:rsidRPr="002E00A5">
        <w:rPr>
          <w:u w:val="single"/>
        </w:rPr>
        <w:t xml:space="preserve">I find that the first stage of the requirements for second degree murder is made out, that the [appellant] caused bodily harm to the victim, knowing that this was likely to result in his death. </w:t>
      </w:r>
      <w:r w:rsidRPr="00391B8E">
        <w:rPr>
          <w:u w:val="single"/>
        </w:rPr>
        <w:t>That knowledge was not complete until the decision to leave the Portage, but upon that decision being made, the knowledge was complete.</w:t>
      </w:r>
      <w:r>
        <w:t xml:space="preserve"> I now move on to consider the issue of recklessness.</w:t>
      </w:r>
    </w:p>
    <w:p w14:paraId="557397FE" w14:textId="20D1C229" w:rsidR="007D7912" w:rsidRDefault="007D7912" w:rsidP="00A92BE0">
      <w:pPr>
        <w:pStyle w:val="1stQuote"/>
      </w:pPr>
      <w:r>
        <w:t xml:space="preserve">The requirement that the [appellant] be reckless as to whether or not death ensues is very seldom an issue in murder trials. Typically, the inflicting of the injury and the recklessness are one and the same. This case is somewhat different. It took a long time for the victim to die of exposure to the cold. If the [appellant] had simply </w:t>
      </w:r>
      <w:r>
        <w:lastRenderedPageBreak/>
        <w:t>left and take</w:t>
      </w:r>
      <w:r w:rsidR="002973EA">
        <w:t>n</w:t>
      </w:r>
      <w:r>
        <w:t xml:space="preserve"> no further steps, then recklessness would be obvious in this case. Here, the [appellant] told Levi Cayen to take his snowmobile and drive to a convenience store to report a drunk driver in the hope that the victim would be found and saved. </w:t>
      </w:r>
    </w:p>
    <w:p w14:paraId="4E9ACCC1" w14:textId="77777777" w:rsidR="007D7912" w:rsidRDefault="007D7912" w:rsidP="00A92BE0">
      <w:pPr>
        <w:pStyle w:val="1stQuote"/>
      </w:pPr>
      <w:r>
        <w:t>The [appellant] did not go himself. He entrusted this potentially lifesaving task to the very drunk Levi Cayen who predictably made a mess of it when he made the call. After burning the clothes, [the appellant] took Tyler Cayen on a search of Lagoon Road looking for the victim’s stash of drugs. It would have been a simple thing to drive to the Portage to check on the victim but he did not. If [the appellant] had made that call to the RCMP, if he had gone to check on the victim, I may have been willing to find that he was not reckless about the death that ensued, but he was reckless and the essential elements for second degree murder are made out.</w:t>
      </w:r>
    </w:p>
    <w:p w14:paraId="23ADEE05" w14:textId="034CB5D7" w:rsidR="007D7912" w:rsidRDefault="007D7912" w:rsidP="00A92BE0">
      <w:pPr>
        <w:pStyle w:val="FelskyNumbering12"/>
        <w:spacing w:line="240" w:lineRule="auto"/>
      </w:pPr>
      <w:r>
        <w:t>With re</w:t>
      </w:r>
      <w:r w:rsidR="00A43F59">
        <w:t>spect</w:t>
      </w:r>
      <w:r>
        <w:t xml:space="preserve"> to the forcible confinement, the trial judge </w:t>
      </w:r>
      <w:r w:rsidR="00B933D2">
        <w:t xml:space="preserve">was satisfied that at some point the victim was forcibly confined but did not find beyond a reasonable </w:t>
      </w:r>
      <w:r>
        <w:t xml:space="preserve">doubt </w:t>
      </w:r>
      <w:r w:rsidR="003F7075">
        <w:t>“</w:t>
      </w:r>
      <w:r>
        <w:t xml:space="preserve">that the forcible confinement was contemporaneous </w:t>
      </w:r>
      <w:r w:rsidR="00B933D2">
        <w:t xml:space="preserve">with </w:t>
      </w:r>
      <w:r>
        <w:t>the serious injuries inflicted on the victim</w:t>
      </w:r>
      <w:r w:rsidR="00DD08E2">
        <w:t>…</w:t>
      </w:r>
      <w:r w:rsidR="003F7075">
        <w:t>”</w:t>
      </w:r>
      <w:r w:rsidR="002C4653">
        <w:t>.</w:t>
      </w:r>
      <w:r w:rsidR="003F7075">
        <w:t xml:space="preserve"> </w:t>
      </w:r>
      <w:r w:rsidR="0014383F">
        <w:t>The trial judge found the victim had been “fully released” and was “operating under his own volition when he drove into the snowbank”. The trial judge</w:t>
      </w:r>
      <w:r w:rsidR="00C001DA">
        <w:t xml:space="preserve"> concluded </w:t>
      </w:r>
      <w:r w:rsidR="00B30547">
        <w:t xml:space="preserve">that </w:t>
      </w:r>
      <w:r>
        <w:t>“on the totality of the evidence, I do not find that the Crown has proven that the forcible confinement was sufficiently linked to the death of [the victim] to raise this case to first degree murder.”</w:t>
      </w:r>
      <w:r w:rsidR="0014383F">
        <w:t xml:space="preserve"> </w:t>
      </w:r>
    </w:p>
    <w:p w14:paraId="62C3338E" w14:textId="4E396013" w:rsidR="00C277C9" w:rsidRDefault="00C277C9" w:rsidP="00A92BE0">
      <w:pPr>
        <w:pStyle w:val="FelskyNumbering12"/>
        <w:spacing w:line="240" w:lineRule="auto"/>
      </w:pPr>
      <w:r>
        <w:t xml:space="preserve">The trial judge then stated that he viewed this case as falling </w:t>
      </w:r>
      <w:r w:rsidR="00A43F59">
        <w:t xml:space="preserve">just </w:t>
      </w:r>
      <w:r>
        <w:t>over the line between manslaughter and murder</w:t>
      </w:r>
      <w:r w:rsidR="006D2D23">
        <w:t xml:space="preserve"> “...[b]ut the intention in this case that drives the conviction for murder is the decision to leave...”.</w:t>
      </w:r>
    </w:p>
    <w:p w14:paraId="3E8CC69A" w14:textId="343B7612" w:rsidR="00672EEF" w:rsidRDefault="00672EEF" w:rsidP="00A92BE0">
      <w:pPr>
        <w:pStyle w:val="FelskyNumbering12"/>
        <w:spacing w:line="240" w:lineRule="auto"/>
      </w:pPr>
      <w:r>
        <w:t>The trial judge augmented his reasons for conviction when sentencing the appellant, stating during his introductory remarks, “If at all necessary, my reasons today should be considered in conjunction with the reasons that I gave at the conclusion of the trial in which I discuss the facts in more detail”</w:t>
      </w:r>
      <w:r w:rsidR="00106A61">
        <w:t xml:space="preserve">: </w:t>
      </w:r>
      <w:r w:rsidR="00106A61">
        <w:rPr>
          <w:i/>
          <w:iCs/>
        </w:rPr>
        <w:t xml:space="preserve">R v </w:t>
      </w:r>
      <w:r w:rsidR="00EF0484">
        <w:rPr>
          <w:i/>
          <w:iCs/>
        </w:rPr>
        <w:t>Thomas</w:t>
      </w:r>
      <w:r w:rsidR="00EF0484">
        <w:t xml:space="preserve">, 2022 NWTSC 4. </w:t>
      </w:r>
      <w:r>
        <w:t xml:space="preserve">An appellate court may look at the reasons for sentence as well as reasons for conviction to understand the basis for conviction: </w:t>
      </w:r>
      <w:r>
        <w:rPr>
          <w:i/>
          <w:iCs/>
        </w:rPr>
        <w:t>R v BJT</w:t>
      </w:r>
      <w:r w:rsidRPr="001E5111">
        <w:t>, 2019 ONCA 694 at para 43</w:t>
      </w:r>
      <w:r w:rsidR="0007626F">
        <w:t xml:space="preserve">, </w:t>
      </w:r>
      <w:r>
        <w:t xml:space="preserve">cited with approval in </w:t>
      </w:r>
      <w:r>
        <w:rPr>
          <w:i/>
          <w:iCs/>
        </w:rPr>
        <w:t>R v Kaplan</w:t>
      </w:r>
      <w:r>
        <w:t xml:space="preserve">, 2019 BCCA 356; </w:t>
      </w:r>
      <w:r>
        <w:rPr>
          <w:i/>
          <w:iCs/>
        </w:rPr>
        <w:t>R v Fan</w:t>
      </w:r>
      <w:r>
        <w:t xml:space="preserve">, 2021 ONCA 674 and </w:t>
      </w:r>
      <w:r>
        <w:rPr>
          <w:i/>
          <w:iCs/>
        </w:rPr>
        <w:t>Chahinian c R</w:t>
      </w:r>
      <w:r>
        <w:t>, 2022 QCCA 499</w:t>
      </w:r>
      <w:r w:rsidRPr="001E5111">
        <w:t>.</w:t>
      </w:r>
      <w:r>
        <w:t xml:space="preserve"> Therefore, we have considered the totality of the trial judge’s reasons</w:t>
      </w:r>
      <w:r w:rsidR="00C24654">
        <w:t xml:space="preserve"> to understand the basis for the murder conviction.</w:t>
      </w:r>
    </w:p>
    <w:p w14:paraId="1D1B84D7" w14:textId="77777777" w:rsidR="00B40245" w:rsidRDefault="00B3139F" w:rsidP="00A92BE0">
      <w:pPr>
        <w:pStyle w:val="FelskyNumbering12"/>
        <w:spacing w:line="240" w:lineRule="auto"/>
      </w:pPr>
      <w:r>
        <w:t>In his sentencing reasons, the trial judge further stated</w:t>
      </w:r>
      <w:r w:rsidR="00B40245">
        <w:t>:</w:t>
      </w:r>
    </w:p>
    <w:p w14:paraId="4704153D" w14:textId="2BD27F06" w:rsidR="00B40245" w:rsidRDefault="00B40245" w:rsidP="00A92BE0">
      <w:pPr>
        <w:pStyle w:val="ListParagraph"/>
        <w:numPr>
          <w:ilvl w:val="0"/>
          <w:numId w:val="6"/>
        </w:numPr>
        <w:spacing w:line="240" w:lineRule="auto"/>
      </w:pPr>
      <w:r>
        <w:t xml:space="preserve">“I found [the appellant] guilty </w:t>
      </w:r>
      <w:r w:rsidR="003F69BF">
        <w:t>[</w:t>
      </w:r>
      <w:r>
        <w:t>o</w:t>
      </w:r>
      <w:r w:rsidR="00A43F59">
        <w:t>f</w:t>
      </w:r>
      <w:r w:rsidR="003F69BF">
        <w:t>]</w:t>
      </w:r>
      <w:r>
        <w:t xml:space="preserve"> the offence of second degree murder essentially because of the decision to leave</w:t>
      </w:r>
      <w:r w:rsidR="00106A61">
        <w:t>…</w:t>
      </w:r>
      <w:r>
        <w:t>”</w:t>
      </w:r>
      <w:r w:rsidR="00EB0397">
        <w:t>.</w:t>
      </w:r>
    </w:p>
    <w:p w14:paraId="6F50DFD4" w14:textId="514C00DB" w:rsidR="00BB2DBB" w:rsidRDefault="00B3139F" w:rsidP="00A92BE0">
      <w:pPr>
        <w:pStyle w:val="ListParagraph"/>
        <w:numPr>
          <w:ilvl w:val="0"/>
          <w:numId w:val="6"/>
        </w:numPr>
        <w:spacing w:line="240" w:lineRule="auto"/>
      </w:pPr>
      <w:r>
        <w:t>“</w:t>
      </w:r>
      <w:r w:rsidR="00BB2DBB">
        <w:t>[The injuries that the victim suffered]</w:t>
      </w:r>
      <w:r w:rsidR="00EB0397">
        <w:t xml:space="preserve"> were not the cause of death. </w:t>
      </w:r>
      <w:r>
        <w:t xml:space="preserve">What caused the death was the decision to leave </w:t>
      </w:r>
      <w:r w:rsidR="00BB2DBB">
        <w:t>[</w:t>
      </w:r>
      <w:r>
        <w:t>the victim</w:t>
      </w:r>
      <w:r w:rsidR="00BB2DBB">
        <w:t>]</w:t>
      </w:r>
      <w:r>
        <w:t xml:space="preserve"> in an obviously vulnerable condition in freezing temperatures</w:t>
      </w:r>
      <w:r w:rsidR="00106A61">
        <w:t>.</w:t>
      </w:r>
      <w:r>
        <w:t xml:space="preserve">” </w:t>
      </w:r>
    </w:p>
    <w:p w14:paraId="07D60E4E" w14:textId="25626B59" w:rsidR="00AD206B" w:rsidRDefault="00B3139F" w:rsidP="00A92BE0">
      <w:pPr>
        <w:pStyle w:val="ListParagraph"/>
        <w:numPr>
          <w:ilvl w:val="0"/>
          <w:numId w:val="6"/>
        </w:numPr>
        <w:spacing w:line="240" w:lineRule="auto"/>
      </w:pPr>
      <w:r>
        <w:t xml:space="preserve">“The highly unusual aspect of this case is that these circumstances that [the appellant] took part in creating imposed on him a positive duty to act. Once </w:t>
      </w:r>
      <w:r w:rsidR="00014B06">
        <w:t xml:space="preserve">[the </w:t>
      </w:r>
      <w:r w:rsidR="00014B06">
        <w:lastRenderedPageBreak/>
        <w:t>appellant]</w:t>
      </w:r>
      <w:r>
        <w:t xml:space="preserve"> became aware that [the victim] m</w:t>
      </w:r>
      <w:r w:rsidR="00F14210">
        <w:t>ight</w:t>
      </w:r>
      <w:r>
        <w:t xml:space="preserve"> not be able to drive himself to safety, </w:t>
      </w:r>
      <w:r w:rsidR="00014B06">
        <w:t>[the appellant]</w:t>
      </w:r>
      <w:r>
        <w:t xml:space="preserve"> had a responsibility to make sure </w:t>
      </w:r>
      <w:r w:rsidR="00014B06">
        <w:t>[the victim]</w:t>
      </w:r>
      <w:r>
        <w:t xml:space="preserve"> was not left exposed to the elements</w:t>
      </w:r>
      <w:r w:rsidR="00610F23">
        <w:t>.</w:t>
      </w:r>
      <w:r>
        <w:t>”</w:t>
      </w:r>
    </w:p>
    <w:p w14:paraId="4923D390" w14:textId="46D56298" w:rsidR="00416DEE" w:rsidRDefault="00416DEE" w:rsidP="00A92BE0">
      <w:pPr>
        <w:pStyle w:val="ListParagraph"/>
        <w:numPr>
          <w:ilvl w:val="0"/>
          <w:numId w:val="6"/>
        </w:numPr>
        <w:spacing w:line="240" w:lineRule="auto"/>
      </w:pPr>
      <w:r>
        <w:t>“The factors that the Crown asks me to take into account in order to impose a greater period of ineligibility...are the factors that have led me to conclude that this duty rested on [the appellant] as a result of his behaviour during the robbery</w:t>
      </w:r>
      <w:r w:rsidR="00610F23">
        <w:t>.</w:t>
      </w:r>
      <w:r>
        <w:t>”</w:t>
      </w:r>
    </w:p>
    <w:p w14:paraId="07E740E9" w14:textId="00A8E0DC" w:rsidR="002E3B8A" w:rsidRDefault="00645D04" w:rsidP="00A92BE0">
      <w:pPr>
        <w:pStyle w:val="ListParagraph"/>
        <w:numPr>
          <w:ilvl w:val="0"/>
          <w:numId w:val="6"/>
        </w:numPr>
        <w:spacing w:line="240" w:lineRule="auto"/>
      </w:pPr>
      <w:r>
        <w:t xml:space="preserve">That </w:t>
      </w:r>
      <w:r w:rsidR="003F61D5">
        <w:t>his finding that the victim was</w:t>
      </w:r>
      <w:r w:rsidR="00AD206B">
        <w:t xml:space="preserve"> forcibl</w:t>
      </w:r>
      <w:r w:rsidR="003F61D5">
        <w:t>y</w:t>
      </w:r>
      <w:r w:rsidR="00AD206B">
        <w:t xml:space="preserve"> confine</w:t>
      </w:r>
      <w:r w:rsidR="003F61D5">
        <w:t>d at one point was a significantly aggravating factor on the robbery charge</w:t>
      </w:r>
      <w:r w:rsidR="00F444E1">
        <w:t xml:space="preserve"> and also played “a part in creating the duty to assist</w:t>
      </w:r>
      <w:r w:rsidR="00610F23">
        <w:t>.</w:t>
      </w:r>
      <w:r w:rsidR="00F444E1">
        <w:t>”</w:t>
      </w:r>
    </w:p>
    <w:p w14:paraId="342242CE" w14:textId="60094C80" w:rsidR="00672EEF" w:rsidRDefault="00672EEF" w:rsidP="00A92BE0">
      <w:pPr>
        <w:pStyle w:val="FelskyNumbering12"/>
        <w:spacing w:line="240" w:lineRule="auto"/>
      </w:pPr>
      <w:r>
        <w:t>The appellant was convicted of second-degree murder</w:t>
      </w:r>
      <w:r w:rsidR="00EE0691">
        <w:t xml:space="preserve"> and robbery.</w:t>
      </w:r>
    </w:p>
    <w:p w14:paraId="41C7DA61" w14:textId="53603A31" w:rsidR="007D7912" w:rsidRPr="007D7912" w:rsidRDefault="007D7912" w:rsidP="00A92BE0">
      <w:pPr>
        <w:pStyle w:val="FelskyNumbering12"/>
        <w:numPr>
          <w:ilvl w:val="0"/>
          <w:numId w:val="0"/>
        </w:numPr>
        <w:spacing w:line="240" w:lineRule="auto"/>
      </w:pPr>
      <w:r>
        <w:rPr>
          <w:b/>
          <w:bCs/>
        </w:rPr>
        <w:t>Conviction Appeal</w:t>
      </w:r>
    </w:p>
    <w:p w14:paraId="6C80B1D9" w14:textId="2BEF9B50" w:rsidR="007D7912" w:rsidRDefault="007D7912" w:rsidP="00A92BE0">
      <w:pPr>
        <w:pStyle w:val="FelskyNumbering12"/>
        <w:numPr>
          <w:ilvl w:val="0"/>
          <w:numId w:val="0"/>
        </w:numPr>
        <w:spacing w:line="240" w:lineRule="auto"/>
      </w:pPr>
      <w:r w:rsidRPr="007D7912">
        <w:rPr>
          <w:u w:val="single"/>
        </w:rPr>
        <w:t xml:space="preserve">Grounds </w:t>
      </w:r>
      <w:r w:rsidR="00B3139F">
        <w:rPr>
          <w:u w:val="single"/>
        </w:rPr>
        <w:t>of Appeal</w:t>
      </w:r>
    </w:p>
    <w:p w14:paraId="38B2A735" w14:textId="5F72C6A2" w:rsidR="005753F0" w:rsidRDefault="002560F1" w:rsidP="00A92BE0">
      <w:pPr>
        <w:pStyle w:val="FelskyNumbering12"/>
        <w:spacing w:line="240" w:lineRule="auto"/>
      </w:pPr>
      <w:r>
        <w:t xml:space="preserve">The appellant submits that the trial judge committed three errors of law in </w:t>
      </w:r>
      <w:r w:rsidR="005B5722">
        <w:t>convicting him of second</w:t>
      </w:r>
      <w:r w:rsidR="009372E6">
        <w:t>-</w:t>
      </w:r>
      <w:r w:rsidR="005B5722">
        <w:t>degree</w:t>
      </w:r>
      <w:r>
        <w:t xml:space="preserve"> murder</w:t>
      </w:r>
      <w:r w:rsidR="004F0BCE">
        <w:t>. Specifically, the appellant submits that the trial judge:</w:t>
      </w:r>
    </w:p>
    <w:p w14:paraId="52611588" w14:textId="613B4101" w:rsidR="004F0BCE" w:rsidRDefault="004F0BCE" w:rsidP="00A92BE0">
      <w:pPr>
        <w:pStyle w:val="ListParagraph"/>
        <w:numPr>
          <w:ilvl w:val="0"/>
          <w:numId w:val="7"/>
        </w:numPr>
        <w:spacing w:line="240" w:lineRule="auto"/>
      </w:pPr>
      <w:r>
        <w:t xml:space="preserve">erred in his assessment of the </w:t>
      </w:r>
      <w:r w:rsidRPr="007D7912">
        <w:rPr>
          <w:i/>
          <w:iCs/>
        </w:rPr>
        <w:t>actus reus</w:t>
      </w:r>
      <w:r>
        <w:t xml:space="preserve"> for murder, including by finding that the appellant had a positive duty to act</w:t>
      </w:r>
      <w:r w:rsidR="007D38C7">
        <w:t xml:space="preserve"> and by finding that the act of leaving was an unlawful act;</w:t>
      </w:r>
    </w:p>
    <w:p w14:paraId="691ADFE6" w14:textId="52A11E9E" w:rsidR="0018346C" w:rsidRDefault="004F0BCE" w:rsidP="00A92BE0">
      <w:pPr>
        <w:pStyle w:val="ListParagraph"/>
        <w:numPr>
          <w:ilvl w:val="0"/>
          <w:numId w:val="7"/>
        </w:numPr>
        <w:spacing w:line="240" w:lineRule="auto"/>
      </w:pPr>
      <w:r>
        <w:t xml:space="preserve">erred </w:t>
      </w:r>
      <w:r w:rsidR="007D38C7">
        <w:t>by</w:t>
      </w:r>
      <w:r>
        <w:t xml:space="preserve"> failing to apply the concurrence principle</w:t>
      </w:r>
      <w:r w:rsidR="0018346C">
        <w:t xml:space="preserve"> and convicting the appellant for murder even though </w:t>
      </w:r>
      <w:r>
        <w:t xml:space="preserve">the </w:t>
      </w:r>
      <w:r w:rsidRPr="007D7912">
        <w:rPr>
          <w:i/>
          <w:iCs/>
        </w:rPr>
        <w:t xml:space="preserve">mens rea </w:t>
      </w:r>
      <w:r>
        <w:t>for murder did not coincide with the unlawful act that caused the victim’s death</w:t>
      </w:r>
      <w:r w:rsidR="00152C01">
        <w:t>; and</w:t>
      </w:r>
    </w:p>
    <w:p w14:paraId="0B0F5090" w14:textId="68CF777F" w:rsidR="004F0BCE" w:rsidRDefault="004F0BCE" w:rsidP="00A92BE0">
      <w:pPr>
        <w:pStyle w:val="ListParagraph"/>
        <w:numPr>
          <w:ilvl w:val="0"/>
          <w:numId w:val="7"/>
        </w:numPr>
        <w:spacing w:line="240" w:lineRule="auto"/>
      </w:pPr>
      <w:r>
        <w:t xml:space="preserve">erred in his consideration of </w:t>
      </w:r>
      <w:r w:rsidRPr="007D7912">
        <w:rPr>
          <w:i/>
          <w:iCs/>
        </w:rPr>
        <w:t xml:space="preserve">mens rea </w:t>
      </w:r>
      <w:r w:rsidR="00D65ED4">
        <w:t>for murder.</w:t>
      </w:r>
    </w:p>
    <w:p w14:paraId="197B9BD6" w14:textId="2B440F35" w:rsidR="007D7912" w:rsidRDefault="007D7912" w:rsidP="00A92BE0">
      <w:pPr>
        <w:pStyle w:val="FelskyNumbering12"/>
        <w:numPr>
          <w:ilvl w:val="0"/>
          <w:numId w:val="0"/>
        </w:numPr>
        <w:spacing w:line="240" w:lineRule="auto"/>
      </w:pPr>
      <w:r w:rsidRPr="007D7912">
        <w:rPr>
          <w:u w:val="single"/>
        </w:rPr>
        <w:t>Analysis</w:t>
      </w:r>
    </w:p>
    <w:p w14:paraId="24297DC3" w14:textId="3D9398C3" w:rsidR="00B528E6" w:rsidRDefault="00B528E6" w:rsidP="00A92BE0">
      <w:pPr>
        <w:pStyle w:val="FelskyNumbering12"/>
        <w:spacing w:line="240" w:lineRule="auto"/>
      </w:pPr>
      <w:r>
        <w:t xml:space="preserve">We are of the view that the trial judge erred in his consideration of the </w:t>
      </w:r>
      <w:r>
        <w:rPr>
          <w:i/>
          <w:iCs/>
        </w:rPr>
        <w:t xml:space="preserve">actus </w:t>
      </w:r>
      <w:r w:rsidRPr="00B528E6">
        <w:rPr>
          <w:i/>
          <w:iCs/>
        </w:rPr>
        <w:t>reus</w:t>
      </w:r>
      <w:r w:rsidR="00A6759B">
        <w:t>, which led in turn to an error in respect of</w:t>
      </w:r>
      <w:r w:rsidR="00510471">
        <w:t xml:space="preserve"> the concurrence principle. Both are questions </w:t>
      </w:r>
      <w:r>
        <w:t xml:space="preserve">of law </w:t>
      </w:r>
      <w:r w:rsidR="00A6759B">
        <w:t xml:space="preserve">to be </w:t>
      </w:r>
      <w:r>
        <w:t xml:space="preserve">reviewed for correctness: </w:t>
      </w:r>
      <w:r>
        <w:rPr>
          <w:i/>
          <w:iCs/>
        </w:rPr>
        <w:t>Housen v Nikolaisen</w:t>
      </w:r>
      <w:r>
        <w:t>, 2002 SCC 33 at para 8.</w:t>
      </w:r>
      <w:r w:rsidR="008C6AD9">
        <w:t xml:space="preserve"> </w:t>
      </w:r>
    </w:p>
    <w:p w14:paraId="15FCBF7F" w14:textId="668E6F39" w:rsidR="00510471" w:rsidRPr="00510471" w:rsidRDefault="00510471" w:rsidP="00A92BE0">
      <w:pPr>
        <w:pStyle w:val="FelskyNumbering12"/>
        <w:numPr>
          <w:ilvl w:val="0"/>
          <w:numId w:val="0"/>
        </w:numPr>
        <w:spacing w:line="240" w:lineRule="auto"/>
        <w:ind w:left="720"/>
      </w:pPr>
      <w:r>
        <w:rPr>
          <w:u w:val="single"/>
        </w:rPr>
        <w:t xml:space="preserve">The </w:t>
      </w:r>
      <w:r>
        <w:rPr>
          <w:i/>
          <w:iCs/>
          <w:u w:val="single"/>
        </w:rPr>
        <w:t>actus reus</w:t>
      </w:r>
    </w:p>
    <w:p w14:paraId="793885CB" w14:textId="280D1074" w:rsidR="00DE2D03" w:rsidRPr="00DE2D03" w:rsidRDefault="00B528E6" w:rsidP="00A92BE0">
      <w:pPr>
        <w:pStyle w:val="FelskyNumbering12"/>
        <w:spacing w:line="240" w:lineRule="auto"/>
      </w:pPr>
      <w:r>
        <w:t xml:space="preserve">The Crown must prove two elements as part of the </w:t>
      </w:r>
      <w:r>
        <w:rPr>
          <w:i/>
          <w:iCs/>
        </w:rPr>
        <w:t>actus reus</w:t>
      </w:r>
      <w:r>
        <w:t xml:space="preserve"> for murder: 1) an unlawful act; and 2) the unlawful act caused death: </w:t>
      </w:r>
      <w:r>
        <w:rPr>
          <w:i/>
          <w:iCs/>
        </w:rPr>
        <w:t>R v Feng</w:t>
      </w:r>
      <w:r>
        <w:t xml:space="preserve">, 2014 BCCA 71 at para 15; </w:t>
      </w:r>
      <w:r>
        <w:rPr>
          <w:i/>
          <w:iCs/>
        </w:rPr>
        <w:t>R v Cabrera</w:t>
      </w:r>
      <w:r>
        <w:t>, 2019 ABCA 184 at para 54, aff’d 2019 SCC 56.</w:t>
      </w:r>
    </w:p>
    <w:p w14:paraId="510480DA" w14:textId="6CFEDAA1" w:rsidR="008C6AD9" w:rsidRDefault="008C6AD9" w:rsidP="00A92BE0">
      <w:pPr>
        <w:pStyle w:val="FelskyNumbering12"/>
        <w:spacing w:line="240" w:lineRule="auto"/>
      </w:pPr>
      <w:r>
        <w:t xml:space="preserve">The trial judge made </w:t>
      </w:r>
      <w:r w:rsidR="003D44DA">
        <w:t>several</w:t>
      </w:r>
      <w:r>
        <w:t xml:space="preserve"> findings of fact about what occurred at the Portage. None of the factual findings </w:t>
      </w:r>
      <w:r w:rsidR="00A6759B">
        <w:t>is</w:t>
      </w:r>
      <w:r>
        <w:t xml:space="preserve"> under appeal. The trial judge found that neither the appellant nor Levi had an actual intention to kill the victim while they were beating and robbing him. The trial judge also found that the appellant would not have known that the injuries inflicted on the victim during the robbery were likely to cause death. Having arrived at these conclusions, the trial judge then </w:t>
      </w:r>
      <w:r>
        <w:lastRenderedPageBreak/>
        <w:t xml:space="preserve">reasoned, “What this case comes down to is the decision to leave </w:t>
      </w:r>
      <w:r w:rsidR="00CB0B13">
        <w:t>[the victim]</w:t>
      </w:r>
      <w:r>
        <w:t xml:space="preserve"> at the Portage and its consequences</w:t>
      </w:r>
      <w:r w:rsidR="00610F23">
        <w:t>…</w:t>
      </w:r>
      <w:r>
        <w:t>” He further stated:</w:t>
      </w:r>
    </w:p>
    <w:p w14:paraId="34D0178B" w14:textId="2B8778CC" w:rsidR="008C6AD9" w:rsidRDefault="008C6AD9" w:rsidP="00A92BE0">
      <w:pPr>
        <w:pStyle w:val="1stQuote"/>
      </w:pPr>
      <w:r>
        <w:t xml:space="preserve">...[the appellant] fully intended that </w:t>
      </w:r>
      <w:r w:rsidR="00AD71A0">
        <w:t>[the victim]</w:t>
      </w:r>
      <w:r>
        <w:t xml:space="preserve"> would be able to leave the Portage and drive home. This was not a reasonable expectation and when this did not happen, [the appellant] made the decision to leave him there incapacitated, not dressed for the weather, in a car with no windows on a deserted road in the middle of the night in minus 20 temperatures.</w:t>
      </w:r>
    </w:p>
    <w:p w14:paraId="2EDF0C2E" w14:textId="4223438C" w:rsidR="008C6AD9" w:rsidRDefault="008C6AD9" w:rsidP="00A92BE0">
      <w:pPr>
        <w:pStyle w:val="FelskyNumbering12"/>
        <w:spacing w:line="240" w:lineRule="auto"/>
      </w:pPr>
      <w:r>
        <w:t>The trial judge’s underlying rationale for the second-degree murder conviction was apparent when he concluded:</w:t>
      </w:r>
    </w:p>
    <w:p w14:paraId="6C83C10E" w14:textId="6243C770" w:rsidR="008C6AD9" w:rsidRDefault="008C6AD9" w:rsidP="00A92BE0">
      <w:pPr>
        <w:pStyle w:val="1stQuote"/>
      </w:pPr>
      <w:r>
        <w:t>The robbery, the injuries, the decision to leave, form a continuous string of actions all of which [the appellant] is responsible for, especially so the fatal decision to leave.</w:t>
      </w:r>
    </w:p>
    <w:p w14:paraId="3CD31DDF" w14:textId="5E487374" w:rsidR="00F536FF" w:rsidRDefault="00F81DA6" w:rsidP="00A92BE0">
      <w:pPr>
        <w:pStyle w:val="FelskyNumbering12"/>
        <w:spacing w:line="240" w:lineRule="auto"/>
      </w:pPr>
      <w:r>
        <w:t>In these circumstances, the act of leaving, however immoral, was not itself an unlawful act.</w:t>
      </w:r>
      <w:r w:rsidR="00DA230F">
        <w:t xml:space="preserve"> </w:t>
      </w:r>
      <w:r w:rsidR="007B4B33">
        <w:t xml:space="preserve">The trial judge’s focus on the act of leaving </w:t>
      </w:r>
      <w:r w:rsidR="00343DF9">
        <w:t>is</w:t>
      </w:r>
      <w:r w:rsidR="007B4B33">
        <w:t xml:space="preserve"> similar to</w:t>
      </w:r>
      <w:r w:rsidR="00343DF9">
        <w:t xml:space="preserve"> </w:t>
      </w:r>
      <w:r w:rsidR="00060424">
        <w:t>the error identifie</w:t>
      </w:r>
      <w:r w:rsidR="00343DF9">
        <w:t>d in</w:t>
      </w:r>
      <w:r w:rsidR="007B4B33">
        <w:t xml:space="preserve"> </w:t>
      </w:r>
      <w:r w:rsidR="007B4B33" w:rsidRPr="00DA230F">
        <w:rPr>
          <w:i/>
          <w:iCs/>
        </w:rPr>
        <w:t>R v Shevalev</w:t>
      </w:r>
      <w:r w:rsidR="007B4B33">
        <w:t>, 2019 BCCA 296</w:t>
      </w:r>
      <w:r w:rsidR="00343DF9">
        <w:t xml:space="preserve">. In </w:t>
      </w:r>
      <w:r w:rsidR="00343DF9" w:rsidRPr="00DA230F">
        <w:rPr>
          <w:i/>
          <w:iCs/>
        </w:rPr>
        <w:t xml:space="preserve">Shevalev </w:t>
      </w:r>
      <w:r w:rsidR="007B4B33">
        <w:t>the accused choked his father after a dispute. The father became unconscious</w:t>
      </w:r>
      <w:r w:rsidR="00A6759B">
        <w:t>. T</w:t>
      </w:r>
      <w:r w:rsidR="007B4B33">
        <w:t xml:space="preserve">he accused laid his father on </w:t>
      </w:r>
      <w:r w:rsidR="007B4B33" w:rsidRPr="0015621A">
        <w:t xml:space="preserve">the bed and left without calling an ambulance or other form of assistance. The </w:t>
      </w:r>
      <w:r w:rsidR="00A73B61">
        <w:t xml:space="preserve">British Columbia Court of Appeal </w:t>
      </w:r>
      <w:r w:rsidR="007B4B33" w:rsidRPr="0015621A">
        <w:t xml:space="preserve">set aside the </w:t>
      </w:r>
      <w:r w:rsidR="00DA081B" w:rsidRPr="0015621A">
        <w:t xml:space="preserve">jury’s </w:t>
      </w:r>
      <w:r w:rsidR="007B4B33" w:rsidRPr="0015621A">
        <w:t xml:space="preserve">murder conviction </w:t>
      </w:r>
      <w:r w:rsidR="0066503F" w:rsidRPr="0015621A">
        <w:t xml:space="preserve">because </w:t>
      </w:r>
      <w:r w:rsidR="00A6759B">
        <w:t xml:space="preserve">they found </w:t>
      </w:r>
      <w:r w:rsidR="0066503F" w:rsidRPr="0015621A">
        <w:t xml:space="preserve">it was possible </w:t>
      </w:r>
      <w:r w:rsidR="00343DF9" w:rsidRPr="0015621A">
        <w:t xml:space="preserve">that the jury convicted the </w:t>
      </w:r>
      <w:r w:rsidR="00343DF9" w:rsidRPr="005F5E37">
        <w:t xml:space="preserve">accused without being satisfied </w:t>
      </w:r>
      <w:r w:rsidR="008623D2" w:rsidRPr="005F5E37">
        <w:t xml:space="preserve">he </w:t>
      </w:r>
      <w:r w:rsidR="00343DF9" w:rsidRPr="005F5E37">
        <w:t>had the requisite intent for murder when he applied the chokehold</w:t>
      </w:r>
      <w:r w:rsidR="005F5E37">
        <w:t>.</w:t>
      </w:r>
      <w:r w:rsidR="00343DF9" w:rsidRPr="005F5E37">
        <w:t xml:space="preserve"> The </w:t>
      </w:r>
      <w:r w:rsidR="00A73B61">
        <w:t>panel</w:t>
      </w:r>
      <w:r w:rsidR="00343DF9" w:rsidRPr="005F5E37">
        <w:t xml:space="preserve"> held that the chokehold was the </w:t>
      </w:r>
      <w:r w:rsidR="00EE7915" w:rsidRPr="005F5E37">
        <w:t>“</w:t>
      </w:r>
      <w:r w:rsidR="00343DF9" w:rsidRPr="005F5E37">
        <w:t xml:space="preserve">starting and ending point of the </w:t>
      </w:r>
      <w:r w:rsidR="00343DF9" w:rsidRPr="00DA230F">
        <w:rPr>
          <w:i/>
          <w:iCs/>
        </w:rPr>
        <w:t>actus reus</w:t>
      </w:r>
      <w:r w:rsidR="00343DF9" w:rsidRPr="005F5E37">
        <w:t xml:space="preserve">” </w:t>
      </w:r>
      <w:r w:rsidR="00EE7915" w:rsidRPr="005F5E37">
        <w:t xml:space="preserve">and the jury had to be satisfied the accused had a murderous intent </w:t>
      </w:r>
      <w:r w:rsidR="00854173" w:rsidRPr="005F5E37">
        <w:t xml:space="preserve">when he applied the </w:t>
      </w:r>
      <w:r w:rsidR="007200A5">
        <w:t>choke</w:t>
      </w:r>
      <w:r w:rsidR="00854173" w:rsidRPr="005F5E37">
        <w:t>hold</w:t>
      </w:r>
      <w:r w:rsidR="009737E1">
        <w:t>, regardless of what happened afterwards</w:t>
      </w:r>
      <w:r w:rsidR="00854173" w:rsidRPr="005F5E37">
        <w:t>.</w:t>
      </w:r>
      <w:r w:rsidR="00B26095">
        <w:t xml:space="preserve"> </w:t>
      </w:r>
    </w:p>
    <w:p w14:paraId="225AC64D" w14:textId="4A9FA659" w:rsidR="00CF581E" w:rsidRDefault="00937E3C" w:rsidP="00A92BE0">
      <w:pPr>
        <w:pStyle w:val="FelskyNumbering12"/>
        <w:spacing w:line="240" w:lineRule="auto"/>
      </w:pPr>
      <w:r>
        <w:t xml:space="preserve">Here, </w:t>
      </w:r>
      <w:r w:rsidR="00603FCF">
        <w:t xml:space="preserve">based on the factual findings of the trial judge, </w:t>
      </w:r>
      <w:r>
        <w:t xml:space="preserve">the </w:t>
      </w:r>
      <w:r w:rsidR="00DA632E" w:rsidRPr="00F536FF">
        <w:rPr>
          <w:i/>
          <w:iCs/>
        </w:rPr>
        <w:t>actus reus</w:t>
      </w:r>
      <w:r w:rsidR="00DA632E">
        <w:t xml:space="preserve"> was</w:t>
      </w:r>
      <w:r>
        <w:t xml:space="preserve"> complete once the victim returned to his vehicle </w:t>
      </w:r>
      <w:r w:rsidR="00BE261B">
        <w:t xml:space="preserve">and </w:t>
      </w:r>
      <w:r w:rsidR="00030FB6">
        <w:t xml:space="preserve">drove it </w:t>
      </w:r>
      <w:r w:rsidR="00603FCF">
        <w:t>“</w:t>
      </w:r>
      <w:r>
        <w:t>under his own volition”.</w:t>
      </w:r>
      <w:r w:rsidR="001E0136">
        <w:t xml:space="preserve"> </w:t>
      </w:r>
      <w:r w:rsidR="007F4E47">
        <w:t xml:space="preserve">We are not suggesting </w:t>
      </w:r>
      <w:r w:rsidR="00EA7779">
        <w:t>that</w:t>
      </w:r>
      <w:r w:rsidR="007B03FE">
        <w:t xml:space="preserve"> the </w:t>
      </w:r>
      <w:r w:rsidR="007B03FE" w:rsidRPr="00F536FF">
        <w:rPr>
          <w:i/>
          <w:iCs/>
        </w:rPr>
        <w:t xml:space="preserve">actus reus </w:t>
      </w:r>
      <w:r w:rsidR="00B24B91">
        <w:t>cannot be</w:t>
      </w:r>
      <w:r w:rsidR="007F4E47">
        <w:t xml:space="preserve"> “a series of acts that might be termed a continuous transaction”</w:t>
      </w:r>
      <w:r w:rsidR="00A34EFD">
        <w:t xml:space="preserve"> as described in </w:t>
      </w:r>
      <w:r w:rsidR="007F4E47" w:rsidRPr="00F536FF">
        <w:rPr>
          <w:i/>
          <w:iCs/>
        </w:rPr>
        <w:t>R v Cooper</w:t>
      </w:r>
      <w:r w:rsidR="007F4E47" w:rsidRPr="0007397A">
        <w:t>,</w:t>
      </w:r>
      <w:r w:rsidR="007F4E47">
        <w:t xml:space="preserve"> </w:t>
      </w:r>
      <w:r w:rsidR="007F4E47" w:rsidRPr="0007397A">
        <w:t>[1993] 1 SCR 146</w:t>
      </w:r>
      <w:r w:rsidR="007F4E47">
        <w:t xml:space="preserve">, </w:t>
      </w:r>
      <w:r w:rsidR="007F4E47" w:rsidRPr="00BA2655">
        <w:t>78 CCC (3d) 289</w:t>
      </w:r>
      <w:r w:rsidR="00761911">
        <w:t>, and as was the Crown’s theory of the case at trial</w:t>
      </w:r>
      <w:r w:rsidR="00CF2421">
        <w:t>.</w:t>
      </w:r>
      <w:r w:rsidR="00910E6E">
        <w:t xml:space="preserve"> </w:t>
      </w:r>
      <w:r w:rsidR="00B74698">
        <w:t xml:space="preserve">But </w:t>
      </w:r>
      <w:r w:rsidR="00020A1B">
        <w:t>here</w:t>
      </w:r>
      <w:r w:rsidR="00716DA0">
        <w:t>,</w:t>
      </w:r>
      <w:r w:rsidR="00020A1B">
        <w:t xml:space="preserve"> </w:t>
      </w:r>
      <w:r w:rsidR="00B74698">
        <w:t>the</w:t>
      </w:r>
      <w:r w:rsidR="00A34EFD">
        <w:t xml:space="preserve"> trial judge wrongly extended the</w:t>
      </w:r>
      <w:r w:rsidR="00B74698">
        <w:t xml:space="preserve"> </w:t>
      </w:r>
      <w:r w:rsidR="00B74698" w:rsidRPr="00F536FF">
        <w:rPr>
          <w:i/>
          <w:iCs/>
        </w:rPr>
        <w:t xml:space="preserve">actus reus </w:t>
      </w:r>
      <w:r w:rsidR="007E30A5">
        <w:t>to include otherwise lawful acts</w:t>
      </w:r>
      <w:r w:rsidR="00781513">
        <w:t xml:space="preserve"> </w:t>
      </w:r>
      <w:r w:rsidR="007E30A5">
        <w:t xml:space="preserve">that </w:t>
      </w:r>
      <w:r w:rsidR="00781513">
        <w:t>were</w:t>
      </w:r>
      <w:r w:rsidR="000C6D54">
        <w:t xml:space="preserve"> not</w:t>
      </w:r>
      <w:r w:rsidR="00415561">
        <w:t xml:space="preserve"> physical components of a crime</w:t>
      </w:r>
      <w:r w:rsidR="000C6D54">
        <w:t xml:space="preserve"> </w:t>
      </w:r>
      <w:r w:rsidR="00761911">
        <w:t>given the trial judge’s factual findings</w:t>
      </w:r>
      <w:r w:rsidR="00415561">
        <w:t>:</w:t>
      </w:r>
      <w:r w:rsidR="00761911">
        <w:t xml:space="preserve"> see</w:t>
      </w:r>
      <w:r w:rsidR="00415561">
        <w:t xml:space="preserve"> </w:t>
      </w:r>
      <w:r w:rsidR="00415561" w:rsidRPr="00F536FF">
        <w:rPr>
          <w:i/>
          <w:iCs/>
        </w:rPr>
        <w:t>R v Rivera</w:t>
      </w:r>
      <w:r w:rsidR="00415561" w:rsidRPr="003E2B64">
        <w:t xml:space="preserve">, 2011 ONCA 225 at para </w:t>
      </w:r>
      <w:r w:rsidR="00415561">
        <w:t>9</w:t>
      </w:r>
      <w:r w:rsidR="00415561" w:rsidRPr="003E2B64">
        <w:t>1</w:t>
      </w:r>
      <w:r w:rsidR="006856C0">
        <w:t xml:space="preserve">, leave to appeal to SCC </w:t>
      </w:r>
      <w:r w:rsidR="00ED1184">
        <w:t>refused, 34270 (29 September 2011)</w:t>
      </w:r>
      <w:r w:rsidR="005002EE">
        <w:t xml:space="preserve"> cited</w:t>
      </w:r>
      <w:r w:rsidR="005849BD">
        <w:t xml:space="preserve"> with approval</w:t>
      </w:r>
      <w:r w:rsidR="005002EE">
        <w:t xml:space="preserve"> in </w:t>
      </w:r>
      <w:r w:rsidR="005002EE" w:rsidRPr="00F536FF">
        <w:rPr>
          <w:i/>
          <w:iCs/>
        </w:rPr>
        <w:t>Shevalev</w:t>
      </w:r>
      <w:r w:rsidR="005002EE">
        <w:t xml:space="preserve"> at para </w:t>
      </w:r>
      <w:r w:rsidR="00ED1184">
        <w:t>77</w:t>
      </w:r>
      <w:r w:rsidR="00D52004">
        <w:t xml:space="preserve">. </w:t>
      </w:r>
      <w:r w:rsidR="00DA230F" w:rsidRPr="00343DF9">
        <w:t>A</w:t>
      </w:r>
      <w:r w:rsidR="00DA230F">
        <w:t xml:space="preserve"> finding that an action is dangerous is not sufficient to establish an unlawful act: see </w:t>
      </w:r>
      <w:r w:rsidR="00DA230F" w:rsidRPr="00F536FF">
        <w:rPr>
          <w:i/>
          <w:iCs/>
        </w:rPr>
        <w:t>R v KT</w:t>
      </w:r>
      <w:r w:rsidR="00DA230F">
        <w:t>, 2005 MBCA 78 at paras 13-14, leave to appeal to SCC refused, 31123 (22 June 2006).</w:t>
      </w:r>
      <w:r w:rsidR="000046A9">
        <w:t xml:space="preserve"> </w:t>
      </w:r>
    </w:p>
    <w:p w14:paraId="5539125E" w14:textId="1DAD7347" w:rsidR="00CB0B13" w:rsidRDefault="00CB0B13" w:rsidP="00A92BE0">
      <w:pPr>
        <w:pStyle w:val="FelskyNumbering12"/>
        <w:spacing w:line="240" w:lineRule="auto"/>
      </w:pPr>
      <w:r>
        <w:t xml:space="preserve">The trial judge compounded his error when he found that the </w:t>
      </w:r>
      <w:r w:rsidRPr="00CB0B13">
        <w:rPr>
          <w:i/>
          <w:iCs/>
        </w:rPr>
        <w:t xml:space="preserve">actus reus </w:t>
      </w:r>
      <w:r>
        <w:t xml:space="preserve">for murder was also established on the basis that the appellant had a legal duty to act. As was made clear in </w:t>
      </w:r>
      <w:r w:rsidRPr="00CB0B13">
        <w:rPr>
          <w:i/>
          <w:iCs/>
        </w:rPr>
        <w:t>R v Bottineau</w:t>
      </w:r>
      <w:r>
        <w:t>, [2006] OJ No 1864 (Ont SCJ) at paras 28-33 per Watt J (as he then was), aff’d 2011 ONCA 194, leave to appeal to SCC refused, 34491 (19 January 2012)</w:t>
      </w:r>
      <w:r w:rsidR="00116B1E">
        <w:t xml:space="preserve"> (emphasis in original):</w:t>
      </w:r>
    </w:p>
    <w:p w14:paraId="09829291" w14:textId="4BE6C25C" w:rsidR="00CB0B13" w:rsidRDefault="00CB0B13" w:rsidP="00A92BE0">
      <w:pPr>
        <w:pStyle w:val="1stQuote"/>
      </w:pPr>
      <w:r w:rsidRPr="00CC4C8F">
        <w:t xml:space="preserve">As a matter of general principle, a crime may be committed by an act or omission, </w:t>
      </w:r>
      <w:r w:rsidRPr="00116B1E">
        <w:rPr>
          <w:i/>
          <w:iCs/>
        </w:rPr>
        <w:t>provided</w:t>
      </w:r>
      <w:r w:rsidRPr="002F1775">
        <w:t xml:space="preserve"> </w:t>
      </w:r>
      <w:r w:rsidRPr="00CC4C8F">
        <w:t xml:space="preserve">the omission is by one and in circumstances in which the law imposes a duty to act. There can be </w:t>
      </w:r>
      <w:r w:rsidRPr="00116B1E">
        <w:rPr>
          <w:i/>
          <w:iCs/>
        </w:rPr>
        <w:t>no</w:t>
      </w:r>
      <w:r w:rsidRPr="00CC4C8F">
        <w:t xml:space="preserve"> culpable omission in the absence of a legal duty to act.  </w:t>
      </w:r>
      <w:r w:rsidRPr="00CC4C8F">
        <w:lastRenderedPageBreak/>
        <w:t xml:space="preserve">See </w:t>
      </w:r>
      <w:r w:rsidRPr="00CC4C8F">
        <w:rPr>
          <w:i/>
          <w:iCs/>
        </w:rPr>
        <w:t>Williams, Textbook of Criminal Law</w:t>
      </w:r>
      <w:r w:rsidRPr="00CC4C8F">
        <w:t xml:space="preserve">, (2d Ed.) para. 7.3 </w:t>
      </w:r>
      <w:r w:rsidRPr="002E0B5C">
        <w:t>Omissions,</w:t>
      </w:r>
      <w:r w:rsidRPr="00CC4C8F">
        <w:t xml:space="preserve"> at pp. 148-9; and </w:t>
      </w:r>
      <w:r w:rsidRPr="00CC4C8F">
        <w:rPr>
          <w:i/>
          <w:iCs/>
        </w:rPr>
        <w:t>Stuart, Canadian Criminal Law</w:t>
      </w:r>
      <w:r w:rsidRPr="00CC4C8F">
        <w:t>, (4th Ed.) at pp. 91-2.</w:t>
      </w:r>
      <w:r>
        <w:t xml:space="preserve"> </w:t>
      </w:r>
    </w:p>
    <w:p w14:paraId="73F23EA5" w14:textId="295FE21B" w:rsidR="009D13A7" w:rsidRDefault="00CB0B13" w:rsidP="00A92BE0">
      <w:pPr>
        <w:pStyle w:val="FelskyNumbering12"/>
        <w:spacing w:line="240" w:lineRule="auto"/>
      </w:pPr>
      <w:r w:rsidRPr="005F61A6">
        <w:t>Thus, the question is, did the appellant have a legal duty to act in the circumstances of this case?</w:t>
      </w:r>
      <w:r>
        <w:t xml:space="preserve"> In our view the answer is no, and the trial judge erred when he </w:t>
      </w:r>
      <w:r w:rsidR="007B4B33">
        <w:t>concluded</w:t>
      </w:r>
      <w:r>
        <w:t xml:space="preserve"> otherwise. </w:t>
      </w:r>
      <w:r w:rsidRPr="00AD71A0">
        <w:t xml:space="preserve">The trial judge found </w:t>
      </w:r>
      <w:r w:rsidR="00D52E8D">
        <w:t>th</w:t>
      </w:r>
      <w:r w:rsidR="00111AB8">
        <w:t>e act of</w:t>
      </w:r>
      <w:r w:rsidR="00E55614">
        <w:t xml:space="preserve"> </w:t>
      </w:r>
      <w:r w:rsidR="00D01024">
        <w:t xml:space="preserve">murder occurred when the appellant left the scene after the robbery, </w:t>
      </w:r>
      <w:r w:rsidR="00390A0B">
        <w:t xml:space="preserve">knowing the victim was injured, </w:t>
      </w:r>
      <w:r w:rsidR="00D01024">
        <w:t>wi</w:t>
      </w:r>
      <w:r w:rsidR="00A706AE">
        <w:t xml:space="preserve">thout a jacket in a car with </w:t>
      </w:r>
      <w:r w:rsidR="00390A0B">
        <w:t>smashed windows</w:t>
      </w:r>
      <w:r w:rsidR="00A706AE">
        <w:t xml:space="preserve">, </w:t>
      </w:r>
      <w:r w:rsidRPr="00AD71A0">
        <w:t>up against a snowbank in temperature</w:t>
      </w:r>
      <w:r w:rsidR="009F7C4F">
        <w:t>s</w:t>
      </w:r>
      <w:r w:rsidRPr="00AD71A0">
        <w:t xml:space="preserve"> of minus 22</w:t>
      </w:r>
      <w:r w:rsidR="007125F1">
        <w:t xml:space="preserve"> degrees</w:t>
      </w:r>
      <w:r w:rsidRPr="00AD71A0">
        <w:t xml:space="preserve"> Celsius.</w:t>
      </w:r>
      <w:r>
        <w:t xml:space="preserve"> </w:t>
      </w:r>
      <w:r w:rsidR="00502B9D">
        <w:t>However, n</w:t>
      </w:r>
      <w:r>
        <w:t xml:space="preserve">o federal or provincial statute imposed a legal duty on the appellant “to make sure [the victim] was not left exposed to the elements”. </w:t>
      </w:r>
      <w:r w:rsidRPr="005D4254">
        <w:t xml:space="preserve">This is not a situation where, for example, a statutory duty to provide the </w:t>
      </w:r>
      <w:r w:rsidRPr="00043116">
        <w:t>“necessaries of life” to an individual exists, see for example sections 215 and 218</w:t>
      </w:r>
      <w:r w:rsidR="0078125E">
        <w:t xml:space="preserve"> </w:t>
      </w:r>
      <w:r w:rsidRPr="00043116">
        <w:t xml:space="preserve">of the </w:t>
      </w:r>
      <w:r w:rsidRPr="00043116">
        <w:rPr>
          <w:i/>
          <w:iCs/>
        </w:rPr>
        <w:t>Criminal Code</w:t>
      </w:r>
      <w:r w:rsidR="00EA6989">
        <w:t>.</w:t>
      </w:r>
    </w:p>
    <w:p w14:paraId="20D181A4" w14:textId="4A2AB14E" w:rsidR="00510471" w:rsidRDefault="00510471" w:rsidP="00A92BE0">
      <w:pPr>
        <w:pStyle w:val="FelskyNumbering12"/>
        <w:numPr>
          <w:ilvl w:val="0"/>
          <w:numId w:val="0"/>
        </w:numPr>
        <w:spacing w:line="240" w:lineRule="auto"/>
        <w:ind w:left="720"/>
        <w:rPr>
          <w:u w:val="single"/>
        </w:rPr>
      </w:pPr>
      <w:r>
        <w:rPr>
          <w:u w:val="single"/>
        </w:rPr>
        <w:t xml:space="preserve">The concurrence principle and </w:t>
      </w:r>
      <w:r>
        <w:rPr>
          <w:i/>
          <w:iCs/>
          <w:u w:val="single"/>
        </w:rPr>
        <w:t>mens rea</w:t>
      </w:r>
    </w:p>
    <w:p w14:paraId="6448BF89" w14:textId="2953DD66" w:rsidR="00510471" w:rsidRDefault="00510471" w:rsidP="00A92BE0">
      <w:pPr>
        <w:pStyle w:val="FelskyNumbering12"/>
        <w:spacing w:line="240" w:lineRule="auto"/>
      </w:pPr>
      <w:r>
        <w:t xml:space="preserve">The trial judge considered the bodily harm inflicted during the robbery was “very serious”. </w:t>
      </w:r>
      <w:r w:rsidRPr="0073566A">
        <w:t>However, he could not</w:t>
      </w:r>
      <w:r w:rsidR="004A063F" w:rsidRPr="0073566A">
        <w:t>, and</w:t>
      </w:r>
      <w:r w:rsidR="004A063F">
        <w:t xml:space="preserve"> did not,</w:t>
      </w:r>
      <w:r>
        <w:t xml:space="preserve"> draw the conclusion that the appellant would have known that the bodily harm inflicted during the robbery was likely to cause death. </w:t>
      </w:r>
    </w:p>
    <w:p w14:paraId="14A89186" w14:textId="5706DB13" w:rsidR="00510471" w:rsidRDefault="00ED2A2D" w:rsidP="00A92BE0">
      <w:pPr>
        <w:pStyle w:val="FelskyNumbering12"/>
        <w:spacing w:line="240" w:lineRule="auto"/>
      </w:pPr>
      <w:r>
        <w:t>T</w:t>
      </w:r>
      <w:r w:rsidR="00510471">
        <w:t>he trial judge convicted the appellant of second-degree murder</w:t>
      </w:r>
      <w:r w:rsidR="004A063F">
        <w:t xml:space="preserve"> even though he found that the </w:t>
      </w:r>
      <w:r w:rsidR="004A063F">
        <w:rPr>
          <w:i/>
          <w:iCs/>
        </w:rPr>
        <w:t xml:space="preserve">mens rea </w:t>
      </w:r>
      <w:r w:rsidR="004A063F">
        <w:t xml:space="preserve">for murder did not coincide with the unlawful act, </w:t>
      </w:r>
      <w:r>
        <w:t xml:space="preserve">that is </w:t>
      </w:r>
      <w:r w:rsidR="004A063F">
        <w:t>the robbery. While t</w:t>
      </w:r>
      <w:r w:rsidR="00510471">
        <w:t xml:space="preserve">he law does not require that the guilty act and intent be completely concurrent, the law requires that they coincide at some point: </w:t>
      </w:r>
      <w:r w:rsidR="00877E5A">
        <w:rPr>
          <w:i/>
          <w:iCs/>
        </w:rPr>
        <w:t xml:space="preserve">Cooper; </w:t>
      </w:r>
      <w:r w:rsidR="00510471" w:rsidRPr="004A063F">
        <w:rPr>
          <w:i/>
          <w:iCs/>
        </w:rPr>
        <w:t>Shevalev</w:t>
      </w:r>
      <w:r w:rsidR="00510471">
        <w:t xml:space="preserve">. </w:t>
      </w:r>
      <w:r>
        <w:t xml:space="preserve">Having found that the trial judge erred in extending the </w:t>
      </w:r>
      <w:r w:rsidR="004A063F" w:rsidRPr="004A063F">
        <w:rPr>
          <w:i/>
          <w:iCs/>
        </w:rPr>
        <w:t xml:space="preserve">actus reus </w:t>
      </w:r>
      <w:r w:rsidR="004A063F">
        <w:t xml:space="preserve">to include the act of leaving, </w:t>
      </w:r>
      <w:r>
        <w:t>it follows that the c</w:t>
      </w:r>
      <w:r w:rsidR="004A063F">
        <w:t>oncurrence principle</w:t>
      </w:r>
      <w:r>
        <w:t xml:space="preserve"> was not satisfied</w:t>
      </w:r>
      <w:r w:rsidR="004A063F">
        <w:t xml:space="preserve">, as required by </w:t>
      </w:r>
      <w:r w:rsidR="004A063F" w:rsidRPr="004A063F">
        <w:rPr>
          <w:i/>
          <w:iCs/>
        </w:rPr>
        <w:t>Cooper</w:t>
      </w:r>
      <w:r w:rsidR="004A063F">
        <w:t>.</w:t>
      </w:r>
    </w:p>
    <w:p w14:paraId="7D813998" w14:textId="7D15C955" w:rsidR="00510471" w:rsidRPr="00510471" w:rsidRDefault="00510471" w:rsidP="00A92BE0">
      <w:pPr>
        <w:pStyle w:val="FelskyNumbering12"/>
        <w:numPr>
          <w:ilvl w:val="0"/>
          <w:numId w:val="0"/>
        </w:numPr>
        <w:spacing w:line="240" w:lineRule="auto"/>
        <w:ind w:left="720"/>
      </w:pPr>
      <w:r>
        <w:rPr>
          <w:u w:val="single"/>
        </w:rPr>
        <w:t>Remedy</w:t>
      </w:r>
    </w:p>
    <w:p w14:paraId="24A1A225" w14:textId="4EB9C355" w:rsidR="00142084" w:rsidRPr="00043116" w:rsidRDefault="00014B10" w:rsidP="00A92BE0">
      <w:pPr>
        <w:pStyle w:val="FelskyNumbering12"/>
        <w:spacing w:line="240" w:lineRule="auto"/>
      </w:pPr>
      <w:r>
        <w:t>During the Crown’s sentencing submissions the trial judge reiterated his finding that “up until the moment when [the appellant] decided to leave the scene, this was a manslaughter. There was nothing about the injuries to the deceased that would have caused [the appellant] to know that death was likely”</w:t>
      </w:r>
      <w:r w:rsidR="00DD08E2">
        <w:t xml:space="preserve"> [</w:t>
      </w:r>
      <w:r>
        <w:t>Transcript 2496/15-19</w:t>
      </w:r>
      <w:r w:rsidR="00DD08E2">
        <w:t>]</w:t>
      </w:r>
      <w:r>
        <w:t>.</w:t>
      </w:r>
      <w:r w:rsidR="004A3A9F">
        <w:t xml:space="preserve"> </w:t>
      </w:r>
      <w:r w:rsidR="00E07F67">
        <w:t>In light of the error</w:t>
      </w:r>
      <w:r w:rsidR="00CD5370">
        <w:t>s</w:t>
      </w:r>
      <w:r w:rsidR="00E07F67">
        <w:t xml:space="preserve"> identified above, w</w:t>
      </w:r>
      <w:r w:rsidR="00D9748F">
        <w:t>e are</w:t>
      </w:r>
      <w:r w:rsidR="00320FAE">
        <w:t xml:space="preserve"> therefore</w:t>
      </w:r>
      <w:r w:rsidR="00D9748F">
        <w:t xml:space="preserve"> satisfied that although the appellant was not properly convicted of second-degree murder, he was properly convicted of</w:t>
      </w:r>
      <w:r w:rsidR="00BA210B">
        <w:t xml:space="preserve"> the included offence of</w:t>
      </w:r>
      <w:r w:rsidR="00D9748F">
        <w:t xml:space="preserve"> manslaughter. Under sections 686(1)(b)(i) and 686(3)</w:t>
      </w:r>
      <w:r w:rsidR="00432D2C">
        <w:t xml:space="preserve"> of the </w:t>
      </w:r>
      <w:r w:rsidR="00432D2C">
        <w:rPr>
          <w:i/>
          <w:iCs/>
        </w:rPr>
        <w:t>Criminal Code</w:t>
      </w:r>
      <w:r w:rsidR="00D9748F">
        <w:t xml:space="preserve">, we therefore dismiss the appeal, set aside the </w:t>
      </w:r>
      <w:r w:rsidR="004C533A">
        <w:t xml:space="preserve">second-degree </w:t>
      </w:r>
      <w:r w:rsidR="00D9748F">
        <w:t>murder conviction, substitute a conviction for manslaughter</w:t>
      </w:r>
      <w:r w:rsidR="00BA210B">
        <w:t>, and remit the matter of sentencing for manslaughter to the trial court</w:t>
      </w:r>
      <w:r w:rsidR="004A797D">
        <w:t xml:space="preserve">: </w:t>
      </w:r>
      <w:r w:rsidR="004A797D" w:rsidRPr="001E28D4">
        <w:rPr>
          <w:i/>
          <w:iCs/>
        </w:rPr>
        <w:t>R</w:t>
      </w:r>
      <w:r w:rsidR="00DD08E2">
        <w:rPr>
          <w:i/>
          <w:iCs/>
        </w:rPr>
        <w:t>egina</w:t>
      </w:r>
      <w:r w:rsidR="004A797D" w:rsidRPr="001E28D4">
        <w:rPr>
          <w:i/>
          <w:iCs/>
        </w:rPr>
        <w:t xml:space="preserve"> v Nantais</w:t>
      </w:r>
      <w:r w:rsidR="004A797D">
        <w:t>, [1966] 2 OR 246,</w:t>
      </w:r>
      <w:r w:rsidR="003A46D5">
        <w:t xml:space="preserve"> </w:t>
      </w:r>
      <w:r w:rsidR="00BA210B">
        <w:t>[1966] 4 CCC 108 (CA).</w:t>
      </w:r>
    </w:p>
    <w:p w14:paraId="65232C82" w14:textId="3FAFBDA6" w:rsidR="007D7912" w:rsidRPr="007D7912" w:rsidRDefault="007D7912" w:rsidP="00A92BE0">
      <w:pPr>
        <w:pStyle w:val="FelskyNumbering12"/>
        <w:numPr>
          <w:ilvl w:val="0"/>
          <w:numId w:val="0"/>
        </w:numPr>
        <w:spacing w:line="240" w:lineRule="auto"/>
      </w:pPr>
      <w:r>
        <w:rPr>
          <w:b/>
          <w:bCs/>
        </w:rPr>
        <w:t>Sentence Appeal</w:t>
      </w:r>
    </w:p>
    <w:p w14:paraId="2C7BF63D" w14:textId="7EF66725" w:rsidR="008D1F28" w:rsidRPr="008D1F28" w:rsidRDefault="008D1F28" w:rsidP="00A92BE0">
      <w:pPr>
        <w:pStyle w:val="FelskyNumbering12"/>
        <w:numPr>
          <w:ilvl w:val="0"/>
          <w:numId w:val="0"/>
        </w:numPr>
        <w:spacing w:line="240" w:lineRule="auto"/>
        <w:rPr>
          <w:u w:val="single"/>
        </w:rPr>
      </w:pPr>
      <w:r>
        <w:rPr>
          <w:u w:val="single"/>
        </w:rPr>
        <w:t>Positions on Sentence</w:t>
      </w:r>
    </w:p>
    <w:p w14:paraId="5C35C064" w14:textId="605ADB27" w:rsidR="00F17EF8" w:rsidRDefault="00F17EF8" w:rsidP="00A92BE0">
      <w:pPr>
        <w:pStyle w:val="FelskyNumbering12"/>
        <w:spacing w:line="240" w:lineRule="auto"/>
      </w:pPr>
      <w:r>
        <w:t>The Crown</w:t>
      </w:r>
      <w:r w:rsidR="00182CB5">
        <w:t xml:space="preserve"> </w:t>
      </w:r>
      <w:r w:rsidR="0064512A">
        <w:t xml:space="preserve">and defence both </w:t>
      </w:r>
      <w:r w:rsidR="00182CB5">
        <w:t xml:space="preserve">sought a six-year sentence for the robbery charge to be served concurrently with </w:t>
      </w:r>
      <w:r w:rsidR="00822F95">
        <w:t xml:space="preserve">the second-degree murder sentence. </w:t>
      </w:r>
      <w:r w:rsidR="0064512A">
        <w:t>Since the parties were in agreement on the robbery sentence, the</w:t>
      </w:r>
      <w:r w:rsidR="00630509">
        <w:t xml:space="preserve"> parties’</w:t>
      </w:r>
      <w:r w:rsidR="0064512A">
        <w:t xml:space="preserve"> sentencing submissions focused</w:t>
      </w:r>
      <w:r w:rsidR="003D279B">
        <w:t xml:space="preserve"> </w:t>
      </w:r>
      <w:r w:rsidR="00630509">
        <w:t>exclusively</w:t>
      </w:r>
      <w:r w:rsidR="003D279B">
        <w:t xml:space="preserve"> on the parole ineligibility period </w:t>
      </w:r>
      <w:r w:rsidR="003C6253">
        <w:t>for the</w:t>
      </w:r>
      <w:r w:rsidR="003D279B">
        <w:t xml:space="preserve"> second-degree murder conviction</w:t>
      </w:r>
      <w:r w:rsidR="005A64BE">
        <w:t xml:space="preserve"> (the Crown sought 15 years while defence sought ten years).</w:t>
      </w:r>
    </w:p>
    <w:p w14:paraId="4634C9AE" w14:textId="727953BA" w:rsidR="007C04EC" w:rsidRDefault="00126A78" w:rsidP="00A92BE0">
      <w:pPr>
        <w:pStyle w:val="FelskyNumbering12"/>
        <w:spacing w:line="240" w:lineRule="auto"/>
      </w:pPr>
      <w:r>
        <w:lastRenderedPageBreak/>
        <w:t xml:space="preserve">The </w:t>
      </w:r>
      <w:r w:rsidR="00941686" w:rsidRPr="00941686">
        <w:rPr>
          <w:lang w:val="en-US"/>
        </w:rPr>
        <w:t xml:space="preserve">Crown referred the trial judge to </w:t>
      </w:r>
      <w:r w:rsidR="00941686" w:rsidRPr="00941686">
        <w:rPr>
          <w:i/>
          <w:iCs/>
          <w:lang w:val="en-US"/>
        </w:rPr>
        <w:t>R v Ryan</w:t>
      </w:r>
      <w:r w:rsidR="00941686" w:rsidRPr="00941686">
        <w:rPr>
          <w:lang w:val="en-US"/>
        </w:rPr>
        <w:t>, 2015 ABCA 286 at para 57,</w:t>
      </w:r>
      <w:r w:rsidR="00DD08E2">
        <w:rPr>
          <w:lang w:val="en-US"/>
        </w:rPr>
        <w:t xml:space="preserve"> leave to appeal to SCC refused, 36841 (26 May 2016)</w:t>
      </w:r>
      <w:r w:rsidR="00941686" w:rsidRPr="00941686">
        <w:rPr>
          <w:lang w:val="en-US"/>
        </w:rPr>
        <w:t xml:space="preserve"> where Picard JA outlined a number of factors to be considered under section 745.4 of the </w:t>
      </w:r>
      <w:r w:rsidR="00941686" w:rsidRPr="00941686">
        <w:rPr>
          <w:i/>
          <w:iCs/>
          <w:lang w:val="en-US"/>
        </w:rPr>
        <w:t xml:space="preserve">Criminal Code </w:t>
      </w:r>
      <w:r w:rsidR="00941686" w:rsidRPr="00941686">
        <w:rPr>
          <w:lang w:val="en-US"/>
        </w:rPr>
        <w:t xml:space="preserve">when determining the parole ineligibility period. </w:t>
      </w:r>
      <w:r w:rsidR="007C04EC">
        <w:t>During the Crown’s submissions</w:t>
      </w:r>
      <w:r w:rsidR="00101192">
        <w:t xml:space="preserve"> the trial judge</w:t>
      </w:r>
      <w:r>
        <w:t xml:space="preserve"> asked the Crown </w:t>
      </w:r>
      <w:r w:rsidR="00940B37">
        <w:t>whether those factors ought to be attributed as aggravating to the murder or to the robbery, and the trial judge stated:</w:t>
      </w:r>
    </w:p>
    <w:p w14:paraId="14C13745" w14:textId="62752E36" w:rsidR="00940B37" w:rsidRDefault="003F08FB" w:rsidP="00A92BE0">
      <w:pPr>
        <w:pStyle w:val="1stQuote"/>
      </w:pPr>
      <w:r>
        <w:t xml:space="preserve">What I have a hard time </w:t>
      </w:r>
      <w:r w:rsidR="00CF3B4C">
        <w:t>with</w:t>
      </w:r>
      <w:r>
        <w:t xml:space="preserve"> is taking the aggravating factors on the robbery, which</w:t>
      </w:r>
      <w:r w:rsidR="00DD08E2">
        <w:t>,</w:t>
      </w:r>
      <w:r>
        <w:t xml:space="preserve"> frankly, I would have given substantially more than six years for, and attaching those same aggravating factors to the death, which is somewhat discontinuous in time.</w:t>
      </w:r>
      <w:r w:rsidR="00DD08E2">
        <w:t xml:space="preserve"> [Transcript 2497/3-8]</w:t>
      </w:r>
    </w:p>
    <w:p w14:paraId="3844FEF6" w14:textId="067B669E" w:rsidR="00940B37" w:rsidRDefault="001A5E96" w:rsidP="00A92BE0">
      <w:pPr>
        <w:pStyle w:val="FelskyNumbering12"/>
        <w:spacing w:line="240" w:lineRule="auto"/>
      </w:pPr>
      <w:r>
        <w:t xml:space="preserve">Neither the Crown </w:t>
      </w:r>
      <w:r w:rsidR="003C6253">
        <w:t>nor</w:t>
      </w:r>
      <w:r>
        <w:t xml:space="preserve"> defence counsel addressed the trial judge’s comment </w:t>
      </w:r>
      <w:r w:rsidR="001F60DC">
        <w:t>that he “would have given substantially more than six years”</w:t>
      </w:r>
      <w:r>
        <w:t xml:space="preserve"> for</w:t>
      </w:r>
      <w:r w:rsidR="00A72D49">
        <w:t xml:space="preserve"> the</w:t>
      </w:r>
      <w:r>
        <w:t xml:space="preserve"> robbery.</w:t>
      </w:r>
    </w:p>
    <w:p w14:paraId="30FD10F7" w14:textId="7778477D" w:rsidR="007C04EC" w:rsidRPr="007C04EC" w:rsidRDefault="007C04EC" w:rsidP="00A92BE0">
      <w:pPr>
        <w:pStyle w:val="FelskyNumbering12"/>
        <w:numPr>
          <w:ilvl w:val="0"/>
          <w:numId w:val="0"/>
        </w:numPr>
        <w:spacing w:line="240" w:lineRule="auto"/>
        <w:rPr>
          <w:u w:val="single"/>
        </w:rPr>
      </w:pPr>
      <w:r>
        <w:rPr>
          <w:u w:val="single"/>
        </w:rPr>
        <w:t xml:space="preserve">Circumstances of the </w:t>
      </w:r>
      <w:r w:rsidR="00362FEC">
        <w:rPr>
          <w:u w:val="single"/>
        </w:rPr>
        <w:t>Offence and the Offender</w:t>
      </w:r>
    </w:p>
    <w:p w14:paraId="1BBB3848" w14:textId="699F8B37" w:rsidR="007C04EC" w:rsidRDefault="00362FEC" w:rsidP="00A92BE0">
      <w:pPr>
        <w:pStyle w:val="FelskyNumbering12"/>
        <w:spacing w:line="240" w:lineRule="auto"/>
      </w:pPr>
      <w:r>
        <w:t xml:space="preserve">In addition to the facts set out earlier, the following findings of the trial judge are </w:t>
      </w:r>
      <w:r w:rsidR="00C12CA4">
        <w:t xml:space="preserve">relevant </w:t>
      </w:r>
      <w:r>
        <w:t xml:space="preserve">to the </w:t>
      </w:r>
      <w:r w:rsidR="00C17A49">
        <w:t>robbery sentence:</w:t>
      </w:r>
    </w:p>
    <w:p w14:paraId="7A68E3BA" w14:textId="01FFAF95" w:rsidR="00C17A49" w:rsidRDefault="00C17A49" w:rsidP="00A92BE0">
      <w:pPr>
        <w:pStyle w:val="ListParagraph"/>
        <w:numPr>
          <w:ilvl w:val="0"/>
          <w:numId w:val="10"/>
        </w:numPr>
        <w:spacing w:line="240" w:lineRule="auto"/>
      </w:pPr>
      <w:r>
        <w:t>The appellant was actively involved in planning the robbery</w:t>
      </w:r>
      <w:r w:rsidR="008A356F">
        <w:t>.</w:t>
      </w:r>
    </w:p>
    <w:p w14:paraId="453E12A7" w14:textId="77777777" w:rsidR="001F60DC" w:rsidRDefault="008A356F" w:rsidP="00A92BE0">
      <w:pPr>
        <w:pStyle w:val="ListParagraph"/>
        <w:numPr>
          <w:ilvl w:val="0"/>
          <w:numId w:val="10"/>
        </w:numPr>
        <w:spacing w:line="240" w:lineRule="auto"/>
      </w:pPr>
      <w:r>
        <w:t xml:space="preserve">The appellant </w:t>
      </w:r>
      <w:r w:rsidR="006D199E">
        <w:t>looked for old clothes to disguise himself and Levi</w:t>
      </w:r>
      <w:r w:rsidR="001F60DC">
        <w:t xml:space="preserve">. </w:t>
      </w:r>
    </w:p>
    <w:p w14:paraId="0F8AAD1E" w14:textId="0FAEF01C" w:rsidR="008A356F" w:rsidRDefault="001F60DC" w:rsidP="00A92BE0">
      <w:pPr>
        <w:pStyle w:val="ListParagraph"/>
        <w:numPr>
          <w:ilvl w:val="0"/>
          <w:numId w:val="10"/>
        </w:numPr>
        <w:spacing w:line="240" w:lineRule="auto"/>
      </w:pPr>
      <w:r>
        <w:t>T</w:t>
      </w:r>
      <w:r w:rsidR="006D199E">
        <w:t>he appellant brought a rope and other weapons.</w:t>
      </w:r>
    </w:p>
    <w:p w14:paraId="48E221AB" w14:textId="57AB4A0F" w:rsidR="006D199E" w:rsidRDefault="006D199E" w:rsidP="00A92BE0">
      <w:pPr>
        <w:pStyle w:val="ListParagraph"/>
        <w:numPr>
          <w:ilvl w:val="0"/>
          <w:numId w:val="10"/>
        </w:numPr>
        <w:spacing w:line="240" w:lineRule="auto"/>
      </w:pPr>
      <w:r>
        <w:t>The appellant drove the skidoo.</w:t>
      </w:r>
    </w:p>
    <w:p w14:paraId="2E9CD53A" w14:textId="7075F0E5" w:rsidR="006D199E" w:rsidRDefault="006D199E" w:rsidP="00A92BE0">
      <w:pPr>
        <w:pStyle w:val="ListParagraph"/>
        <w:numPr>
          <w:ilvl w:val="0"/>
          <w:numId w:val="10"/>
        </w:numPr>
        <w:spacing w:line="240" w:lineRule="auto"/>
      </w:pPr>
      <w:r>
        <w:t>After the robbery, the appellant took Tyler to find the victim’s stash of drugs</w:t>
      </w:r>
      <w:r w:rsidR="001F60DC">
        <w:t xml:space="preserve"> at a second location.</w:t>
      </w:r>
    </w:p>
    <w:p w14:paraId="4D241F67" w14:textId="04DBCF11" w:rsidR="00EF2DF3" w:rsidRDefault="00EF2DF3" w:rsidP="00A92BE0">
      <w:pPr>
        <w:pStyle w:val="ListParagraph"/>
        <w:numPr>
          <w:ilvl w:val="0"/>
          <w:numId w:val="10"/>
        </w:numPr>
        <w:spacing w:line="240" w:lineRule="auto"/>
      </w:pPr>
      <w:r>
        <w:t xml:space="preserve">The appellant and Levi </w:t>
      </w:r>
      <w:r w:rsidR="00A72D49">
        <w:t>“</w:t>
      </w:r>
      <w:r>
        <w:t>dummy-locked</w:t>
      </w:r>
      <w:r w:rsidR="00A72D49">
        <w:t>”</w:t>
      </w:r>
      <w:r>
        <w:t xml:space="preserve"> the gate to avoid being disturbed in the act of robbing the victim.</w:t>
      </w:r>
    </w:p>
    <w:p w14:paraId="599D4160" w14:textId="2ADE272A" w:rsidR="00EF2DF3" w:rsidRDefault="00EF2DF3" w:rsidP="00A92BE0">
      <w:pPr>
        <w:pStyle w:val="ListParagraph"/>
        <w:numPr>
          <w:ilvl w:val="0"/>
          <w:numId w:val="10"/>
        </w:numPr>
        <w:spacing w:line="240" w:lineRule="auto"/>
      </w:pPr>
      <w:r>
        <w:t>The appellant had been drinking but there was nothing to suggest he was anything more than slightly impaired.</w:t>
      </w:r>
    </w:p>
    <w:p w14:paraId="093F88D9" w14:textId="79E535C7" w:rsidR="00EF2DF3" w:rsidRDefault="00EF2DF3" w:rsidP="00A92BE0">
      <w:pPr>
        <w:pStyle w:val="ListParagraph"/>
        <w:numPr>
          <w:ilvl w:val="0"/>
          <w:numId w:val="10"/>
        </w:numPr>
        <w:spacing w:line="240" w:lineRule="auto"/>
      </w:pPr>
      <w:r>
        <w:t>Levi Cayen caused most of the injuries to the victim.</w:t>
      </w:r>
    </w:p>
    <w:p w14:paraId="082177E7" w14:textId="26FF8EDD" w:rsidR="00C96F75" w:rsidRDefault="00C96F75" w:rsidP="00A92BE0">
      <w:pPr>
        <w:pStyle w:val="ListParagraph"/>
        <w:numPr>
          <w:ilvl w:val="0"/>
          <w:numId w:val="10"/>
        </w:numPr>
        <w:spacing w:line="240" w:lineRule="auto"/>
      </w:pPr>
      <w:r>
        <w:t>The appellant expected violence to take place during the robbery</w:t>
      </w:r>
      <w:r w:rsidR="00CF3B4C">
        <w:t xml:space="preserve"> and knew that Levi was beating the victim</w:t>
      </w:r>
      <w:r>
        <w:t>, but he did not expect Levi to go as far as he did.</w:t>
      </w:r>
    </w:p>
    <w:p w14:paraId="354AB6FA" w14:textId="2C105CC2" w:rsidR="00A54CE9" w:rsidRDefault="00A54CE9" w:rsidP="00A92BE0">
      <w:pPr>
        <w:pStyle w:val="ListParagraph"/>
        <w:numPr>
          <w:ilvl w:val="0"/>
          <w:numId w:val="10"/>
        </w:numPr>
        <w:spacing w:line="240" w:lineRule="auto"/>
      </w:pPr>
      <w:r>
        <w:t>The intention of the appellant was to attack the victim, steal whatever drugs and money he had on him, force him to reveal the location of his stash, and then let him go.</w:t>
      </w:r>
    </w:p>
    <w:p w14:paraId="0E6D386E" w14:textId="3A8AD503" w:rsidR="00C96F75" w:rsidRDefault="00C96F75" w:rsidP="00A92BE0">
      <w:pPr>
        <w:pStyle w:val="ListParagraph"/>
        <w:numPr>
          <w:ilvl w:val="0"/>
          <w:numId w:val="10"/>
        </w:numPr>
        <w:spacing w:line="240" w:lineRule="auto"/>
      </w:pPr>
      <w:r>
        <w:t>The victim’s coat was taken during the robbery and later burned.</w:t>
      </w:r>
      <w:r w:rsidR="00AA32CE">
        <w:t xml:space="preserve"> The taking of the coat was not done to harm the victim but was done in order to search it more thoroughly for drugs and cash. But the effect of taking the coat made the victim more vulnerable to the cold.</w:t>
      </w:r>
    </w:p>
    <w:p w14:paraId="54236B74" w14:textId="6E06BF96" w:rsidR="00BD54EF" w:rsidRDefault="00BD54EF" w:rsidP="00A92BE0">
      <w:pPr>
        <w:pStyle w:val="ListParagraph"/>
        <w:numPr>
          <w:ilvl w:val="0"/>
          <w:numId w:val="10"/>
        </w:numPr>
        <w:spacing w:line="240" w:lineRule="auto"/>
      </w:pPr>
      <w:r>
        <w:lastRenderedPageBreak/>
        <w:t>The rope was used during an interrogation and for a time the victim was forcibly confined.</w:t>
      </w:r>
    </w:p>
    <w:p w14:paraId="1908B7C3" w14:textId="1E9FC75E" w:rsidR="00BD54EF" w:rsidRDefault="00BD54EF" w:rsidP="00A92BE0">
      <w:pPr>
        <w:pStyle w:val="ListParagraph"/>
        <w:numPr>
          <w:ilvl w:val="0"/>
          <w:numId w:val="10"/>
        </w:numPr>
        <w:spacing w:line="240" w:lineRule="auto"/>
      </w:pPr>
      <w:r>
        <w:t>The victim was allowed to leave the location of the robbery. He either got into the car by himself or was assisted back into the vehicle.</w:t>
      </w:r>
    </w:p>
    <w:p w14:paraId="61E9631C" w14:textId="7FBE2F76" w:rsidR="00EE415F" w:rsidRDefault="00BE4D5A" w:rsidP="00A92BE0">
      <w:pPr>
        <w:pStyle w:val="FelskyNumbering12"/>
        <w:spacing w:line="240" w:lineRule="auto"/>
      </w:pPr>
      <w:r>
        <w:t>At the time of the offence</w:t>
      </w:r>
      <w:r w:rsidR="00C22B12">
        <w:t xml:space="preserve"> the appellant </w:t>
      </w:r>
      <w:r w:rsidR="00EE415F">
        <w:t>was 25 years old</w:t>
      </w:r>
      <w:r w:rsidR="00722191">
        <w:t xml:space="preserve"> and the </w:t>
      </w:r>
      <w:r w:rsidR="00FA754F">
        <w:t>trial</w:t>
      </w:r>
      <w:r w:rsidR="00722191">
        <w:t xml:space="preserve"> judge considered him “on the edge” of being a youthful first offender</w:t>
      </w:r>
      <w:r w:rsidR="00EE415F">
        <w:t xml:space="preserve">. </w:t>
      </w:r>
      <w:r w:rsidR="001D2D0C">
        <w:t xml:space="preserve">He had a </w:t>
      </w:r>
      <w:r w:rsidR="00FD17FF">
        <w:t xml:space="preserve">relatively </w:t>
      </w:r>
      <w:r w:rsidR="001D2D0C">
        <w:t>short and minor criminal record</w:t>
      </w:r>
      <w:r w:rsidR="00454896">
        <w:t xml:space="preserve">, </w:t>
      </w:r>
      <w:r w:rsidR="00A72D49">
        <w:t>and</w:t>
      </w:r>
      <w:r w:rsidR="00722191">
        <w:t xml:space="preserve"> </w:t>
      </w:r>
      <w:r w:rsidR="00EB0C28">
        <w:t>none of th</w:t>
      </w:r>
      <w:r w:rsidR="00626433">
        <w:t>e prior</w:t>
      </w:r>
      <w:r w:rsidR="00EB0C28">
        <w:t xml:space="preserve"> offences w</w:t>
      </w:r>
      <w:r w:rsidR="00CF3B4C">
        <w:t xml:space="preserve">as an </w:t>
      </w:r>
      <w:r w:rsidR="00EB0C28">
        <w:t>offence of violence</w:t>
      </w:r>
      <w:r w:rsidR="00454896">
        <w:t>. He was engaged at a low level in the drug trade.</w:t>
      </w:r>
      <w:r w:rsidR="00975B8A">
        <w:t xml:space="preserve"> </w:t>
      </w:r>
      <w:r w:rsidR="00EE415F">
        <w:t xml:space="preserve">The </w:t>
      </w:r>
      <w:r w:rsidR="00FA754F">
        <w:t>trial</w:t>
      </w:r>
      <w:r w:rsidR="00EE415F">
        <w:t xml:space="preserve"> judge had the benefit of a pre-sentence report</w:t>
      </w:r>
      <w:r w:rsidR="005B4B8F">
        <w:t xml:space="preserve"> that documented</w:t>
      </w:r>
      <w:r w:rsidR="00050E13">
        <w:t xml:space="preserve"> a life of hardship and tragic loss. The appellant was addicted to methamphetamine and had a long-term issue with alcohol. The </w:t>
      </w:r>
      <w:r w:rsidR="00FA754F">
        <w:t>trial</w:t>
      </w:r>
      <w:r w:rsidR="00050E13">
        <w:t xml:space="preserve"> judge found that there were significant </w:t>
      </w:r>
      <w:r w:rsidR="00050E13">
        <w:rPr>
          <w:i/>
          <w:iCs/>
        </w:rPr>
        <w:t xml:space="preserve">Gladue </w:t>
      </w:r>
      <w:r w:rsidR="00050E13">
        <w:t>factors</w:t>
      </w:r>
      <w:r w:rsidR="00990C06">
        <w:t xml:space="preserve"> present in this case.</w:t>
      </w:r>
    </w:p>
    <w:p w14:paraId="2A8F4346" w14:textId="71B75319" w:rsidR="00990C06" w:rsidRDefault="00990C06" w:rsidP="00A92BE0">
      <w:pPr>
        <w:pStyle w:val="FelskyNumbering12"/>
        <w:spacing w:line="240" w:lineRule="auto"/>
      </w:pPr>
      <w:r>
        <w:t>The appellant had limited education but was skilled in trades. He ha</w:t>
      </w:r>
      <w:r w:rsidR="00A72D49">
        <w:t>d</w:t>
      </w:r>
      <w:r>
        <w:t xml:space="preserve"> supports in the community. The </w:t>
      </w:r>
      <w:r w:rsidR="00FA754F">
        <w:t>trial</w:t>
      </w:r>
      <w:r>
        <w:t xml:space="preserve"> judge </w:t>
      </w:r>
      <w:r w:rsidR="00FA754F">
        <w:t>found</w:t>
      </w:r>
      <w:r>
        <w:t xml:space="preserve"> that the appellant’s statements made at the hearing</w:t>
      </w:r>
      <w:r w:rsidR="00626433">
        <w:t xml:space="preserve"> were an expression of remorse.</w:t>
      </w:r>
    </w:p>
    <w:p w14:paraId="796DFF78" w14:textId="1128A12B" w:rsidR="00A72D49" w:rsidRPr="00A72D49" w:rsidRDefault="00A72D49" w:rsidP="00A92BE0">
      <w:pPr>
        <w:pStyle w:val="FelskyNumbering12"/>
        <w:numPr>
          <w:ilvl w:val="0"/>
          <w:numId w:val="0"/>
        </w:numPr>
        <w:spacing w:line="240" w:lineRule="auto"/>
        <w:rPr>
          <w:u w:val="single"/>
        </w:rPr>
      </w:pPr>
      <w:r>
        <w:rPr>
          <w:u w:val="single"/>
        </w:rPr>
        <w:t>Reasons for Sentence</w:t>
      </w:r>
    </w:p>
    <w:p w14:paraId="5591CC95" w14:textId="1E936266" w:rsidR="00626433" w:rsidRDefault="00FA754F" w:rsidP="00A92BE0">
      <w:pPr>
        <w:pStyle w:val="FelskyNumbering12"/>
        <w:spacing w:line="240" w:lineRule="auto"/>
        <w:rPr>
          <w:rFonts w:eastAsia="PMingLiU"/>
          <w:lang w:val="en-US"/>
        </w:rPr>
      </w:pPr>
      <w:r>
        <w:rPr>
          <w:rFonts w:eastAsia="PMingLiU"/>
          <w:lang w:val="en-US"/>
        </w:rPr>
        <w:t>W</w:t>
      </w:r>
      <w:r w:rsidR="00626433">
        <w:rPr>
          <w:rFonts w:eastAsia="PMingLiU"/>
          <w:lang w:val="en-US"/>
        </w:rPr>
        <w:t>ith respect to the robbery, the trial judge stated:</w:t>
      </w:r>
    </w:p>
    <w:p w14:paraId="55625103" w14:textId="77777777" w:rsidR="00626433" w:rsidRDefault="00626433" w:rsidP="00A92BE0">
      <w:pPr>
        <w:pStyle w:val="1stQuote"/>
        <w:rPr>
          <w:rFonts w:eastAsia="PMingLiU"/>
          <w:lang w:val="en-US"/>
        </w:rPr>
      </w:pPr>
      <w:r>
        <w:rPr>
          <w:rFonts w:eastAsia="PMingLiU"/>
          <w:lang w:val="en-US"/>
        </w:rPr>
        <w:t>On the charge of robbery, the sentence is ten years concurrent.</w:t>
      </w:r>
    </w:p>
    <w:p w14:paraId="37CAB49C" w14:textId="43D451D1" w:rsidR="00626433" w:rsidRDefault="00626433" w:rsidP="00A92BE0">
      <w:pPr>
        <w:pStyle w:val="1stQuote"/>
        <w:rPr>
          <w:lang w:val="en-US"/>
        </w:rPr>
      </w:pPr>
      <w:r>
        <w:rPr>
          <w:lang w:val="en-US"/>
        </w:rPr>
        <w:t xml:space="preserve">I have decided to – you can have a seat. I have decided to deviate from the suggestion by both the Crown and the defence. I feel that the robbery in this case was significantly aggravating and in fact led to the series of circumstances or led to the circumstances that ultimately led to the death. I believe that six years was not sufficient to recognize that. Given the life sentence, it has very little impact on </w:t>
      </w:r>
      <w:r w:rsidR="003A7EF8">
        <w:rPr>
          <w:lang w:val="en-US"/>
        </w:rPr>
        <w:t>[the appellant]</w:t>
      </w:r>
      <w:r>
        <w:rPr>
          <w:lang w:val="en-US"/>
        </w:rPr>
        <w:t xml:space="preserve"> but these things are important from a proportionality point of view.</w:t>
      </w:r>
    </w:p>
    <w:p w14:paraId="2E4C6444" w14:textId="1B991E8D" w:rsidR="007D7912" w:rsidRDefault="007D7912" w:rsidP="00A92BE0">
      <w:pPr>
        <w:pStyle w:val="FelskyNumbering12"/>
        <w:numPr>
          <w:ilvl w:val="0"/>
          <w:numId w:val="0"/>
        </w:numPr>
        <w:spacing w:line="240" w:lineRule="auto"/>
      </w:pPr>
      <w:r w:rsidRPr="007D7912">
        <w:rPr>
          <w:u w:val="single"/>
        </w:rPr>
        <w:t xml:space="preserve">Grounds </w:t>
      </w:r>
      <w:r w:rsidR="00B3139F">
        <w:rPr>
          <w:u w:val="single"/>
        </w:rPr>
        <w:t>of Appeal</w:t>
      </w:r>
    </w:p>
    <w:p w14:paraId="471341CB" w14:textId="0D4A9664" w:rsidR="004F20CD" w:rsidRDefault="007D7912" w:rsidP="00A92BE0">
      <w:pPr>
        <w:pStyle w:val="FelskyNumbering12"/>
        <w:spacing w:line="240" w:lineRule="auto"/>
      </w:pPr>
      <w:r>
        <w:t xml:space="preserve">The appellant submits that the trial judge </w:t>
      </w:r>
      <w:r w:rsidR="004F20CD">
        <w:t xml:space="preserve">erred in imposing a </w:t>
      </w:r>
      <w:r w:rsidR="005A64BE">
        <w:t>ten</w:t>
      </w:r>
      <w:r w:rsidR="00611741">
        <w:t>-</w:t>
      </w:r>
      <w:r w:rsidR="004F20CD">
        <w:t>year sentence for the robbery conviction by:</w:t>
      </w:r>
    </w:p>
    <w:p w14:paraId="43AF4E0F" w14:textId="66E34783" w:rsidR="007D7912" w:rsidRDefault="006D7273" w:rsidP="00A92BE0">
      <w:pPr>
        <w:pStyle w:val="ListParagraph"/>
        <w:numPr>
          <w:ilvl w:val="0"/>
          <w:numId w:val="9"/>
        </w:numPr>
        <w:spacing w:line="240" w:lineRule="auto"/>
      </w:pPr>
      <w:r>
        <w:t>fail</w:t>
      </w:r>
      <w:r w:rsidR="00995205">
        <w:t>ing</w:t>
      </w:r>
      <w:r>
        <w:t xml:space="preserve"> to advise the parties that he planned </w:t>
      </w:r>
      <w:r w:rsidR="00567B93">
        <w:t xml:space="preserve">to impose a harsher sentence than that proposed by </w:t>
      </w:r>
      <w:r>
        <w:t>the</w:t>
      </w:r>
      <w:r w:rsidR="00D97563">
        <w:t xml:space="preserve"> Crown</w:t>
      </w:r>
      <w:r w:rsidR="00900661">
        <w:t xml:space="preserve">, </w:t>
      </w:r>
      <w:r w:rsidR="00463404">
        <w:t>fail</w:t>
      </w:r>
      <w:r w:rsidR="00995205">
        <w:t>ing</w:t>
      </w:r>
      <w:r w:rsidR="00463404">
        <w:t xml:space="preserve"> to reference case law in support of the harsher sentence</w:t>
      </w:r>
      <w:r w:rsidR="00900661">
        <w:t xml:space="preserve">, and </w:t>
      </w:r>
      <w:r w:rsidR="00AE31B0">
        <w:t xml:space="preserve">relying on erroneous reasoning </w:t>
      </w:r>
      <w:r w:rsidR="001C66CE">
        <w:t>in imposing the harsher sentence</w:t>
      </w:r>
      <w:r w:rsidR="00EE3B23">
        <w:t xml:space="preserve"> by double-counting the aggravating consequences of the victim’s death</w:t>
      </w:r>
      <w:r w:rsidR="00AE31B0">
        <w:t>; and</w:t>
      </w:r>
    </w:p>
    <w:p w14:paraId="65AAA1B4" w14:textId="3C840959" w:rsidR="00995205" w:rsidRPr="005A59E2" w:rsidRDefault="00995205" w:rsidP="00A92BE0">
      <w:pPr>
        <w:pStyle w:val="ListParagraph"/>
        <w:numPr>
          <w:ilvl w:val="0"/>
          <w:numId w:val="9"/>
        </w:numPr>
        <w:spacing w:line="240" w:lineRule="auto"/>
      </w:pPr>
      <w:r>
        <w:t>imposing a sentence that offends the principle of parity.</w:t>
      </w:r>
    </w:p>
    <w:p w14:paraId="2F87CA86" w14:textId="430B6F1F" w:rsidR="00C73249" w:rsidRDefault="00676136" w:rsidP="00A92BE0">
      <w:pPr>
        <w:pStyle w:val="FelskyNumbering12"/>
        <w:numPr>
          <w:ilvl w:val="0"/>
          <w:numId w:val="0"/>
        </w:numPr>
        <w:spacing w:line="240" w:lineRule="auto"/>
        <w:rPr>
          <w:rFonts w:eastAsia="PMingLiU"/>
          <w:u w:val="single"/>
          <w:lang w:val="en-US"/>
        </w:rPr>
      </w:pPr>
      <w:r w:rsidRPr="00676136">
        <w:rPr>
          <w:rFonts w:eastAsia="PMingLiU"/>
          <w:u w:val="single"/>
          <w:lang w:val="en-US"/>
        </w:rPr>
        <w:t xml:space="preserve">Standard of </w:t>
      </w:r>
      <w:r w:rsidR="003933F1">
        <w:rPr>
          <w:rFonts w:eastAsia="PMingLiU"/>
          <w:u w:val="single"/>
          <w:lang w:val="en-US"/>
        </w:rPr>
        <w:t>Review</w:t>
      </w:r>
    </w:p>
    <w:p w14:paraId="373165C2" w14:textId="50D4B583" w:rsidR="00995205" w:rsidRDefault="00702BB8" w:rsidP="00A92BE0">
      <w:pPr>
        <w:pStyle w:val="FelskyNumbering12"/>
        <w:spacing w:line="240" w:lineRule="auto"/>
        <w:rPr>
          <w:rFonts w:eastAsia="PMingLiU"/>
          <w:lang w:val="en-US"/>
        </w:rPr>
      </w:pPr>
      <w:r>
        <w:rPr>
          <w:rFonts w:eastAsia="PMingLiU"/>
          <w:lang w:val="en-US"/>
        </w:rPr>
        <w:t xml:space="preserve">An appellate court may only </w:t>
      </w:r>
      <w:r w:rsidR="005234A4">
        <w:rPr>
          <w:rFonts w:eastAsia="PMingLiU"/>
          <w:lang w:val="en-US"/>
        </w:rPr>
        <w:t xml:space="preserve">intervene where a sentencing judge has committed an error </w:t>
      </w:r>
      <w:r w:rsidR="0038246D">
        <w:rPr>
          <w:rFonts w:eastAsia="PMingLiU"/>
          <w:lang w:val="en-US"/>
        </w:rPr>
        <w:t>of</w:t>
      </w:r>
      <w:r w:rsidR="005234A4">
        <w:rPr>
          <w:rFonts w:eastAsia="PMingLiU"/>
          <w:lang w:val="en-US"/>
        </w:rPr>
        <w:t xml:space="preserve"> </w:t>
      </w:r>
      <w:r w:rsidR="00FA0CAA">
        <w:rPr>
          <w:rFonts w:eastAsia="PMingLiU"/>
          <w:lang w:val="en-US"/>
        </w:rPr>
        <w:t>law or</w:t>
      </w:r>
      <w:r w:rsidR="0038246D">
        <w:rPr>
          <w:rFonts w:eastAsia="PMingLiU"/>
          <w:lang w:val="en-US"/>
        </w:rPr>
        <w:t xml:space="preserve"> an error in</w:t>
      </w:r>
      <w:r w:rsidR="00FA0CAA">
        <w:rPr>
          <w:rFonts w:eastAsia="PMingLiU"/>
          <w:lang w:val="en-US"/>
        </w:rPr>
        <w:t xml:space="preserve"> principle that has an impact on sentence</w:t>
      </w:r>
      <w:r w:rsidR="00910C7D">
        <w:rPr>
          <w:rFonts w:eastAsia="PMingLiU"/>
          <w:lang w:val="en-US"/>
        </w:rPr>
        <w:t>, or the sentence is demonstrably unfit</w:t>
      </w:r>
      <w:r w:rsidR="00FA0CAA">
        <w:rPr>
          <w:rFonts w:eastAsia="PMingLiU"/>
          <w:lang w:val="en-US"/>
        </w:rPr>
        <w:t xml:space="preserve">: </w:t>
      </w:r>
      <w:r w:rsidR="00FA0CAA">
        <w:rPr>
          <w:rFonts w:eastAsia="PMingLiU"/>
          <w:i/>
          <w:iCs/>
          <w:lang w:val="en-US"/>
        </w:rPr>
        <w:t>R v Lacasse</w:t>
      </w:r>
      <w:r w:rsidR="00FA0CAA">
        <w:rPr>
          <w:rFonts w:eastAsia="PMingLiU"/>
          <w:lang w:val="en-US"/>
        </w:rPr>
        <w:t>, 2015 SCC 64 at para 11.</w:t>
      </w:r>
    </w:p>
    <w:p w14:paraId="5205F4DD" w14:textId="18A91AB0" w:rsidR="004E4727" w:rsidRDefault="00F118F6" w:rsidP="00A92BE0">
      <w:pPr>
        <w:pStyle w:val="FelskyNumbering12"/>
        <w:spacing w:line="240" w:lineRule="auto"/>
        <w:rPr>
          <w:rFonts w:eastAsia="PMingLiU"/>
          <w:lang w:val="en-US"/>
        </w:rPr>
      </w:pPr>
      <w:bookmarkStart w:id="19" w:name="_Hlk164765380"/>
      <w:r>
        <w:rPr>
          <w:rFonts w:eastAsia="PMingLiU"/>
          <w:lang w:val="en-US"/>
        </w:rPr>
        <w:lastRenderedPageBreak/>
        <w:t xml:space="preserve">In a contested sentencing hearing, </w:t>
      </w:r>
      <w:r w:rsidR="00EB03A0">
        <w:rPr>
          <w:rFonts w:eastAsia="PMingLiU"/>
          <w:lang w:val="en-US"/>
        </w:rPr>
        <w:t xml:space="preserve">a trial judge </w:t>
      </w:r>
      <w:r w:rsidR="003A7EF8">
        <w:rPr>
          <w:rFonts w:eastAsia="PMingLiU"/>
          <w:lang w:val="en-US"/>
        </w:rPr>
        <w:t>should</w:t>
      </w:r>
      <w:r w:rsidR="00EB03A0">
        <w:rPr>
          <w:rFonts w:eastAsia="PMingLiU"/>
          <w:lang w:val="en-US"/>
        </w:rPr>
        <w:t xml:space="preserve"> provide notice and/or an opportunity for further submissions</w:t>
      </w:r>
      <w:r w:rsidR="0002148E">
        <w:rPr>
          <w:rFonts w:eastAsia="PMingLiU"/>
          <w:lang w:val="en-US"/>
        </w:rPr>
        <w:t xml:space="preserve"> if the sentencing judge is of a mind to impose a harsher sentence</w:t>
      </w:r>
      <w:r w:rsidR="00210095">
        <w:rPr>
          <w:rFonts w:eastAsia="PMingLiU"/>
          <w:lang w:val="en-US"/>
        </w:rPr>
        <w:t xml:space="preserve"> than that sought by the Crown</w:t>
      </w:r>
      <w:r w:rsidR="0002148E">
        <w:rPr>
          <w:rFonts w:eastAsia="PMingLiU"/>
          <w:lang w:val="en-US"/>
        </w:rPr>
        <w:t xml:space="preserve">: </w:t>
      </w:r>
      <w:r w:rsidR="0002148E">
        <w:rPr>
          <w:rFonts w:eastAsia="PMingLiU"/>
          <w:i/>
          <w:iCs/>
          <w:lang w:val="en-US"/>
        </w:rPr>
        <w:t>R v Nahanee</w:t>
      </w:r>
      <w:r w:rsidR="0002148E">
        <w:rPr>
          <w:rFonts w:eastAsia="PMingLiU"/>
          <w:lang w:val="en-US"/>
        </w:rPr>
        <w:t>, 2022 SCC 37</w:t>
      </w:r>
      <w:r w:rsidR="00251348">
        <w:rPr>
          <w:rFonts w:eastAsia="PMingLiU"/>
          <w:lang w:val="en-US"/>
        </w:rPr>
        <w:t xml:space="preserve"> at para 4</w:t>
      </w:r>
      <w:r w:rsidR="003A7EF8">
        <w:rPr>
          <w:rFonts w:eastAsia="PMingLiU"/>
          <w:lang w:val="en-US"/>
        </w:rPr>
        <w:t>3</w:t>
      </w:r>
      <w:bookmarkEnd w:id="19"/>
      <w:r w:rsidR="0002148E">
        <w:rPr>
          <w:rFonts w:eastAsia="PMingLiU"/>
          <w:lang w:val="en-US"/>
        </w:rPr>
        <w:t>.</w:t>
      </w:r>
      <w:r w:rsidR="004E4727">
        <w:rPr>
          <w:rFonts w:eastAsia="PMingLiU"/>
          <w:lang w:val="en-US"/>
        </w:rPr>
        <w:t xml:space="preserve"> There are three types of errors in principle that would warrant appellate intervention: (1) the failure to provide notice and/or further submission</w:t>
      </w:r>
      <w:r w:rsidR="009449FF">
        <w:rPr>
          <w:rFonts w:eastAsia="PMingLiU"/>
          <w:lang w:val="en-US"/>
        </w:rPr>
        <w:t>s</w:t>
      </w:r>
      <w:r w:rsidR="004E4727">
        <w:rPr>
          <w:rFonts w:eastAsia="PMingLiU"/>
          <w:lang w:val="en-US"/>
        </w:rPr>
        <w:t xml:space="preserve"> impact</w:t>
      </w:r>
      <w:r w:rsidR="00775CDF">
        <w:rPr>
          <w:rFonts w:eastAsia="PMingLiU"/>
          <w:lang w:val="en-US"/>
        </w:rPr>
        <w:t>ed</w:t>
      </w:r>
      <w:r w:rsidR="004E4727">
        <w:rPr>
          <w:rFonts w:eastAsia="PMingLiU"/>
          <w:lang w:val="en-US"/>
        </w:rPr>
        <w:t xml:space="preserve"> the sentence; (2) </w:t>
      </w:r>
      <w:r w:rsidR="00FC5678">
        <w:rPr>
          <w:rFonts w:eastAsia="PMingLiU"/>
          <w:lang w:val="en-US"/>
        </w:rPr>
        <w:t xml:space="preserve">if the sentencing judge failed to provide reasons, or provided unclear or insufficient reasons, for imposing the harsher sentence; and (3) if the sentencing judge provided erroneous reasons for imposing the harsher sentence: </w:t>
      </w:r>
      <w:r w:rsidR="00FC5678">
        <w:rPr>
          <w:rFonts w:eastAsia="PMingLiU"/>
          <w:i/>
          <w:iCs/>
          <w:lang w:val="en-US"/>
        </w:rPr>
        <w:t>Nahanee</w:t>
      </w:r>
      <w:r w:rsidR="00FC5678">
        <w:rPr>
          <w:rFonts w:eastAsia="PMingLiU"/>
          <w:lang w:val="en-US"/>
        </w:rPr>
        <w:t xml:space="preserve"> at para 59.</w:t>
      </w:r>
    </w:p>
    <w:p w14:paraId="0C91405E" w14:textId="19D4662C" w:rsidR="00676136" w:rsidRPr="00403C4C" w:rsidRDefault="00676136" w:rsidP="00A92BE0">
      <w:pPr>
        <w:pStyle w:val="FelskyNumbering12"/>
        <w:numPr>
          <w:ilvl w:val="0"/>
          <w:numId w:val="0"/>
        </w:numPr>
        <w:spacing w:line="240" w:lineRule="auto"/>
        <w:rPr>
          <w:rFonts w:eastAsia="PMingLiU"/>
          <w:u w:val="single"/>
          <w:lang w:val="en-US"/>
        </w:rPr>
      </w:pPr>
      <w:r w:rsidRPr="00403C4C">
        <w:rPr>
          <w:rFonts w:eastAsia="PMingLiU"/>
          <w:u w:val="single"/>
          <w:lang w:val="en-US"/>
        </w:rPr>
        <w:t>Analysis</w:t>
      </w:r>
    </w:p>
    <w:p w14:paraId="405C8E53" w14:textId="30AC1133" w:rsidR="00941686" w:rsidRDefault="00403C4C" w:rsidP="00A92BE0">
      <w:pPr>
        <w:pStyle w:val="FelskyNumbering12"/>
        <w:spacing w:line="240" w:lineRule="auto"/>
        <w:rPr>
          <w:lang w:val="en-US"/>
        </w:rPr>
      </w:pPr>
      <w:r w:rsidRPr="00403C4C">
        <w:rPr>
          <w:lang w:val="en-US"/>
        </w:rPr>
        <w:t xml:space="preserve">The appellant argues that the sentencing judge made all three types of errors identified in </w:t>
      </w:r>
      <w:r w:rsidRPr="00403C4C">
        <w:rPr>
          <w:i/>
          <w:iCs/>
          <w:lang w:val="en-US"/>
        </w:rPr>
        <w:t>Nahanee</w:t>
      </w:r>
      <w:r w:rsidRPr="00403C4C">
        <w:rPr>
          <w:lang w:val="en-US"/>
        </w:rPr>
        <w:t xml:space="preserve">. We disagree. </w:t>
      </w:r>
      <w:r w:rsidR="00941686" w:rsidRPr="00403C4C">
        <w:rPr>
          <w:lang w:val="en-US"/>
        </w:rPr>
        <w:t xml:space="preserve">In our view the trial judge did not commit an error </w:t>
      </w:r>
      <w:r w:rsidR="0038246D" w:rsidRPr="00403C4C">
        <w:rPr>
          <w:lang w:val="en-US"/>
        </w:rPr>
        <w:t>of</w:t>
      </w:r>
      <w:r w:rsidR="00941686" w:rsidRPr="00403C4C">
        <w:rPr>
          <w:lang w:val="en-US"/>
        </w:rPr>
        <w:t xml:space="preserve"> law or</w:t>
      </w:r>
      <w:r w:rsidR="0038246D" w:rsidRPr="00403C4C">
        <w:rPr>
          <w:lang w:val="en-US"/>
        </w:rPr>
        <w:t xml:space="preserve"> an error in</w:t>
      </w:r>
      <w:r w:rsidR="00941686" w:rsidRPr="00403C4C">
        <w:rPr>
          <w:lang w:val="en-US"/>
        </w:rPr>
        <w:t xml:space="preserve"> principle</w:t>
      </w:r>
      <w:r w:rsidR="00ED6DBB">
        <w:rPr>
          <w:lang w:val="en-US"/>
        </w:rPr>
        <w:t xml:space="preserve"> as described in </w:t>
      </w:r>
      <w:r w:rsidR="00ED6DBB">
        <w:rPr>
          <w:i/>
          <w:iCs/>
          <w:lang w:val="en-US"/>
        </w:rPr>
        <w:t>Nahanee</w:t>
      </w:r>
      <w:r w:rsidR="00ED6DBB">
        <w:rPr>
          <w:lang w:val="en-US"/>
        </w:rPr>
        <w:t>. Nor do we find</w:t>
      </w:r>
      <w:r w:rsidR="00941686" w:rsidRPr="00403C4C">
        <w:rPr>
          <w:lang w:val="en-US"/>
        </w:rPr>
        <w:t xml:space="preserve"> that the sentence imposed for the robbery was demonstrably unfit.</w:t>
      </w:r>
      <w:r w:rsidR="00DB35C9" w:rsidRPr="00403C4C">
        <w:rPr>
          <w:lang w:val="en-US"/>
        </w:rPr>
        <w:t xml:space="preserve"> </w:t>
      </w:r>
    </w:p>
    <w:p w14:paraId="0F36E370" w14:textId="38D66658" w:rsidR="00B7433F" w:rsidRDefault="00897949" w:rsidP="00A92BE0">
      <w:pPr>
        <w:pStyle w:val="FelskyNumbering12"/>
        <w:spacing w:line="240" w:lineRule="auto"/>
        <w:rPr>
          <w:lang w:val="en-US"/>
        </w:rPr>
      </w:pPr>
      <w:r w:rsidRPr="00B7433F">
        <w:rPr>
          <w:lang w:val="en-US"/>
        </w:rPr>
        <w:t xml:space="preserve">The trial judge made it clear during the Crown’s submissions that he considered </w:t>
      </w:r>
      <w:r w:rsidR="00A7139C" w:rsidRPr="00B7433F">
        <w:rPr>
          <w:lang w:val="en-US"/>
        </w:rPr>
        <w:t>a six</w:t>
      </w:r>
      <w:r w:rsidRPr="00B7433F">
        <w:rPr>
          <w:lang w:val="en-US"/>
        </w:rPr>
        <w:t>-year</w:t>
      </w:r>
      <w:r w:rsidR="00A7139C" w:rsidRPr="00B7433F">
        <w:rPr>
          <w:lang w:val="en-US"/>
        </w:rPr>
        <w:t xml:space="preserve"> sentence</w:t>
      </w:r>
      <w:r w:rsidRPr="00B7433F">
        <w:rPr>
          <w:lang w:val="en-US"/>
        </w:rPr>
        <w:t xml:space="preserve"> inadequate for the robbery</w:t>
      </w:r>
      <w:r w:rsidR="00B0441D" w:rsidRPr="00B7433F">
        <w:rPr>
          <w:lang w:val="en-US"/>
        </w:rPr>
        <w:t xml:space="preserve">. The trial judge stated he had difficulty applying the factors outlined in </w:t>
      </w:r>
      <w:r w:rsidR="00B0441D" w:rsidRPr="00B7433F">
        <w:rPr>
          <w:i/>
          <w:iCs/>
          <w:lang w:val="en-US"/>
        </w:rPr>
        <w:t xml:space="preserve">Ryan </w:t>
      </w:r>
      <w:r w:rsidR="00A12E0F">
        <w:rPr>
          <w:lang w:val="en-US"/>
        </w:rPr>
        <w:t xml:space="preserve">to the murder conviction </w:t>
      </w:r>
      <w:r w:rsidR="00B0441D" w:rsidRPr="00B7433F">
        <w:rPr>
          <w:lang w:val="en-US"/>
        </w:rPr>
        <w:t xml:space="preserve">as suggested by the Crown. Rather, he considered the factors to be aggravating on the robbery conviction, stating, “I would have given substantially more than </w:t>
      </w:r>
      <w:r w:rsidR="00ED0E2E" w:rsidRPr="00B7433F">
        <w:rPr>
          <w:lang w:val="en-US"/>
        </w:rPr>
        <w:t>six</w:t>
      </w:r>
      <w:r w:rsidR="00B0441D" w:rsidRPr="00B7433F">
        <w:rPr>
          <w:lang w:val="en-US"/>
        </w:rPr>
        <w:t xml:space="preserve"> years”</w:t>
      </w:r>
      <w:r w:rsidR="00ED0E2E" w:rsidRPr="00B7433F">
        <w:rPr>
          <w:lang w:val="en-US"/>
        </w:rPr>
        <w:t xml:space="preserve"> </w:t>
      </w:r>
      <w:r w:rsidR="00017106">
        <w:rPr>
          <w:lang w:val="en-US"/>
        </w:rPr>
        <w:t>[</w:t>
      </w:r>
      <w:r w:rsidR="00B0441D" w:rsidRPr="00B7433F">
        <w:rPr>
          <w:lang w:val="en-US"/>
        </w:rPr>
        <w:t>T</w:t>
      </w:r>
      <w:r w:rsidR="00ED0E2E" w:rsidRPr="00B7433F">
        <w:rPr>
          <w:lang w:val="en-US"/>
        </w:rPr>
        <w:t xml:space="preserve">ranscript </w:t>
      </w:r>
      <w:r w:rsidR="00B0441D" w:rsidRPr="00B7433F">
        <w:rPr>
          <w:lang w:val="en-US"/>
        </w:rPr>
        <w:t>2497</w:t>
      </w:r>
      <w:r w:rsidR="00017106">
        <w:rPr>
          <w:lang w:val="en-US"/>
        </w:rPr>
        <w:t>/</w:t>
      </w:r>
      <w:r w:rsidR="00B0441D" w:rsidRPr="00B7433F">
        <w:rPr>
          <w:lang w:val="en-US"/>
        </w:rPr>
        <w:t xml:space="preserve"> 3</w:t>
      </w:r>
      <w:r w:rsidR="00ED0E2E" w:rsidRPr="00B7433F">
        <w:rPr>
          <w:lang w:val="en-US"/>
        </w:rPr>
        <w:t>-</w:t>
      </w:r>
      <w:r w:rsidR="00B0441D" w:rsidRPr="00B7433F">
        <w:rPr>
          <w:lang w:val="en-US"/>
        </w:rPr>
        <w:t>7</w:t>
      </w:r>
      <w:r w:rsidR="00017106">
        <w:rPr>
          <w:lang w:val="en-US"/>
        </w:rPr>
        <w:t>]</w:t>
      </w:r>
      <w:r w:rsidR="00ED0E2E" w:rsidRPr="00B7433F">
        <w:rPr>
          <w:lang w:val="en-US"/>
        </w:rPr>
        <w:t xml:space="preserve"> and </w:t>
      </w:r>
      <w:r w:rsidR="00B0441D" w:rsidRPr="00B7433F">
        <w:rPr>
          <w:lang w:val="en-US"/>
        </w:rPr>
        <w:t>“</w:t>
      </w:r>
      <w:r w:rsidR="00ED0E2E" w:rsidRPr="00B7433F">
        <w:rPr>
          <w:lang w:val="en-US"/>
        </w:rPr>
        <w:t xml:space="preserve">I believe </w:t>
      </w:r>
      <w:r w:rsidR="00B0441D" w:rsidRPr="00B7433F">
        <w:rPr>
          <w:lang w:val="en-US"/>
        </w:rPr>
        <w:t>this was an extremely high-end robbery in terms of culpability”</w:t>
      </w:r>
      <w:r w:rsidR="00B7433F" w:rsidRPr="00B7433F">
        <w:rPr>
          <w:lang w:val="en-US"/>
        </w:rPr>
        <w:t xml:space="preserve"> </w:t>
      </w:r>
      <w:r w:rsidR="00017106">
        <w:rPr>
          <w:lang w:val="en-US"/>
        </w:rPr>
        <w:t>[</w:t>
      </w:r>
      <w:r w:rsidR="00B0441D" w:rsidRPr="00B7433F">
        <w:rPr>
          <w:lang w:val="en-US"/>
        </w:rPr>
        <w:t>T</w:t>
      </w:r>
      <w:r w:rsidR="00B7433F" w:rsidRPr="00B7433F">
        <w:rPr>
          <w:lang w:val="en-US"/>
        </w:rPr>
        <w:t xml:space="preserve">ranscript </w:t>
      </w:r>
      <w:r w:rsidR="00B0441D" w:rsidRPr="00B7433F">
        <w:rPr>
          <w:lang w:val="en-US"/>
        </w:rPr>
        <w:t>2497</w:t>
      </w:r>
      <w:r w:rsidR="00017106">
        <w:rPr>
          <w:lang w:val="en-US"/>
        </w:rPr>
        <w:t>/</w:t>
      </w:r>
      <w:r w:rsidR="00B0441D" w:rsidRPr="00B7433F">
        <w:rPr>
          <w:lang w:val="en-US"/>
        </w:rPr>
        <w:t>1</w:t>
      </w:r>
      <w:r w:rsidR="00B7433F" w:rsidRPr="00B7433F">
        <w:rPr>
          <w:lang w:val="en-US"/>
        </w:rPr>
        <w:t>6-18</w:t>
      </w:r>
      <w:r w:rsidR="00017106">
        <w:rPr>
          <w:lang w:val="en-US"/>
        </w:rPr>
        <w:t>]</w:t>
      </w:r>
      <w:r w:rsidR="00B0441D" w:rsidRPr="00B7433F">
        <w:rPr>
          <w:lang w:val="en-US"/>
        </w:rPr>
        <w:t>.</w:t>
      </w:r>
      <w:r w:rsidR="00B7433F" w:rsidRPr="00B7433F">
        <w:rPr>
          <w:lang w:val="en-US"/>
        </w:rPr>
        <w:t xml:space="preserve"> </w:t>
      </w:r>
      <w:r w:rsidRPr="00B7433F">
        <w:rPr>
          <w:lang w:val="en-US"/>
        </w:rPr>
        <w:t xml:space="preserve">Both the Crown and defence counsel had an opportunity to address the trial judge’s comment during their submissions but failed to do so. </w:t>
      </w:r>
    </w:p>
    <w:p w14:paraId="3833C341" w14:textId="603E91F0" w:rsidR="00BC0945" w:rsidRPr="00BC0945" w:rsidRDefault="00ED2A2D" w:rsidP="00A92BE0">
      <w:pPr>
        <w:pStyle w:val="FelskyNumbering12"/>
        <w:spacing w:line="240" w:lineRule="auto"/>
        <w:rPr>
          <w:lang w:val="en-US"/>
        </w:rPr>
      </w:pPr>
      <w:r>
        <w:rPr>
          <w:lang w:val="en-US"/>
        </w:rPr>
        <w:t xml:space="preserve">Assuming that </w:t>
      </w:r>
      <w:r w:rsidR="009211F8" w:rsidRPr="00B7433F">
        <w:rPr>
          <w:lang w:val="en-US"/>
        </w:rPr>
        <w:t>the trial judge’s comments are regarded as the type of vague expression that is inadequate to provide notice (</w:t>
      </w:r>
      <w:r w:rsidR="009211F8" w:rsidRPr="00B7433F">
        <w:rPr>
          <w:i/>
          <w:iCs/>
          <w:lang w:val="en-US"/>
        </w:rPr>
        <w:t>Nahanee</w:t>
      </w:r>
      <w:r w:rsidR="009211F8">
        <w:t xml:space="preserve"> at para 45), </w:t>
      </w:r>
      <w:r w:rsidR="00B7433F">
        <w:t xml:space="preserve">we do not find that any of the three types of errors were committed. </w:t>
      </w:r>
    </w:p>
    <w:p w14:paraId="7D7D2874" w14:textId="245E7449" w:rsidR="001C66CE" w:rsidRPr="001C66CE" w:rsidRDefault="00B7433F" w:rsidP="00A92BE0">
      <w:pPr>
        <w:pStyle w:val="FelskyNumbering12"/>
        <w:spacing w:line="240" w:lineRule="auto"/>
        <w:rPr>
          <w:lang w:val="en-US"/>
        </w:rPr>
      </w:pPr>
      <w:r>
        <w:t xml:space="preserve">First, the </w:t>
      </w:r>
      <w:r w:rsidR="0092779D">
        <w:t xml:space="preserve">appellant has failed to point to any information that </w:t>
      </w:r>
      <w:r w:rsidR="00123B3A">
        <w:t>the sentencing judge did not have that would have impacted the sentence</w:t>
      </w:r>
      <w:r w:rsidR="00905326">
        <w:t xml:space="preserve">: </w:t>
      </w:r>
      <w:r w:rsidR="00905326">
        <w:rPr>
          <w:i/>
          <w:iCs/>
        </w:rPr>
        <w:t>Nahanee</w:t>
      </w:r>
      <w:r w:rsidR="00905326">
        <w:t xml:space="preserve"> at para 59</w:t>
      </w:r>
      <w:r w:rsidR="00C3525E">
        <w:t>i</w:t>
      </w:r>
      <w:r w:rsidR="00905326">
        <w:t>.</w:t>
      </w:r>
    </w:p>
    <w:p w14:paraId="3BFDB4FE" w14:textId="5C13E3BB" w:rsidR="001C66CE" w:rsidRPr="001C66CE" w:rsidRDefault="00123B3A" w:rsidP="00A92BE0">
      <w:pPr>
        <w:pStyle w:val="FelskyNumbering12"/>
        <w:spacing w:line="240" w:lineRule="auto"/>
        <w:rPr>
          <w:lang w:val="en-US"/>
        </w:rPr>
      </w:pPr>
      <w:r>
        <w:t xml:space="preserve">Second, reading the record as a whole, and taking a functional approach </w:t>
      </w:r>
      <w:r w:rsidR="0032187C">
        <w:t>when reviewing</w:t>
      </w:r>
      <w:r>
        <w:t xml:space="preserve"> the sufficiency of the reasons</w:t>
      </w:r>
      <w:r w:rsidR="00BC0945">
        <w:t>, the trial judge provided adequate reasons for imposing the harsher sentence</w:t>
      </w:r>
      <w:r w:rsidR="000D2F21">
        <w:t xml:space="preserve">: </w:t>
      </w:r>
      <w:r w:rsidR="000D2F21">
        <w:rPr>
          <w:i/>
          <w:iCs/>
        </w:rPr>
        <w:t>Nahanee</w:t>
      </w:r>
      <w:r w:rsidR="00F85F5E">
        <w:t xml:space="preserve"> at para 59ii</w:t>
      </w:r>
      <w:r w:rsidR="00BC0945">
        <w:t xml:space="preserve">. </w:t>
      </w:r>
      <w:r w:rsidR="009D1C25">
        <w:t xml:space="preserve">It is clear that the factors the Crown </w:t>
      </w:r>
      <w:r w:rsidR="00E44762">
        <w:t>emphasized</w:t>
      </w:r>
      <w:r w:rsidR="00062228">
        <w:t xml:space="preserve"> in arguing for the 15-year parole ineligibility were viewed by the trial judge as aggravating on the robbery: the appellant’s central role in planning the robbery; luring the victim to an isolated location on the pretext of a drug buy; the anticipation of violence; bringing weapons and rope; </w:t>
      </w:r>
      <w:r w:rsidR="00885203">
        <w:t xml:space="preserve">looking for old clothes to disguise themselves; </w:t>
      </w:r>
      <w:r w:rsidR="00062228">
        <w:t>forcibly confining the victim</w:t>
      </w:r>
      <w:r w:rsidR="00027F8C">
        <w:t xml:space="preserve"> to obtain information about the victim’s drug stash; the robbery was for the purpose of profit;</w:t>
      </w:r>
      <w:r w:rsidR="002B6E33">
        <w:t xml:space="preserve"> and</w:t>
      </w:r>
      <w:r w:rsidR="00027F8C">
        <w:t xml:space="preserve"> </w:t>
      </w:r>
      <w:r w:rsidR="00F94C37">
        <w:t>the serious injuries caused to the victim</w:t>
      </w:r>
      <w:r w:rsidR="002B6E33">
        <w:t xml:space="preserve"> during the robbery.</w:t>
      </w:r>
    </w:p>
    <w:p w14:paraId="62E84E3B" w14:textId="021453C8" w:rsidR="009B03B7" w:rsidRPr="00AB6D8F" w:rsidRDefault="000E69AA" w:rsidP="00A92BE0">
      <w:pPr>
        <w:pStyle w:val="FelskyNumbering12"/>
        <w:spacing w:line="240" w:lineRule="auto"/>
        <w:rPr>
          <w:lang w:val="en-US"/>
        </w:rPr>
      </w:pPr>
      <w:r>
        <w:t xml:space="preserve">Third, </w:t>
      </w:r>
      <w:r w:rsidR="00AB6D8F">
        <w:t>we do not view the trial judge as having provided erroneous reasons</w:t>
      </w:r>
      <w:r w:rsidR="005D793E">
        <w:t xml:space="preserve">: </w:t>
      </w:r>
      <w:r w:rsidR="005D793E">
        <w:rPr>
          <w:i/>
          <w:iCs/>
        </w:rPr>
        <w:t>Nahanee</w:t>
      </w:r>
      <w:r w:rsidR="005D793E">
        <w:t xml:space="preserve"> at para 59iii</w:t>
      </w:r>
      <w:r w:rsidR="00AB6D8F">
        <w:t>. T</w:t>
      </w:r>
      <w:r w:rsidR="009B03B7" w:rsidRPr="00AB6D8F">
        <w:rPr>
          <w:lang w:val="en-US"/>
        </w:rPr>
        <w:t>he trial judge ultimately rejected the Crown’s submission that a 15-year period of parole ineligibility was appropriate</w:t>
      </w:r>
      <w:r w:rsidR="00B9480E">
        <w:rPr>
          <w:lang w:val="en-US"/>
        </w:rPr>
        <w:t>. W</w:t>
      </w:r>
      <w:r w:rsidR="00CE4E3B" w:rsidRPr="00AB6D8F">
        <w:rPr>
          <w:lang w:val="en-US"/>
        </w:rPr>
        <w:t xml:space="preserve">hile the trial judge considered the circumstances around </w:t>
      </w:r>
      <w:r w:rsidR="00B9480E">
        <w:rPr>
          <w:lang w:val="en-US"/>
        </w:rPr>
        <w:t xml:space="preserve">the </w:t>
      </w:r>
      <w:r w:rsidR="00CE4E3B" w:rsidRPr="00AB6D8F">
        <w:rPr>
          <w:lang w:val="en-US"/>
        </w:rPr>
        <w:t>robbery to have ultimately contributed to the victim’s death, he did not rely</w:t>
      </w:r>
      <w:r w:rsidR="00B9480E">
        <w:rPr>
          <w:lang w:val="en-US"/>
        </w:rPr>
        <w:t xml:space="preserve"> on the factors from </w:t>
      </w:r>
      <w:r w:rsidR="00B9480E">
        <w:rPr>
          <w:i/>
          <w:iCs/>
          <w:lang w:val="en-US"/>
        </w:rPr>
        <w:lastRenderedPageBreak/>
        <w:t xml:space="preserve">Ryan </w:t>
      </w:r>
      <w:r w:rsidR="00AC0F49" w:rsidRPr="00AB6D8F">
        <w:rPr>
          <w:lang w:val="en-US"/>
        </w:rPr>
        <w:t xml:space="preserve">for the purposes of sentencing on the second-degree murder conviction. Therefore, we do not agree </w:t>
      </w:r>
      <w:r w:rsidR="002B6E33">
        <w:rPr>
          <w:lang w:val="en-US"/>
        </w:rPr>
        <w:t>that</w:t>
      </w:r>
      <w:r w:rsidR="00AC0F49" w:rsidRPr="00AB6D8F">
        <w:rPr>
          <w:lang w:val="en-US"/>
        </w:rPr>
        <w:t xml:space="preserve"> the trial judge “double-counted” aggravating factors</w:t>
      </w:r>
      <w:r w:rsidR="00CA6010">
        <w:rPr>
          <w:lang w:val="en-US"/>
        </w:rPr>
        <w:t>.</w:t>
      </w:r>
    </w:p>
    <w:p w14:paraId="33B2B856" w14:textId="1E84C162" w:rsidR="00DB6B1D" w:rsidRPr="009513DB" w:rsidRDefault="00DB6B1D" w:rsidP="00A92BE0">
      <w:pPr>
        <w:pStyle w:val="FelskyNumbering12"/>
        <w:spacing w:line="240" w:lineRule="auto"/>
        <w:rPr>
          <w:lang w:val="en-US"/>
        </w:rPr>
      </w:pPr>
      <w:r w:rsidRPr="009513DB">
        <w:rPr>
          <w:lang w:val="en-US"/>
        </w:rPr>
        <w:t xml:space="preserve">Though </w:t>
      </w:r>
      <w:r w:rsidR="00E44762">
        <w:rPr>
          <w:lang w:val="en-US"/>
        </w:rPr>
        <w:t xml:space="preserve">his reference was </w:t>
      </w:r>
      <w:r w:rsidRPr="009513DB">
        <w:rPr>
          <w:lang w:val="en-US"/>
        </w:rPr>
        <w:t xml:space="preserve">brief, the trial judge </w:t>
      </w:r>
      <w:r w:rsidR="00E44762">
        <w:rPr>
          <w:lang w:val="en-US"/>
        </w:rPr>
        <w:t>noted</w:t>
      </w:r>
      <w:r w:rsidR="00EE2C94" w:rsidRPr="009513DB">
        <w:rPr>
          <w:lang w:val="en-US"/>
        </w:rPr>
        <w:t xml:space="preserve"> the proportionality principle and </w:t>
      </w:r>
      <w:r w:rsidRPr="009513DB">
        <w:rPr>
          <w:lang w:val="en-US"/>
        </w:rPr>
        <w:t>determined</w:t>
      </w:r>
      <w:r w:rsidR="00AE4C44" w:rsidRPr="009513DB">
        <w:rPr>
          <w:lang w:val="en-US"/>
        </w:rPr>
        <w:t xml:space="preserve"> a six</w:t>
      </w:r>
      <w:r w:rsidR="0088184A" w:rsidRPr="009513DB">
        <w:rPr>
          <w:lang w:val="en-US"/>
        </w:rPr>
        <w:t>-</w:t>
      </w:r>
      <w:r w:rsidR="00AE4C44" w:rsidRPr="009513DB">
        <w:rPr>
          <w:lang w:val="en-US"/>
        </w:rPr>
        <w:t xml:space="preserve">year sentence did not </w:t>
      </w:r>
      <w:r w:rsidR="00E44762">
        <w:rPr>
          <w:lang w:val="en-US"/>
        </w:rPr>
        <w:t xml:space="preserve">sufficiently </w:t>
      </w:r>
      <w:r w:rsidR="00AE4C44" w:rsidRPr="009513DB">
        <w:rPr>
          <w:lang w:val="en-US"/>
        </w:rPr>
        <w:t>recognize the significant aggravating factors in this case</w:t>
      </w:r>
      <w:r w:rsidR="00A15619" w:rsidRPr="009513DB">
        <w:rPr>
          <w:lang w:val="en-US"/>
        </w:rPr>
        <w:t>.</w:t>
      </w:r>
      <w:r w:rsidR="001E69D3" w:rsidRPr="009513DB">
        <w:rPr>
          <w:lang w:val="en-US"/>
        </w:rPr>
        <w:t xml:space="preserve"> Robbery is a </w:t>
      </w:r>
      <w:r w:rsidR="000E45B9" w:rsidRPr="009513DB">
        <w:rPr>
          <w:lang w:val="en-US"/>
        </w:rPr>
        <w:t>serious offence, with a maximum punishment of life imprisonment</w:t>
      </w:r>
      <w:r w:rsidR="009513DB" w:rsidRPr="009513DB">
        <w:rPr>
          <w:lang w:val="en-US"/>
        </w:rPr>
        <w:t>. S</w:t>
      </w:r>
      <w:r w:rsidR="000E45B9" w:rsidRPr="009513DB">
        <w:rPr>
          <w:lang w:val="en-US"/>
        </w:rPr>
        <w:t xml:space="preserve">entencing </w:t>
      </w:r>
      <w:r w:rsidR="009513DB" w:rsidRPr="009513DB">
        <w:rPr>
          <w:lang w:val="en-US"/>
        </w:rPr>
        <w:t>judges are thus l</w:t>
      </w:r>
      <w:r w:rsidR="000E45B9" w:rsidRPr="009513DB">
        <w:rPr>
          <w:lang w:val="en-US"/>
        </w:rPr>
        <w:t>eft with a wide discretion in any given case</w:t>
      </w:r>
      <w:r w:rsidR="00FF67DD" w:rsidRPr="009513DB">
        <w:rPr>
          <w:lang w:val="en-US"/>
        </w:rPr>
        <w:t xml:space="preserve">. While a </w:t>
      </w:r>
      <w:r w:rsidR="0073566A">
        <w:rPr>
          <w:lang w:val="en-US"/>
        </w:rPr>
        <w:t>ten</w:t>
      </w:r>
      <w:r w:rsidR="009513DB" w:rsidRPr="009513DB">
        <w:rPr>
          <w:lang w:val="en-US"/>
        </w:rPr>
        <w:t>-</w:t>
      </w:r>
      <w:r w:rsidR="00FF67DD" w:rsidRPr="009513DB">
        <w:rPr>
          <w:lang w:val="en-US"/>
        </w:rPr>
        <w:t xml:space="preserve">year sentence is in the high </w:t>
      </w:r>
      <w:r w:rsidR="00E44762">
        <w:rPr>
          <w:lang w:val="en-US"/>
        </w:rPr>
        <w:t xml:space="preserve">end of the </w:t>
      </w:r>
      <w:r w:rsidR="00FF67DD" w:rsidRPr="009513DB">
        <w:rPr>
          <w:lang w:val="en-US"/>
        </w:rPr>
        <w:t xml:space="preserve">range, it is not out of step with </w:t>
      </w:r>
      <w:r w:rsidR="00B412E4" w:rsidRPr="009513DB">
        <w:rPr>
          <w:lang w:val="en-US"/>
        </w:rPr>
        <w:t xml:space="preserve">cases where </w:t>
      </w:r>
      <w:r w:rsidR="000A5E07" w:rsidRPr="009513DB">
        <w:rPr>
          <w:lang w:val="en-US"/>
        </w:rPr>
        <w:t xml:space="preserve">a victim is lured to a location </w:t>
      </w:r>
      <w:r w:rsidR="001B15A6">
        <w:rPr>
          <w:lang w:val="en-US"/>
        </w:rPr>
        <w:t xml:space="preserve">to be robbed </w:t>
      </w:r>
      <w:r w:rsidR="000A5E07" w:rsidRPr="009513DB">
        <w:rPr>
          <w:lang w:val="en-US"/>
        </w:rPr>
        <w:t>and there is</w:t>
      </w:r>
      <w:r w:rsidR="00A24155" w:rsidRPr="009513DB">
        <w:rPr>
          <w:lang w:val="en-US"/>
        </w:rPr>
        <w:t xml:space="preserve"> </w:t>
      </w:r>
      <w:r w:rsidR="00535813" w:rsidRPr="009513DB">
        <w:rPr>
          <w:lang w:val="en-US"/>
        </w:rPr>
        <w:t xml:space="preserve">planned </w:t>
      </w:r>
      <w:r w:rsidR="00A24155" w:rsidRPr="009513DB">
        <w:rPr>
          <w:lang w:val="en-US"/>
        </w:rPr>
        <w:t>violenc</w:t>
      </w:r>
      <w:r w:rsidR="00E52C47" w:rsidRPr="009513DB">
        <w:rPr>
          <w:lang w:val="en-US"/>
        </w:rPr>
        <w:t>e</w:t>
      </w:r>
      <w:r w:rsidR="00D02F74" w:rsidRPr="009513DB">
        <w:rPr>
          <w:lang w:val="en-US"/>
        </w:rPr>
        <w:t>: see</w:t>
      </w:r>
      <w:r w:rsidR="000A5E07" w:rsidRPr="009513DB">
        <w:rPr>
          <w:lang w:val="en-US"/>
        </w:rPr>
        <w:t xml:space="preserve"> for example</w:t>
      </w:r>
      <w:r w:rsidR="00D02F74" w:rsidRPr="009513DB">
        <w:rPr>
          <w:lang w:val="en-US"/>
        </w:rPr>
        <w:t xml:space="preserve"> </w:t>
      </w:r>
      <w:r w:rsidR="00D02F74" w:rsidRPr="009513DB">
        <w:rPr>
          <w:i/>
          <w:iCs/>
          <w:lang w:val="en-US"/>
        </w:rPr>
        <w:t>R v Wright</w:t>
      </w:r>
      <w:r w:rsidR="009513DB" w:rsidRPr="009513DB">
        <w:rPr>
          <w:i/>
          <w:iCs/>
          <w:lang w:val="en-US"/>
        </w:rPr>
        <w:t>,</w:t>
      </w:r>
      <w:r w:rsidR="00C41B18">
        <w:rPr>
          <w:lang w:val="en-US"/>
        </w:rPr>
        <w:t xml:space="preserve"> 2002 ABCA 170 (</w:t>
      </w:r>
      <w:r w:rsidR="009F2C91">
        <w:rPr>
          <w:lang w:val="en-US"/>
        </w:rPr>
        <w:t>12</w:t>
      </w:r>
      <w:r w:rsidR="008E23F3">
        <w:rPr>
          <w:lang w:val="en-US"/>
        </w:rPr>
        <w:t>-</w:t>
      </w:r>
      <w:r w:rsidR="009F2C91">
        <w:rPr>
          <w:lang w:val="en-US"/>
        </w:rPr>
        <w:t xml:space="preserve">year sentence for offender who lured </w:t>
      </w:r>
      <w:r w:rsidR="00C41B18">
        <w:rPr>
          <w:lang w:val="en-US"/>
        </w:rPr>
        <w:t xml:space="preserve">taxi driver </w:t>
      </w:r>
      <w:r w:rsidR="009F2C91">
        <w:rPr>
          <w:lang w:val="en-US"/>
        </w:rPr>
        <w:t xml:space="preserve">to location where taxi driver was </w:t>
      </w:r>
      <w:r w:rsidR="002851D9">
        <w:rPr>
          <w:lang w:val="en-US"/>
        </w:rPr>
        <w:t>severely beaten and left for dead</w:t>
      </w:r>
      <w:r w:rsidR="009F2C91">
        <w:rPr>
          <w:lang w:val="en-US"/>
        </w:rPr>
        <w:t>)</w:t>
      </w:r>
      <w:r w:rsidR="009513DB" w:rsidRPr="009513DB">
        <w:rPr>
          <w:lang w:val="en-US"/>
        </w:rPr>
        <w:t xml:space="preserve">. </w:t>
      </w:r>
      <w:r w:rsidR="007C4BF5" w:rsidRPr="009513DB">
        <w:rPr>
          <w:lang w:val="en-US"/>
        </w:rPr>
        <w:t>Reading the</w:t>
      </w:r>
      <w:r w:rsidR="00A15619" w:rsidRPr="009513DB">
        <w:rPr>
          <w:lang w:val="en-US"/>
        </w:rPr>
        <w:t xml:space="preserve"> </w:t>
      </w:r>
      <w:r w:rsidR="0088184A" w:rsidRPr="009513DB">
        <w:rPr>
          <w:lang w:val="en-US"/>
        </w:rPr>
        <w:t>record as a whole</w:t>
      </w:r>
      <w:r w:rsidR="001009BA" w:rsidRPr="009513DB">
        <w:rPr>
          <w:lang w:val="en-US"/>
        </w:rPr>
        <w:t>,</w:t>
      </w:r>
      <w:r w:rsidR="0088184A" w:rsidRPr="009513DB">
        <w:rPr>
          <w:lang w:val="en-US"/>
        </w:rPr>
        <w:t xml:space="preserve"> the trial judge’s </w:t>
      </w:r>
      <w:r w:rsidR="00F827D7" w:rsidRPr="009513DB">
        <w:rPr>
          <w:lang w:val="en-US"/>
        </w:rPr>
        <w:t>underlying reason for the imposition of a</w:t>
      </w:r>
      <w:r w:rsidR="00A15619" w:rsidRPr="009513DB">
        <w:rPr>
          <w:lang w:val="en-US"/>
        </w:rPr>
        <w:t xml:space="preserve"> </w:t>
      </w:r>
      <w:r w:rsidR="005A64BE" w:rsidRPr="009513DB">
        <w:rPr>
          <w:lang w:val="en-US"/>
        </w:rPr>
        <w:t>ten</w:t>
      </w:r>
      <w:r w:rsidR="00A15619" w:rsidRPr="009513DB">
        <w:rPr>
          <w:lang w:val="en-US"/>
        </w:rPr>
        <w:t xml:space="preserve">-year sentence </w:t>
      </w:r>
      <w:r w:rsidR="00F827D7" w:rsidRPr="009513DB">
        <w:rPr>
          <w:lang w:val="en-US"/>
        </w:rPr>
        <w:t xml:space="preserve">is clear, and we do not consider this sentence to be </w:t>
      </w:r>
      <w:r w:rsidR="00A15619" w:rsidRPr="009513DB">
        <w:rPr>
          <w:lang w:val="en-US"/>
        </w:rPr>
        <w:t>demonstrably unfit.</w:t>
      </w:r>
      <w:r w:rsidR="00A32B4F" w:rsidRPr="009513DB">
        <w:rPr>
          <w:lang w:val="en-US"/>
        </w:rPr>
        <w:t xml:space="preserve"> </w:t>
      </w:r>
    </w:p>
    <w:p w14:paraId="03209775" w14:textId="5786F0DA" w:rsidR="00205963" w:rsidRPr="00E52ADA" w:rsidRDefault="009862A8" w:rsidP="00A92BE0">
      <w:pPr>
        <w:pStyle w:val="FelskyNumbering12"/>
        <w:spacing w:line="240" w:lineRule="auto"/>
        <w:rPr>
          <w:lang w:val="en-US"/>
        </w:rPr>
      </w:pPr>
      <w:r>
        <w:rPr>
          <w:lang w:val="en-US"/>
        </w:rPr>
        <w:t>As a result, the sentence appeal is dismissed.</w:t>
      </w:r>
    </w:p>
    <w:p w14:paraId="0771407D" w14:textId="77777777" w:rsidR="00CA3A5F" w:rsidRDefault="00CA3A5F" w:rsidP="00A92BE0">
      <w:pPr>
        <w:pStyle w:val="FelskyNumbering12"/>
        <w:numPr>
          <w:ilvl w:val="0"/>
          <w:numId w:val="0"/>
        </w:numPr>
        <w:spacing w:line="240" w:lineRule="auto"/>
        <w:rPr>
          <w:rFonts w:eastAsia="PMingLiU"/>
          <w:lang w:val="en-US"/>
        </w:rPr>
      </w:pPr>
    </w:p>
    <w:p w14:paraId="1EC3ABAB" w14:textId="4EBBDBD1" w:rsidR="00925CE0" w:rsidRPr="009C2254" w:rsidRDefault="00925CE0" w:rsidP="00A92BE0">
      <w:pPr>
        <w:ind w:left="0"/>
      </w:pPr>
      <w:r>
        <w:t xml:space="preserve">Appeal heard on </w:t>
      </w:r>
      <w:r w:rsidR="007C1B86">
        <w:t>October 24, 2023</w:t>
      </w:r>
    </w:p>
    <w:p w14:paraId="539D71B2" w14:textId="77777777" w:rsidR="00925CE0" w:rsidRPr="009C2254" w:rsidRDefault="00925CE0" w:rsidP="00A92BE0">
      <w:pPr>
        <w:ind w:left="0"/>
      </w:pPr>
    </w:p>
    <w:p w14:paraId="5A1FAACE" w14:textId="77777777" w:rsidR="00925CE0" w:rsidRPr="009C2254" w:rsidRDefault="00925CE0" w:rsidP="00A92BE0">
      <w:pPr>
        <w:ind w:left="0"/>
      </w:pPr>
      <w:bookmarkStart w:id="20" w:name="JudgmentFiled"/>
      <w:bookmarkEnd w:id="20"/>
      <w:r>
        <w:t>Memorandum filed</w:t>
      </w:r>
      <w:r w:rsidRPr="009C2254">
        <w:t xml:space="preserve"> at </w:t>
      </w:r>
      <w:bookmarkStart w:id="21" w:name="FilingJudicialDistrict"/>
      <w:bookmarkEnd w:id="21"/>
      <w:r>
        <w:rPr>
          <w:rFonts w:eastAsia="PMingLiU"/>
        </w:rPr>
        <w:t>Yellowknife, NWT</w:t>
      </w:r>
    </w:p>
    <w:p w14:paraId="0BE88551" w14:textId="0FE75FFC" w:rsidR="00925CE0" w:rsidRPr="00933249" w:rsidRDefault="00AD3F3C" w:rsidP="00A92BE0">
      <w:pPr>
        <w:ind w:left="0"/>
        <w:rPr>
          <w:color w:val="000000"/>
        </w:rPr>
      </w:pPr>
      <w:r>
        <w:t>t</w:t>
      </w:r>
      <w:r w:rsidR="00925CE0" w:rsidRPr="009C2254">
        <w:t>his</w:t>
      </w:r>
      <w:bookmarkStart w:id="22" w:name="FilingDate"/>
      <w:bookmarkEnd w:id="22"/>
      <w:r>
        <w:t xml:space="preserve"> 24th </w:t>
      </w:r>
      <w:r w:rsidR="00925CE0" w:rsidRPr="00932F9A">
        <w:t>day of</w:t>
      </w:r>
      <w:r w:rsidR="00411360">
        <w:t xml:space="preserve"> </w:t>
      </w:r>
      <w:r w:rsidR="00510471">
        <w:t>April</w:t>
      </w:r>
      <w:r w:rsidR="00925CE0" w:rsidRPr="00932F9A">
        <w:t>, 202</w:t>
      </w:r>
      <w:r w:rsidR="00411360">
        <w:t>4</w:t>
      </w:r>
    </w:p>
    <w:p w14:paraId="724F3E27" w14:textId="77777777" w:rsidR="00925CE0" w:rsidRPr="009C2254" w:rsidRDefault="00925CE0" w:rsidP="00A92BE0">
      <w:pPr>
        <w:ind w:left="0"/>
      </w:pPr>
    </w:p>
    <w:p w14:paraId="6510542E" w14:textId="77777777" w:rsidR="00925CE0" w:rsidRPr="009C2254" w:rsidRDefault="00925CE0" w:rsidP="00A92BE0">
      <w:pPr>
        <w:ind w:left="0"/>
      </w:pPr>
    </w:p>
    <w:p w14:paraId="3E7A45D9" w14:textId="77777777" w:rsidR="00925CE0" w:rsidRPr="009C2254" w:rsidRDefault="00925CE0" w:rsidP="00A92BE0">
      <w:pPr>
        <w:ind w:left="0"/>
      </w:pPr>
    </w:p>
    <w:p w14:paraId="73D66734" w14:textId="77777777" w:rsidR="00925CE0" w:rsidRDefault="00000000" w:rsidP="00925CE0">
      <w:pPr>
        <w:ind w:left="0"/>
        <w:jc w:val="right"/>
      </w:pPr>
      <w:r>
        <w:pict w14:anchorId="6D5C0AAA">
          <v:rect id="_x0000_i1025" style="width:3in;height:.7pt" o:hrpct="0" o:hralign="right" o:hrstd="t" o:hrnoshade="t" o:hr="t" fillcolor="black" stroked="f"/>
        </w:pict>
      </w:r>
    </w:p>
    <w:p w14:paraId="034219C6" w14:textId="7F0F392D" w:rsidR="00925CE0" w:rsidRDefault="00016A95" w:rsidP="00016A95">
      <w:pPr>
        <w:tabs>
          <w:tab w:val="left" w:pos="3150"/>
        </w:tabs>
        <w:ind w:left="0"/>
        <w:jc w:val="right"/>
      </w:pPr>
      <w:r>
        <w:t>Authorized to sign for:</w:t>
      </w:r>
      <w:r>
        <w:tab/>
      </w:r>
      <w:r w:rsidR="007C1B86">
        <w:t>Duncan J.A.</w:t>
      </w:r>
    </w:p>
    <w:p w14:paraId="19E3795A" w14:textId="77777777" w:rsidR="00925CE0" w:rsidRDefault="00925CE0" w:rsidP="00925CE0">
      <w:pPr>
        <w:ind w:left="0"/>
        <w:jc w:val="right"/>
      </w:pPr>
    </w:p>
    <w:p w14:paraId="46B342EB" w14:textId="77777777" w:rsidR="00925CE0" w:rsidRDefault="00925CE0" w:rsidP="00925CE0">
      <w:pPr>
        <w:ind w:left="0"/>
        <w:jc w:val="right"/>
      </w:pPr>
    </w:p>
    <w:p w14:paraId="661B1E51" w14:textId="77777777" w:rsidR="00925CE0" w:rsidRDefault="00925CE0" w:rsidP="00925CE0">
      <w:pPr>
        <w:ind w:left="0"/>
        <w:jc w:val="right"/>
      </w:pPr>
    </w:p>
    <w:p w14:paraId="3966E750" w14:textId="77777777" w:rsidR="00925CE0" w:rsidRDefault="00000000" w:rsidP="00925CE0">
      <w:pPr>
        <w:ind w:left="0"/>
        <w:jc w:val="right"/>
      </w:pPr>
      <w:r>
        <w:pict w14:anchorId="7F11FB83">
          <v:rect id="_x0000_i1026" style="width:3in;height:.7pt" o:hrpct="0" o:hralign="right" o:hrstd="t" o:hrnoshade="t" o:hr="t" fillcolor="black" stroked="f"/>
        </w:pict>
      </w:r>
    </w:p>
    <w:p w14:paraId="3BC4B264" w14:textId="239766BF" w:rsidR="00925CE0" w:rsidRDefault="00925CE0" w:rsidP="00925CE0">
      <w:pPr>
        <w:ind w:left="0"/>
        <w:jc w:val="right"/>
      </w:pPr>
      <w:r>
        <w:rPr>
          <w:rFonts w:cs="Times New Roman"/>
        </w:rPr>
        <w:t xml:space="preserve"> </w:t>
      </w:r>
      <w:r w:rsidR="007C1B86">
        <w:t>Ho J.A.</w:t>
      </w:r>
    </w:p>
    <w:p w14:paraId="03FC875D" w14:textId="77777777" w:rsidR="00925CE0" w:rsidRDefault="00925CE0" w:rsidP="00925CE0">
      <w:pPr>
        <w:ind w:left="0"/>
        <w:jc w:val="right"/>
      </w:pPr>
    </w:p>
    <w:p w14:paraId="09E1B6E2" w14:textId="77777777" w:rsidR="00925CE0" w:rsidRDefault="00925CE0" w:rsidP="00925CE0">
      <w:pPr>
        <w:ind w:left="0"/>
        <w:jc w:val="right"/>
      </w:pPr>
    </w:p>
    <w:p w14:paraId="3331A324" w14:textId="77777777" w:rsidR="00925CE0" w:rsidRDefault="00925CE0" w:rsidP="00925CE0">
      <w:pPr>
        <w:ind w:left="0"/>
        <w:jc w:val="right"/>
      </w:pPr>
    </w:p>
    <w:p w14:paraId="124C67E9" w14:textId="77777777" w:rsidR="00925CE0" w:rsidRDefault="00000000" w:rsidP="00925CE0">
      <w:pPr>
        <w:ind w:left="0"/>
        <w:jc w:val="right"/>
      </w:pPr>
      <w:r>
        <w:pict w14:anchorId="6FEAD62F">
          <v:rect id="_x0000_i1027" style="width:3in;height:.7pt" o:hrpct="0" o:hralign="right" o:hrstd="t" o:hrnoshade="t" o:hr="t" fillcolor="black" stroked="f"/>
        </w:pict>
      </w:r>
    </w:p>
    <w:p w14:paraId="183B023B" w14:textId="22BD3A0F" w:rsidR="00925CE0" w:rsidRPr="009A2FCE" w:rsidRDefault="007C1B86" w:rsidP="00925CE0">
      <w:pPr>
        <w:ind w:left="0"/>
        <w:jc w:val="right"/>
        <w:rPr>
          <w:lang w:val="fr-FR"/>
        </w:rPr>
      </w:pPr>
      <w:r w:rsidRPr="009A2FCE">
        <w:rPr>
          <w:lang w:val="fr-FR"/>
        </w:rPr>
        <w:t>Gross</w:t>
      </w:r>
      <w:r w:rsidR="004859FD" w:rsidRPr="009A2FCE">
        <w:rPr>
          <w:lang w:val="fr-FR"/>
        </w:rPr>
        <w:t>e</w:t>
      </w:r>
      <w:r w:rsidRPr="009A2FCE">
        <w:rPr>
          <w:lang w:val="fr-FR"/>
        </w:rPr>
        <w:t xml:space="preserve"> J.A.</w:t>
      </w:r>
    </w:p>
    <w:p w14:paraId="2AD147D5" w14:textId="77777777" w:rsidR="001B131A" w:rsidRPr="009A2FCE" w:rsidRDefault="001B131A">
      <w:pPr>
        <w:spacing w:after="200" w:line="276" w:lineRule="auto"/>
        <w:ind w:left="0"/>
        <w:jc w:val="left"/>
        <w:rPr>
          <w:lang w:val="fr-FR"/>
        </w:rPr>
      </w:pPr>
      <w:r w:rsidRPr="009A2FCE">
        <w:rPr>
          <w:lang w:val="fr-FR"/>
        </w:rPr>
        <w:br w:type="page"/>
      </w:r>
    </w:p>
    <w:p w14:paraId="39BD8B46" w14:textId="77777777" w:rsidR="001B131A" w:rsidRPr="009A2FCE" w:rsidRDefault="001B131A" w:rsidP="001B131A">
      <w:pPr>
        <w:spacing w:after="200" w:line="276" w:lineRule="auto"/>
        <w:ind w:left="0"/>
        <w:jc w:val="left"/>
        <w:rPr>
          <w:b/>
          <w:lang w:val="fr-FR"/>
        </w:rPr>
      </w:pPr>
      <w:r w:rsidRPr="009A2FCE">
        <w:rPr>
          <w:b/>
          <w:lang w:val="fr-FR"/>
        </w:rPr>
        <w:lastRenderedPageBreak/>
        <w:t>Appearances:</w:t>
      </w:r>
    </w:p>
    <w:p w14:paraId="62C4D40F" w14:textId="645B5EC9" w:rsidR="001B131A" w:rsidRPr="009D6C59" w:rsidRDefault="002A5997" w:rsidP="001B131A">
      <w:pPr>
        <w:spacing w:line="276" w:lineRule="auto"/>
        <w:ind w:left="0"/>
        <w:jc w:val="left"/>
        <w:rPr>
          <w:lang w:val="fr-CA"/>
        </w:rPr>
      </w:pPr>
      <w:r w:rsidRPr="009A2FCE">
        <w:rPr>
          <w:lang w:val="fr-FR"/>
        </w:rPr>
        <w:t>B. M</w:t>
      </w:r>
      <w:r w:rsidR="009D6C59">
        <w:rPr>
          <w:lang w:val="fr-FR"/>
        </w:rPr>
        <w:t>a</w:t>
      </w:r>
      <w:r w:rsidRPr="009A2FCE">
        <w:rPr>
          <w:lang w:val="fr-FR"/>
        </w:rPr>
        <w:t>cPherson</w:t>
      </w:r>
    </w:p>
    <w:p w14:paraId="34081F50" w14:textId="00786469" w:rsidR="001B131A" w:rsidRDefault="002A5997" w:rsidP="001B131A">
      <w:pPr>
        <w:spacing w:line="276" w:lineRule="auto"/>
        <w:ind w:left="0"/>
        <w:jc w:val="left"/>
      </w:pPr>
      <w:r>
        <w:t>B. Green</w:t>
      </w:r>
      <w:r>
        <w:br/>
      </w:r>
      <w:r>
        <w:tab/>
      </w:r>
      <w:r w:rsidR="00956089">
        <w:t>f</w:t>
      </w:r>
      <w:r w:rsidR="001B131A">
        <w:t xml:space="preserve">or the </w:t>
      </w:r>
      <w:r w:rsidR="00956089">
        <w:t>Respondent</w:t>
      </w:r>
    </w:p>
    <w:p w14:paraId="36A60E10" w14:textId="77777777" w:rsidR="001B131A" w:rsidRDefault="001B131A" w:rsidP="001B131A">
      <w:pPr>
        <w:spacing w:line="276" w:lineRule="auto"/>
        <w:ind w:left="0"/>
        <w:jc w:val="left"/>
      </w:pPr>
    </w:p>
    <w:p w14:paraId="1B765907" w14:textId="3E96CB3D" w:rsidR="001B131A" w:rsidRDefault="002A5997" w:rsidP="001B131A">
      <w:pPr>
        <w:ind w:left="0"/>
        <w:jc w:val="left"/>
      </w:pPr>
      <w:r>
        <w:t>R. Clements</w:t>
      </w:r>
    </w:p>
    <w:p w14:paraId="26421386" w14:textId="28B4D790" w:rsidR="001B131A" w:rsidRDefault="001B131A" w:rsidP="001B131A">
      <w:pPr>
        <w:ind w:left="0"/>
        <w:jc w:val="left"/>
      </w:pPr>
      <w:r>
        <w:tab/>
      </w:r>
      <w:r w:rsidR="00956089">
        <w:t>f</w:t>
      </w:r>
      <w:r>
        <w:t xml:space="preserve">or the </w:t>
      </w:r>
      <w:r w:rsidR="00956089">
        <w:t>Appellant</w:t>
      </w:r>
    </w:p>
    <w:p w14:paraId="4FF3B513" w14:textId="77777777" w:rsidR="001B131A" w:rsidRDefault="001B131A" w:rsidP="00925CE0">
      <w:pPr>
        <w:ind w:left="0"/>
        <w:jc w:val="right"/>
      </w:pPr>
    </w:p>
    <w:p w14:paraId="537678FC" w14:textId="77777777" w:rsidR="00CA3A5F" w:rsidRPr="002B6E0A" w:rsidRDefault="00CA3A5F" w:rsidP="00CA3A5F">
      <w:pPr>
        <w:pStyle w:val="FelskyNumbering12"/>
        <w:numPr>
          <w:ilvl w:val="0"/>
          <w:numId w:val="0"/>
        </w:numPr>
        <w:rPr>
          <w:rFonts w:eastAsia="PMingLiU"/>
          <w:lang w:val="en-US"/>
        </w:rPr>
      </w:pPr>
    </w:p>
    <w:p w14:paraId="030C48A6" w14:textId="77777777" w:rsidR="000A1DC2" w:rsidRDefault="00283549" w:rsidP="00EC177C">
      <w:pPr>
        <w:tabs>
          <w:tab w:val="center" w:pos="4680"/>
        </w:tabs>
        <w:ind w:left="0"/>
        <w:rPr>
          <w:rFonts w:eastAsia="PMingLiU"/>
        </w:rPr>
      </w:pPr>
      <w:r w:rsidRPr="009C2254">
        <w:rPr>
          <w:rFonts w:eastAsia="PMingLiU"/>
        </w:rPr>
        <w:tab/>
      </w:r>
    </w:p>
    <w:p w14:paraId="094BA767" w14:textId="77777777" w:rsidR="00283549" w:rsidRPr="009C2254" w:rsidRDefault="00283549" w:rsidP="004B6F64">
      <w:pPr>
        <w:ind w:left="0"/>
      </w:pPr>
    </w:p>
    <w:p w14:paraId="635539A3" w14:textId="77777777" w:rsidR="00A51BFB" w:rsidRDefault="00A51BFB" w:rsidP="00C3547F">
      <w:pPr>
        <w:spacing w:after="200" w:line="276" w:lineRule="auto"/>
        <w:ind w:left="0"/>
        <w:jc w:val="left"/>
        <w:sectPr w:rsidR="00A51BFB" w:rsidSect="0045649C">
          <w:headerReference w:type="even" r:id="rId17"/>
          <w:headerReference w:type="default" r:id="rId18"/>
          <w:headerReference w:type="first" r:id="rId19"/>
          <w:type w:val="continuous"/>
          <w:pgSz w:w="12240" w:h="15840"/>
          <w:pgMar w:top="1585" w:right="1440" w:bottom="1800" w:left="1440" w:header="1440" w:footer="1440" w:gutter="0"/>
          <w:pgNumType w:start="1"/>
          <w:cols w:space="720"/>
          <w:noEndnote/>
          <w:titlePg/>
          <w:docGrid w:linePitch="326"/>
        </w:sectPr>
      </w:pPr>
      <w:bookmarkStart w:id="23" w:name="Signature"/>
      <w:bookmarkStart w:id="24" w:name="frAppearances"/>
      <w:bookmarkEnd w:id="23"/>
      <w:bookmarkEnd w:id="24"/>
    </w:p>
    <w:p w14:paraId="57910BA3" w14:textId="77777777" w:rsidR="00A41AB9" w:rsidRPr="007D3FA9" w:rsidRDefault="00A41AB9" w:rsidP="00A41AB9">
      <w:pPr>
        <w:rPr>
          <w:rFonts w:eastAsia="PMingLiU"/>
        </w:rPr>
      </w:pPr>
    </w:p>
    <w:p w14:paraId="72785BDB" w14:textId="458F54F7" w:rsidR="00A41AB9" w:rsidRPr="00084540" w:rsidRDefault="007052FF" w:rsidP="00A41AB9">
      <w:pPr>
        <w:ind w:left="3168"/>
        <w:jc w:val="right"/>
        <w:rPr>
          <w:rFonts w:eastAsia="PMingLiU"/>
          <w:b/>
        </w:rPr>
      </w:pPr>
      <w:r w:rsidRPr="00084540">
        <w:rPr>
          <w:rFonts w:eastAsia="PMingLiU"/>
          <w:b/>
        </w:rPr>
        <w:t>A1-AP-2021-000</w:t>
      </w:r>
      <w:r w:rsidR="00084540">
        <w:rPr>
          <w:rFonts w:eastAsia="PMingLiU"/>
          <w:b/>
        </w:rPr>
        <w:t xml:space="preserve"> </w:t>
      </w:r>
      <w:r w:rsidRPr="00084540">
        <w:rPr>
          <w:rFonts w:eastAsia="PMingLiU"/>
          <w:b/>
        </w:rPr>
        <w:t>008</w:t>
      </w:r>
    </w:p>
    <w:p w14:paraId="0E68D321" w14:textId="77777777" w:rsidR="00A41AB9" w:rsidRPr="00084540" w:rsidRDefault="00A41AB9" w:rsidP="00A41AB9">
      <w:pPr>
        <w:ind w:left="3168"/>
        <w:rPr>
          <w:rFonts w:eastAsia="PMingLiU"/>
          <w:b/>
        </w:rPr>
      </w:pPr>
    </w:p>
    <w:p w14:paraId="6678421F" w14:textId="45A680DD" w:rsidR="00A41AB9" w:rsidRPr="007D3FA9" w:rsidRDefault="00A41AB9" w:rsidP="00A41AB9">
      <w:pPr>
        <w:spacing w:line="19" w:lineRule="exact"/>
        <w:ind w:left="3168"/>
        <w:rPr>
          <w:rFonts w:eastAsia="PMingLiU"/>
        </w:rPr>
      </w:pPr>
    </w:p>
    <w:p w14:paraId="38377ECA" w14:textId="77777777" w:rsidR="000D09C4" w:rsidRPr="000D09C4" w:rsidRDefault="000D09C4" w:rsidP="000D09C4">
      <w:pPr>
        <w:ind w:left="3168"/>
        <w:rPr>
          <w:rFonts w:eastAsia="PMingLiU"/>
          <w:b/>
        </w:rPr>
      </w:pPr>
      <w:r w:rsidRPr="000D09C4">
        <w:rPr>
          <w:rFonts w:eastAsia="PMingLiU"/>
          <w:b/>
          <w:noProof/>
        </w:rPr>
        <mc:AlternateContent>
          <mc:Choice Requires="wps">
            <w:drawing>
              <wp:anchor distT="0" distB="0" distL="114300" distR="114300" simplePos="0" relativeHeight="251664384" behindDoc="1" locked="1" layoutInCell="0" allowOverlap="1" wp14:anchorId="547ABBF0" wp14:editId="0388D503">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9AA92" id="Rectangle 4" o:spid="_x0000_s1026" style="position:absolute;margin-left:230.4pt;margin-top:0;width:309.6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7AE9704B" w14:textId="77777777" w:rsidR="000D09C4" w:rsidRPr="000D09C4" w:rsidRDefault="000D09C4" w:rsidP="005115AD">
      <w:pPr>
        <w:ind w:left="3168"/>
        <w:jc w:val="center"/>
        <w:rPr>
          <w:rFonts w:eastAsia="PMingLiU"/>
          <w:b/>
        </w:rPr>
      </w:pPr>
      <w:r w:rsidRPr="000D09C4">
        <w:rPr>
          <w:rFonts w:eastAsia="PMingLiU"/>
          <w:b/>
        </w:rPr>
        <w:t>IN THE COURT OF APPEAL</w:t>
      </w:r>
    </w:p>
    <w:p w14:paraId="6885ED26" w14:textId="77777777" w:rsidR="000D09C4" w:rsidRPr="000D09C4" w:rsidRDefault="000D09C4" w:rsidP="005115AD">
      <w:pPr>
        <w:ind w:left="3168"/>
        <w:jc w:val="center"/>
        <w:rPr>
          <w:rFonts w:eastAsia="PMingLiU"/>
          <w:b/>
        </w:rPr>
      </w:pPr>
      <w:r w:rsidRPr="000D09C4">
        <w:rPr>
          <w:rFonts w:eastAsia="PMingLiU"/>
          <w:b/>
        </w:rPr>
        <w:t>FOR THE NORTHWEST TERRITORIES</w:t>
      </w:r>
    </w:p>
    <w:p w14:paraId="74E7A70A" w14:textId="77777777" w:rsidR="000D09C4" w:rsidRPr="000D09C4" w:rsidRDefault="000D09C4" w:rsidP="005115AD">
      <w:pPr>
        <w:ind w:left="3168"/>
        <w:jc w:val="center"/>
        <w:rPr>
          <w:rFonts w:eastAsia="PMingLiU"/>
          <w:b/>
        </w:rPr>
      </w:pPr>
    </w:p>
    <w:p w14:paraId="76001B79" w14:textId="77777777" w:rsidR="000D09C4" w:rsidRPr="000D09C4" w:rsidRDefault="000D09C4" w:rsidP="000D09C4">
      <w:pPr>
        <w:ind w:left="3168"/>
        <w:rPr>
          <w:rFonts w:eastAsia="PMingLiU"/>
          <w:b/>
        </w:rPr>
      </w:pPr>
      <w:r w:rsidRPr="000D09C4">
        <w:rPr>
          <w:rFonts w:eastAsia="PMingLiU"/>
          <w:b/>
          <w:noProof/>
        </w:rPr>
        <mc:AlternateContent>
          <mc:Choice Requires="wps">
            <w:drawing>
              <wp:anchor distT="0" distB="0" distL="114300" distR="114300" simplePos="0" relativeHeight="251665408" behindDoc="1" locked="1" layoutInCell="0" allowOverlap="1" wp14:anchorId="33607A01" wp14:editId="17354EC2">
                <wp:simplePos x="0" y="0"/>
                <wp:positionH relativeFrom="page">
                  <wp:posOffset>2926080</wp:posOffset>
                </wp:positionH>
                <wp:positionV relativeFrom="paragraph">
                  <wp:posOffset>0</wp:posOffset>
                </wp:positionV>
                <wp:extent cx="3931920" cy="1206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0A3B2" id="Rectangle 5" o:spid="_x0000_s1026" style="position:absolute;margin-left:230.4pt;margin-top:0;width:309.6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7D2AE013" w14:textId="77777777" w:rsidR="000D09C4" w:rsidRPr="000D09C4" w:rsidRDefault="000D09C4" w:rsidP="000D09C4">
      <w:pPr>
        <w:ind w:left="3168"/>
        <w:rPr>
          <w:rFonts w:eastAsia="PMingLiU"/>
          <w:b/>
        </w:rPr>
      </w:pPr>
    </w:p>
    <w:p w14:paraId="3573F4C8" w14:textId="77777777" w:rsidR="00A41AB9" w:rsidRPr="009C2254" w:rsidRDefault="00A41AB9" w:rsidP="00A41AB9">
      <w:pPr>
        <w:ind w:left="3150"/>
        <w:rPr>
          <w:rFonts w:eastAsia="PMingLiU"/>
        </w:rPr>
      </w:pPr>
      <w:r w:rsidRPr="009C2254">
        <w:rPr>
          <w:rFonts w:eastAsia="PMingLiU"/>
          <w:b/>
          <w:bCs/>
        </w:rPr>
        <w:t>Between:</w:t>
      </w:r>
    </w:p>
    <w:p w14:paraId="3C82632A" w14:textId="77777777" w:rsidR="00A41AB9" w:rsidRPr="009C2254" w:rsidRDefault="00A41AB9" w:rsidP="00A41AB9">
      <w:pPr>
        <w:ind w:left="3150"/>
        <w:rPr>
          <w:rFonts w:eastAsia="PMingLiU"/>
        </w:rPr>
      </w:pPr>
    </w:p>
    <w:p w14:paraId="7123192C" w14:textId="27D748A8" w:rsidR="00A41AB9" w:rsidRPr="007052FF" w:rsidRDefault="00F36CE8" w:rsidP="00F36CE8">
      <w:pPr>
        <w:ind w:left="0"/>
        <w:jc w:val="center"/>
        <w:rPr>
          <w:rFonts w:eastAsia="PMingLiU"/>
          <w:b/>
          <w:bCs/>
        </w:rPr>
      </w:pPr>
      <w:r>
        <w:rPr>
          <w:rFonts w:eastAsia="PMingLiU"/>
        </w:rPr>
        <w:t xml:space="preserve">                             </w:t>
      </w:r>
      <w:r w:rsidR="00956089" w:rsidRPr="007052FF">
        <w:rPr>
          <w:rFonts w:eastAsia="PMingLiU"/>
          <w:b/>
          <w:bCs/>
        </w:rPr>
        <w:t>His Majesty the King</w:t>
      </w:r>
    </w:p>
    <w:p w14:paraId="0B5D0658" w14:textId="77777777" w:rsidR="00956089" w:rsidRDefault="00956089" w:rsidP="00F36CE8">
      <w:pPr>
        <w:ind w:left="0"/>
        <w:jc w:val="center"/>
        <w:rPr>
          <w:rFonts w:eastAsia="PMingLiU"/>
        </w:rPr>
      </w:pPr>
    </w:p>
    <w:p w14:paraId="6080BF22" w14:textId="364D6461" w:rsidR="00956089" w:rsidRDefault="00956089" w:rsidP="00956089">
      <w:pPr>
        <w:ind w:left="0"/>
        <w:jc w:val="right"/>
        <w:rPr>
          <w:rFonts w:eastAsia="PMingLiU"/>
        </w:rPr>
      </w:pPr>
      <w:r>
        <w:rPr>
          <w:rFonts w:eastAsia="PMingLiU"/>
        </w:rPr>
        <w:t>Respondent</w:t>
      </w:r>
    </w:p>
    <w:p w14:paraId="6A89A1CC" w14:textId="77777777" w:rsidR="00F36CE8" w:rsidRDefault="00F36CE8" w:rsidP="00F36CE8">
      <w:pPr>
        <w:ind w:left="0"/>
        <w:jc w:val="center"/>
        <w:rPr>
          <w:rFonts w:eastAsia="PMingLiU"/>
        </w:rPr>
      </w:pPr>
    </w:p>
    <w:p w14:paraId="3D10EFD8" w14:textId="77777777" w:rsidR="00F36CE8" w:rsidRDefault="00F36CE8" w:rsidP="00F36CE8">
      <w:pPr>
        <w:ind w:left="0"/>
        <w:jc w:val="center"/>
        <w:rPr>
          <w:rFonts w:eastAsia="PMingLiU"/>
        </w:rPr>
      </w:pPr>
    </w:p>
    <w:p w14:paraId="4DCDF80D" w14:textId="77777777" w:rsidR="00F36CE8" w:rsidRDefault="00F36CE8" w:rsidP="00F36CE8">
      <w:pPr>
        <w:ind w:left="0"/>
        <w:jc w:val="center"/>
        <w:rPr>
          <w:rFonts w:eastAsia="PMingLiU"/>
        </w:rPr>
      </w:pPr>
      <w:r>
        <w:rPr>
          <w:rFonts w:eastAsia="PMingLiU"/>
        </w:rPr>
        <w:t xml:space="preserve">                             - and -</w:t>
      </w:r>
    </w:p>
    <w:p w14:paraId="71B1E89B" w14:textId="77777777" w:rsidR="00F36CE8" w:rsidRDefault="00F36CE8" w:rsidP="00F36CE8">
      <w:pPr>
        <w:ind w:left="0"/>
        <w:jc w:val="center"/>
        <w:rPr>
          <w:rFonts w:eastAsia="PMingLiU"/>
        </w:rPr>
      </w:pPr>
    </w:p>
    <w:p w14:paraId="51357300" w14:textId="77777777" w:rsidR="00F36CE8" w:rsidRDefault="00F36CE8" w:rsidP="00F36CE8">
      <w:pPr>
        <w:ind w:left="0"/>
        <w:jc w:val="center"/>
        <w:rPr>
          <w:rFonts w:eastAsia="PMingLiU"/>
        </w:rPr>
      </w:pPr>
    </w:p>
    <w:p w14:paraId="408623D7" w14:textId="77777777" w:rsidR="00956089" w:rsidRDefault="00F36CE8" w:rsidP="00956089">
      <w:pPr>
        <w:ind w:left="0"/>
        <w:jc w:val="center"/>
        <w:rPr>
          <w:rFonts w:eastAsia="PMingLiU"/>
          <w:b/>
        </w:rPr>
      </w:pPr>
      <w:r>
        <w:rPr>
          <w:rFonts w:eastAsia="PMingLiU"/>
        </w:rPr>
        <w:t xml:space="preserve">                              </w:t>
      </w:r>
      <w:r w:rsidR="00956089">
        <w:rPr>
          <w:rFonts w:eastAsia="PMingLiU"/>
          <w:b/>
        </w:rPr>
        <w:t>James George Thomas</w:t>
      </w:r>
    </w:p>
    <w:p w14:paraId="31429494" w14:textId="77777777" w:rsidR="007052FF" w:rsidRDefault="007052FF" w:rsidP="00956089">
      <w:pPr>
        <w:ind w:left="0"/>
        <w:jc w:val="center"/>
        <w:rPr>
          <w:rFonts w:eastAsia="PMingLiU"/>
          <w:b/>
        </w:rPr>
      </w:pPr>
    </w:p>
    <w:p w14:paraId="66DFB41B" w14:textId="34E0D145" w:rsidR="007052FF" w:rsidRPr="007052FF" w:rsidRDefault="007052FF" w:rsidP="007052FF">
      <w:pPr>
        <w:ind w:left="0"/>
        <w:jc w:val="right"/>
        <w:rPr>
          <w:rFonts w:eastAsia="PMingLiU"/>
          <w:bCs/>
        </w:rPr>
      </w:pPr>
      <w:r>
        <w:rPr>
          <w:rFonts w:eastAsia="PMingLiU"/>
          <w:bCs/>
        </w:rPr>
        <w:t>Appellant</w:t>
      </w:r>
    </w:p>
    <w:p w14:paraId="0A89A809" w14:textId="7519BF5A" w:rsidR="00A41AB9" w:rsidRPr="007D3FA9" w:rsidRDefault="00A41AB9" w:rsidP="00C3547F">
      <w:pPr>
        <w:ind w:left="0"/>
        <w:jc w:val="center"/>
      </w:pPr>
    </w:p>
    <w:p w14:paraId="5E001D5C" w14:textId="5EFE5184" w:rsidR="00A41AB9" w:rsidRPr="007D3FA9" w:rsidRDefault="00A41AB9" w:rsidP="00A41AB9">
      <w:pPr>
        <w:ind w:left="3168"/>
      </w:pPr>
    </w:p>
    <w:p w14:paraId="4517E2A6" w14:textId="1E648C30" w:rsidR="00A41AB9" w:rsidRPr="007D3FA9" w:rsidRDefault="00593C9B" w:rsidP="00A41AB9">
      <w:pPr>
        <w:ind w:left="3168"/>
      </w:pPr>
      <w:r>
        <w:rPr>
          <w:noProof/>
        </w:rPr>
        <mc:AlternateContent>
          <mc:Choice Requires="wps">
            <w:drawing>
              <wp:anchor distT="0" distB="0" distL="114300" distR="114300" simplePos="0" relativeHeight="251667456" behindDoc="1" locked="0" layoutInCell="0" allowOverlap="1" wp14:anchorId="5920C62E" wp14:editId="65AC8571">
                <wp:simplePos x="0" y="0"/>
                <wp:positionH relativeFrom="page">
                  <wp:posOffset>2900680</wp:posOffset>
                </wp:positionH>
                <wp:positionV relativeFrom="paragraph">
                  <wp:posOffset>12065</wp:posOffset>
                </wp:positionV>
                <wp:extent cx="3931920" cy="120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EAEC1" id="Rectangle 7" o:spid="_x0000_s1026" style="position:absolute;margin-left:228.4pt;margin-top:.95pt;width:309.6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" o:allowincell="f" fillcolor="black" stroked="f" strokeweight="0">
                <w10:wrap anchorx="page"/>
              </v:rect>
            </w:pict>
          </mc:Fallback>
        </mc:AlternateContent>
      </w:r>
    </w:p>
    <w:p w14:paraId="405ED724" w14:textId="77777777" w:rsidR="00A41AB9" w:rsidRPr="00907CDD" w:rsidRDefault="00A41AB9" w:rsidP="00A41AB9">
      <w:pPr>
        <w:ind w:left="3168"/>
        <w:jc w:val="center"/>
        <w:rPr>
          <w:b/>
          <w:bCs/>
        </w:rPr>
      </w:pPr>
      <w:r w:rsidRPr="00907CDD">
        <w:rPr>
          <w:b/>
          <w:bCs/>
        </w:rPr>
        <w:t>MEMORANDUM OF JUDGMENT</w:t>
      </w:r>
    </w:p>
    <w:p w14:paraId="11705BF2" w14:textId="77777777" w:rsidR="00A41AB9" w:rsidRPr="007D3FA9" w:rsidRDefault="00A41AB9" w:rsidP="00A41AB9">
      <w:pPr>
        <w:ind w:left="3168"/>
        <w:jc w:val="center"/>
      </w:pPr>
    </w:p>
    <w:p w14:paraId="1E83FA8E" w14:textId="77777777" w:rsidR="00A41AB9" w:rsidRPr="009C2254" w:rsidRDefault="00A41AB9" w:rsidP="00A41AB9">
      <w:pPr>
        <w:spacing w:line="19" w:lineRule="exact"/>
        <w:ind w:left="3168"/>
      </w:pPr>
      <w:r>
        <w:rPr>
          <w:noProof/>
        </w:rPr>
        <mc:AlternateContent>
          <mc:Choice Requires="wps">
            <w:drawing>
              <wp:anchor distT="0" distB="0" distL="114300" distR="114300" simplePos="0" relativeHeight="251662336" behindDoc="1" locked="1" layoutInCell="0" allowOverlap="1" wp14:anchorId="354C0279" wp14:editId="4007BAD1">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6FE68"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482FD06F" w14:textId="77777777" w:rsidR="00283549" w:rsidRPr="009C2254" w:rsidRDefault="00283549" w:rsidP="004B6F64">
      <w:pPr>
        <w:ind w:left="0"/>
      </w:pPr>
    </w:p>
    <w:sectPr w:rsidR="00283549" w:rsidRPr="009C2254" w:rsidSect="003545B6">
      <w:headerReference w:type="even" r:id="rId20"/>
      <w:headerReference w:type="default" r:id="rId21"/>
      <w:headerReference w:type="first" r:id="rId22"/>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13AF" w14:textId="77777777" w:rsidR="007428A5" w:rsidRDefault="007428A5" w:rsidP="00283549">
      <w:r>
        <w:separator/>
      </w:r>
    </w:p>
  </w:endnote>
  <w:endnote w:type="continuationSeparator" w:id="0">
    <w:p w14:paraId="643BAF81" w14:textId="77777777" w:rsidR="007428A5" w:rsidRDefault="007428A5"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784F" w14:textId="77777777" w:rsidR="00A92BE0" w:rsidRDefault="00A92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7A1C" w14:textId="77777777" w:rsidR="00A92BE0" w:rsidRDefault="00A92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7D52" w14:textId="77777777" w:rsidR="00A92BE0" w:rsidRDefault="00A9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14CA" w14:textId="77777777" w:rsidR="007428A5" w:rsidRDefault="007428A5" w:rsidP="0046579D">
      <w:pPr>
        <w:ind w:left="0"/>
      </w:pPr>
      <w:r>
        <w:separator/>
      </w:r>
    </w:p>
  </w:footnote>
  <w:footnote w:type="continuationSeparator" w:id="0">
    <w:p w14:paraId="189AE18E" w14:textId="77777777" w:rsidR="007428A5" w:rsidRDefault="007428A5" w:rsidP="002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0082" w14:textId="77777777" w:rsidR="00A92BE0" w:rsidRDefault="00A92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4D63" w14:textId="77777777" w:rsidR="00A92BE0" w:rsidRDefault="00A92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A2F6" w14:textId="77777777" w:rsidR="00A92BE0" w:rsidRDefault="00A92B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0D58" w14:textId="77777777" w:rsidR="00A603CF" w:rsidRDefault="00A603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000112"/>
      <w:docPartObj>
        <w:docPartGallery w:val="Page Numbers (Top of Page)"/>
        <w:docPartUnique/>
      </w:docPartObj>
    </w:sdtPr>
    <w:sdtEndPr>
      <w:rPr>
        <w:noProof/>
      </w:rPr>
    </w:sdtEndPr>
    <w:sdtContent>
      <w:p w14:paraId="55DC246B" w14:textId="17455AFD" w:rsidR="006E2AB4" w:rsidRDefault="006E2AB4">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2265138" w14:textId="77777777" w:rsidR="001E53E3" w:rsidRDefault="001E53E3">
    <w:pPr>
      <w:spacing w:line="240" w:lineRule="exact"/>
      <w:rPr>
        <w:rFonts w:eastAsia="PMingLiU"/>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1FE" w14:textId="77777777" w:rsidR="00A603CF" w:rsidRDefault="00A603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8A5" w14:textId="77777777" w:rsidR="00A603CF" w:rsidRDefault="00000000">
    <w:pPr>
      <w:pStyle w:val="Header"/>
    </w:pPr>
    <w:r>
      <w:rPr>
        <w:noProof/>
      </w:rPr>
      <w:pict w14:anchorId="3F437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FF9D" w14:textId="77777777" w:rsidR="001E53E3" w:rsidRDefault="001E53E3">
    <w:pPr>
      <w:spacing w:line="240" w:lineRule="exact"/>
      <w:rPr>
        <w:rFonts w:eastAsia="PMingLiU"/>
        <w:lang w:val="en-GB"/>
      </w:rPr>
    </w:pPr>
  </w:p>
  <w:p w14:paraId="7409D544" w14:textId="77777777" w:rsidR="001E53E3" w:rsidRDefault="001E53E3">
    <w:pPr>
      <w:spacing w:line="240" w:lineRule="exact"/>
      <w:rPr>
        <w:rFonts w:eastAsia="PMingLiU"/>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AFC2" w14:textId="77777777" w:rsidR="00A603CF" w:rsidRDefault="00A6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C4E0824"/>
    <w:multiLevelType w:val="hybridMultilevel"/>
    <w:tmpl w:val="E3DE6E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344080"/>
    <w:multiLevelType w:val="hybridMultilevel"/>
    <w:tmpl w:val="83E0D108"/>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097282E"/>
    <w:multiLevelType w:val="hybridMultilevel"/>
    <w:tmpl w:val="7C7E889E"/>
    <w:lvl w:ilvl="0" w:tplc="04AA43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5B11413"/>
    <w:multiLevelType w:val="hybridMultilevel"/>
    <w:tmpl w:val="B5C8365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CCD32AF"/>
    <w:multiLevelType w:val="hybridMultilevel"/>
    <w:tmpl w:val="214A6642"/>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num w:numId="1" w16cid:durableId="1699970237">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28296694">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2141268526">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952906265">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228076740">
    <w:abstractNumId w:val="2"/>
  </w:num>
  <w:num w:numId="6" w16cid:durableId="576672419">
    <w:abstractNumId w:val="6"/>
  </w:num>
  <w:num w:numId="7" w16cid:durableId="1219828261">
    <w:abstractNumId w:val="3"/>
  </w:num>
  <w:num w:numId="8" w16cid:durableId="1535970380">
    <w:abstractNumId w:val="4"/>
  </w:num>
  <w:num w:numId="9" w16cid:durableId="1643733981">
    <w:abstractNumId w:val="5"/>
  </w:num>
  <w:num w:numId="10" w16cid:durableId="171916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79ECD1-4BBA-417D-BC8E-4B76ACBA5487}"/>
    <w:docVar w:name="dgnword-eventsink" w:val="139909208"/>
  </w:docVars>
  <w:rsids>
    <w:rsidRoot w:val="000A1DC2"/>
    <w:rsid w:val="00002524"/>
    <w:rsid w:val="000046A9"/>
    <w:rsid w:val="00004F6A"/>
    <w:rsid w:val="0000619C"/>
    <w:rsid w:val="000072A4"/>
    <w:rsid w:val="000072CA"/>
    <w:rsid w:val="000075E2"/>
    <w:rsid w:val="00007A6D"/>
    <w:rsid w:val="00011C2C"/>
    <w:rsid w:val="00011EE4"/>
    <w:rsid w:val="00012E55"/>
    <w:rsid w:val="00013324"/>
    <w:rsid w:val="00013F5F"/>
    <w:rsid w:val="00014B06"/>
    <w:rsid w:val="00014B10"/>
    <w:rsid w:val="00016A95"/>
    <w:rsid w:val="00017106"/>
    <w:rsid w:val="00020A1B"/>
    <w:rsid w:val="0002148E"/>
    <w:rsid w:val="000220F9"/>
    <w:rsid w:val="00025A72"/>
    <w:rsid w:val="00027E3E"/>
    <w:rsid w:val="00027ECD"/>
    <w:rsid w:val="00027F8C"/>
    <w:rsid w:val="00030FB6"/>
    <w:rsid w:val="00032946"/>
    <w:rsid w:val="00035525"/>
    <w:rsid w:val="00040FD3"/>
    <w:rsid w:val="00042957"/>
    <w:rsid w:val="00043116"/>
    <w:rsid w:val="00043396"/>
    <w:rsid w:val="00043A9B"/>
    <w:rsid w:val="00044601"/>
    <w:rsid w:val="000469B4"/>
    <w:rsid w:val="000478D2"/>
    <w:rsid w:val="00050E13"/>
    <w:rsid w:val="000549F2"/>
    <w:rsid w:val="00056B38"/>
    <w:rsid w:val="00056FA9"/>
    <w:rsid w:val="000577E2"/>
    <w:rsid w:val="00060424"/>
    <w:rsid w:val="00062228"/>
    <w:rsid w:val="000640CF"/>
    <w:rsid w:val="00066007"/>
    <w:rsid w:val="000738AF"/>
    <w:rsid w:val="0007397A"/>
    <w:rsid w:val="0007626F"/>
    <w:rsid w:val="0008093F"/>
    <w:rsid w:val="00081857"/>
    <w:rsid w:val="00084540"/>
    <w:rsid w:val="00084963"/>
    <w:rsid w:val="00086D14"/>
    <w:rsid w:val="00093B8F"/>
    <w:rsid w:val="000947A1"/>
    <w:rsid w:val="00094F82"/>
    <w:rsid w:val="0009609B"/>
    <w:rsid w:val="000973C9"/>
    <w:rsid w:val="000A122A"/>
    <w:rsid w:val="000A19BA"/>
    <w:rsid w:val="000A1DC2"/>
    <w:rsid w:val="000A255B"/>
    <w:rsid w:val="000A399A"/>
    <w:rsid w:val="000A5E07"/>
    <w:rsid w:val="000A748D"/>
    <w:rsid w:val="000B1459"/>
    <w:rsid w:val="000B29F9"/>
    <w:rsid w:val="000B346D"/>
    <w:rsid w:val="000B3F65"/>
    <w:rsid w:val="000B4681"/>
    <w:rsid w:val="000B5B09"/>
    <w:rsid w:val="000B61B4"/>
    <w:rsid w:val="000B658D"/>
    <w:rsid w:val="000B6FEE"/>
    <w:rsid w:val="000C059D"/>
    <w:rsid w:val="000C5AFB"/>
    <w:rsid w:val="000C6D54"/>
    <w:rsid w:val="000D076C"/>
    <w:rsid w:val="000D09C4"/>
    <w:rsid w:val="000D12D3"/>
    <w:rsid w:val="000D18B6"/>
    <w:rsid w:val="000D2559"/>
    <w:rsid w:val="000D2C6F"/>
    <w:rsid w:val="000D2F21"/>
    <w:rsid w:val="000D5531"/>
    <w:rsid w:val="000E201E"/>
    <w:rsid w:val="000E45B9"/>
    <w:rsid w:val="000E53D8"/>
    <w:rsid w:val="000E5799"/>
    <w:rsid w:val="000E69AA"/>
    <w:rsid w:val="000F66C0"/>
    <w:rsid w:val="001009BA"/>
    <w:rsid w:val="00100E97"/>
    <w:rsid w:val="00101192"/>
    <w:rsid w:val="0010374F"/>
    <w:rsid w:val="00103D17"/>
    <w:rsid w:val="00106A61"/>
    <w:rsid w:val="00107962"/>
    <w:rsid w:val="00111AB8"/>
    <w:rsid w:val="00112F18"/>
    <w:rsid w:val="00116A08"/>
    <w:rsid w:val="00116B1E"/>
    <w:rsid w:val="00123B3A"/>
    <w:rsid w:val="00124FFA"/>
    <w:rsid w:val="00126A78"/>
    <w:rsid w:val="0013248A"/>
    <w:rsid w:val="00132690"/>
    <w:rsid w:val="00133281"/>
    <w:rsid w:val="00133550"/>
    <w:rsid w:val="00133652"/>
    <w:rsid w:val="00134E65"/>
    <w:rsid w:val="00142084"/>
    <w:rsid w:val="00143472"/>
    <w:rsid w:val="0014383F"/>
    <w:rsid w:val="00147343"/>
    <w:rsid w:val="00152C01"/>
    <w:rsid w:val="00153AA9"/>
    <w:rsid w:val="0015621A"/>
    <w:rsid w:val="00156FB1"/>
    <w:rsid w:val="0016035F"/>
    <w:rsid w:val="00163931"/>
    <w:rsid w:val="00165313"/>
    <w:rsid w:val="001659D5"/>
    <w:rsid w:val="0016683D"/>
    <w:rsid w:val="00167906"/>
    <w:rsid w:val="00167EAF"/>
    <w:rsid w:val="0017253E"/>
    <w:rsid w:val="00173FB2"/>
    <w:rsid w:val="00182CB5"/>
    <w:rsid w:val="0018346C"/>
    <w:rsid w:val="00185814"/>
    <w:rsid w:val="00187CF6"/>
    <w:rsid w:val="00191591"/>
    <w:rsid w:val="00191C16"/>
    <w:rsid w:val="00193206"/>
    <w:rsid w:val="00195155"/>
    <w:rsid w:val="0019645D"/>
    <w:rsid w:val="00196A81"/>
    <w:rsid w:val="001974A4"/>
    <w:rsid w:val="00197C27"/>
    <w:rsid w:val="00197E6C"/>
    <w:rsid w:val="001A1EAF"/>
    <w:rsid w:val="001A281C"/>
    <w:rsid w:val="001A3366"/>
    <w:rsid w:val="001A354A"/>
    <w:rsid w:val="001A5E96"/>
    <w:rsid w:val="001B075E"/>
    <w:rsid w:val="001B131A"/>
    <w:rsid w:val="001B15A6"/>
    <w:rsid w:val="001B15BA"/>
    <w:rsid w:val="001C0F9B"/>
    <w:rsid w:val="001C1622"/>
    <w:rsid w:val="001C56B3"/>
    <w:rsid w:val="001C66CE"/>
    <w:rsid w:val="001C6FF0"/>
    <w:rsid w:val="001C748B"/>
    <w:rsid w:val="001C79BC"/>
    <w:rsid w:val="001C79FC"/>
    <w:rsid w:val="001D0155"/>
    <w:rsid w:val="001D09AB"/>
    <w:rsid w:val="001D17D2"/>
    <w:rsid w:val="001D2D0C"/>
    <w:rsid w:val="001D31E7"/>
    <w:rsid w:val="001D340B"/>
    <w:rsid w:val="001D370E"/>
    <w:rsid w:val="001D5E55"/>
    <w:rsid w:val="001D7D5D"/>
    <w:rsid w:val="001D7DF4"/>
    <w:rsid w:val="001E0136"/>
    <w:rsid w:val="001E28D4"/>
    <w:rsid w:val="001E2F85"/>
    <w:rsid w:val="001E5111"/>
    <w:rsid w:val="001E53E3"/>
    <w:rsid w:val="001E69D3"/>
    <w:rsid w:val="001E7888"/>
    <w:rsid w:val="001F0940"/>
    <w:rsid w:val="001F0B48"/>
    <w:rsid w:val="001F0CC7"/>
    <w:rsid w:val="001F2C1F"/>
    <w:rsid w:val="001F60DC"/>
    <w:rsid w:val="00201F76"/>
    <w:rsid w:val="00204657"/>
    <w:rsid w:val="002048BD"/>
    <w:rsid w:val="00205963"/>
    <w:rsid w:val="00207713"/>
    <w:rsid w:val="00207F3D"/>
    <w:rsid w:val="00210095"/>
    <w:rsid w:val="002114A8"/>
    <w:rsid w:val="00221A11"/>
    <w:rsid w:val="00222C3B"/>
    <w:rsid w:val="00224866"/>
    <w:rsid w:val="0022518F"/>
    <w:rsid w:val="00225E4C"/>
    <w:rsid w:val="00232B53"/>
    <w:rsid w:val="002330E7"/>
    <w:rsid w:val="002337C0"/>
    <w:rsid w:val="002340A1"/>
    <w:rsid w:val="00236A16"/>
    <w:rsid w:val="0024025E"/>
    <w:rsid w:val="002418B9"/>
    <w:rsid w:val="00245CAB"/>
    <w:rsid w:val="0024651D"/>
    <w:rsid w:val="002468A5"/>
    <w:rsid w:val="00250559"/>
    <w:rsid w:val="0025076A"/>
    <w:rsid w:val="00251348"/>
    <w:rsid w:val="00254993"/>
    <w:rsid w:val="002560F1"/>
    <w:rsid w:val="002600A8"/>
    <w:rsid w:val="00260DE0"/>
    <w:rsid w:val="00261172"/>
    <w:rsid w:val="00261652"/>
    <w:rsid w:val="00261C22"/>
    <w:rsid w:val="00261FE5"/>
    <w:rsid w:val="00262702"/>
    <w:rsid w:val="00263851"/>
    <w:rsid w:val="002657A3"/>
    <w:rsid w:val="00266DD8"/>
    <w:rsid w:val="002672B1"/>
    <w:rsid w:val="00267A7E"/>
    <w:rsid w:val="00267BCE"/>
    <w:rsid w:val="002725E9"/>
    <w:rsid w:val="00281086"/>
    <w:rsid w:val="00281769"/>
    <w:rsid w:val="00281C8F"/>
    <w:rsid w:val="00283549"/>
    <w:rsid w:val="002851D9"/>
    <w:rsid w:val="00292677"/>
    <w:rsid w:val="00294130"/>
    <w:rsid w:val="00294C40"/>
    <w:rsid w:val="002973EA"/>
    <w:rsid w:val="002A10C1"/>
    <w:rsid w:val="002A4372"/>
    <w:rsid w:val="002A5997"/>
    <w:rsid w:val="002A5C5E"/>
    <w:rsid w:val="002A67BD"/>
    <w:rsid w:val="002A6EE8"/>
    <w:rsid w:val="002B1B4F"/>
    <w:rsid w:val="002B4C60"/>
    <w:rsid w:val="002B6E0A"/>
    <w:rsid w:val="002B6E33"/>
    <w:rsid w:val="002B754A"/>
    <w:rsid w:val="002C04D9"/>
    <w:rsid w:val="002C3103"/>
    <w:rsid w:val="002C4653"/>
    <w:rsid w:val="002C5D0F"/>
    <w:rsid w:val="002C5DCD"/>
    <w:rsid w:val="002C7035"/>
    <w:rsid w:val="002D33A9"/>
    <w:rsid w:val="002E00A5"/>
    <w:rsid w:val="002E0B5C"/>
    <w:rsid w:val="002E22A1"/>
    <w:rsid w:val="002E3540"/>
    <w:rsid w:val="002E3B8A"/>
    <w:rsid w:val="002E49E5"/>
    <w:rsid w:val="002F04B7"/>
    <w:rsid w:val="002F1775"/>
    <w:rsid w:val="002F2E4F"/>
    <w:rsid w:val="002F49B7"/>
    <w:rsid w:val="002F5CE0"/>
    <w:rsid w:val="002F7126"/>
    <w:rsid w:val="002F734D"/>
    <w:rsid w:val="00301613"/>
    <w:rsid w:val="0030375E"/>
    <w:rsid w:val="00312771"/>
    <w:rsid w:val="00312C3B"/>
    <w:rsid w:val="00315752"/>
    <w:rsid w:val="003172FB"/>
    <w:rsid w:val="00320236"/>
    <w:rsid w:val="00320FAE"/>
    <w:rsid w:val="00321325"/>
    <w:rsid w:val="0032187C"/>
    <w:rsid w:val="00322807"/>
    <w:rsid w:val="00322C25"/>
    <w:rsid w:val="00323BDD"/>
    <w:rsid w:val="00326E73"/>
    <w:rsid w:val="00331702"/>
    <w:rsid w:val="00332F07"/>
    <w:rsid w:val="00334B2C"/>
    <w:rsid w:val="0033692A"/>
    <w:rsid w:val="00340530"/>
    <w:rsid w:val="00341030"/>
    <w:rsid w:val="00343DF9"/>
    <w:rsid w:val="0034528C"/>
    <w:rsid w:val="003517D5"/>
    <w:rsid w:val="0035183B"/>
    <w:rsid w:val="003531A0"/>
    <w:rsid w:val="003545B6"/>
    <w:rsid w:val="003563A9"/>
    <w:rsid w:val="003576A6"/>
    <w:rsid w:val="00360C9E"/>
    <w:rsid w:val="00362FEC"/>
    <w:rsid w:val="003639FA"/>
    <w:rsid w:val="00364676"/>
    <w:rsid w:val="00365878"/>
    <w:rsid w:val="0036651C"/>
    <w:rsid w:val="00366B75"/>
    <w:rsid w:val="00367C62"/>
    <w:rsid w:val="00367DF6"/>
    <w:rsid w:val="003719B8"/>
    <w:rsid w:val="00373625"/>
    <w:rsid w:val="00374245"/>
    <w:rsid w:val="00375052"/>
    <w:rsid w:val="00376FEB"/>
    <w:rsid w:val="00377097"/>
    <w:rsid w:val="0038246D"/>
    <w:rsid w:val="00382592"/>
    <w:rsid w:val="00385BA5"/>
    <w:rsid w:val="00385E3A"/>
    <w:rsid w:val="00390A0B"/>
    <w:rsid w:val="00391B8E"/>
    <w:rsid w:val="00391C78"/>
    <w:rsid w:val="00392478"/>
    <w:rsid w:val="003933F1"/>
    <w:rsid w:val="00394F79"/>
    <w:rsid w:val="0039563F"/>
    <w:rsid w:val="003958A9"/>
    <w:rsid w:val="003965E8"/>
    <w:rsid w:val="003967EB"/>
    <w:rsid w:val="00397AC2"/>
    <w:rsid w:val="003A2EFA"/>
    <w:rsid w:val="003A46D5"/>
    <w:rsid w:val="003A6507"/>
    <w:rsid w:val="003A7EF8"/>
    <w:rsid w:val="003B0A86"/>
    <w:rsid w:val="003B0C7E"/>
    <w:rsid w:val="003B14FD"/>
    <w:rsid w:val="003B201B"/>
    <w:rsid w:val="003B2DAE"/>
    <w:rsid w:val="003B457E"/>
    <w:rsid w:val="003B68B8"/>
    <w:rsid w:val="003B7169"/>
    <w:rsid w:val="003C09CA"/>
    <w:rsid w:val="003C145C"/>
    <w:rsid w:val="003C221F"/>
    <w:rsid w:val="003C2365"/>
    <w:rsid w:val="003C4680"/>
    <w:rsid w:val="003C4981"/>
    <w:rsid w:val="003C6097"/>
    <w:rsid w:val="003C6253"/>
    <w:rsid w:val="003D0E96"/>
    <w:rsid w:val="003D16C8"/>
    <w:rsid w:val="003D23CE"/>
    <w:rsid w:val="003D279B"/>
    <w:rsid w:val="003D3F69"/>
    <w:rsid w:val="003D44DA"/>
    <w:rsid w:val="003E01D3"/>
    <w:rsid w:val="003E2B64"/>
    <w:rsid w:val="003E385D"/>
    <w:rsid w:val="003E51A0"/>
    <w:rsid w:val="003E6E2B"/>
    <w:rsid w:val="003F08FB"/>
    <w:rsid w:val="003F12CE"/>
    <w:rsid w:val="003F4A40"/>
    <w:rsid w:val="003F536C"/>
    <w:rsid w:val="003F61D5"/>
    <w:rsid w:val="003F69BF"/>
    <w:rsid w:val="003F7075"/>
    <w:rsid w:val="00402A09"/>
    <w:rsid w:val="00403586"/>
    <w:rsid w:val="00403C4C"/>
    <w:rsid w:val="00405073"/>
    <w:rsid w:val="00407820"/>
    <w:rsid w:val="00411360"/>
    <w:rsid w:val="004118C5"/>
    <w:rsid w:val="00411F49"/>
    <w:rsid w:val="00412507"/>
    <w:rsid w:val="00414A01"/>
    <w:rsid w:val="00415561"/>
    <w:rsid w:val="00416DEE"/>
    <w:rsid w:val="00417BDF"/>
    <w:rsid w:val="0043266E"/>
    <w:rsid w:val="00432D2C"/>
    <w:rsid w:val="0043469B"/>
    <w:rsid w:val="00437667"/>
    <w:rsid w:val="00440C67"/>
    <w:rsid w:val="00441DBB"/>
    <w:rsid w:val="00445B42"/>
    <w:rsid w:val="004466E8"/>
    <w:rsid w:val="004468E0"/>
    <w:rsid w:val="004528D0"/>
    <w:rsid w:val="00453970"/>
    <w:rsid w:val="00454896"/>
    <w:rsid w:val="0045649C"/>
    <w:rsid w:val="0045668B"/>
    <w:rsid w:val="00457488"/>
    <w:rsid w:val="00461AFD"/>
    <w:rsid w:val="00461CB9"/>
    <w:rsid w:val="004633CA"/>
    <w:rsid w:val="00463404"/>
    <w:rsid w:val="00464339"/>
    <w:rsid w:val="0046433D"/>
    <w:rsid w:val="0046579D"/>
    <w:rsid w:val="00467363"/>
    <w:rsid w:val="0046786E"/>
    <w:rsid w:val="00470C51"/>
    <w:rsid w:val="00474774"/>
    <w:rsid w:val="00475E24"/>
    <w:rsid w:val="00476D63"/>
    <w:rsid w:val="00481324"/>
    <w:rsid w:val="0048489E"/>
    <w:rsid w:val="004857E7"/>
    <w:rsid w:val="004859FD"/>
    <w:rsid w:val="00486395"/>
    <w:rsid w:val="0049523B"/>
    <w:rsid w:val="00495D27"/>
    <w:rsid w:val="004A063F"/>
    <w:rsid w:val="004A0BA0"/>
    <w:rsid w:val="004A14CA"/>
    <w:rsid w:val="004A3A9F"/>
    <w:rsid w:val="004A53F7"/>
    <w:rsid w:val="004A797D"/>
    <w:rsid w:val="004B6F64"/>
    <w:rsid w:val="004C202E"/>
    <w:rsid w:val="004C4F36"/>
    <w:rsid w:val="004C533A"/>
    <w:rsid w:val="004D488C"/>
    <w:rsid w:val="004D5AE4"/>
    <w:rsid w:val="004D654D"/>
    <w:rsid w:val="004E063D"/>
    <w:rsid w:val="004E3C6F"/>
    <w:rsid w:val="004E43FF"/>
    <w:rsid w:val="004E4727"/>
    <w:rsid w:val="004F0788"/>
    <w:rsid w:val="004F0BCE"/>
    <w:rsid w:val="004F190A"/>
    <w:rsid w:val="004F20CD"/>
    <w:rsid w:val="004F284D"/>
    <w:rsid w:val="004F4587"/>
    <w:rsid w:val="004F7919"/>
    <w:rsid w:val="005002EE"/>
    <w:rsid w:val="005028A0"/>
    <w:rsid w:val="00502B9D"/>
    <w:rsid w:val="005056DA"/>
    <w:rsid w:val="00510471"/>
    <w:rsid w:val="005115AD"/>
    <w:rsid w:val="00512E1B"/>
    <w:rsid w:val="0051393D"/>
    <w:rsid w:val="00516CAF"/>
    <w:rsid w:val="00517E0F"/>
    <w:rsid w:val="00517E84"/>
    <w:rsid w:val="005210D8"/>
    <w:rsid w:val="00521604"/>
    <w:rsid w:val="00521A97"/>
    <w:rsid w:val="0052222A"/>
    <w:rsid w:val="005233D7"/>
    <w:rsid w:val="005234A4"/>
    <w:rsid w:val="00524859"/>
    <w:rsid w:val="00525A74"/>
    <w:rsid w:val="00525DDF"/>
    <w:rsid w:val="005267FC"/>
    <w:rsid w:val="00526B35"/>
    <w:rsid w:val="00531D31"/>
    <w:rsid w:val="0053388A"/>
    <w:rsid w:val="00535813"/>
    <w:rsid w:val="005359FA"/>
    <w:rsid w:val="00542B58"/>
    <w:rsid w:val="00544D7D"/>
    <w:rsid w:val="00545FEE"/>
    <w:rsid w:val="005512C9"/>
    <w:rsid w:val="00551B9A"/>
    <w:rsid w:val="00552889"/>
    <w:rsid w:val="00553F00"/>
    <w:rsid w:val="00553F7D"/>
    <w:rsid w:val="00560BBA"/>
    <w:rsid w:val="00562D8D"/>
    <w:rsid w:val="00567B93"/>
    <w:rsid w:val="005715B9"/>
    <w:rsid w:val="005753F0"/>
    <w:rsid w:val="00577983"/>
    <w:rsid w:val="005837C7"/>
    <w:rsid w:val="00583CA3"/>
    <w:rsid w:val="005849BD"/>
    <w:rsid w:val="00593C9B"/>
    <w:rsid w:val="005A0E5D"/>
    <w:rsid w:val="005A1662"/>
    <w:rsid w:val="005A1A33"/>
    <w:rsid w:val="005A304B"/>
    <w:rsid w:val="005A37F1"/>
    <w:rsid w:val="005A57D8"/>
    <w:rsid w:val="005A64BE"/>
    <w:rsid w:val="005B04B1"/>
    <w:rsid w:val="005B0EC6"/>
    <w:rsid w:val="005B3660"/>
    <w:rsid w:val="005B3B8A"/>
    <w:rsid w:val="005B3C40"/>
    <w:rsid w:val="005B4B8F"/>
    <w:rsid w:val="005B4E69"/>
    <w:rsid w:val="005B5722"/>
    <w:rsid w:val="005B5CCF"/>
    <w:rsid w:val="005B75C5"/>
    <w:rsid w:val="005B7AA8"/>
    <w:rsid w:val="005C3D7F"/>
    <w:rsid w:val="005C6FCD"/>
    <w:rsid w:val="005D13E0"/>
    <w:rsid w:val="005D388A"/>
    <w:rsid w:val="005D4254"/>
    <w:rsid w:val="005D5834"/>
    <w:rsid w:val="005D6445"/>
    <w:rsid w:val="005D793E"/>
    <w:rsid w:val="005E00DB"/>
    <w:rsid w:val="005E2820"/>
    <w:rsid w:val="005E2B3F"/>
    <w:rsid w:val="005E2D22"/>
    <w:rsid w:val="005E5966"/>
    <w:rsid w:val="005F2F5B"/>
    <w:rsid w:val="005F5CD5"/>
    <w:rsid w:val="005F5E37"/>
    <w:rsid w:val="005F61A6"/>
    <w:rsid w:val="005F72BD"/>
    <w:rsid w:val="00600C81"/>
    <w:rsid w:val="006029C9"/>
    <w:rsid w:val="00603FCF"/>
    <w:rsid w:val="006078B0"/>
    <w:rsid w:val="00610954"/>
    <w:rsid w:val="00610F23"/>
    <w:rsid w:val="00611128"/>
    <w:rsid w:val="00611741"/>
    <w:rsid w:val="00612089"/>
    <w:rsid w:val="00615243"/>
    <w:rsid w:val="00617D88"/>
    <w:rsid w:val="006243FE"/>
    <w:rsid w:val="00626433"/>
    <w:rsid w:val="006264F4"/>
    <w:rsid w:val="00626F2E"/>
    <w:rsid w:val="006274FC"/>
    <w:rsid w:val="00627A6B"/>
    <w:rsid w:val="00630509"/>
    <w:rsid w:val="00631BE0"/>
    <w:rsid w:val="006320AD"/>
    <w:rsid w:val="0063323F"/>
    <w:rsid w:val="00634CC9"/>
    <w:rsid w:val="00634CEF"/>
    <w:rsid w:val="00634F78"/>
    <w:rsid w:val="00635178"/>
    <w:rsid w:val="00636E55"/>
    <w:rsid w:val="0064366B"/>
    <w:rsid w:val="0064512A"/>
    <w:rsid w:val="006455AA"/>
    <w:rsid w:val="00645D04"/>
    <w:rsid w:val="0064602A"/>
    <w:rsid w:val="00647BF6"/>
    <w:rsid w:val="006632F1"/>
    <w:rsid w:val="006633B2"/>
    <w:rsid w:val="0066503F"/>
    <w:rsid w:val="00665273"/>
    <w:rsid w:val="00665F46"/>
    <w:rsid w:val="00671708"/>
    <w:rsid w:val="00672EEF"/>
    <w:rsid w:val="006730F2"/>
    <w:rsid w:val="00676136"/>
    <w:rsid w:val="006800C2"/>
    <w:rsid w:val="006822D6"/>
    <w:rsid w:val="006856C0"/>
    <w:rsid w:val="0069109F"/>
    <w:rsid w:val="0069396D"/>
    <w:rsid w:val="00694FC5"/>
    <w:rsid w:val="00696672"/>
    <w:rsid w:val="00697BFA"/>
    <w:rsid w:val="00697F62"/>
    <w:rsid w:val="006A1D0D"/>
    <w:rsid w:val="006A2D4D"/>
    <w:rsid w:val="006A6009"/>
    <w:rsid w:val="006A6C2D"/>
    <w:rsid w:val="006B3CB6"/>
    <w:rsid w:val="006B4310"/>
    <w:rsid w:val="006B44D1"/>
    <w:rsid w:val="006B60FF"/>
    <w:rsid w:val="006C4238"/>
    <w:rsid w:val="006C4E6C"/>
    <w:rsid w:val="006D199E"/>
    <w:rsid w:val="006D2D23"/>
    <w:rsid w:val="006D4B26"/>
    <w:rsid w:val="006D5590"/>
    <w:rsid w:val="006D7273"/>
    <w:rsid w:val="006E2AB4"/>
    <w:rsid w:val="006E2E6D"/>
    <w:rsid w:val="006F099B"/>
    <w:rsid w:val="006F19B6"/>
    <w:rsid w:val="006F1D8D"/>
    <w:rsid w:val="006F1DAA"/>
    <w:rsid w:val="006F2396"/>
    <w:rsid w:val="006F308D"/>
    <w:rsid w:val="006F32F6"/>
    <w:rsid w:val="006F3AF4"/>
    <w:rsid w:val="006F532E"/>
    <w:rsid w:val="007011C6"/>
    <w:rsid w:val="00702BB8"/>
    <w:rsid w:val="007052FF"/>
    <w:rsid w:val="0070536B"/>
    <w:rsid w:val="007062B1"/>
    <w:rsid w:val="007125F1"/>
    <w:rsid w:val="00712F2A"/>
    <w:rsid w:val="00716DA0"/>
    <w:rsid w:val="007200A5"/>
    <w:rsid w:val="00722191"/>
    <w:rsid w:val="0072251E"/>
    <w:rsid w:val="00723CD1"/>
    <w:rsid w:val="00724403"/>
    <w:rsid w:val="007273C2"/>
    <w:rsid w:val="00732556"/>
    <w:rsid w:val="0073275C"/>
    <w:rsid w:val="00732B7E"/>
    <w:rsid w:val="0073410C"/>
    <w:rsid w:val="0073566A"/>
    <w:rsid w:val="00736506"/>
    <w:rsid w:val="00736B34"/>
    <w:rsid w:val="007405EF"/>
    <w:rsid w:val="00741930"/>
    <w:rsid w:val="007419C9"/>
    <w:rsid w:val="007428A5"/>
    <w:rsid w:val="007475E6"/>
    <w:rsid w:val="007477BD"/>
    <w:rsid w:val="007527B8"/>
    <w:rsid w:val="00753002"/>
    <w:rsid w:val="00754227"/>
    <w:rsid w:val="00754DB6"/>
    <w:rsid w:val="0075605D"/>
    <w:rsid w:val="007565AD"/>
    <w:rsid w:val="007568F8"/>
    <w:rsid w:val="00756B75"/>
    <w:rsid w:val="00761911"/>
    <w:rsid w:val="0076197A"/>
    <w:rsid w:val="007621EB"/>
    <w:rsid w:val="00762D39"/>
    <w:rsid w:val="007649BA"/>
    <w:rsid w:val="00764AFD"/>
    <w:rsid w:val="00764DD2"/>
    <w:rsid w:val="00767DEA"/>
    <w:rsid w:val="00775832"/>
    <w:rsid w:val="00775CDF"/>
    <w:rsid w:val="007769FF"/>
    <w:rsid w:val="00780266"/>
    <w:rsid w:val="00780B89"/>
    <w:rsid w:val="0078125E"/>
    <w:rsid w:val="00781513"/>
    <w:rsid w:val="0078224A"/>
    <w:rsid w:val="00783A81"/>
    <w:rsid w:val="0078454C"/>
    <w:rsid w:val="007876AD"/>
    <w:rsid w:val="0079322E"/>
    <w:rsid w:val="007A14F7"/>
    <w:rsid w:val="007A20D0"/>
    <w:rsid w:val="007B03FE"/>
    <w:rsid w:val="007B069E"/>
    <w:rsid w:val="007B0EC2"/>
    <w:rsid w:val="007B4B33"/>
    <w:rsid w:val="007B4EDF"/>
    <w:rsid w:val="007B50EE"/>
    <w:rsid w:val="007B561B"/>
    <w:rsid w:val="007C04EC"/>
    <w:rsid w:val="007C1AB5"/>
    <w:rsid w:val="007C1B86"/>
    <w:rsid w:val="007C2CC9"/>
    <w:rsid w:val="007C354B"/>
    <w:rsid w:val="007C42AA"/>
    <w:rsid w:val="007C4BF5"/>
    <w:rsid w:val="007C66D0"/>
    <w:rsid w:val="007C71D9"/>
    <w:rsid w:val="007D0B3F"/>
    <w:rsid w:val="007D38C7"/>
    <w:rsid w:val="007D4618"/>
    <w:rsid w:val="007D5DD7"/>
    <w:rsid w:val="007D60BB"/>
    <w:rsid w:val="007D6814"/>
    <w:rsid w:val="007D6887"/>
    <w:rsid w:val="007D7912"/>
    <w:rsid w:val="007E240B"/>
    <w:rsid w:val="007E30A5"/>
    <w:rsid w:val="007E3D0B"/>
    <w:rsid w:val="007E3EB9"/>
    <w:rsid w:val="007E6774"/>
    <w:rsid w:val="007E6DF2"/>
    <w:rsid w:val="007E7D3D"/>
    <w:rsid w:val="007F03E8"/>
    <w:rsid w:val="007F4E47"/>
    <w:rsid w:val="007F735D"/>
    <w:rsid w:val="007F79E1"/>
    <w:rsid w:val="007F7EE9"/>
    <w:rsid w:val="0080083E"/>
    <w:rsid w:val="008037EB"/>
    <w:rsid w:val="0080470D"/>
    <w:rsid w:val="00806372"/>
    <w:rsid w:val="008103C9"/>
    <w:rsid w:val="00812441"/>
    <w:rsid w:val="00814995"/>
    <w:rsid w:val="00820759"/>
    <w:rsid w:val="0082226A"/>
    <w:rsid w:val="00822276"/>
    <w:rsid w:val="00822F95"/>
    <w:rsid w:val="0082382D"/>
    <w:rsid w:val="00823B6A"/>
    <w:rsid w:val="008241BE"/>
    <w:rsid w:val="00824B6E"/>
    <w:rsid w:val="008258DC"/>
    <w:rsid w:val="00826E9B"/>
    <w:rsid w:val="008301AE"/>
    <w:rsid w:val="00830C39"/>
    <w:rsid w:val="008321DC"/>
    <w:rsid w:val="008329E0"/>
    <w:rsid w:val="00842600"/>
    <w:rsid w:val="0084390A"/>
    <w:rsid w:val="0084496B"/>
    <w:rsid w:val="00844D69"/>
    <w:rsid w:val="008508DC"/>
    <w:rsid w:val="008533DC"/>
    <w:rsid w:val="00854173"/>
    <w:rsid w:val="0085542B"/>
    <w:rsid w:val="0085682A"/>
    <w:rsid w:val="0085684E"/>
    <w:rsid w:val="008577D5"/>
    <w:rsid w:val="00861881"/>
    <w:rsid w:val="00861CEC"/>
    <w:rsid w:val="008622D6"/>
    <w:rsid w:val="008623D2"/>
    <w:rsid w:val="00862720"/>
    <w:rsid w:val="0086749D"/>
    <w:rsid w:val="008735E9"/>
    <w:rsid w:val="00877E5A"/>
    <w:rsid w:val="008810ED"/>
    <w:rsid w:val="0088184A"/>
    <w:rsid w:val="008830F5"/>
    <w:rsid w:val="00885203"/>
    <w:rsid w:val="00885932"/>
    <w:rsid w:val="0088660A"/>
    <w:rsid w:val="0088717A"/>
    <w:rsid w:val="00887ACD"/>
    <w:rsid w:val="00890ECA"/>
    <w:rsid w:val="00891519"/>
    <w:rsid w:val="00891556"/>
    <w:rsid w:val="00892390"/>
    <w:rsid w:val="00893A63"/>
    <w:rsid w:val="008940F2"/>
    <w:rsid w:val="008949B3"/>
    <w:rsid w:val="008967AE"/>
    <w:rsid w:val="00897949"/>
    <w:rsid w:val="008A123D"/>
    <w:rsid w:val="008A356F"/>
    <w:rsid w:val="008B03C6"/>
    <w:rsid w:val="008B3FA1"/>
    <w:rsid w:val="008B4FF9"/>
    <w:rsid w:val="008C01F6"/>
    <w:rsid w:val="008C0563"/>
    <w:rsid w:val="008C1BB2"/>
    <w:rsid w:val="008C381B"/>
    <w:rsid w:val="008C6517"/>
    <w:rsid w:val="008C6AD9"/>
    <w:rsid w:val="008D155D"/>
    <w:rsid w:val="008D1F28"/>
    <w:rsid w:val="008D3353"/>
    <w:rsid w:val="008D3EA3"/>
    <w:rsid w:val="008D6D2B"/>
    <w:rsid w:val="008E0AB8"/>
    <w:rsid w:val="008E23F3"/>
    <w:rsid w:val="008E56D0"/>
    <w:rsid w:val="008E737A"/>
    <w:rsid w:val="008F0F54"/>
    <w:rsid w:val="008F27DB"/>
    <w:rsid w:val="008F4B39"/>
    <w:rsid w:val="00900661"/>
    <w:rsid w:val="0090086A"/>
    <w:rsid w:val="00900A22"/>
    <w:rsid w:val="00905326"/>
    <w:rsid w:val="00906F2B"/>
    <w:rsid w:val="00907CDD"/>
    <w:rsid w:val="00910C7D"/>
    <w:rsid w:val="00910E6E"/>
    <w:rsid w:val="00913ABE"/>
    <w:rsid w:val="00914D58"/>
    <w:rsid w:val="00915484"/>
    <w:rsid w:val="00917504"/>
    <w:rsid w:val="00917A0E"/>
    <w:rsid w:val="00920A8F"/>
    <w:rsid w:val="009211F8"/>
    <w:rsid w:val="0092139F"/>
    <w:rsid w:val="00923033"/>
    <w:rsid w:val="00924251"/>
    <w:rsid w:val="009251CF"/>
    <w:rsid w:val="00925CE0"/>
    <w:rsid w:val="00927735"/>
    <w:rsid w:val="0092779D"/>
    <w:rsid w:val="00927FAB"/>
    <w:rsid w:val="0093101A"/>
    <w:rsid w:val="009327BA"/>
    <w:rsid w:val="00932847"/>
    <w:rsid w:val="00933666"/>
    <w:rsid w:val="00933F90"/>
    <w:rsid w:val="00935271"/>
    <w:rsid w:val="009352B4"/>
    <w:rsid w:val="009360DE"/>
    <w:rsid w:val="009372E6"/>
    <w:rsid w:val="00937E3C"/>
    <w:rsid w:val="00940B37"/>
    <w:rsid w:val="00941686"/>
    <w:rsid w:val="00942383"/>
    <w:rsid w:val="00943B4A"/>
    <w:rsid w:val="00943DB5"/>
    <w:rsid w:val="009449FF"/>
    <w:rsid w:val="009456CC"/>
    <w:rsid w:val="00947D60"/>
    <w:rsid w:val="009513DB"/>
    <w:rsid w:val="00952E6A"/>
    <w:rsid w:val="00953150"/>
    <w:rsid w:val="009533DA"/>
    <w:rsid w:val="00954C0A"/>
    <w:rsid w:val="00956089"/>
    <w:rsid w:val="00960879"/>
    <w:rsid w:val="00962B4D"/>
    <w:rsid w:val="00964B7E"/>
    <w:rsid w:val="00970375"/>
    <w:rsid w:val="00971C56"/>
    <w:rsid w:val="009727C6"/>
    <w:rsid w:val="00973619"/>
    <w:rsid w:val="00973735"/>
    <w:rsid w:val="009737E1"/>
    <w:rsid w:val="009743AE"/>
    <w:rsid w:val="00975B8A"/>
    <w:rsid w:val="00976096"/>
    <w:rsid w:val="00981ACF"/>
    <w:rsid w:val="00981BD0"/>
    <w:rsid w:val="00982609"/>
    <w:rsid w:val="00982C29"/>
    <w:rsid w:val="009862A8"/>
    <w:rsid w:val="00987E7C"/>
    <w:rsid w:val="00990C06"/>
    <w:rsid w:val="00992D59"/>
    <w:rsid w:val="00993957"/>
    <w:rsid w:val="00994988"/>
    <w:rsid w:val="00995205"/>
    <w:rsid w:val="0099574E"/>
    <w:rsid w:val="0099595C"/>
    <w:rsid w:val="009959F5"/>
    <w:rsid w:val="00997D9E"/>
    <w:rsid w:val="009A09EB"/>
    <w:rsid w:val="009A0A33"/>
    <w:rsid w:val="009A1359"/>
    <w:rsid w:val="009A1D7F"/>
    <w:rsid w:val="009A2FCE"/>
    <w:rsid w:val="009A44BA"/>
    <w:rsid w:val="009A4B15"/>
    <w:rsid w:val="009A570C"/>
    <w:rsid w:val="009B03B7"/>
    <w:rsid w:val="009B1301"/>
    <w:rsid w:val="009B17C1"/>
    <w:rsid w:val="009B2418"/>
    <w:rsid w:val="009C0849"/>
    <w:rsid w:val="009C1585"/>
    <w:rsid w:val="009C2254"/>
    <w:rsid w:val="009C2439"/>
    <w:rsid w:val="009C3A3A"/>
    <w:rsid w:val="009D0905"/>
    <w:rsid w:val="009D13A7"/>
    <w:rsid w:val="009D1C25"/>
    <w:rsid w:val="009D32D2"/>
    <w:rsid w:val="009D39EA"/>
    <w:rsid w:val="009D3BBE"/>
    <w:rsid w:val="009D3D4C"/>
    <w:rsid w:val="009D4E26"/>
    <w:rsid w:val="009D503C"/>
    <w:rsid w:val="009D6C59"/>
    <w:rsid w:val="009E1163"/>
    <w:rsid w:val="009E1381"/>
    <w:rsid w:val="009E2618"/>
    <w:rsid w:val="009E4937"/>
    <w:rsid w:val="009E4DD6"/>
    <w:rsid w:val="009E63ED"/>
    <w:rsid w:val="009E6B6B"/>
    <w:rsid w:val="009F128B"/>
    <w:rsid w:val="009F243A"/>
    <w:rsid w:val="009F2C91"/>
    <w:rsid w:val="009F4853"/>
    <w:rsid w:val="009F5438"/>
    <w:rsid w:val="009F707A"/>
    <w:rsid w:val="009F7C4F"/>
    <w:rsid w:val="009F7DD5"/>
    <w:rsid w:val="00A00330"/>
    <w:rsid w:val="00A00AA0"/>
    <w:rsid w:val="00A00F01"/>
    <w:rsid w:val="00A022EE"/>
    <w:rsid w:val="00A029E8"/>
    <w:rsid w:val="00A1286D"/>
    <w:rsid w:val="00A12E0F"/>
    <w:rsid w:val="00A13AAB"/>
    <w:rsid w:val="00A15619"/>
    <w:rsid w:val="00A215D4"/>
    <w:rsid w:val="00A24155"/>
    <w:rsid w:val="00A26B10"/>
    <w:rsid w:val="00A27122"/>
    <w:rsid w:val="00A311CC"/>
    <w:rsid w:val="00A32B4F"/>
    <w:rsid w:val="00A33E74"/>
    <w:rsid w:val="00A34EFD"/>
    <w:rsid w:val="00A3586F"/>
    <w:rsid w:val="00A41AB9"/>
    <w:rsid w:val="00A43414"/>
    <w:rsid w:val="00A43F59"/>
    <w:rsid w:val="00A440D2"/>
    <w:rsid w:val="00A4490F"/>
    <w:rsid w:val="00A51BFB"/>
    <w:rsid w:val="00A531C1"/>
    <w:rsid w:val="00A54CE9"/>
    <w:rsid w:val="00A5577E"/>
    <w:rsid w:val="00A55889"/>
    <w:rsid w:val="00A56E3D"/>
    <w:rsid w:val="00A603CF"/>
    <w:rsid w:val="00A60532"/>
    <w:rsid w:val="00A60DAC"/>
    <w:rsid w:val="00A61B78"/>
    <w:rsid w:val="00A62041"/>
    <w:rsid w:val="00A63A8A"/>
    <w:rsid w:val="00A63EDD"/>
    <w:rsid w:val="00A6759B"/>
    <w:rsid w:val="00A676C3"/>
    <w:rsid w:val="00A703F2"/>
    <w:rsid w:val="00A706AE"/>
    <w:rsid w:val="00A7139C"/>
    <w:rsid w:val="00A729D9"/>
    <w:rsid w:val="00A72D49"/>
    <w:rsid w:val="00A73B61"/>
    <w:rsid w:val="00A76A2F"/>
    <w:rsid w:val="00A76CC7"/>
    <w:rsid w:val="00A77B05"/>
    <w:rsid w:val="00A81D30"/>
    <w:rsid w:val="00A829AF"/>
    <w:rsid w:val="00A839DA"/>
    <w:rsid w:val="00A8438E"/>
    <w:rsid w:val="00A91561"/>
    <w:rsid w:val="00A92BE0"/>
    <w:rsid w:val="00A9437A"/>
    <w:rsid w:val="00A94C4E"/>
    <w:rsid w:val="00AA048B"/>
    <w:rsid w:val="00AA0B10"/>
    <w:rsid w:val="00AA32CE"/>
    <w:rsid w:val="00AA3A75"/>
    <w:rsid w:val="00AA70B1"/>
    <w:rsid w:val="00AA7110"/>
    <w:rsid w:val="00AB0EFF"/>
    <w:rsid w:val="00AB5B6F"/>
    <w:rsid w:val="00AB6D8F"/>
    <w:rsid w:val="00AC0626"/>
    <w:rsid w:val="00AC0F49"/>
    <w:rsid w:val="00AC46E5"/>
    <w:rsid w:val="00AC4C86"/>
    <w:rsid w:val="00AC5F88"/>
    <w:rsid w:val="00AC750A"/>
    <w:rsid w:val="00AD206B"/>
    <w:rsid w:val="00AD20BC"/>
    <w:rsid w:val="00AD3F3C"/>
    <w:rsid w:val="00AD71A0"/>
    <w:rsid w:val="00AE1BF2"/>
    <w:rsid w:val="00AE1E40"/>
    <w:rsid w:val="00AE26E0"/>
    <w:rsid w:val="00AE31B0"/>
    <w:rsid w:val="00AE4C44"/>
    <w:rsid w:val="00AE7281"/>
    <w:rsid w:val="00AE77B3"/>
    <w:rsid w:val="00AE7BB6"/>
    <w:rsid w:val="00AE7FB2"/>
    <w:rsid w:val="00AF11B8"/>
    <w:rsid w:val="00AF17D0"/>
    <w:rsid w:val="00AF262C"/>
    <w:rsid w:val="00AF39D1"/>
    <w:rsid w:val="00AF43E8"/>
    <w:rsid w:val="00B0245D"/>
    <w:rsid w:val="00B037FD"/>
    <w:rsid w:val="00B038C5"/>
    <w:rsid w:val="00B0441D"/>
    <w:rsid w:val="00B06A40"/>
    <w:rsid w:val="00B103AC"/>
    <w:rsid w:val="00B1153D"/>
    <w:rsid w:val="00B12BDB"/>
    <w:rsid w:val="00B1311D"/>
    <w:rsid w:val="00B1323A"/>
    <w:rsid w:val="00B13EEB"/>
    <w:rsid w:val="00B14BE3"/>
    <w:rsid w:val="00B1657A"/>
    <w:rsid w:val="00B23448"/>
    <w:rsid w:val="00B24179"/>
    <w:rsid w:val="00B24819"/>
    <w:rsid w:val="00B24B91"/>
    <w:rsid w:val="00B26095"/>
    <w:rsid w:val="00B26486"/>
    <w:rsid w:val="00B30547"/>
    <w:rsid w:val="00B30973"/>
    <w:rsid w:val="00B3139F"/>
    <w:rsid w:val="00B329E7"/>
    <w:rsid w:val="00B35D32"/>
    <w:rsid w:val="00B36680"/>
    <w:rsid w:val="00B40245"/>
    <w:rsid w:val="00B412E4"/>
    <w:rsid w:val="00B44F1B"/>
    <w:rsid w:val="00B46310"/>
    <w:rsid w:val="00B51454"/>
    <w:rsid w:val="00B52729"/>
    <w:rsid w:val="00B528E6"/>
    <w:rsid w:val="00B555E1"/>
    <w:rsid w:val="00B57C47"/>
    <w:rsid w:val="00B65774"/>
    <w:rsid w:val="00B657EB"/>
    <w:rsid w:val="00B66A81"/>
    <w:rsid w:val="00B670A8"/>
    <w:rsid w:val="00B677D0"/>
    <w:rsid w:val="00B7093D"/>
    <w:rsid w:val="00B735FD"/>
    <w:rsid w:val="00B73A7C"/>
    <w:rsid w:val="00B7433F"/>
    <w:rsid w:val="00B74698"/>
    <w:rsid w:val="00B74D1B"/>
    <w:rsid w:val="00B76FEC"/>
    <w:rsid w:val="00B818FD"/>
    <w:rsid w:val="00B81C4A"/>
    <w:rsid w:val="00B86940"/>
    <w:rsid w:val="00B8702A"/>
    <w:rsid w:val="00B919A2"/>
    <w:rsid w:val="00B9294D"/>
    <w:rsid w:val="00B933D2"/>
    <w:rsid w:val="00B93B45"/>
    <w:rsid w:val="00B9480E"/>
    <w:rsid w:val="00B95218"/>
    <w:rsid w:val="00B96A64"/>
    <w:rsid w:val="00BA00C1"/>
    <w:rsid w:val="00BA210B"/>
    <w:rsid w:val="00BA2272"/>
    <w:rsid w:val="00BA2655"/>
    <w:rsid w:val="00BA3462"/>
    <w:rsid w:val="00BA455A"/>
    <w:rsid w:val="00BA49AF"/>
    <w:rsid w:val="00BA5ECC"/>
    <w:rsid w:val="00BA5EF6"/>
    <w:rsid w:val="00BA7059"/>
    <w:rsid w:val="00BB1054"/>
    <w:rsid w:val="00BB1BDE"/>
    <w:rsid w:val="00BB2DBB"/>
    <w:rsid w:val="00BB3843"/>
    <w:rsid w:val="00BB62A3"/>
    <w:rsid w:val="00BC0945"/>
    <w:rsid w:val="00BC3D01"/>
    <w:rsid w:val="00BC5BD2"/>
    <w:rsid w:val="00BC649E"/>
    <w:rsid w:val="00BC6B04"/>
    <w:rsid w:val="00BD0CCA"/>
    <w:rsid w:val="00BD2EA2"/>
    <w:rsid w:val="00BD54EF"/>
    <w:rsid w:val="00BE1063"/>
    <w:rsid w:val="00BE180C"/>
    <w:rsid w:val="00BE2479"/>
    <w:rsid w:val="00BE261B"/>
    <w:rsid w:val="00BE35DF"/>
    <w:rsid w:val="00BE409A"/>
    <w:rsid w:val="00BE4D5A"/>
    <w:rsid w:val="00BF0953"/>
    <w:rsid w:val="00BF1F10"/>
    <w:rsid w:val="00BF3E4B"/>
    <w:rsid w:val="00BF3FDA"/>
    <w:rsid w:val="00C001DA"/>
    <w:rsid w:val="00C014A8"/>
    <w:rsid w:val="00C014E9"/>
    <w:rsid w:val="00C02C4E"/>
    <w:rsid w:val="00C02D59"/>
    <w:rsid w:val="00C05AAE"/>
    <w:rsid w:val="00C10178"/>
    <w:rsid w:val="00C129A1"/>
    <w:rsid w:val="00C12B10"/>
    <w:rsid w:val="00C12CA4"/>
    <w:rsid w:val="00C132A4"/>
    <w:rsid w:val="00C16FF4"/>
    <w:rsid w:val="00C17A49"/>
    <w:rsid w:val="00C17B61"/>
    <w:rsid w:val="00C217B9"/>
    <w:rsid w:val="00C21B68"/>
    <w:rsid w:val="00C2230E"/>
    <w:rsid w:val="00C22B12"/>
    <w:rsid w:val="00C22CAA"/>
    <w:rsid w:val="00C2336D"/>
    <w:rsid w:val="00C24654"/>
    <w:rsid w:val="00C277C9"/>
    <w:rsid w:val="00C279CA"/>
    <w:rsid w:val="00C27DFA"/>
    <w:rsid w:val="00C3045F"/>
    <w:rsid w:val="00C31429"/>
    <w:rsid w:val="00C346E4"/>
    <w:rsid w:val="00C3525E"/>
    <w:rsid w:val="00C3547F"/>
    <w:rsid w:val="00C41423"/>
    <w:rsid w:val="00C41B18"/>
    <w:rsid w:val="00C41BE2"/>
    <w:rsid w:val="00C45804"/>
    <w:rsid w:val="00C47E68"/>
    <w:rsid w:val="00C512FA"/>
    <w:rsid w:val="00C5131D"/>
    <w:rsid w:val="00C525EB"/>
    <w:rsid w:val="00C563D8"/>
    <w:rsid w:val="00C62FCE"/>
    <w:rsid w:val="00C63EEF"/>
    <w:rsid w:val="00C652AE"/>
    <w:rsid w:val="00C658AC"/>
    <w:rsid w:val="00C665E5"/>
    <w:rsid w:val="00C67090"/>
    <w:rsid w:val="00C73249"/>
    <w:rsid w:val="00C751B7"/>
    <w:rsid w:val="00C80739"/>
    <w:rsid w:val="00C8318A"/>
    <w:rsid w:val="00C8699E"/>
    <w:rsid w:val="00C872A1"/>
    <w:rsid w:val="00C91429"/>
    <w:rsid w:val="00C92038"/>
    <w:rsid w:val="00C93736"/>
    <w:rsid w:val="00C96B89"/>
    <w:rsid w:val="00C96F75"/>
    <w:rsid w:val="00CA2DE5"/>
    <w:rsid w:val="00CA3A5F"/>
    <w:rsid w:val="00CA4DBE"/>
    <w:rsid w:val="00CA4F85"/>
    <w:rsid w:val="00CA6010"/>
    <w:rsid w:val="00CA70E1"/>
    <w:rsid w:val="00CA71D4"/>
    <w:rsid w:val="00CA7967"/>
    <w:rsid w:val="00CA7E69"/>
    <w:rsid w:val="00CB0140"/>
    <w:rsid w:val="00CB0B13"/>
    <w:rsid w:val="00CB14E2"/>
    <w:rsid w:val="00CB19F8"/>
    <w:rsid w:val="00CB3143"/>
    <w:rsid w:val="00CB4046"/>
    <w:rsid w:val="00CB7E90"/>
    <w:rsid w:val="00CC0B65"/>
    <w:rsid w:val="00CC28F2"/>
    <w:rsid w:val="00CC3FA0"/>
    <w:rsid w:val="00CC401E"/>
    <w:rsid w:val="00CC4C8F"/>
    <w:rsid w:val="00CC7A5A"/>
    <w:rsid w:val="00CD0C65"/>
    <w:rsid w:val="00CD445C"/>
    <w:rsid w:val="00CD5370"/>
    <w:rsid w:val="00CE0AEE"/>
    <w:rsid w:val="00CE10D0"/>
    <w:rsid w:val="00CE1785"/>
    <w:rsid w:val="00CE4E3B"/>
    <w:rsid w:val="00CE6529"/>
    <w:rsid w:val="00CF1CE1"/>
    <w:rsid w:val="00CF2421"/>
    <w:rsid w:val="00CF315A"/>
    <w:rsid w:val="00CF3B4C"/>
    <w:rsid w:val="00CF581E"/>
    <w:rsid w:val="00CF608B"/>
    <w:rsid w:val="00CF64A5"/>
    <w:rsid w:val="00CF768C"/>
    <w:rsid w:val="00D01024"/>
    <w:rsid w:val="00D02F74"/>
    <w:rsid w:val="00D044A7"/>
    <w:rsid w:val="00D131C8"/>
    <w:rsid w:val="00D145E1"/>
    <w:rsid w:val="00D15F9F"/>
    <w:rsid w:val="00D16A19"/>
    <w:rsid w:val="00D16C79"/>
    <w:rsid w:val="00D16D0D"/>
    <w:rsid w:val="00D17F25"/>
    <w:rsid w:val="00D21322"/>
    <w:rsid w:val="00D22CFE"/>
    <w:rsid w:val="00D23001"/>
    <w:rsid w:val="00D237A6"/>
    <w:rsid w:val="00D25952"/>
    <w:rsid w:val="00D30C81"/>
    <w:rsid w:val="00D34FA5"/>
    <w:rsid w:val="00D35D2A"/>
    <w:rsid w:val="00D36D68"/>
    <w:rsid w:val="00D42BE7"/>
    <w:rsid w:val="00D444E0"/>
    <w:rsid w:val="00D509A3"/>
    <w:rsid w:val="00D52004"/>
    <w:rsid w:val="00D52E8D"/>
    <w:rsid w:val="00D55EDA"/>
    <w:rsid w:val="00D5600F"/>
    <w:rsid w:val="00D57D3D"/>
    <w:rsid w:val="00D57EAF"/>
    <w:rsid w:val="00D6121F"/>
    <w:rsid w:val="00D65ED4"/>
    <w:rsid w:val="00D70D89"/>
    <w:rsid w:val="00D73880"/>
    <w:rsid w:val="00D73EB8"/>
    <w:rsid w:val="00D81459"/>
    <w:rsid w:val="00D81637"/>
    <w:rsid w:val="00D82B7B"/>
    <w:rsid w:val="00D82CAD"/>
    <w:rsid w:val="00D85454"/>
    <w:rsid w:val="00D873A0"/>
    <w:rsid w:val="00D91F1C"/>
    <w:rsid w:val="00D93223"/>
    <w:rsid w:val="00D9392E"/>
    <w:rsid w:val="00D973B4"/>
    <w:rsid w:val="00D9748F"/>
    <w:rsid w:val="00D97563"/>
    <w:rsid w:val="00DA081B"/>
    <w:rsid w:val="00DA230F"/>
    <w:rsid w:val="00DA4675"/>
    <w:rsid w:val="00DA48B2"/>
    <w:rsid w:val="00DA4C21"/>
    <w:rsid w:val="00DA632E"/>
    <w:rsid w:val="00DA79CB"/>
    <w:rsid w:val="00DB35C9"/>
    <w:rsid w:val="00DB46DE"/>
    <w:rsid w:val="00DB570D"/>
    <w:rsid w:val="00DB5C75"/>
    <w:rsid w:val="00DB6B1D"/>
    <w:rsid w:val="00DC0B83"/>
    <w:rsid w:val="00DC6D60"/>
    <w:rsid w:val="00DD0798"/>
    <w:rsid w:val="00DD08E2"/>
    <w:rsid w:val="00DD6EA1"/>
    <w:rsid w:val="00DE28ED"/>
    <w:rsid w:val="00DE2D03"/>
    <w:rsid w:val="00DE3B36"/>
    <w:rsid w:val="00DE4E47"/>
    <w:rsid w:val="00DE5927"/>
    <w:rsid w:val="00DE5C53"/>
    <w:rsid w:val="00DE6728"/>
    <w:rsid w:val="00DF38A6"/>
    <w:rsid w:val="00DF3F2B"/>
    <w:rsid w:val="00DF4358"/>
    <w:rsid w:val="00E022C3"/>
    <w:rsid w:val="00E02A8D"/>
    <w:rsid w:val="00E04FF1"/>
    <w:rsid w:val="00E07F67"/>
    <w:rsid w:val="00E11064"/>
    <w:rsid w:val="00E11681"/>
    <w:rsid w:val="00E15F81"/>
    <w:rsid w:val="00E16717"/>
    <w:rsid w:val="00E16D53"/>
    <w:rsid w:val="00E245DB"/>
    <w:rsid w:val="00E30EEF"/>
    <w:rsid w:val="00E331EC"/>
    <w:rsid w:val="00E4016D"/>
    <w:rsid w:val="00E40EF2"/>
    <w:rsid w:val="00E42C92"/>
    <w:rsid w:val="00E4332F"/>
    <w:rsid w:val="00E438B4"/>
    <w:rsid w:val="00E43BF0"/>
    <w:rsid w:val="00E44762"/>
    <w:rsid w:val="00E44BDA"/>
    <w:rsid w:val="00E46354"/>
    <w:rsid w:val="00E50115"/>
    <w:rsid w:val="00E52ADA"/>
    <w:rsid w:val="00E52C47"/>
    <w:rsid w:val="00E53F4C"/>
    <w:rsid w:val="00E55614"/>
    <w:rsid w:val="00E564FC"/>
    <w:rsid w:val="00E57FAD"/>
    <w:rsid w:val="00E61646"/>
    <w:rsid w:val="00E64A8F"/>
    <w:rsid w:val="00E70149"/>
    <w:rsid w:val="00E72850"/>
    <w:rsid w:val="00E73C19"/>
    <w:rsid w:val="00E73EB1"/>
    <w:rsid w:val="00E75C4B"/>
    <w:rsid w:val="00E774C0"/>
    <w:rsid w:val="00E843C8"/>
    <w:rsid w:val="00E84C6F"/>
    <w:rsid w:val="00E85959"/>
    <w:rsid w:val="00E90217"/>
    <w:rsid w:val="00E94583"/>
    <w:rsid w:val="00E95D31"/>
    <w:rsid w:val="00E9624F"/>
    <w:rsid w:val="00E9648F"/>
    <w:rsid w:val="00E97A86"/>
    <w:rsid w:val="00EA2DF7"/>
    <w:rsid w:val="00EA316D"/>
    <w:rsid w:val="00EA361F"/>
    <w:rsid w:val="00EA3EC5"/>
    <w:rsid w:val="00EA48EA"/>
    <w:rsid w:val="00EA4D34"/>
    <w:rsid w:val="00EA6989"/>
    <w:rsid w:val="00EA744B"/>
    <w:rsid w:val="00EA7779"/>
    <w:rsid w:val="00EB0397"/>
    <w:rsid w:val="00EB03A0"/>
    <w:rsid w:val="00EB0C28"/>
    <w:rsid w:val="00EB258D"/>
    <w:rsid w:val="00EB287C"/>
    <w:rsid w:val="00EB4861"/>
    <w:rsid w:val="00EB5F9A"/>
    <w:rsid w:val="00EB7A1F"/>
    <w:rsid w:val="00EC1558"/>
    <w:rsid w:val="00EC177C"/>
    <w:rsid w:val="00ED0E2E"/>
    <w:rsid w:val="00ED0FFB"/>
    <w:rsid w:val="00ED1184"/>
    <w:rsid w:val="00ED19BB"/>
    <w:rsid w:val="00ED2A2D"/>
    <w:rsid w:val="00ED4A08"/>
    <w:rsid w:val="00ED6C87"/>
    <w:rsid w:val="00ED6DBB"/>
    <w:rsid w:val="00EE0691"/>
    <w:rsid w:val="00EE11BE"/>
    <w:rsid w:val="00EE2C94"/>
    <w:rsid w:val="00EE3B23"/>
    <w:rsid w:val="00EE415F"/>
    <w:rsid w:val="00EE4DC1"/>
    <w:rsid w:val="00EE7915"/>
    <w:rsid w:val="00EF0484"/>
    <w:rsid w:val="00EF2CB0"/>
    <w:rsid w:val="00EF2DF3"/>
    <w:rsid w:val="00EF3BA6"/>
    <w:rsid w:val="00EF3CEA"/>
    <w:rsid w:val="00EF619A"/>
    <w:rsid w:val="00EF6AE5"/>
    <w:rsid w:val="00F02A07"/>
    <w:rsid w:val="00F118F6"/>
    <w:rsid w:val="00F12316"/>
    <w:rsid w:val="00F13B0A"/>
    <w:rsid w:val="00F14210"/>
    <w:rsid w:val="00F1463A"/>
    <w:rsid w:val="00F15E69"/>
    <w:rsid w:val="00F17EF8"/>
    <w:rsid w:val="00F2132B"/>
    <w:rsid w:val="00F25B3F"/>
    <w:rsid w:val="00F26AB3"/>
    <w:rsid w:val="00F31B0C"/>
    <w:rsid w:val="00F33A0C"/>
    <w:rsid w:val="00F3594B"/>
    <w:rsid w:val="00F36CE8"/>
    <w:rsid w:val="00F444E1"/>
    <w:rsid w:val="00F46462"/>
    <w:rsid w:val="00F46F22"/>
    <w:rsid w:val="00F4784B"/>
    <w:rsid w:val="00F50326"/>
    <w:rsid w:val="00F536FF"/>
    <w:rsid w:val="00F55C16"/>
    <w:rsid w:val="00F57952"/>
    <w:rsid w:val="00F621D2"/>
    <w:rsid w:val="00F6391A"/>
    <w:rsid w:val="00F63978"/>
    <w:rsid w:val="00F644FC"/>
    <w:rsid w:val="00F700B9"/>
    <w:rsid w:val="00F7290B"/>
    <w:rsid w:val="00F72930"/>
    <w:rsid w:val="00F758E0"/>
    <w:rsid w:val="00F818C8"/>
    <w:rsid w:val="00F81DA6"/>
    <w:rsid w:val="00F81E31"/>
    <w:rsid w:val="00F827D7"/>
    <w:rsid w:val="00F85F5E"/>
    <w:rsid w:val="00F86C18"/>
    <w:rsid w:val="00F938B8"/>
    <w:rsid w:val="00F943C8"/>
    <w:rsid w:val="00F94A5F"/>
    <w:rsid w:val="00F94C37"/>
    <w:rsid w:val="00F953CD"/>
    <w:rsid w:val="00FA0CAA"/>
    <w:rsid w:val="00FA0E63"/>
    <w:rsid w:val="00FA0F29"/>
    <w:rsid w:val="00FA4EFA"/>
    <w:rsid w:val="00FA5D5F"/>
    <w:rsid w:val="00FA754F"/>
    <w:rsid w:val="00FB03D2"/>
    <w:rsid w:val="00FB0679"/>
    <w:rsid w:val="00FB1AD1"/>
    <w:rsid w:val="00FB4322"/>
    <w:rsid w:val="00FB47E5"/>
    <w:rsid w:val="00FC0CE0"/>
    <w:rsid w:val="00FC1D26"/>
    <w:rsid w:val="00FC3F2F"/>
    <w:rsid w:val="00FC5678"/>
    <w:rsid w:val="00FC60CC"/>
    <w:rsid w:val="00FD0231"/>
    <w:rsid w:val="00FD17FF"/>
    <w:rsid w:val="00FD2862"/>
    <w:rsid w:val="00FD38A8"/>
    <w:rsid w:val="00FD48D4"/>
    <w:rsid w:val="00FD6D39"/>
    <w:rsid w:val="00FE07B1"/>
    <w:rsid w:val="00FE0ED1"/>
    <w:rsid w:val="00FE2783"/>
    <w:rsid w:val="00FE7666"/>
    <w:rsid w:val="00FF2D1F"/>
    <w:rsid w:val="00FF32CB"/>
    <w:rsid w:val="00FF34DA"/>
    <w:rsid w:val="00FF613C"/>
    <w:rsid w:val="00FF6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DE78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7" w:unhideWhenUsed="1" w:qFormat="1"/>
    <w:lsdException w:name="heading 3" w:semiHidden="1" w:uiPriority="29" w:unhideWhenUsed="1" w:qFormat="1"/>
    <w:lsdException w:name="heading 4" w:semiHidden="1" w:uiPriority="31" w:unhideWhenUsed="1" w:qFormat="1"/>
    <w:lsdException w:name="heading 5" w:semiHidden="1" w:uiPriority="33" w:unhideWhenUsed="1" w:qFormat="1"/>
    <w:lsdException w:name="heading 6" w:semiHidden="1" w:uiPriority="35"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89"/>
    <w:pPr>
      <w:spacing w:after="0" w:line="240" w:lineRule="auto"/>
      <w:ind w:left="720"/>
      <w:jc w:val="both"/>
    </w:pPr>
    <w:rPr>
      <w:rFonts w:ascii="Times New Roman" w:hAnsi="Times New Roman"/>
    </w:rPr>
  </w:style>
  <w:style w:type="paragraph" w:styleId="Heading1">
    <w:name w:val="heading 1"/>
    <w:basedOn w:val="Normal"/>
    <w:next w:val="FelskyNumbering12"/>
    <w:link w:val="Heading1Char"/>
    <w:uiPriority w:val="9"/>
    <w:qFormat/>
    <w:rsid w:val="00040FD3"/>
    <w:pPr>
      <w:keepNext/>
      <w:keepLines/>
      <w:spacing w:before="480" w:after="240"/>
      <w:ind w:left="0"/>
      <w:jc w:val="left"/>
      <w:outlineLvl w:val="0"/>
    </w:pPr>
    <w:rPr>
      <w:rFonts w:eastAsiaTheme="majorEastAsia" w:cstheme="majorBidi"/>
      <w:b/>
      <w:bCs/>
      <w:szCs w:val="28"/>
    </w:rPr>
  </w:style>
  <w:style w:type="paragraph" w:styleId="Heading2">
    <w:name w:val="heading 2"/>
    <w:basedOn w:val="Heading1"/>
    <w:next w:val="FelskyNumbering12"/>
    <w:link w:val="Heading2Char"/>
    <w:uiPriority w:val="27"/>
    <w:rsid w:val="003B457E"/>
    <w:pPr>
      <w:spacing w:before="240"/>
      <w:ind w:left="720"/>
      <w:outlineLvl w:val="1"/>
    </w:pPr>
    <w:rPr>
      <w:bCs w:val="0"/>
      <w:szCs w:val="26"/>
    </w:rPr>
  </w:style>
  <w:style w:type="paragraph" w:styleId="Heading3">
    <w:name w:val="heading 3"/>
    <w:basedOn w:val="Heading2"/>
    <w:next w:val="FelskyNumbering12"/>
    <w:link w:val="Heading3Char"/>
    <w:uiPriority w:val="29"/>
    <w:rsid w:val="00FE2783"/>
    <w:pPr>
      <w:ind w:left="1440"/>
      <w:outlineLvl w:val="2"/>
    </w:pPr>
    <w:rPr>
      <w:bCs/>
      <w:szCs w:val="28"/>
    </w:rPr>
  </w:style>
  <w:style w:type="paragraph" w:styleId="Heading4">
    <w:name w:val="heading 4"/>
    <w:basedOn w:val="Heading3"/>
    <w:next w:val="FelskyNumbering12"/>
    <w:link w:val="Heading4Char"/>
    <w:uiPriority w:val="31"/>
    <w:rsid w:val="00FE2783"/>
    <w:pPr>
      <w:ind w:left="2160"/>
      <w:outlineLvl w:val="3"/>
    </w:pPr>
  </w:style>
  <w:style w:type="paragraph" w:styleId="Heading5">
    <w:name w:val="heading 5"/>
    <w:basedOn w:val="Heading4"/>
    <w:next w:val="FelskyNumbering12"/>
    <w:link w:val="Heading5Char"/>
    <w:uiPriority w:val="33"/>
    <w:rsid w:val="00FE2783"/>
    <w:pPr>
      <w:ind w:left="2880"/>
      <w:outlineLvl w:val="4"/>
    </w:pPr>
  </w:style>
  <w:style w:type="paragraph" w:styleId="Heading6">
    <w:name w:val="heading 6"/>
    <w:basedOn w:val="Heading5"/>
    <w:next w:val="FelskyNumbering12"/>
    <w:link w:val="Heading6Char"/>
    <w:uiPriority w:val="35"/>
    <w:rsid w:val="00FE2783"/>
    <w:pPr>
      <w:outlineLvl w:val="5"/>
    </w:pPr>
    <w:rPr>
      <w:iCs/>
    </w:rPr>
  </w:style>
  <w:style w:type="paragraph" w:styleId="Heading7">
    <w:name w:val="heading 7"/>
    <w:basedOn w:val="Heading6"/>
    <w:next w:val="FelskyNumbering12"/>
    <w:link w:val="Heading7Char"/>
    <w:uiPriority w:val="37"/>
    <w:semiHidden/>
    <w:rsid w:val="00FE2783"/>
    <w:pPr>
      <w:outlineLvl w:val="6"/>
    </w:pPr>
    <w:rPr>
      <w:i/>
      <w:iCs w:val="0"/>
    </w:rPr>
  </w:style>
  <w:style w:type="paragraph" w:styleId="Heading8">
    <w:name w:val="heading 8"/>
    <w:basedOn w:val="Heading7"/>
    <w:next w:val="Normal"/>
    <w:link w:val="Heading8Char"/>
    <w:uiPriority w:val="39"/>
    <w:semiHidden/>
    <w:unhideWhenUsed/>
    <w:qFormat/>
    <w:rsid w:val="00FE2783"/>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E2783"/>
    <w:rPr>
      <w:rFonts w:ascii="Times New Roman" w:hAnsi="Times New Roman"/>
      <w:caps w:val="0"/>
      <w:smallCaps w:val="0"/>
      <w:strike w:val="0"/>
      <w:dstrike w:val="0"/>
      <w:vanish w:val="0"/>
      <w:sz w:val="24"/>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spacing w:line="240" w:lineRule="auto"/>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2ndQuote">
    <w:name w:val="2nd Quote"/>
    <w:basedOn w:val="Quote"/>
    <w:next w:val="FelskyNumbering12"/>
    <w:link w:val="2ndQuoteChar"/>
    <w:uiPriority w:val="5"/>
    <w:rsid w:val="00FE2783"/>
    <w:pPr>
      <w:ind w:left="1440" w:right="1440"/>
      <w:mirrorIndents/>
    </w:pPr>
  </w:style>
  <w:style w:type="character" w:customStyle="1" w:styleId="2ndQuoteChar">
    <w:name w:val="2nd Quote Char"/>
    <w:basedOn w:val="QuoteCh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040FD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7"/>
    <w:rsid w:val="003B457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29"/>
    <w:rsid w:val="00FE278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31"/>
    <w:rsid w:val="00FE2783"/>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33"/>
    <w:rsid w:val="00FE2783"/>
    <w:rPr>
      <w:rFonts w:ascii="Times New Roman" w:eastAsiaTheme="majorEastAsia" w:hAnsi="Times New Roman" w:cstheme="majorBidi"/>
      <w:b/>
      <w:bCs/>
      <w:sz w:val="24"/>
      <w:szCs w:val="28"/>
    </w:rPr>
  </w:style>
  <w:style w:type="character" w:customStyle="1" w:styleId="Heading6Char">
    <w:name w:val="Heading 6 Char"/>
    <w:basedOn w:val="DefaultParagraphFont"/>
    <w:link w:val="Heading6"/>
    <w:uiPriority w:val="35"/>
    <w:rsid w:val="00FE2783"/>
    <w:rPr>
      <w:rFonts w:ascii="Times New Roman" w:eastAsiaTheme="majorEastAsia" w:hAnsi="Times New Roman" w:cstheme="majorBidi"/>
      <w:b/>
      <w:bCs/>
      <w:iCs/>
      <w:sz w:val="24"/>
      <w:szCs w:val="28"/>
    </w:rPr>
  </w:style>
  <w:style w:type="character" w:customStyle="1" w:styleId="Heading7Char">
    <w:name w:val="Heading 7 Char"/>
    <w:basedOn w:val="DefaultParagraphFont"/>
    <w:link w:val="Heading7"/>
    <w:uiPriority w:val="37"/>
    <w:semiHidden/>
    <w:rsid w:val="00FE2783"/>
    <w:rPr>
      <w:rFonts w:ascii="Times New Roman" w:eastAsiaTheme="majorEastAsia" w:hAnsi="Times New Roman" w:cstheme="majorBidi"/>
      <w:b/>
      <w:bCs/>
      <w:i/>
      <w:sz w:val="24"/>
      <w:szCs w:val="28"/>
    </w:rPr>
  </w:style>
  <w:style w:type="character" w:customStyle="1" w:styleId="Heading8Char">
    <w:name w:val="Heading 8 Char"/>
    <w:basedOn w:val="DefaultParagraphFont"/>
    <w:link w:val="Heading8"/>
    <w:uiPriority w:val="39"/>
    <w:semiHidden/>
    <w:rsid w:val="00FE2783"/>
    <w:rPr>
      <w:rFonts w:ascii="Times New Roman" w:eastAsiaTheme="majorEastAsia" w:hAnsi="Times New Roman" w:cstheme="majorBidi"/>
      <w:b/>
      <w:bCs/>
      <w:color w:val="404040" w:themeColor="text1" w:themeTint="BF"/>
      <w:sz w:val="24"/>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semiHidden/>
    <w:qFormat/>
    <w:rsid w:val="003B457E"/>
    <w:pPr>
      <w:spacing w:before="240" w:after="240"/>
      <w:ind w:left="0"/>
      <w:jc w:val="left"/>
    </w:pPr>
  </w:style>
  <w:style w:type="paragraph" w:styleId="TOC2">
    <w:name w:val="toc 2"/>
    <w:basedOn w:val="Normal"/>
    <w:next w:val="Normal"/>
    <w:uiPriority w:val="39"/>
    <w:semiHidden/>
    <w:rsid w:val="00FE2783"/>
    <w:pPr>
      <w:spacing w:before="120" w:after="120"/>
      <w:ind w:left="245"/>
    </w:pPr>
  </w:style>
  <w:style w:type="paragraph" w:styleId="TOC3">
    <w:name w:val="toc 3"/>
    <w:basedOn w:val="Normal"/>
    <w:next w:val="Normal"/>
    <w:uiPriority w:val="39"/>
    <w:semiHidden/>
    <w:rsid w:val="009F5438"/>
    <w:pPr>
      <w:spacing w:before="120"/>
      <w:ind w:left="475"/>
    </w:pPr>
    <w:rPr>
      <w:b/>
    </w:rPr>
  </w:style>
  <w:style w:type="paragraph" w:customStyle="1" w:styleId="FelskyNumbering12">
    <w:name w:val="Felsky Numbering 1.2"/>
    <w:basedOn w:val="Normal"/>
    <w:link w:val="FelskyNumbering12Char"/>
    <w:uiPriority w:val="2"/>
    <w:qFormat/>
    <w:rsid w:val="009533DA"/>
    <w:pPr>
      <w:numPr>
        <w:numId w:val="4"/>
      </w:numPr>
      <w:spacing w:before="180" w:after="180" w:line="480" w:lineRule="auto"/>
      <w:ind w:left="0"/>
    </w:pPr>
  </w:style>
  <w:style w:type="character" w:customStyle="1" w:styleId="FelskyNumbering12Char">
    <w:name w:val="Felsky Numbering 1.2 Char"/>
    <w:basedOn w:val="DefaultParagraphFont"/>
    <w:link w:val="FelskyNumbering12"/>
    <w:uiPriority w:val="2"/>
    <w:rsid w:val="009533DA"/>
    <w:rPr>
      <w:rFonts w:ascii="Times New Roman" w:hAnsi="Times New Roman" w:cs="Times New Roman"/>
      <w:sz w:val="24"/>
      <w:szCs w:val="24"/>
    </w:rPr>
  </w:style>
  <w:style w:type="paragraph" w:styleId="FootnoteText">
    <w:name w:val="footnote text"/>
    <w:basedOn w:val="Normal"/>
    <w:link w:val="FootnoteTextChar"/>
    <w:uiPriority w:val="99"/>
    <w:unhideWhenUsed/>
    <w:rsid w:val="0046579D"/>
    <w:pPr>
      <w:ind w:left="0"/>
    </w:pPr>
    <w:rPr>
      <w:sz w:val="20"/>
      <w:szCs w:val="20"/>
    </w:rPr>
  </w:style>
  <w:style w:type="character" w:customStyle="1" w:styleId="FootnoteTextChar">
    <w:name w:val="Footnote Text Char"/>
    <w:basedOn w:val="DefaultParagraphFont"/>
    <w:link w:val="FootnoteText"/>
    <w:uiPriority w:val="99"/>
    <w:rsid w:val="001D5E55"/>
    <w:rPr>
      <w:rFonts w:ascii="Times New Roman" w:hAnsi="Times New Roman"/>
      <w:sz w:val="20"/>
      <w:szCs w:val="20"/>
    </w:rPr>
  </w:style>
  <w:style w:type="paragraph" w:styleId="TOC4">
    <w:name w:val="toc 4"/>
    <w:basedOn w:val="Normal"/>
    <w:next w:val="Normal"/>
    <w:uiPriority w:val="39"/>
    <w:semiHidden/>
    <w:rsid w:val="00FE2783"/>
    <w:pPr>
      <w:spacing w:before="120"/>
    </w:pPr>
    <w:rPr>
      <w:b/>
    </w:rPr>
  </w:style>
  <w:style w:type="paragraph" w:styleId="TOC5">
    <w:name w:val="toc 5"/>
    <w:basedOn w:val="Normal"/>
    <w:next w:val="Normal"/>
    <w:uiPriority w:val="39"/>
    <w:semiHidden/>
    <w:rsid w:val="00FE2783"/>
    <w:pPr>
      <w:spacing w:before="120"/>
      <w:ind w:left="965"/>
    </w:pPr>
    <w:rPr>
      <w:b/>
    </w:rPr>
  </w:style>
  <w:style w:type="paragraph" w:styleId="TOC6">
    <w:name w:val="toc 6"/>
    <w:basedOn w:val="Heading6"/>
    <w:next w:val="Normal"/>
    <w:uiPriority w:val="39"/>
    <w:semiHidden/>
    <w:rsid w:val="00FE2783"/>
    <w:pPr>
      <w:spacing w:before="120"/>
      <w:ind w:left="1195"/>
    </w:pPr>
    <w:rPr>
      <w:b w:val="0"/>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Normal"/>
    <w:link w:val="ListParagraphChar"/>
    <w:uiPriority w:val="38"/>
    <w:qFormat/>
    <w:rsid w:val="00C93736"/>
    <w:pPr>
      <w:spacing w:before="120" w:after="120" w:line="480" w:lineRule="auto"/>
      <w:ind w:left="1440" w:hanging="720"/>
    </w:pPr>
  </w:style>
  <w:style w:type="paragraph" w:styleId="NoSpacing">
    <w:name w:val="No Spacing"/>
    <w:link w:val="NoSpacingChar"/>
    <w:uiPriority w:val="1"/>
    <w:qFormat/>
    <w:rsid w:val="00A92BE0"/>
    <w:pPr>
      <w:spacing w:after="0" w:line="240" w:lineRule="auto"/>
      <w:jc w:val="both"/>
    </w:pPr>
    <w:rPr>
      <w:rFonts w:ascii="Times New Roman" w:hAnsi="Times New Roman"/>
    </w:rPr>
  </w:style>
  <w:style w:type="paragraph" w:customStyle="1" w:styleId="TableText">
    <w:name w:val="Table Text"/>
    <w:basedOn w:val="Normal"/>
    <w:link w:val="TableTextChar"/>
    <w:uiPriority w:val="39"/>
    <w:rsid w:val="00C93736"/>
    <w:pPr>
      <w:spacing w:line="480" w:lineRule="auto"/>
      <w:ind w:left="0"/>
      <w:jc w:val="left"/>
    </w:pPr>
    <w:rPr>
      <w:rFonts w:eastAsia="PMingLiU"/>
      <w:bCs/>
      <w:szCs w:val="28"/>
    </w:rPr>
  </w:style>
  <w:style w:type="paragraph" w:customStyle="1" w:styleId="Lista">
    <w:name w:val="List (a)"/>
    <w:basedOn w:val="ListParagraph"/>
    <w:uiPriority w:val="49"/>
    <w:qFormat/>
    <w:rsid w:val="00C93736"/>
    <w:pPr>
      <w:numPr>
        <w:numId w:val="5"/>
      </w:numPr>
    </w:pPr>
  </w:style>
  <w:style w:type="paragraph" w:customStyle="1" w:styleId="Listi">
    <w:name w:val="List (i)"/>
    <w:basedOn w:val="ListParagraph"/>
    <w:uiPriority w:val="51"/>
    <w:qFormat/>
    <w:rsid w:val="00C93736"/>
    <w:pPr>
      <w:numPr>
        <w:ilvl w:val="1"/>
        <w:numId w:val="5"/>
      </w:numPr>
    </w:pPr>
  </w:style>
  <w:style w:type="paragraph" w:customStyle="1" w:styleId="1stQuote">
    <w:name w:val="1st Quote"/>
    <w:basedOn w:val="Quote"/>
    <w:next w:val="FelskyNumbering12"/>
    <w:link w:val="1stQuoteChar"/>
    <w:uiPriority w:val="3"/>
    <w:qFormat/>
    <w:rsid w:val="00081857"/>
  </w:style>
  <w:style w:type="character" w:customStyle="1" w:styleId="1stQuoteChar">
    <w:name w:val="1st Quote Char"/>
    <w:basedOn w:val="QuoteChar"/>
    <w:link w:val="1stQuote"/>
    <w:uiPriority w:val="3"/>
    <w:rsid w:val="006A6C2D"/>
    <w:rPr>
      <w:rFonts w:ascii="Times New Roman" w:hAnsi="Times New Roman"/>
    </w:rPr>
  </w:style>
  <w:style w:type="character" w:customStyle="1" w:styleId="ListParagraphChar">
    <w:name w:val="List Paragraph Char"/>
    <w:basedOn w:val="DefaultParagraphFont"/>
    <w:link w:val="ListParagraph"/>
    <w:uiPriority w:val="38"/>
    <w:rsid w:val="00C93736"/>
    <w:rPr>
      <w:rFonts w:ascii="Times New Roman" w:hAnsi="Times New Roman"/>
    </w:rPr>
  </w:style>
  <w:style w:type="character" w:customStyle="1" w:styleId="TableTextChar">
    <w:name w:val="Table Text Char"/>
    <w:basedOn w:val="DefaultParagraphFont"/>
    <w:link w:val="TableText"/>
    <w:uiPriority w:val="39"/>
    <w:rsid w:val="00C93736"/>
    <w:rPr>
      <w:rFonts w:ascii="Times New Roman" w:eastAsia="PMingLiU" w:hAnsi="Times New Roman"/>
      <w:bCs/>
      <w:szCs w:val="28"/>
    </w:rPr>
  </w:style>
  <w:style w:type="character" w:customStyle="1" w:styleId="NoSpacingChar">
    <w:name w:val="No Spacing Char"/>
    <w:basedOn w:val="DefaultParagraphFont"/>
    <w:link w:val="NoSpacing"/>
    <w:uiPriority w:val="1"/>
    <w:rsid w:val="00A92BE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55A2-8891-4149-AC57-5021EC44A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443A8-4F97-4C3C-A28D-816BA1CB391E}">
  <ds:schemaRefs>
    <ds:schemaRef ds:uri="http://schemas.microsoft.com/sharepoint/v3/contenttype/forms"/>
  </ds:schemaRefs>
</ds:datastoreItem>
</file>

<file path=customXml/itemProps3.xml><?xml version="1.0" encoding="utf-8"?>
<ds:datastoreItem xmlns:ds="http://schemas.openxmlformats.org/officeDocument/2006/customXml" ds:itemID="{AA932D31-0F7F-4345-813D-BA1F8A9BF964}">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4.xml><?xml version="1.0" encoding="utf-8"?>
<ds:datastoreItem xmlns:ds="http://schemas.openxmlformats.org/officeDocument/2006/customXml" ds:itemID="{6A44F9F8-353D-4B07-810A-F41D9618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0</TotalTime>
  <Pages>14</Pages>
  <Words>4575</Words>
  <Characters>26082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Werner v. Hay River Mobile Home Park</vt:lpstr>
    </vt:vector>
  </TitlesOfParts>
  <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Werner v. Hay River Mobile Home Park</dc:title>
  <dc:subject/>
  <dc:creator/>
  <cp:keywords>Docket:A1-AP-2011000006, Registry:Edmonton, Court:CA, JudgmentYear:2014, JudgmentDate:201403</cp:keywords>
  <dc:description/>
  <cp:lastModifiedBy/>
  <cp:revision>1</cp:revision>
  <cp:lastPrinted>2021-05-04T21:11:00Z</cp:lastPrinted>
  <dcterms:created xsi:type="dcterms:W3CDTF">2024-04-24T20:52:00Z</dcterms:created>
  <dcterms:modified xsi:type="dcterms:W3CDTF">2024-04-24T22:59:00Z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A1-AP-2011000006</vt:lpwstr>
  </property>
  <property fmtid="{D5CDD505-2E9C-101B-9397-08002B2CF9AE}" pid="3" name="Justice(s)">
    <vt:lpwstr>The Honourable Mr. Justice Jack Watson, The Honourable Mr. Justice Frans Slatter, The Honourable Madam Justice Patricia Rowbotham</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2014</vt:lpwstr>
  </property>
  <property fmtid="{D5CDD505-2E9C-101B-9397-08002B2CF9AE}" pid="7" name="JudgmentDate">
    <vt:lpwstr>201403</vt:lpwstr>
  </property>
  <property fmtid="{D5CDD505-2E9C-101B-9397-08002B2CF9AE}" pid="8" name="MSIP_Label_defa4170-0d19-0005-0004-bc88714345d2_Enabled">
    <vt:lpwstr>true</vt:lpwstr>
  </property>
  <property fmtid="{D5CDD505-2E9C-101B-9397-08002B2CF9AE}" pid="9" name="MSIP_Label_defa4170-0d19-0005-0004-bc88714345d2_SetDate">
    <vt:lpwstr>2024-04-24T16:33:27Z</vt:lpwstr>
  </property>
  <property fmtid="{D5CDD505-2E9C-101B-9397-08002B2CF9AE}" pid="10" name="MSIP_Label_defa4170-0d19-0005-0004-bc88714345d2_Method">
    <vt:lpwstr>Standard</vt:lpwstr>
  </property>
  <property fmtid="{D5CDD505-2E9C-101B-9397-08002B2CF9AE}" pid="11" name="MSIP_Label_defa4170-0d19-0005-0004-bc88714345d2_Name">
    <vt:lpwstr>defa4170-0d19-0005-0004-bc88714345d2</vt:lpwstr>
  </property>
  <property fmtid="{D5CDD505-2E9C-101B-9397-08002B2CF9AE}" pid="12" name="MSIP_Label_defa4170-0d19-0005-0004-bc88714345d2_SiteId">
    <vt:lpwstr>619a88ff-cb67-4298-9781-66cc0cc776f1</vt:lpwstr>
  </property>
  <property fmtid="{D5CDD505-2E9C-101B-9397-08002B2CF9AE}" pid="13" name="MSIP_Label_defa4170-0d19-0005-0004-bc88714345d2_ActionId">
    <vt:lpwstr>65fb704c-8cb1-49b9-9d95-a5d2db60b41f</vt:lpwstr>
  </property>
  <property fmtid="{D5CDD505-2E9C-101B-9397-08002B2CF9AE}" pid="14" name="MSIP_Label_defa4170-0d19-0005-0004-bc88714345d2_ContentBits">
    <vt:lpwstr>0</vt:lpwstr>
  </property>
  <property fmtid="{D5CDD505-2E9C-101B-9397-08002B2CF9AE}" pid="15" name="ContentTypeId">
    <vt:lpwstr>0x010100598070878C79D4408E9B8E13FB885CC9</vt:lpwstr>
  </property>
  <property fmtid="{D5CDD505-2E9C-101B-9397-08002B2CF9AE}" pid="16" name="MediaServiceImageTags">
    <vt:lpwstr/>
  </property>
</Properties>
</file>