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83C6" w14:textId="4CDE8AB4" w:rsidR="00426AB8" w:rsidRDefault="00426AB8" w:rsidP="00426AB8">
      <w:pPr>
        <w:pStyle w:val="TableText"/>
        <w:jc w:val="center"/>
        <w:rPr>
          <w:b/>
          <w:sz w:val="32"/>
          <w:szCs w:val="32"/>
        </w:rPr>
      </w:pPr>
      <w:bookmarkStart w:id="0" w:name="_Hlk141859780"/>
      <w:r w:rsidRPr="004857E7">
        <w:rPr>
          <w:b/>
          <w:sz w:val="32"/>
          <w:szCs w:val="32"/>
        </w:rPr>
        <w:t xml:space="preserve">In the Court of Appeal </w:t>
      </w:r>
      <w:r>
        <w:rPr>
          <w:b/>
          <w:sz w:val="32"/>
          <w:szCs w:val="32"/>
        </w:rPr>
        <w:t>for the Northwest Territories</w:t>
      </w:r>
      <w:r w:rsidRPr="004857E7">
        <w:rPr>
          <w:b/>
          <w:sz w:val="32"/>
          <w:szCs w:val="32"/>
        </w:rPr>
        <w:t xml:space="preserve"> </w:t>
      </w:r>
    </w:p>
    <w:p w14:paraId="4E259048" w14:textId="77777777" w:rsidR="00DA7635" w:rsidRPr="004857E7" w:rsidRDefault="00DA7635" w:rsidP="00426AB8">
      <w:pPr>
        <w:pStyle w:val="TableText"/>
        <w:jc w:val="center"/>
        <w:rPr>
          <w:b/>
          <w:sz w:val="32"/>
          <w:szCs w:val="32"/>
        </w:rPr>
      </w:pPr>
    </w:p>
    <w:p w14:paraId="7A5239FD" w14:textId="77777777" w:rsidR="00426AB8" w:rsidRDefault="00426AB8" w:rsidP="00426AB8">
      <w:pPr>
        <w:ind w:left="0"/>
        <w:rPr>
          <w:rFonts w:eastAsia="PMingLiU"/>
          <w:b/>
        </w:rPr>
      </w:pPr>
      <w:bookmarkStart w:id="1" w:name="frCitation"/>
      <w:bookmarkEnd w:id="1"/>
      <w:r w:rsidRPr="00971C56">
        <w:rPr>
          <w:rFonts w:eastAsia="PMingLiU"/>
          <w:b/>
        </w:rPr>
        <w:t xml:space="preserve">Citation: </w:t>
      </w:r>
      <w:r w:rsidRPr="00FA5B76">
        <w:rPr>
          <w:rFonts w:eastAsia="PMingLiU"/>
          <w:b/>
          <w:i/>
          <w:iCs/>
        </w:rPr>
        <w:t>R v Gargan</w:t>
      </w:r>
      <w:r>
        <w:rPr>
          <w:rFonts w:eastAsia="PMingLiU"/>
          <w:b/>
        </w:rPr>
        <w:t>, 2023 NWTCA 5</w:t>
      </w:r>
    </w:p>
    <w:p w14:paraId="3F8790E0" w14:textId="77777777" w:rsidR="00426AB8" w:rsidRDefault="00426AB8" w:rsidP="00426AB8">
      <w:pPr>
        <w:tabs>
          <w:tab w:val="right" w:pos="9360"/>
        </w:tabs>
        <w:ind w:left="0"/>
        <w:rPr>
          <w:rFonts w:eastAsia="PMingLiU"/>
          <w:b/>
          <w:color w:val="FF0000"/>
        </w:rPr>
      </w:pPr>
    </w:p>
    <w:p w14:paraId="4ECDC5DA" w14:textId="77777777" w:rsidR="00426AB8" w:rsidRPr="000A1DC2" w:rsidRDefault="00426AB8" w:rsidP="00426AB8">
      <w:pPr>
        <w:tabs>
          <w:tab w:val="right" w:pos="9360"/>
        </w:tabs>
        <w:ind w:left="0"/>
        <w:rPr>
          <w:rFonts w:eastAsia="PMingLiU"/>
          <w:color w:val="000000"/>
        </w:rPr>
      </w:pPr>
      <w:r w:rsidRPr="009C2254">
        <w:rPr>
          <w:rFonts w:eastAsia="PMingLiU"/>
          <w:b/>
        </w:rPr>
        <w:tab/>
      </w:r>
      <w:r w:rsidRPr="009C2254">
        <w:rPr>
          <w:rFonts w:eastAsia="PMingLiU"/>
          <w:b/>
          <w:bCs/>
        </w:rPr>
        <w:t>Date:</w:t>
      </w:r>
      <w:r w:rsidRPr="00973735">
        <w:rPr>
          <w:rFonts w:eastAsia="PMingLiU"/>
        </w:rPr>
        <w:t xml:space="preserve"> </w:t>
      </w:r>
      <w:r>
        <w:rPr>
          <w:rFonts w:eastAsia="PMingLiU"/>
        </w:rPr>
        <w:t>2023 08 02</w:t>
      </w:r>
    </w:p>
    <w:p w14:paraId="472C2C4A" w14:textId="77777777" w:rsidR="00426AB8" w:rsidRPr="004D654D" w:rsidRDefault="00426AB8" w:rsidP="00426AB8">
      <w:pPr>
        <w:tabs>
          <w:tab w:val="right" w:pos="9360"/>
        </w:tabs>
        <w:ind w:left="0"/>
        <w:rPr>
          <w:rFonts w:eastAsia="PMingLiU"/>
        </w:rPr>
      </w:pPr>
      <w:r w:rsidRPr="004D654D">
        <w:rPr>
          <w:rFonts w:eastAsia="PMingLiU"/>
          <w:b/>
        </w:rPr>
        <w:tab/>
      </w:r>
      <w:bookmarkStart w:id="2" w:name="frDocket"/>
      <w:bookmarkEnd w:id="2"/>
      <w:r w:rsidRPr="004D654D">
        <w:rPr>
          <w:rFonts w:eastAsia="PMingLiU"/>
          <w:b/>
          <w:bCs/>
        </w:rPr>
        <w:t>Docket:</w:t>
      </w:r>
      <w:r w:rsidRPr="004D654D">
        <w:rPr>
          <w:rFonts w:eastAsia="PMingLiU"/>
          <w:bCs/>
        </w:rPr>
        <w:t xml:space="preserve"> </w:t>
      </w:r>
      <w:r>
        <w:rPr>
          <w:rFonts w:eastAsia="PMingLiU"/>
          <w:bCs/>
        </w:rPr>
        <w:t>A1-AP-2022-0006</w:t>
      </w:r>
    </w:p>
    <w:p w14:paraId="04ABE289" w14:textId="77777777" w:rsidR="00426AB8" w:rsidRPr="00973735" w:rsidRDefault="00426AB8" w:rsidP="00426AB8">
      <w:pPr>
        <w:tabs>
          <w:tab w:val="right" w:pos="9360"/>
        </w:tabs>
        <w:ind w:left="0"/>
        <w:rPr>
          <w:rFonts w:eastAsia="PMingLiU"/>
        </w:rPr>
      </w:pPr>
      <w:r w:rsidRPr="009C2254">
        <w:rPr>
          <w:rFonts w:eastAsia="PMingLiU"/>
          <w:b/>
        </w:rPr>
        <w:tab/>
      </w:r>
      <w:bookmarkStart w:id="3" w:name="frRegistry"/>
      <w:bookmarkEnd w:id="3"/>
      <w:r w:rsidRPr="009C2254">
        <w:rPr>
          <w:rFonts w:eastAsia="PMingLiU"/>
          <w:b/>
          <w:bCs/>
        </w:rPr>
        <w:t>Registry:</w:t>
      </w:r>
      <w:r w:rsidRPr="00973735">
        <w:rPr>
          <w:rFonts w:eastAsia="PMingLiU"/>
        </w:rPr>
        <w:t xml:space="preserve"> </w:t>
      </w:r>
      <w:r>
        <w:rPr>
          <w:rFonts w:eastAsia="PMingLiU"/>
        </w:rPr>
        <w:t>Yellowknife, N.W.T.</w:t>
      </w:r>
    </w:p>
    <w:p w14:paraId="511E5877" w14:textId="77777777" w:rsidR="00426AB8" w:rsidRPr="009C2254" w:rsidRDefault="00426AB8" w:rsidP="00426AB8">
      <w:pPr>
        <w:ind w:left="0"/>
        <w:rPr>
          <w:rFonts w:eastAsia="PMingLiU"/>
        </w:rPr>
      </w:pPr>
    </w:p>
    <w:p w14:paraId="1434BE00" w14:textId="77777777" w:rsidR="00426AB8" w:rsidRPr="009C2254" w:rsidRDefault="00426AB8" w:rsidP="00426AB8">
      <w:pPr>
        <w:ind w:left="0"/>
        <w:rPr>
          <w:rFonts w:eastAsia="PMingLiU"/>
        </w:rPr>
      </w:pPr>
    </w:p>
    <w:p w14:paraId="4669C7A3" w14:textId="77777777" w:rsidR="00426AB8" w:rsidRPr="009C2254" w:rsidRDefault="00426AB8" w:rsidP="00426AB8">
      <w:pPr>
        <w:ind w:left="0"/>
        <w:rPr>
          <w:rFonts w:eastAsia="PMingLiU"/>
        </w:rPr>
      </w:pPr>
      <w:bookmarkStart w:id="4" w:name="frBetween"/>
      <w:bookmarkEnd w:id="4"/>
      <w:r w:rsidRPr="009C2254">
        <w:rPr>
          <w:rFonts w:eastAsia="PMingLiU"/>
          <w:b/>
          <w:bCs/>
        </w:rPr>
        <w:t>Between:</w:t>
      </w:r>
    </w:p>
    <w:p w14:paraId="631C968C" w14:textId="77777777" w:rsidR="00426AB8" w:rsidRPr="009C2254" w:rsidRDefault="00426AB8" w:rsidP="00426AB8">
      <w:pPr>
        <w:ind w:left="0"/>
        <w:rPr>
          <w:rFonts w:eastAsia="PMingLiU"/>
        </w:rPr>
      </w:pPr>
    </w:p>
    <w:p w14:paraId="5AC86CFF" w14:textId="77777777" w:rsidR="00426AB8" w:rsidRPr="000A1DC2" w:rsidRDefault="00426AB8" w:rsidP="00426AB8">
      <w:pPr>
        <w:ind w:left="0"/>
        <w:jc w:val="center"/>
        <w:rPr>
          <w:rFonts w:eastAsia="PMingLiU"/>
        </w:rPr>
      </w:pPr>
      <w:r>
        <w:rPr>
          <w:rFonts w:eastAsia="PMingLiU"/>
          <w:b/>
        </w:rPr>
        <w:t>His Majesty the King</w:t>
      </w:r>
    </w:p>
    <w:p w14:paraId="560A614E" w14:textId="77777777" w:rsidR="00426AB8" w:rsidRPr="009C2254" w:rsidRDefault="00426AB8" w:rsidP="00426AB8">
      <w:pPr>
        <w:ind w:left="0"/>
        <w:rPr>
          <w:rFonts w:eastAsia="PMingLiU"/>
        </w:rPr>
      </w:pPr>
    </w:p>
    <w:p w14:paraId="6743D20A" w14:textId="77777777" w:rsidR="00426AB8" w:rsidRPr="009C2254" w:rsidRDefault="00426AB8" w:rsidP="00426AB8">
      <w:pPr>
        <w:tabs>
          <w:tab w:val="right" w:pos="9360"/>
        </w:tabs>
        <w:ind w:left="0"/>
        <w:rPr>
          <w:rFonts w:eastAsia="PMingLiU"/>
        </w:rPr>
      </w:pPr>
      <w:r w:rsidRPr="009C2254">
        <w:rPr>
          <w:rFonts w:eastAsia="PMingLiU"/>
        </w:rPr>
        <w:tab/>
      </w:r>
      <w:r>
        <w:rPr>
          <w:rFonts w:eastAsia="PMingLiU"/>
        </w:rPr>
        <w:t>Appellant</w:t>
      </w:r>
    </w:p>
    <w:p w14:paraId="2FDDA845" w14:textId="77777777" w:rsidR="00426AB8" w:rsidRPr="009C2254" w:rsidRDefault="00426AB8" w:rsidP="00426AB8">
      <w:pPr>
        <w:ind w:left="0"/>
        <w:rPr>
          <w:rFonts w:eastAsia="PMingLiU"/>
        </w:rPr>
      </w:pPr>
    </w:p>
    <w:p w14:paraId="658D225A" w14:textId="77777777" w:rsidR="00426AB8" w:rsidRDefault="00426AB8" w:rsidP="00426AB8">
      <w:pPr>
        <w:tabs>
          <w:tab w:val="center" w:pos="4680"/>
        </w:tabs>
        <w:ind w:left="0"/>
        <w:rPr>
          <w:rFonts w:eastAsia="PMingLiU"/>
        </w:rPr>
      </w:pPr>
      <w:r w:rsidRPr="009C2254">
        <w:rPr>
          <w:rFonts w:eastAsia="PMingLiU"/>
        </w:rPr>
        <w:tab/>
        <w:t xml:space="preserve">- </w:t>
      </w:r>
      <w:bookmarkStart w:id="5" w:name="frAnd"/>
      <w:bookmarkEnd w:id="5"/>
      <w:r w:rsidRPr="009C2254">
        <w:rPr>
          <w:rFonts w:eastAsia="PMingLiU"/>
        </w:rPr>
        <w:t xml:space="preserve">and </w:t>
      </w:r>
      <w:r>
        <w:rPr>
          <w:rFonts w:eastAsia="PMingLiU"/>
        </w:rPr>
        <w:t>–</w:t>
      </w:r>
    </w:p>
    <w:p w14:paraId="726BB4E1" w14:textId="77777777" w:rsidR="00426AB8" w:rsidRDefault="00426AB8" w:rsidP="00426AB8">
      <w:pPr>
        <w:tabs>
          <w:tab w:val="center" w:pos="4680"/>
        </w:tabs>
        <w:ind w:left="0"/>
        <w:rPr>
          <w:rFonts w:eastAsia="PMingLiU"/>
        </w:rPr>
      </w:pPr>
    </w:p>
    <w:p w14:paraId="290701F1" w14:textId="77777777" w:rsidR="00426AB8" w:rsidRPr="009C2254" w:rsidRDefault="00426AB8" w:rsidP="00426AB8">
      <w:pPr>
        <w:tabs>
          <w:tab w:val="center" w:pos="4680"/>
        </w:tabs>
        <w:ind w:left="0"/>
        <w:rPr>
          <w:rFonts w:eastAsia="PMingLiU"/>
        </w:rPr>
      </w:pPr>
    </w:p>
    <w:p w14:paraId="0CE24B1A" w14:textId="77777777" w:rsidR="00426AB8" w:rsidRPr="009C2254" w:rsidRDefault="00426AB8" w:rsidP="00426AB8">
      <w:pPr>
        <w:ind w:left="0"/>
        <w:rPr>
          <w:rFonts w:eastAsia="PMingLiU"/>
        </w:rPr>
      </w:pPr>
    </w:p>
    <w:p w14:paraId="6067E209" w14:textId="77777777" w:rsidR="00426AB8" w:rsidRPr="000A1DC2" w:rsidRDefault="00426AB8" w:rsidP="00426AB8">
      <w:pPr>
        <w:ind w:left="0"/>
        <w:jc w:val="center"/>
        <w:rPr>
          <w:rFonts w:eastAsia="PMingLiU"/>
        </w:rPr>
      </w:pPr>
      <w:r>
        <w:rPr>
          <w:rFonts w:eastAsia="PMingLiU"/>
          <w:b/>
        </w:rPr>
        <w:t>Benny Greg Gargan</w:t>
      </w:r>
    </w:p>
    <w:p w14:paraId="0C5758F3" w14:textId="77777777" w:rsidR="00426AB8" w:rsidRPr="009C2254" w:rsidRDefault="00426AB8" w:rsidP="00426AB8">
      <w:pPr>
        <w:ind w:left="0"/>
        <w:rPr>
          <w:rFonts w:eastAsia="PMingLiU"/>
        </w:rPr>
      </w:pPr>
    </w:p>
    <w:p w14:paraId="0DFC286A" w14:textId="77777777" w:rsidR="00426AB8" w:rsidRPr="009C2254" w:rsidRDefault="00426AB8" w:rsidP="00426AB8">
      <w:pPr>
        <w:tabs>
          <w:tab w:val="right" w:pos="9360"/>
        </w:tabs>
        <w:ind w:left="0"/>
        <w:rPr>
          <w:rFonts w:eastAsia="PMingLiU"/>
        </w:rPr>
      </w:pPr>
      <w:r w:rsidRPr="009C2254">
        <w:rPr>
          <w:rFonts w:eastAsia="PMingLiU"/>
        </w:rPr>
        <w:tab/>
      </w:r>
      <w:r>
        <w:rPr>
          <w:rFonts w:eastAsia="PMingLiU"/>
        </w:rPr>
        <w:t>Respondent</w:t>
      </w:r>
    </w:p>
    <w:p w14:paraId="1DA71E96" w14:textId="77777777" w:rsidR="00426AB8" w:rsidRPr="009C2254" w:rsidRDefault="00426AB8" w:rsidP="00426AB8">
      <w:pPr>
        <w:ind w:left="0"/>
        <w:rPr>
          <w:rFonts w:eastAsia="PMingLiU"/>
        </w:rPr>
      </w:pPr>
    </w:p>
    <w:p w14:paraId="2F4D1D2F" w14:textId="77777777" w:rsidR="00426AB8" w:rsidRPr="009C2254" w:rsidRDefault="00426AB8" w:rsidP="00426AB8">
      <w:pPr>
        <w:ind w:left="0"/>
        <w:rPr>
          <w:rFonts w:eastAsia="PMingLiU"/>
        </w:rPr>
      </w:pPr>
    </w:p>
    <w:p w14:paraId="3C6572DC" w14:textId="77777777" w:rsidR="00426AB8" w:rsidRPr="009C2254" w:rsidRDefault="00426AB8" w:rsidP="00426AB8">
      <w:pPr>
        <w:ind w:left="0"/>
        <w:rPr>
          <w:rFonts w:eastAsia="PMingLiU"/>
        </w:rPr>
      </w:pPr>
      <w:bookmarkStart w:id="6" w:name="CorrectedJudgment"/>
      <w:bookmarkEnd w:id="6"/>
    </w:p>
    <w:p w14:paraId="1AF43326" w14:textId="77777777" w:rsidR="00426AB8" w:rsidRPr="009C2254" w:rsidRDefault="00426AB8" w:rsidP="00426AB8">
      <w:pPr>
        <w:ind w:left="0"/>
        <w:rPr>
          <w:rFonts w:eastAsia="PMingLiU"/>
        </w:rPr>
      </w:pPr>
    </w:p>
    <w:p w14:paraId="255AE863" w14:textId="77777777" w:rsidR="00426AB8" w:rsidRDefault="00426AB8" w:rsidP="00426AB8">
      <w:pPr>
        <w:keepNext/>
        <w:keepLines/>
        <w:ind w:left="0"/>
        <w:jc w:val="center"/>
        <w:rPr>
          <w:rFonts w:eastAsia="PMingLiU"/>
          <w:b/>
          <w:color w:val="000000" w:themeColor="text1"/>
        </w:rPr>
      </w:pPr>
      <w:bookmarkStart w:id="7" w:name="TheCourt"/>
      <w:bookmarkEnd w:id="7"/>
      <w:r>
        <w:rPr>
          <w:rFonts w:eastAsia="PMingLiU"/>
          <w:b/>
          <w:color w:val="000000" w:themeColor="text1"/>
        </w:rPr>
        <w:t>_______________________________________________________</w:t>
      </w:r>
    </w:p>
    <w:p w14:paraId="2B91DE8E" w14:textId="77777777" w:rsidR="00426AB8" w:rsidRDefault="00426AB8" w:rsidP="00426AB8">
      <w:pPr>
        <w:keepNext/>
        <w:keepLines/>
        <w:ind w:left="0"/>
        <w:jc w:val="center"/>
        <w:rPr>
          <w:rFonts w:eastAsia="PMingLiU"/>
          <w:b/>
          <w:color w:val="000000" w:themeColor="text1"/>
        </w:rPr>
      </w:pPr>
    </w:p>
    <w:p w14:paraId="1613B718" w14:textId="77777777" w:rsidR="00426AB8" w:rsidRPr="00A422B4" w:rsidRDefault="00426AB8" w:rsidP="00426AB8">
      <w:pPr>
        <w:keepNext/>
        <w:keepLines/>
        <w:ind w:left="0"/>
        <w:jc w:val="center"/>
        <w:rPr>
          <w:rFonts w:eastAsia="PMingLiU"/>
          <w:b/>
          <w:color w:val="000000" w:themeColor="text1"/>
        </w:rPr>
      </w:pPr>
      <w:bookmarkStart w:id="8" w:name="JusticeName"/>
      <w:r w:rsidRPr="00A422B4">
        <w:rPr>
          <w:rFonts w:eastAsia="PMingLiU"/>
          <w:b/>
          <w:color w:val="000000" w:themeColor="text1"/>
        </w:rPr>
        <w:t>Reasons for Decision of</w:t>
      </w:r>
    </w:p>
    <w:p w14:paraId="0D63CE77" w14:textId="77777777" w:rsidR="00426AB8" w:rsidRDefault="00426AB8" w:rsidP="00426AB8">
      <w:pPr>
        <w:keepNext/>
        <w:keepLines/>
        <w:ind w:left="0"/>
        <w:jc w:val="center"/>
        <w:rPr>
          <w:rFonts w:eastAsia="PMingLiU"/>
          <w:color w:val="000000" w:themeColor="text1"/>
        </w:rPr>
      </w:pPr>
      <w:r w:rsidRPr="00A422B4">
        <w:rPr>
          <w:rFonts w:eastAsia="PMingLiU"/>
          <w:b/>
          <w:color w:val="000000" w:themeColor="text1"/>
        </w:rPr>
        <w:t xml:space="preserve">The Honourable </w:t>
      </w:r>
      <w:r>
        <w:rPr>
          <w:rFonts w:eastAsia="PMingLiU"/>
          <w:b/>
          <w:color w:val="000000" w:themeColor="text1"/>
        </w:rPr>
        <w:t xml:space="preserve">Chief </w:t>
      </w:r>
      <w:r w:rsidRPr="00A422B4">
        <w:rPr>
          <w:rFonts w:eastAsia="PMingLiU"/>
          <w:b/>
          <w:color w:val="000000" w:themeColor="text1"/>
        </w:rPr>
        <w:t xml:space="preserve">Justice </w:t>
      </w:r>
      <w:bookmarkEnd w:id="8"/>
      <w:r>
        <w:rPr>
          <w:rFonts w:eastAsia="PMingLiU"/>
          <w:b/>
          <w:color w:val="000000" w:themeColor="text1"/>
        </w:rPr>
        <w:t>Ritu Khullar</w:t>
      </w:r>
    </w:p>
    <w:p w14:paraId="48F46E4B" w14:textId="77777777" w:rsidR="00426AB8" w:rsidRDefault="00426AB8" w:rsidP="00426AB8">
      <w:pPr>
        <w:keepNext/>
        <w:keepLines/>
        <w:ind w:left="0"/>
        <w:jc w:val="center"/>
        <w:rPr>
          <w:rFonts w:eastAsia="PMingLiU"/>
          <w:color w:val="000000" w:themeColor="text1"/>
        </w:rPr>
      </w:pPr>
      <w:r>
        <w:rPr>
          <w:rFonts w:eastAsia="PMingLiU"/>
          <w:color w:val="000000" w:themeColor="text1"/>
        </w:rPr>
        <w:t>_______________________________________________________</w:t>
      </w:r>
    </w:p>
    <w:p w14:paraId="6437FC86" w14:textId="77777777" w:rsidR="00426AB8" w:rsidRDefault="00426AB8" w:rsidP="00426AB8">
      <w:pPr>
        <w:keepNext/>
        <w:keepLines/>
        <w:ind w:left="0"/>
        <w:rPr>
          <w:rFonts w:eastAsia="PMingLiU"/>
        </w:rPr>
      </w:pPr>
    </w:p>
    <w:p w14:paraId="52DF933F" w14:textId="77777777" w:rsidR="00426AB8" w:rsidRDefault="00426AB8" w:rsidP="00426AB8">
      <w:pPr>
        <w:keepNext/>
        <w:keepLines/>
        <w:ind w:left="0"/>
        <w:rPr>
          <w:rFonts w:eastAsia="PMingLiU"/>
        </w:rPr>
      </w:pPr>
    </w:p>
    <w:p w14:paraId="6620A74F" w14:textId="77777777" w:rsidR="00426AB8" w:rsidRPr="007E00FE" w:rsidRDefault="00426AB8" w:rsidP="00426AB8">
      <w:pPr>
        <w:spacing w:after="200" w:line="276" w:lineRule="auto"/>
        <w:ind w:left="0"/>
        <w:jc w:val="center"/>
        <w:rPr>
          <w:rFonts w:eastAsia="PMingLiU"/>
          <w:bCs/>
        </w:rPr>
      </w:pPr>
      <w:r w:rsidRPr="007E00FE">
        <w:rPr>
          <w:rFonts w:eastAsia="PMingLiU"/>
          <w:bCs/>
        </w:rPr>
        <w:t>Application</w:t>
      </w:r>
      <w:r w:rsidRPr="007E00FE">
        <w:rPr>
          <w:bCs/>
        </w:rPr>
        <w:t xml:space="preserve"> for </w:t>
      </w:r>
      <w:r>
        <w:rPr>
          <w:bCs/>
        </w:rPr>
        <w:t>Leave</w:t>
      </w:r>
      <w:r w:rsidRPr="007E00FE">
        <w:rPr>
          <w:bCs/>
        </w:rPr>
        <w:t xml:space="preserve"> to Appeal </w:t>
      </w:r>
      <w:r w:rsidRPr="007E00FE">
        <w:rPr>
          <w:rFonts w:eastAsia="PMingLiU"/>
          <w:bCs/>
        </w:rPr>
        <w:br w:type="page"/>
      </w:r>
    </w:p>
    <w:bookmarkEnd w:id="0"/>
    <w:p w14:paraId="0DBF7039" w14:textId="77777777" w:rsidR="00426AB8" w:rsidRDefault="00426AB8" w:rsidP="00426AB8">
      <w:pPr>
        <w:spacing w:after="200" w:line="276" w:lineRule="auto"/>
        <w:ind w:left="0"/>
        <w:jc w:val="left"/>
        <w:rPr>
          <w:rFonts w:eastAsia="PMingLiU"/>
        </w:rPr>
      </w:pPr>
    </w:p>
    <w:p w14:paraId="0440EB1D" w14:textId="77777777" w:rsidR="00426AB8" w:rsidRPr="009C2254" w:rsidRDefault="00426AB8" w:rsidP="00426AB8">
      <w:pPr>
        <w:tabs>
          <w:tab w:val="center" w:pos="4680"/>
        </w:tabs>
        <w:ind w:left="0"/>
        <w:rPr>
          <w:rFonts w:eastAsia="PMingLiU"/>
        </w:rPr>
        <w:sectPr w:rsidR="00426AB8" w:rsidRPr="009C2254" w:rsidSect="00DA70C9">
          <w:pgSz w:w="12240" w:h="15840"/>
          <w:pgMar w:top="1440" w:right="1440" w:bottom="1440" w:left="1440" w:header="1152" w:footer="1440" w:gutter="0"/>
          <w:cols w:space="720"/>
          <w:noEndnote/>
          <w:titlePg/>
          <w:docGrid w:linePitch="326"/>
        </w:sectPr>
      </w:pPr>
    </w:p>
    <w:p w14:paraId="4988780C" w14:textId="77777777" w:rsidR="00426AB8" w:rsidRPr="00A120A5" w:rsidRDefault="00426AB8" w:rsidP="00426AB8">
      <w:pPr>
        <w:ind w:left="0"/>
        <w:jc w:val="center"/>
        <w:rPr>
          <w:rFonts w:eastAsia="PMingLiU"/>
          <w:b/>
        </w:rPr>
      </w:pPr>
      <w:r w:rsidRPr="00A120A5">
        <w:rPr>
          <w:rFonts w:eastAsia="PMingLiU"/>
          <w:b/>
        </w:rPr>
        <w:t>_______________________________________________________</w:t>
      </w:r>
    </w:p>
    <w:p w14:paraId="13724D43" w14:textId="77777777" w:rsidR="00426AB8" w:rsidRPr="00A120A5" w:rsidRDefault="00426AB8" w:rsidP="00426AB8">
      <w:pPr>
        <w:ind w:left="0"/>
        <w:jc w:val="center"/>
        <w:rPr>
          <w:rFonts w:eastAsia="PMingLiU"/>
          <w:b/>
        </w:rPr>
      </w:pPr>
    </w:p>
    <w:p w14:paraId="230AC235" w14:textId="77777777" w:rsidR="00426AB8" w:rsidRPr="00A422B4" w:rsidRDefault="00426AB8" w:rsidP="00426AB8">
      <w:pPr>
        <w:ind w:left="0"/>
        <w:jc w:val="center"/>
        <w:rPr>
          <w:rFonts w:eastAsia="PMingLiU"/>
          <w:color w:val="000000" w:themeColor="text1"/>
        </w:rPr>
      </w:pPr>
      <w:bookmarkStart w:id="9" w:name="JudgmentTypeStart"/>
      <w:bookmarkStart w:id="10" w:name="JudgmentTypeEnd"/>
      <w:bookmarkStart w:id="11" w:name="JudgmentTypeDocument"/>
      <w:bookmarkEnd w:id="9"/>
      <w:bookmarkEnd w:id="10"/>
      <w:bookmarkEnd w:id="11"/>
      <w:r>
        <w:rPr>
          <w:rFonts w:eastAsia="PMingLiU"/>
          <w:b/>
          <w:color w:val="000000" w:themeColor="text1"/>
        </w:rPr>
        <w:t>Reasons for Decision of</w:t>
      </w:r>
    </w:p>
    <w:p w14:paraId="6EC92DF0" w14:textId="77777777" w:rsidR="00426AB8" w:rsidRPr="00A422B4" w:rsidRDefault="00426AB8" w:rsidP="00426AB8">
      <w:pPr>
        <w:ind w:left="0"/>
        <w:jc w:val="center"/>
        <w:rPr>
          <w:rFonts w:eastAsia="PMingLiU"/>
          <w:color w:val="000000" w:themeColor="text1"/>
        </w:rPr>
      </w:pPr>
      <w:r>
        <w:rPr>
          <w:rFonts w:eastAsia="PMingLiU"/>
          <w:b/>
          <w:color w:val="000000" w:themeColor="text1"/>
        </w:rPr>
        <w:t xml:space="preserve">The Honourable Chief Justice </w:t>
      </w:r>
      <w:bookmarkStart w:id="12" w:name="JusticeTitleEnd"/>
      <w:bookmarkEnd w:id="12"/>
      <w:r>
        <w:rPr>
          <w:rFonts w:eastAsia="PMingLiU"/>
          <w:b/>
          <w:color w:val="000000" w:themeColor="text1"/>
        </w:rPr>
        <w:t>Ritu Khullar</w:t>
      </w:r>
    </w:p>
    <w:p w14:paraId="36F4435A" w14:textId="77777777" w:rsidR="00426AB8" w:rsidRDefault="00426AB8" w:rsidP="00426AB8">
      <w:pPr>
        <w:ind w:left="0"/>
        <w:jc w:val="center"/>
        <w:rPr>
          <w:rFonts w:eastAsia="PMingLiU"/>
          <w:b/>
        </w:rPr>
      </w:pPr>
      <w:r w:rsidRPr="00A120A5">
        <w:rPr>
          <w:rFonts w:eastAsia="PMingLiU"/>
          <w:b/>
        </w:rPr>
        <w:t>_______________________________________________________</w:t>
      </w:r>
    </w:p>
    <w:p w14:paraId="53C8B494" w14:textId="77777777" w:rsidR="00426AB8" w:rsidRDefault="00426AB8" w:rsidP="00426AB8">
      <w:pPr>
        <w:ind w:left="0"/>
        <w:jc w:val="center"/>
        <w:rPr>
          <w:rFonts w:eastAsia="PMingLiU"/>
          <w:b/>
        </w:rPr>
      </w:pPr>
    </w:p>
    <w:p w14:paraId="44923941" w14:textId="77777777" w:rsidR="001C6E42" w:rsidRPr="00A120A5" w:rsidRDefault="001C6E42" w:rsidP="00426AB8">
      <w:pPr>
        <w:ind w:left="0"/>
        <w:jc w:val="center"/>
        <w:rPr>
          <w:rFonts w:eastAsia="PMingLiU"/>
          <w:b/>
        </w:rPr>
      </w:pPr>
    </w:p>
    <w:p w14:paraId="55C46649" w14:textId="77777777" w:rsidR="00426AB8" w:rsidRDefault="00426AB8" w:rsidP="00426AB8">
      <w:pPr>
        <w:pStyle w:val="FelskyNumbering12"/>
        <w:numPr>
          <w:ilvl w:val="0"/>
          <w:numId w:val="1"/>
        </w:numPr>
        <w:ind w:left="0"/>
      </w:pPr>
      <w:r>
        <w:t>The Crown applies for leave to appeal a summary conviction appeal decision upholding a sentencing judge’s finding that the 90 day mandatory minimum sentence for sexual interference is unconstitutional. For the reasons below, leave to appeal is denied.</w:t>
      </w:r>
    </w:p>
    <w:p w14:paraId="6A94D429" w14:textId="77777777" w:rsidR="00426AB8" w:rsidRDefault="00426AB8" w:rsidP="00426AB8">
      <w:pPr>
        <w:pStyle w:val="FelskyNumbering12"/>
        <w:numPr>
          <w:ilvl w:val="0"/>
          <w:numId w:val="1"/>
        </w:numPr>
        <w:ind w:left="0"/>
      </w:pPr>
      <w:r>
        <w:t xml:space="preserve">The respondent was convicted of one count of unlawful touching of a person under the age of 16 (sexual interference) contrary to s 151(b) of the </w:t>
      </w:r>
      <w:r w:rsidRPr="004A56D9">
        <w:rPr>
          <w:i/>
          <w:iCs/>
        </w:rPr>
        <w:t>Criminal Code</w:t>
      </w:r>
      <w:r>
        <w:t xml:space="preserve">. The Crown proceeded summarily, and the respondent pled guilty in the Territorial Court of the Northwest Territories. </w:t>
      </w:r>
    </w:p>
    <w:p w14:paraId="6A9C1A55" w14:textId="77777777" w:rsidR="00426AB8" w:rsidRDefault="00426AB8" w:rsidP="00426AB8">
      <w:pPr>
        <w:pStyle w:val="FelskyNumbering12"/>
        <w:numPr>
          <w:ilvl w:val="0"/>
          <w:numId w:val="1"/>
        </w:numPr>
        <w:ind w:left="0"/>
      </w:pPr>
      <w:r>
        <w:t xml:space="preserve">The offence occurred on August 3, 2018. In December 2018, while investigating another matter, the police learned about this incident, then interviewed the complainant and arrested the respondent who admitted the conduct while detained. The undisputed facts were that the 13 year- old complainant attended a community event where the 23 year-old respondent was present. The respondent had been consuming alcohol. He approached the complainant, reached out to hug her and touched her on her buttocks. The sentencing judge described it as “brief and isolated”. Both respondent and the complainant are Indigenous. There was no information about the effect of the touching on the complainant. </w:t>
      </w:r>
    </w:p>
    <w:p w14:paraId="01AB2F3C" w14:textId="77777777" w:rsidR="00426AB8" w:rsidRDefault="00426AB8" w:rsidP="00426AB8">
      <w:pPr>
        <w:pStyle w:val="FelskyNumbering12"/>
        <w:numPr>
          <w:ilvl w:val="0"/>
          <w:numId w:val="1"/>
        </w:numPr>
        <w:ind w:left="0"/>
      </w:pPr>
      <w:r>
        <w:t xml:space="preserve">In fixing a fit sentence for the respondent, the sentencing judge found the age and vulnerability of the complainant to be statutorily aggravating and which elevated deterrence and denunciation as the primary goals in sentencing. She referred to </w:t>
      </w:r>
      <w:r w:rsidRPr="003D4AB2">
        <w:rPr>
          <w:i/>
          <w:iCs/>
        </w:rPr>
        <w:t>R v Friesen</w:t>
      </w:r>
      <w:r>
        <w:t xml:space="preserve">, </w:t>
      </w:r>
      <w:r w:rsidRPr="000F4ADC">
        <w:t xml:space="preserve">2020 SCC 9 </w:t>
      </w:r>
      <w:r>
        <w:t xml:space="preserve">and the shift in paradigm in sentencing articulated by the Supreme Court of Canada for offences against children. In mitigation, the sentencing judge noted that the respondent pled guilty, did not have a criminal record, had suffered life disadvantages associated with the systemic disadvantage of Indigenous people, was remorseful, and, by the time of sentencing, had taken steps to get treatment for his alcohol addiction and had reintegrated into the community. Having noted the primacy of proportionality and surveyed previous sentencing decisions that involved “a single, brief, act of violence, perpetrated on an indigenous teenager in circumstances that do not involve a breach of trust”, the sentencing judge concluded that one day of imprisonment and 12 months probation would be fit. She deemed the one day of imprisonment to be served by the respondent’s attendance at court for sentencing: </w:t>
      </w:r>
      <w:r w:rsidRPr="00320C9A">
        <w:rPr>
          <w:i/>
          <w:iCs/>
        </w:rPr>
        <w:t>R v Gargan</w:t>
      </w:r>
      <w:r w:rsidRPr="00320C9A">
        <w:t>, 2021 NWTTC 9 (</w:t>
      </w:r>
      <w:r w:rsidRPr="00320C9A">
        <w:rPr>
          <w:i/>
          <w:iCs/>
        </w:rPr>
        <w:t>Sentencing Decision</w:t>
      </w:r>
      <w:r w:rsidRPr="00320C9A">
        <w:t>)</w:t>
      </w:r>
      <w:r>
        <w:t xml:space="preserve">. </w:t>
      </w:r>
      <w:r w:rsidRPr="00D56BB4">
        <w:t xml:space="preserve">In addition to providing a DNA sample, the respondent was also ordered to register under the </w:t>
      </w:r>
      <w:r w:rsidRPr="00D56BB4">
        <w:rPr>
          <w:i/>
          <w:iCs/>
        </w:rPr>
        <w:t>Sex Offender Information Registration Act</w:t>
      </w:r>
      <w:r w:rsidRPr="00D56BB4">
        <w:t xml:space="preserve"> (SOIRA) for the mandatory period of ten years.</w:t>
      </w:r>
    </w:p>
    <w:p w14:paraId="1F3FCA0B" w14:textId="77777777" w:rsidR="00426AB8" w:rsidRDefault="00426AB8" w:rsidP="00426AB8">
      <w:pPr>
        <w:pStyle w:val="FelskyNumbering12"/>
        <w:numPr>
          <w:ilvl w:val="0"/>
          <w:numId w:val="1"/>
        </w:numPr>
        <w:ind w:left="0"/>
      </w:pPr>
      <w:r>
        <w:t xml:space="preserve">Although s 151(b) of the </w:t>
      </w:r>
      <w:r w:rsidRPr="00ED3ADB">
        <w:rPr>
          <w:i/>
          <w:iCs/>
        </w:rPr>
        <w:t>Criminal Code</w:t>
      </w:r>
      <w:r>
        <w:t xml:space="preserve"> prescribes a mandatory minimum sentence of 90 days’ imprisonment for sexual interference when the Crown proceeds summarily, the sentencing judge found the mandatory minimum grossly disproportionate to the fit sentence for the respondent. Accordingly, the mandatory minimum violated the respondent’s 12 </w:t>
      </w:r>
      <w:r w:rsidRPr="00ED3ADB">
        <w:rPr>
          <w:i/>
          <w:iCs/>
        </w:rPr>
        <w:t>Charter</w:t>
      </w:r>
      <w:r>
        <w:t xml:space="preserve"> right not to be subjected to cruel and unusual punishment, and the sentencing judge declined to apply it to the respondent. </w:t>
      </w:r>
    </w:p>
    <w:p w14:paraId="6D36D925" w14:textId="77777777" w:rsidR="00426AB8" w:rsidRPr="000F4ADC" w:rsidRDefault="00426AB8" w:rsidP="00426AB8">
      <w:pPr>
        <w:pStyle w:val="FelskyNumbering12"/>
        <w:numPr>
          <w:ilvl w:val="0"/>
          <w:numId w:val="1"/>
        </w:numPr>
        <w:ind w:left="0"/>
      </w:pPr>
      <w:r w:rsidRPr="005046AA">
        <w:t xml:space="preserve">The Crown appealed the sentence to a judge of the Supreme Court of the Northwest Territories. It alleged various errors in the sentencing judge’s conclusion that a one day sentence of imprisonment was a fit sentence for the applicant: (1) underemphasis of the seriousness of the </w:t>
      </w:r>
      <w:r w:rsidRPr="000F4ADC">
        <w:t xml:space="preserve">offence, (2) underemphasis of the primary objectives of denunciation and deterrence, (3) fixing the sentence by comparison with previous sentence decisions which pre-dated the Supreme Court’s directions in </w:t>
      </w:r>
      <w:r>
        <w:rPr>
          <w:i/>
          <w:iCs/>
        </w:rPr>
        <w:t xml:space="preserve">R v </w:t>
      </w:r>
      <w:r w:rsidRPr="000F4ADC">
        <w:rPr>
          <w:i/>
          <w:iCs/>
        </w:rPr>
        <w:t>Friesen</w:t>
      </w:r>
      <w:r>
        <w:t xml:space="preserve"> </w:t>
      </w:r>
      <w:r w:rsidRPr="000F4ADC">
        <w:t xml:space="preserve">about sentencing for sexual crimes against children, and (4) drawing erroneous inferences about the harm to the complainant. It is fair to say the Crown sought to attack the finding about s 12 of the </w:t>
      </w:r>
      <w:r w:rsidRPr="000F4ADC">
        <w:rPr>
          <w:i/>
          <w:iCs/>
        </w:rPr>
        <w:t>Charter</w:t>
      </w:r>
      <w:r w:rsidRPr="000F4ADC">
        <w:t xml:space="preserve"> by attacking the fitness of</w:t>
      </w:r>
      <w:r>
        <w:t xml:space="preserve"> the </w:t>
      </w:r>
      <w:r w:rsidRPr="000F4ADC">
        <w:t>sentence</w:t>
      </w:r>
      <w:r>
        <w:t xml:space="preserve"> imposed</w:t>
      </w:r>
      <w:r w:rsidRPr="000F4ADC">
        <w:t>.</w:t>
      </w:r>
    </w:p>
    <w:p w14:paraId="6C35466B" w14:textId="77777777" w:rsidR="00426AB8" w:rsidRPr="00073D47" w:rsidRDefault="00426AB8" w:rsidP="00426AB8">
      <w:pPr>
        <w:pStyle w:val="FelskyNumbering12"/>
        <w:numPr>
          <w:ilvl w:val="0"/>
          <w:numId w:val="1"/>
        </w:numPr>
        <w:ind w:left="0"/>
      </w:pPr>
      <w:r w:rsidRPr="000F4ADC">
        <w:t xml:space="preserve">The summary conviction appeal judge concluded that none of the errors was made out and affirmed the one day imprisonment plus 12 months probation </w:t>
      </w:r>
      <w:r>
        <w:t>as a fit sentence</w:t>
      </w:r>
      <w:r w:rsidRPr="000F4ADC">
        <w:t xml:space="preserve">: </w:t>
      </w:r>
      <w:r w:rsidRPr="000F4ADC">
        <w:rPr>
          <w:i/>
          <w:iCs/>
        </w:rPr>
        <w:t>R v Gargan</w:t>
      </w:r>
      <w:r w:rsidRPr="000F4ADC">
        <w:t xml:space="preserve">, 2022 </w:t>
      </w:r>
      <w:r w:rsidRPr="00073D47">
        <w:t>NWTSC 21 (</w:t>
      </w:r>
      <w:r w:rsidRPr="00073D47">
        <w:rPr>
          <w:i/>
          <w:iCs/>
        </w:rPr>
        <w:t>Summary Conviction Appeal Decision</w:t>
      </w:r>
      <w:r w:rsidRPr="00073D47">
        <w:t xml:space="preserve">). She also affirmed the ruling that the 90 day mandatory minimum sentence was grossly disproportionate when applied to the applicant, so violated s 12 of the </w:t>
      </w:r>
      <w:r w:rsidRPr="00073D47">
        <w:rPr>
          <w:i/>
          <w:iCs/>
        </w:rPr>
        <w:t>Charter.</w:t>
      </w:r>
      <w:r w:rsidRPr="00073D47">
        <w:t xml:space="preserve"> </w:t>
      </w:r>
    </w:p>
    <w:p w14:paraId="52DB58F4" w14:textId="173C0B9B" w:rsidR="00426AB8" w:rsidRPr="00073D47" w:rsidRDefault="00426AB8" w:rsidP="00426AB8">
      <w:pPr>
        <w:pStyle w:val="FelskyNumbering12"/>
        <w:numPr>
          <w:ilvl w:val="0"/>
          <w:numId w:val="1"/>
        </w:numPr>
        <w:ind w:left="0"/>
      </w:pPr>
      <w:r w:rsidRPr="00073D47">
        <w:t xml:space="preserve">The Crown now seeks leave to appeal the </w:t>
      </w:r>
      <w:r w:rsidRPr="00073D47">
        <w:rPr>
          <w:i/>
          <w:iCs/>
        </w:rPr>
        <w:t xml:space="preserve">Summary Conviction Appeal Decision </w:t>
      </w:r>
      <w:r w:rsidRPr="00073D47">
        <w:t>under</w:t>
      </w:r>
      <w:r w:rsidR="00E44BA0">
        <w:br/>
      </w:r>
      <w:r w:rsidRPr="00073D47">
        <w:t xml:space="preserve">s 839 of the </w:t>
      </w:r>
      <w:r w:rsidRPr="00073D47">
        <w:rPr>
          <w:i/>
          <w:iCs/>
        </w:rPr>
        <w:t>Criminal Code</w:t>
      </w:r>
      <w:r w:rsidRPr="00073D47">
        <w:t xml:space="preserve">. The requirements for leave to appeal are that: </w:t>
      </w:r>
    </w:p>
    <w:p w14:paraId="43F059A3" w14:textId="77777777" w:rsidR="00426AB8" w:rsidRDefault="00426AB8" w:rsidP="00426AB8">
      <w:pPr>
        <w:pStyle w:val="Lista"/>
        <w:numPr>
          <w:ilvl w:val="0"/>
          <w:numId w:val="22"/>
        </w:numPr>
        <w:ind w:left="1980" w:hanging="630"/>
      </w:pPr>
      <w:r w:rsidRPr="000F4ADC">
        <w:t xml:space="preserve">the proposed grounds of appeal involve questions of law alone, </w:t>
      </w:r>
    </w:p>
    <w:p w14:paraId="76ABA99D" w14:textId="77777777" w:rsidR="00426AB8" w:rsidRDefault="00426AB8" w:rsidP="00426AB8">
      <w:pPr>
        <w:pStyle w:val="Lista"/>
        <w:numPr>
          <w:ilvl w:val="0"/>
          <w:numId w:val="22"/>
        </w:numPr>
        <w:ind w:left="1980" w:hanging="630"/>
      </w:pPr>
      <w:r w:rsidRPr="000F4ADC">
        <w:t xml:space="preserve">the matter raises a reasonably arguable case of substance, and </w:t>
      </w:r>
    </w:p>
    <w:p w14:paraId="3296DF5A" w14:textId="77777777" w:rsidR="00426AB8" w:rsidRDefault="00426AB8" w:rsidP="00426AB8">
      <w:pPr>
        <w:pStyle w:val="Lista"/>
        <w:numPr>
          <w:ilvl w:val="0"/>
          <w:numId w:val="22"/>
        </w:numPr>
        <w:ind w:left="1980" w:hanging="630"/>
      </w:pPr>
      <w:r w:rsidRPr="000F4ADC">
        <w:t>the matter is of sufficient importance to warrant a second level of appeal</w:t>
      </w:r>
      <w:r>
        <w:t>.</w:t>
      </w:r>
    </w:p>
    <w:p w14:paraId="61034826" w14:textId="77777777" w:rsidR="00426AB8" w:rsidRDefault="00426AB8" w:rsidP="001A0794">
      <w:pPr>
        <w:pStyle w:val="Listi"/>
        <w:tabs>
          <w:tab w:val="clear" w:pos="360"/>
        </w:tabs>
        <w:spacing w:line="240" w:lineRule="auto"/>
        <w:ind w:left="1440"/>
      </w:pPr>
      <w:r w:rsidRPr="000F4ADC">
        <w:rPr>
          <w:i/>
          <w:iCs/>
        </w:rPr>
        <w:t>R v Bhalla</w:t>
      </w:r>
      <w:r w:rsidRPr="000F4ADC">
        <w:t xml:space="preserve">, 2021 ABCA 126 at para 8; </w:t>
      </w:r>
      <w:r w:rsidRPr="000F4ADC">
        <w:rPr>
          <w:i/>
          <w:iCs/>
        </w:rPr>
        <w:t>R v Aheer,</w:t>
      </w:r>
      <w:r w:rsidRPr="000F4ADC">
        <w:t xml:space="preserve"> 2018 ABCA 395 at para 7; </w:t>
      </w:r>
      <w:r w:rsidRPr="000F4ADC">
        <w:rPr>
          <w:i/>
          <w:iCs/>
        </w:rPr>
        <w:t>R v Tibu</w:t>
      </w:r>
      <w:r w:rsidRPr="000F4ADC">
        <w:t>, 2016</w:t>
      </w:r>
      <w:r>
        <w:t xml:space="preserve"> </w:t>
      </w:r>
      <w:r w:rsidRPr="000F4ADC">
        <w:t>ABCA 97 at paras 5-7.</w:t>
      </w:r>
    </w:p>
    <w:p w14:paraId="55F3CC72" w14:textId="77777777" w:rsidR="00426AB8" w:rsidRPr="000F4ADC" w:rsidRDefault="00426AB8" w:rsidP="00426AB8">
      <w:pPr>
        <w:pStyle w:val="FelskyNumbering12"/>
        <w:numPr>
          <w:ilvl w:val="0"/>
          <w:numId w:val="0"/>
        </w:numPr>
      </w:pPr>
      <w:r w:rsidRPr="000F4ADC">
        <w:t xml:space="preserve">Applications for leave should be granted sparingly. There has already been one appeal, thus granting leave would bring a second level of appeal which is to be discouraged in the absence of some compelling reason to conclude otherwise: </w:t>
      </w:r>
      <w:r w:rsidRPr="000F4ADC">
        <w:rPr>
          <w:i/>
          <w:iCs/>
        </w:rPr>
        <w:t>Tibu</w:t>
      </w:r>
      <w:r w:rsidRPr="000F4ADC">
        <w:t xml:space="preserve"> at para 9.</w:t>
      </w:r>
    </w:p>
    <w:p w14:paraId="04F707CF" w14:textId="77777777" w:rsidR="00426AB8" w:rsidRPr="000F4ADC" w:rsidRDefault="00426AB8" w:rsidP="00426AB8">
      <w:pPr>
        <w:pStyle w:val="FelskyNumbering12"/>
        <w:numPr>
          <w:ilvl w:val="0"/>
          <w:numId w:val="1"/>
        </w:numPr>
        <w:ind w:left="0"/>
      </w:pPr>
      <w:r>
        <w:t>O</w:t>
      </w:r>
      <w:r w:rsidRPr="000F4ADC">
        <w:t>n this application</w:t>
      </w:r>
      <w:r>
        <w:t>,</w:t>
      </w:r>
      <w:r w:rsidRPr="000F4ADC">
        <w:t xml:space="preserve"> </w:t>
      </w:r>
      <w:r>
        <w:t>the Crown</w:t>
      </w:r>
      <w:r w:rsidRPr="000F4ADC">
        <w:t xml:space="preserve"> does not challenge the conclusion that the sentence imposed (</w:t>
      </w:r>
      <w:r>
        <w:t>one</w:t>
      </w:r>
      <w:r w:rsidRPr="000F4ADC">
        <w:t xml:space="preserve"> day custody plus 12 months probation) is fit. Rather, the appeal would be confined to the question of whether </w:t>
      </w:r>
      <w:r>
        <w:t>the 90 day mandatory minimum</w:t>
      </w:r>
      <w:r w:rsidRPr="000F4ADC">
        <w:t xml:space="preserve"> is grossly disproportionate</w:t>
      </w:r>
      <w:r>
        <w:t xml:space="preserve"> to the fit sentence. The Crown argues that this Court should consider the gross disproportionality analysis in light of the recent Supreme Court of Canada decisions</w:t>
      </w:r>
      <w:r w:rsidRPr="00D92414">
        <w:rPr>
          <w:rFonts w:cs="Times New Roman"/>
        </w:rPr>
        <w:t xml:space="preserve"> </w:t>
      </w:r>
      <w:r>
        <w:rPr>
          <w:rFonts w:cs="Times New Roman"/>
        </w:rPr>
        <w:t xml:space="preserve">in </w:t>
      </w:r>
      <w:r w:rsidRPr="00D03F2F">
        <w:rPr>
          <w:rFonts w:cs="Times New Roman"/>
          <w:i/>
          <w:iCs/>
        </w:rPr>
        <w:t>Friesen</w:t>
      </w:r>
      <w:r>
        <w:rPr>
          <w:rFonts w:cs="Times New Roman"/>
        </w:rPr>
        <w:t xml:space="preserve"> </w:t>
      </w:r>
      <w:r w:rsidRPr="00EE2457">
        <w:rPr>
          <w:rFonts w:cs="Times New Roman"/>
        </w:rPr>
        <w:t>and</w:t>
      </w:r>
      <w:r>
        <w:rPr>
          <w:rFonts w:cs="Times New Roman"/>
        </w:rPr>
        <w:t xml:space="preserve"> </w:t>
      </w:r>
      <w:r>
        <w:rPr>
          <w:rFonts w:cs="Times New Roman"/>
          <w:i/>
          <w:iCs/>
        </w:rPr>
        <w:t>R v</w:t>
      </w:r>
      <w:r w:rsidRPr="00EE2457">
        <w:rPr>
          <w:rFonts w:cs="Times New Roman"/>
        </w:rPr>
        <w:t xml:space="preserve"> </w:t>
      </w:r>
      <w:r w:rsidRPr="00EE2457">
        <w:rPr>
          <w:rFonts w:cs="Times New Roman"/>
          <w:i/>
          <w:iCs/>
        </w:rPr>
        <w:t>Hills</w:t>
      </w:r>
      <w:r>
        <w:rPr>
          <w:rFonts w:cs="Times New Roman"/>
        </w:rPr>
        <w:t xml:space="preserve">, </w:t>
      </w:r>
      <w:r w:rsidRPr="00B40348">
        <w:rPr>
          <w:rFonts w:cs="Times New Roman"/>
        </w:rPr>
        <w:t>2023 SCC 2.</w:t>
      </w:r>
    </w:p>
    <w:p w14:paraId="13F3543D" w14:textId="77777777" w:rsidR="00426AB8" w:rsidRDefault="00426AB8" w:rsidP="00426AB8">
      <w:pPr>
        <w:pStyle w:val="FelskyNumbering12"/>
        <w:numPr>
          <w:ilvl w:val="0"/>
          <w:numId w:val="1"/>
        </w:numPr>
        <w:ind w:left="0"/>
        <w:rPr>
          <w:rFonts w:cs="Times New Roman"/>
        </w:rPr>
      </w:pPr>
      <w:r>
        <w:rPr>
          <w:rFonts w:cs="Times New Roman"/>
        </w:rPr>
        <w:t>The question is one of law. Constitutional questions, properly framed, will almost always be sufficiently important to warrant a second level appeal. This application turns on whether the issue raises a reasonably arguable case of substance. In my view, given the well developed case law in this area, it does not meet this threshold.</w:t>
      </w:r>
    </w:p>
    <w:p w14:paraId="78F358EF" w14:textId="77777777" w:rsidR="00426AB8" w:rsidRDefault="00426AB8" w:rsidP="00426AB8">
      <w:pPr>
        <w:pStyle w:val="FelskyNumbering12"/>
        <w:numPr>
          <w:ilvl w:val="0"/>
          <w:numId w:val="1"/>
        </w:numPr>
        <w:ind w:left="0"/>
        <w:rPr>
          <w:rFonts w:cs="Times New Roman"/>
        </w:rPr>
      </w:pPr>
      <w:r>
        <w:rPr>
          <w:rFonts w:cs="Times New Roman"/>
        </w:rPr>
        <w:t xml:space="preserve">First, with respect to </w:t>
      </w:r>
      <w:r w:rsidRPr="003D4AB2">
        <w:rPr>
          <w:rFonts w:cs="Times New Roman"/>
          <w:i/>
          <w:iCs/>
        </w:rPr>
        <w:t>Friesen</w:t>
      </w:r>
      <w:r>
        <w:rPr>
          <w:rFonts w:cs="Times New Roman"/>
        </w:rPr>
        <w:t xml:space="preserve">, both the sentencing judge and the summary conviction appeal judge considered it and, in my view, does not affect their conclusion that the mandatory minimum is grossly disproportionate to the fit sentence. </w:t>
      </w:r>
      <w:r w:rsidRPr="002B0933">
        <w:rPr>
          <w:rFonts w:cs="Times New Roman"/>
          <w:i/>
          <w:iCs/>
        </w:rPr>
        <w:t>Friesen</w:t>
      </w:r>
      <w:r>
        <w:rPr>
          <w:rFonts w:cs="Times New Roman"/>
        </w:rPr>
        <w:t xml:space="preserve"> stated at para 107 that sentencing ranges for sexual crimes against children may need to increase in some provinces. At the sentencing hearing and the summary conviction appeal, the Crown argued that </w:t>
      </w:r>
      <w:r w:rsidRPr="00530552">
        <w:rPr>
          <w:rFonts w:cs="Times New Roman"/>
          <w:i/>
          <w:iCs/>
        </w:rPr>
        <w:t>Friesen</w:t>
      </w:r>
      <w:r>
        <w:rPr>
          <w:rFonts w:cs="Times New Roman"/>
        </w:rPr>
        <w:t xml:space="preserve"> implies that a one day custodial sentence for this offence was demonstrably unfit. Those arguments were rejected: </w:t>
      </w:r>
      <w:r w:rsidRPr="00080749">
        <w:rPr>
          <w:rFonts w:cs="Times New Roman"/>
          <w:i/>
          <w:iCs/>
        </w:rPr>
        <w:t>Sentencing Decision</w:t>
      </w:r>
      <w:r>
        <w:rPr>
          <w:rFonts w:cs="Times New Roman"/>
        </w:rPr>
        <w:t xml:space="preserve"> at paras 19-20; </w:t>
      </w:r>
      <w:r w:rsidRPr="00080749">
        <w:rPr>
          <w:rFonts w:cs="Times New Roman"/>
          <w:i/>
          <w:iCs/>
        </w:rPr>
        <w:t>Summary Conviction Appeal Decision</w:t>
      </w:r>
      <w:r>
        <w:rPr>
          <w:rFonts w:cs="Times New Roman"/>
          <w:i/>
          <w:iCs/>
        </w:rPr>
        <w:t xml:space="preserve"> </w:t>
      </w:r>
      <w:r>
        <w:rPr>
          <w:rFonts w:cs="Times New Roman"/>
        </w:rPr>
        <w:t xml:space="preserve">at paras 30-32. If given leave for a further appeal, the Crown does not intend to repeat those arguments. Rather, it will argue that </w:t>
      </w:r>
      <w:r w:rsidRPr="00D20558">
        <w:rPr>
          <w:rFonts w:cs="Times New Roman"/>
          <w:i/>
          <w:iCs/>
        </w:rPr>
        <w:t>Friesen</w:t>
      </w:r>
      <w:r>
        <w:rPr>
          <w:rFonts w:cs="Times New Roman"/>
        </w:rPr>
        <w:t xml:space="preserve"> somehow suggests that 90 day custodial sentence is not grossly disproportionate to a one day custodial sentence. However, </w:t>
      </w:r>
      <w:r w:rsidRPr="00904CFE">
        <w:rPr>
          <w:rFonts w:cs="Times New Roman"/>
          <w:i/>
          <w:iCs/>
        </w:rPr>
        <w:t>Friesen</w:t>
      </w:r>
      <w:r>
        <w:rPr>
          <w:rFonts w:cs="Times New Roman"/>
        </w:rPr>
        <w:t xml:space="preserve"> did not address gross disproportionality under s 12 of the </w:t>
      </w:r>
      <w:r w:rsidRPr="004D0F87">
        <w:rPr>
          <w:rFonts w:cs="Times New Roman"/>
          <w:i/>
          <w:iCs/>
        </w:rPr>
        <w:t>Charter</w:t>
      </w:r>
      <w:r>
        <w:rPr>
          <w:rFonts w:cs="Times New Roman"/>
        </w:rPr>
        <w:t>, nor how to determine whether a mandatory minimum is grossly disproportionate, and it provides no support for the Crown’s argument.</w:t>
      </w:r>
    </w:p>
    <w:p w14:paraId="2AA7D28B" w14:textId="77777777" w:rsidR="00426AB8" w:rsidRDefault="00426AB8" w:rsidP="00426AB8">
      <w:pPr>
        <w:pStyle w:val="FelskyNumbering12"/>
        <w:numPr>
          <w:ilvl w:val="0"/>
          <w:numId w:val="1"/>
        </w:numPr>
        <w:ind w:left="0"/>
        <w:rPr>
          <w:rFonts w:cs="Times New Roman"/>
        </w:rPr>
      </w:pPr>
      <w:r>
        <w:rPr>
          <w:rFonts w:cs="Times New Roman"/>
        </w:rPr>
        <w:t xml:space="preserve">The Crown also argues that the recent decision in </w:t>
      </w:r>
      <w:r w:rsidRPr="00D96E93">
        <w:rPr>
          <w:rFonts w:cs="Times New Roman"/>
          <w:i/>
          <w:iCs/>
        </w:rPr>
        <w:t>Hills</w:t>
      </w:r>
      <w:r>
        <w:rPr>
          <w:rFonts w:cs="Times New Roman"/>
        </w:rPr>
        <w:t xml:space="preserve"> changes the analysis, and it is arguable that after </w:t>
      </w:r>
      <w:r w:rsidRPr="00DC771B">
        <w:rPr>
          <w:rFonts w:cs="Times New Roman"/>
          <w:i/>
          <w:iCs/>
        </w:rPr>
        <w:t>Hills</w:t>
      </w:r>
      <w:r>
        <w:rPr>
          <w:rFonts w:cs="Times New Roman"/>
        </w:rPr>
        <w:t xml:space="preserve">, a court might not find the mandatory minimum to be grossly disproportionate. It does not appear that the issue of gross disproportionality was argued fully in the court below, and the decision in </w:t>
      </w:r>
      <w:r w:rsidRPr="00D96E93">
        <w:rPr>
          <w:rFonts w:cs="Times New Roman"/>
          <w:i/>
          <w:iCs/>
        </w:rPr>
        <w:t>Hills</w:t>
      </w:r>
      <w:r>
        <w:rPr>
          <w:rFonts w:cs="Times New Roman"/>
        </w:rPr>
        <w:t xml:space="preserve"> would not have been available.</w:t>
      </w:r>
    </w:p>
    <w:p w14:paraId="0344F2F2" w14:textId="77777777" w:rsidR="00426AB8" w:rsidRPr="00624009" w:rsidRDefault="00426AB8" w:rsidP="00426AB8">
      <w:pPr>
        <w:pStyle w:val="FelskyNumbering12"/>
        <w:numPr>
          <w:ilvl w:val="0"/>
          <w:numId w:val="1"/>
        </w:numPr>
        <w:ind w:left="0"/>
        <w:rPr>
          <w:rFonts w:cs="Times New Roman"/>
        </w:rPr>
      </w:pPr>
      <w:r w:rsidRPr="000B3B56">
        <w:rPr>
          <w:rFonts w:cs="Times New Roman"/>
          <w:i/>
          <w:iCs/>
        </w:rPr>
        <w:t>Hills</w:t>
      </w:r>
      <w:r>
        <w:rPr>
          <w:rFonts w:cs="Times New Roman"/>
        </w:rPr>
        <w:t xml:space="preserve"> does not change the law in this area; it reaffirms the Supreme Court’s analytical approach to s 12: </w:t>
      </w:r>
      <w:r w:rsidRPr="0076180B">
        <w:rPr>
          <w:rFonts w:cs="Times New Roman"/>
          <w:i/>
          <w:iCs/>
        </w:rPr>
        <w:t>Hills</w:t>
      </w:r>
      <w:r>
        <w:rPr>
          <w:rFonts w:cs="Times New Roman"/>
        </w:rPr>
        <w:t xml:space="preserve"> para 3. It does offer some nuance in assessing whether a mandatory minimum is grossly disproportionate to a fit sentence in a reasonably foreseeable scenario. But those nuances are not material to the proposed appeal since the courts below held the mandatory minimum breached s 12 because it was grossly disproportionate for the </w:t>
      </w:r>
      <w:r w:rsidRPr="008B2AA0">
        <w:rPr>
          <w:rFonts w:cs="Times New Roman"/>
          <w:i/>
          <w:iCs/>
        </w:rPr>
        <w:t>actual</w:t>
      </w:r>
      <w:r>
        <w:rPr>
          <w:rFonts w:cs="Times New Roman"/>
        </w:rPr>
        <w:t xml:space="preserve"> respondent, not a hypothetical one. </w:t>
      </w:r>
      <w:r w:rsidRPr="00624009">
        <w:rPr>
          <w:rFonts w:cs="Times New Roman"/>
        </w:rPr>
        <w:t>On gross disproportionality, which is the only issue for which leave is sought,</w:t>
      </w:r>
      <w:r w:rsidRPr="00624009">
        <w:rPr>
          <w:rFonts w:cs="Times New Roman"/>
          <w:i/>
          <w:iCs/>
        </w:rPr>
        <w:t xml:space="preserve"> Hills</w:t>
      </w:r>
      <w:r w:rsidRPr="00624009">
        <w:rPr>
          <w:rFonts w:cs="Times New Roman"/>
        </w:rPr>
        <w:t xml:space="preserve"> reemphasizes that </w:t>
      </w:r>
      <w:r>
        <w:rPr>
          <w:rFonts w:cs="Times New Roman"/>
        </w:rPr>
        <w:t>courts must consider</w:t>
      </w:r>
      <w:r w:rsidRPr="00624009">
        <w:rPr>
          <w:rFonts w:cs="Times New Roman"/>
        </w:rPr>
        <w:t xml:space="preserve"> the </w:t>
      </w:r>
      <w:r w:rsidRPr="00624009">
        <w:rPr>
          <w:rFonts w:cs="Times New Roman"/>
          <w:i/>
          <w:iCs/>
        </w:rPr>
        <w:t>effects</w:t>
      </w:r>
      <w:r w:rsidRPr="00624009">
        <w:rPr>
          <w:rFonts w:cs="Times New Roman"/>
        </w:rPr>
        <w:t xml:space="preserve"> of the mandatory minimum sentence on the </w:t>
      </w:r>
      <w:r>
        <w:rPr>
          <w:rFonts w:cs="Times New Roman"/>
        </w:rPr>
        <w:t xml:space="preserve">offender compared with the </w:t>
      </w:r>
      <w:r w:rsidRPr="006E2E21">
        <w:rPr>
          <w:rFonts w:cs="Times New Roman"/>
          <w:i/>
          <w:iCs/>
        </w:rPr>
        <w:t>effects</w:t>
      </w:r>
      <w:r>
        <w:rPr>
          <w:rFonts w:cs="Times New Roman"/>
        </w:rPr>
        <w:t xml:space="preserve"> of the fit sentence</w:t>
      </w:r>
      <w:r w:rsidRPr="00624009">
        <w:rPr>
          <w:rFonts w:cs="Times New Roman"/>
        </w:rPr>
        <w:t xml:space="preserve">. </w:t>
      </w:r>
      <w:r>
        <w:rPr>
          <w:rFonts w:cs="Times New Roman"/>
        </w:rPr>
        <w:t xml:space="preserve">In assessing gross disproportionality, </w:t>
      </w:r>
      <w:r w:rsidRPr="00624009">
        <w:rPr>
          <w:rFonts w:cs="Times New Roman"/>
        </w:rPr>
        <w:t>three questions should be addressed: the scope and reach of the offence</w:t>
      </w:r>
      <w:r>
        <w:rPr>
          <w:rFonts w:cs="Times New Roman"/>
        </w:rPr>
        <w:t>,</w:t>
      </w:r>
      <w:r w:rsidRPr="00624009">
        <w:rPr>
          <w:rFonts w:cs="Times New Roman"/>
        </w:rPr>
        <w:t xml:space="preserve"> the effects of the </w:t>
      </w:r>
      <w:r>
        <w:rPr>
          <w:rFonts w:cs="Times New Roman"/>
        </w:rPr>
        <w:t xml:space="preserve">mandatory </w:t>
      </w:r>
      <w:r w:rsidRPr="00624009">
        <w:rPr>
          <w:rFonts w:cs="Times New Roman"/>
        </w:rPr>
        <w:t>penalty o</w:t>
      </w:r>
      <w:r>
        <w:rPr>
          <w:rFonts w:cs="Times New Roman"/>
        </w:rPr>
        <w:t>n</w:t>
      </w:r>
      <w:r w:rsidRPr="00624009">
        <w:rPr>
          <w:rFonts w:cs="Times New Roman"/>
        </w:rPr>
        <w:t xml:space="preserve"> the offender</w:t>
      </w:r>
      <w:r>
        <w:rPr>
          <w:rFonts w:cs="Times New Roman"/>
        </w:rPr>
        <w:t>,</w:t>
      </w:r>
      <w:r w:rsidRPr="00624009">
        <w:rPr>
          <w:rFonts w:cs="Times New Roman"/>
        </w:rPr>
        <w:t xml:space="preserve"> and the objectives of the penalty. </w:t>
      </w:r>
    </w:p>
    <w:p w14:paraId="0728D63B" w14:textId="77777777" w:rsidR="00426AB8" w:rsidRPr="005621BE" w:rsidRDefault="00426AB8" w:rsidP="00426AB8">
      <w:pPr>
        <w:pStyle w:val="FelskyNumbering12"/>
        <w:numPr>
          <w:ilvl w:val="0"/>
          <w:numId w:val="1"/>
        </w:numPr>
        <w:ind w:left="0"/>
        <w:rPr>
          <w:rFonts w:cs="Times New Roman"/>
        </w:rPr>
      </w:pPr>
      <w:r w:rsidRPr="00B9623D">
        <w:rPr>
          <w:rFonts w:cs="Times New Roman"/>
        </w:rPr>
        <w:t xml:space="preserve">First is consideration of the scope and reach of the offence. </w:t>
      </w:r>
      <w:r>
        <w:rPr>
          <w:rFonts w:cs="Times New Roman"/>
        </w:rPr>
        <w:t>Any offences</w:t>
      </w:r>
      <w:r w:rsidRPr="00B9623D">
        <w:rPr>
          <w:rFonts w:cs="Times New Roman"/>
        </w:rPr>
        <w:t xml:space="preserve"> that can be committed in many ways and under many different circumstances by a wide range of people are constitutionally vulnerable: </w:t>
      </w:r>
      <w:r w:rsidRPr="00B9623D">
        <w:rPr>
          <w:rFonts w:cs="Times New Roman"/>
          <w:i/>
          <w:iCs/>
        </w:rPr>
        <w:t>Hills</w:t>
      </w:r>
      <w:r w:rsidRPr="00B9623D">
        <w:rPr>
          <w:rFonts w:cs="Times New Roman"/>
        </w:rPr>
        <w:t xml:space="preserve"> at para 125. It has been repeatedly recognized that sexual interference is the kind of offence that casts a wide net over offenders, victims and circumstances which make</w:t>
      </w:r>
      <w:r>
        <w:rPr>
          <w:rFonts w:cs="Times New Roman"/>
        </w:rPr>
        <w:t>s</w:t>
      </w:r>
      <w:r w:rsidRPr="00B9623D">
        <w:rPr>
          <w:rFonts w:cs="Times New Roman"/>
        </w:rPr>
        <w:t xml:space="preserve"> </w:t>
      </w:r>
      <w:r>
        <w:rPr>
          <w:rFonts w:cs="Times New Roman"/>
        </w:rPr>
        <w:t>the mandatory minimum sentence</w:t>
      </w:r>
      <w:r w:rsidRPr="00B9623D">
        <w:rPr>
          <w:rFonts w:cs="Times New Roman"/>
        </w:rPr>
        <w:t xml:space="preserve"> constitutionally vulnerable: </w:t>
      </w:r>
      <w:r w:rsidRPr="00B9623D">
        <w:rPr>
          <w:rFonts w:cs="Times New Roman"/>
          <w:i/>
          <w:iCs/>
        </w:rPr>
        <w:t>R v Ford</w:t>
      </w:r>
      <w:r w:rsidRPr="00B9623D">
        <w:rPr>
          <w:rFonts w:cs="Times New Roman"/>
        </w:rPr>
        <w:t xml:space="preserve">, 2019 ABCA 87 at para 10; </w:t>
      </w:r>
      <w:r w:rsidRPr="00B9623D">
        <w:rPr>
          <w:rFonts w:cs="Times New Roman"/>
          <w:i/>
          <w:iCs/>
          <w:color w:val="212529"/>
        </w:rPr>
        <w:t>R v Drumonde</w:t>
      </w:r>
      <w:r w:rsidRPr="00B9623D">
        <w:rPr>
          <w:rFonts w:cs="Times New Roman"/>
          <w:color w:val="212529"/>
        </w:rPr>
        <w:t>, 2019 ONSC 1005</w:t>
      </w:r>
      <w:r>
        <w:rPr>
          <w:rFonts w:cs="Times New Roman"/>
          <w:color w:val="212529"/>
        </w:rPr>
        <w:t xml:space="preserve"> at para 46</w:t>
      </w:r>
      <w:r w:rsidRPr="00B9623D">
        <w:rPr>
          <w:rFonts w:cs="Times New Roman"/>
          <w:color w:val="212529"/>
        </w:rPr>
        <w:t xml:space="preserve">; </w:t>
      </w:r>
      <w:r w:rsidRPr="00B9623D">
        <w:rPr>
          <w:rFonts w:cs="Times New Roman"/>
          <w:i/>
          <w:iCs/>
          <w:color w:val="212529"/>
        </w:rPr>
        <w:t>R v Pye</w:t>
      </w:r>
      <w:r w:rsidRPr="00B9623D">
        <w:rPr>
          <w:rFonts w:cs="Times New Roman"/>
          <w:color w:val="212529"/>
        </w:rPr>
        <w:t>, 2019 YKTC 2</w:t>
      </w:r>
      <w:r>
        <w:rPr>
          <w:rFonts w:cs="Times New Roman"/>
          <w:color w:val="212529"/>
        </w:rPr>
        <w:t xml:space="preserve">1 at para 74;   </w:t>
      </w:r>
      <w:r w:rsidRPr="00B9623D">
        <w:rPr>
          <w:rFonts w:cs="Times New Roman"/>
          <w:i/>
          <w:iCs/>
          <w:color w:val="212529"/>
        </w:rPr>
        <w:t>R v CBA</w:t>
      </w:r>
      <w:r w:rsidRPr="00B9623D">
        <w:rPr>
          <w:rFonts w:cs="Times New Roman"/>
          <w:color w:val="212529"/>
        </w:rPr>
        <w:t>, 2021 BCSC 2107</w:t>
      </w:r>
      <w:r>
        <w:rPr>
          <w:rFonts w:cs="Times New Roman"/>
          <w:color w:val="212529"/>
        </w:rPr>
        <w:t xml:space="preserve"> at paras 23-24, 34; </w:t>
      </w:r>
      <w:r w:rsidRPr="005621BE">
        <w:rPr>
          <w:rFonts w:cs="Times New Roman"/>
          <w:i/>
          <w:iCs/>
          <w:color w:val="212529"/>
        </w:rPr>
        <w:t>Sentencing Decision</w:t>
      </w:r>
      <w:r w:rsidRPr="005621BE">
        <w:rPr>
          <w:rFonts w:cs="Times New Roman"/>
          <w:color w:val="212529"/>
        </w:rPr>
        <w:t xml:space="preserve"> at para 41. The circumstances of this case are a perfect illustration of why. The conduct, a brief hug and touch of the complainant’s buttocks, is among the least serious instances of sexual interference, which can cover very grave violations of sexual integrity of victims and devastating exploitations of their vulnerability. The 90 day minimum sentence would apply nevertheless.</w:t>
      </w:r>
    </w:p>
    <w:p w14:paraId="44AF3E46" w14:textId="093B10EE" w:rsidR="00426AB8" w:rsidRPr="00DD3854" w:rsidRDefault="00426AB8" w:rsidP="004C2D51">
      <w:pPr>
        <w:pStyle w:val="FelskyNumbering12"/>
        <w:numPr>
          <w:ilvl w:val="0"/>
          <w:numId w:val="0"/>
        </w:numPr>
        <w:spacing w:before="180" w:after="180"/>
      </w:pPr>
      <w:r w:rsidRPr="005A0102">
        <w:t xml:space="preserve">Second, a court must consider the effects of the mandatory penalty, 90 days imprisonment, on the offender as compared with </w:t>
      </w:r>
      <w:r w:rsidRPr="000B6FD1">
        <w:t>the</w:t>
      </w:r>
      <w:r w:rsidRPr="005A0102">
        <w:t xml:space="preserve"> effects of the fit sentence: </w:t>
      </w:r>
      <w:r w:rsidRPr="00253BF6">
        <w:rPr>
          <w:i/>
          <w:iCs/>
        </w:rPr>
        <w:t>Hills</w:t>
      </w:r>
      <w:r w:rsidRPr="005A0102">
        <w:t xml:space="preserve"> at paras 35, 38. It has been repeatedly recognized that imprisonment is the harshest form of punishment, whose ripple effects on the offender and his community cannot be underestimated: </w:t>
      </w:r>
      <w:r w:rsidRPr="00253BF6">
        <w:rPr>
          <w:i/>
          <w:iCs/>
        </w:rPr>
        <w:t>Hills</w:t>
      </w:r>
      <w:r w:rsidRPr="005A0102">
        <w:t xml:space="preserve"> </w:t>
      </w:r>
      <w:r>
        <w:t xml:space="preserve">at </w:t>
      </w:r>
      <w:r w:rsidRPr="005A0102">
        <w:t xml:space="preserve">para 101. It is the penal sanction of last resort: </w:t>
      </w:r>
      <w:r w:rsidRPr="00253BF6">
        <w:rPr>
          <w:i/>
          <w:iCs/>
        </w:rPr>
        <w:t>Hills</w:t>
      </w:r>
      <w:r w:rsidRPr="005A0102">
        <w:t xml:space="preserve"> at para 31. </w:t>
      </w:r>
      <w:r>
        <w:t>Given those truths about incarceration, it is very difficult to understand how a mandatory minimum custodial sentence that is 90 times higher than a fit (one-day) custodial sentence is not grossly disproportionate. The Crown provided no argument about this. Of course, numbers alone aren’t determinative – effects matter. The respondent would spend up to 90 days imprisoned, with the loss of liberty that involves. He i</w:t>
      </w:r>
      <w:r w:rsidRPr="005A0102">
        <w:t xml:space="preserve">s a young Indigenous man with a substance abuse problem but no criminal record at the time of sentencing. The criminal charge and conviction were a wake up call: the respondent attended residential treatment successfully and was continuing with counselling. He had taken steps to re-establish himself in the community and with his family. To incarcerate </w:t>
      </w:r>
      <w:r>
        <w:t>the respondent</w:t>
      </w:r>
      <w:r w:rsidRPr="005A0102">
        <w:t xml:space="preserve"> for up to </w:t>
      </w:r>
      <w:r>
        <w:t xml:space="preserve">90 </w:t>
      </w:r>
      <w:r w:rsidRPr="005A0102">
        <w:t xml:space="preserve">days would </w:t>
      </w:r>
      <w:r>
        <w:t xml:space="preserve">risk </w:t>
      </w:r>
      <w:r w:rsidRPr="005A0102">
        <w:t>undo</w:t>
      </w:r>
      <w:r>
        <w:t>ing</w:t>
      </w:r>
      <w:r w:rsidRPr="005A0102">
        <w:t xml:space="preserve"> </w:t>
      </w:r>
      <w:r>
        <w:t xml:space="preserve">the successful steps he has taken towards re-integrating himself with his family and his community </w:t>
      </w:r>
      <w:r w:rsidRPr="005A0102">
        <w:t xml:space="preserve">and </w:t>
      </w:r>
      <w:r>
        <w:t>would be</w:t>
      </w:r>
      <w:r w:rsidRPr="005A0102">
        <w:t xml:space="preserve"> potentially devastating</w:t>
      </w:r>
      <w:r>
        <w:t>. While not directly applicable to this stage of the analysis, it is also not clear to me how the Crown’s position addresses the over incarceration of Indigenous people in Canada.</w:t>
      </w:r>
    </w:p>
    <w:p w14:paraId="11F4CDAD" w14:textId="77777777" w:rsidR="00426AB8" w:rsidRPr="00BD30EB" w:rsidRDefault="00426AB8" w:rsidP="00426AB8">
      <w:pPr>
        <w:pStyle w:val="FelskyNumbering12"/>
        <w:numPr>
          <w:ilvl w:val="0"/>
          <w:numId w:val="1"/>
        </w:numPr>
        <w:ind w:left="0"/>
        <w:rPr>
          <w:rFonts w:cs="Times New Roman"/>
        </w:rPr>
      </w:pPr>
      <w:r>
        <w:rPr>
          <w:rFonts w:cs="Times New Roman"/>
          <w:color w:val="212529"/>
        </w:rPr>
        <w:t>Third, it is necessary to consider the primary objectives of the mandatory sentence, which in this case are denunciation and deterrence. A mandatory minimum sentence can be grossly disproportionate if it gives no recognition to other objectives such as rehabilitation</w:t>
      </w:r>
      <w:r w:rsidRPr="00BD30EB">
        <w:rPr>
          <w:rFonts w:cs="Times New Roman"/>
          <w:color w:val="212529"/>
        </w:rPr>
        <w:t xml:space="preserve">: </w:t>
      </w:r>
      <w:r w:rsidRPr="00BD30EB">
        <w:rPr>
          <w:rFonts w:cs="Times New Roman"/>
          <w:i/>
          <w:iCs/>
          <w:color w:val="212529"/>
        </w:rPr>
        <w:t>Hills</w:t>
      </w:r>
      <w:r w:rsidRPr="00BD30EB">
        <w:rPr>
          <w:rFonts w:cs="Times New Roman"/>
          <w:color w:val="212529"/>
        </w:rPr>
        <w:t xml:space="preserve"> at para</w:t>
      </w:r>
      <w:r>
        <w:rPr>
          <w:rFonts w:cs="Times New Roman"/>
          <w:color w:val="212529"/>
        </w:rPr>
        <w:t xml:space="preserve">s </w:t>
      </w:r>
      <w:r w:rsidRPr="00BD30EB">
        <w:rPr>
          <w:rFonts w:cs="Times New Roman"/>
          <w:color w:val="212529"/>
        </w:rPr>
        <w:t xml:space="preserve">140-144. </w:t>
      </w:r>
      <w:r>
        <w:rPr>
          <w:rFonts w:cs="Times New Roman"/>
          <w:color w:val="212529"/>
        </w:rPr>
        <w:t xml:space="preserve">The </w:t>
      </w:r>
      <w:r w:rsidRPr="00BD30EB">
        <w:rPr>
          <w:rFonts w:cs="Times New Roman"/>
          <w:color w:val="212529"/>
        </w:rPr>
        <w:t>courts below considered rehabilitation b</w:t>
      </w:r>
      <w:r>
        <w:rPr>
          <w:rFonts w:cs="Times New Roman"/>
          <w:color w:val="212529"/>
        </w:rPr>
        <w:t xml:space="preserve">ased on the fact that the respondent </w:t>
      </w:r>
      <w:r w:rsidRPr="00BD30EB">
        <w:rPr>
          <w:rFonts w:cs="Times New Roman"/>
          <w:color w:val="212529"/>
        </w:rPr>
        <w:t>addressed the underlying addiction</w:t>
      </w:r>
      <w:r>
        <w:rPr>
          <w:rFonts w:cs="Times New Roman"/>
          <w:color w:val="212529"/>
        </w:rPr>
        <w:t xml:space="preserve"> and found that the 90 day minimum risked undermining his successful steps toward rehabilitation</w:t>
      </w:r>
      <w:r w:rsidRPr="00BD30EB">
        <w:rPr>
          <w:rFonts w:cs="Times New Roman"/>
          <w:color w:val="212529"/>
        </w:rPr>
        <w:t xml:space="preserve">. Denunciation and deterrence </w:t>
      </w:r>
      <w:r>
        <w:rPr>
          <w:rFonts w:cs="Times New Roman"/>
          <w:color w:val="212529"/>
        </w:rPr>
        <w:t>could be</w:t>
      </w:r>
      <w:r w:rsidRPr="00BD30EB">
        <w:rPr>
          <w:rFonts w:cs="Times New Roman"/>
          <w:color w:val="212529"/>
        </w:rPr>
        <w:t xml:space="preserve"> achieved through the conviction </w:t>
      </w:r>
      <w:r>
        <w:rPr>
          <w:rFonts w:cs="Times New Roman"/>
          <w:color w:val="212529"/>
        </w:rPr>
        <w:t xml:space="preserve">and </w:t>
      </w:r>
      <w:r w:rsidRPr="00BD30EB">
        <w:rPr>
          <w:rFonts w:cs="Times New Roman"/>
          <w:color w:val="212529"/>
        </w:rPr>
        <w:t xml:space="preserve">the </w:t>
      </w:r>
      <w:r w:rsidRPr="00DA5E67">
        <w:rPr>
          <w:rFonts w:cs="Times New Roman"/>
          <w:color w:val="212529"/>
        </w:rPr>
        <w:t>period of probation</w:t>
      </w:r>
      <w:r>
        <w:rPr>
          <w:rFonts w:cs="Times New Roman"/>
          <w:color w:val="212529"/>
        </w:rPr>
        <w:t>.</w:t>
      </w:r>
    </w:p>
    <w:p w14:paraId="7783309F" w14:textId="77777777" w:rsidR="00426AB8" w:rsidRDefault="00426AB8" w:rsidP="00426AB8">
      <w:pPr>
        <w:pStyle w:val="FelskyNumbering12"/>
        <w:numPr>
          <w:ilvl w:val="0"/>
          <w:numId w:val="1"/>
        </w:numPr>
        <w:ind w:left="0"/>
        <w:rPr>
          <w:rFonts w:cs="Times New Roman"/>
        </w:rPr>
      </w:pPr>
      <w:r>
        <w:rPr>
          <w:rFonts w:cs="Times New Roman"/>
        </w:rPr>
        <w:t xml:space="preserve">This case illustrates one of the problems with mandatory minimum sentences - they shift the focus from the offender during sentencing in a way that can show “complete disregard” for the principle of proportionality: </w:t>
      </w:r>
      <w:r w:rsidRPr="002777DB">
        <w:rPr>
          <w:rFonts w:cs="Times New Roman"/>
          <w:i/>
          <w:iCs/>
        </w:rPr>
        <w:t>Hills</w:t>
      </w:r>
      <w:r>
        <w:rPr>
          <w:rFonts w:cs="Times New Roman"/>
        </w:rPr>
        <w:t xml:space="preserve"> at para 38. </w:t>
      </w:r>
    </w:p>
    <w:p w14:paraId="7EED4E9A" w14:textId="77777777" w:rsidR="00426AB8" w:rsidRPr="004007C6" w:rsidRDefault="00426AB8" w:rsidP="00426AB8">
      <w:pPr>
        <w:pStyle w:val="FelskyNumbering12"/>
        <w:numPr>
          <w:ilvl w:val="0"/>
          <w:numId w:val="1"/>
        </w:numPr>
        <w:ind w:left="0"/>
        <w:rPr>
          <w:rFonts w:cs="Times New Roman"/>
        </w:rPr>
      </w:pPr>
      <w:r>
        <w:t xml:space="preserve">Several courts that have considered the mandatory minimum sentence in s 151(b) for sexual interference </w:t>
      </w:r>
      <w:r w:rsidRPr="000F4ADC">
        <w:t>ha</w:t>
      </w:r>
      <w:r>
        <w:t>ve</w:t>
      </w:r>
      <w:r w:rsidRPr="000F4ADC">
        <w:t xml:space="preserve"> found it to be unconstitutional: </w:t>
      </w:r>
      <w:r>
        <w:t xml:space="preserve">see for instance, </w:t>
      </w:r>
      <w:r w:rsidRPr="000F4ADC">
        <w:rPr>
          <w:rFonts w:cs="Times New Roman"/>
          <w:i/>
          <w:iCs/>
          <w:color w:val="212529"/>
        </w:rPr>
        <w:t>Drumonde</w:t>
      </w:r>
      <w:r>
        <w:rPr>
          <w:rFonts w:cs="Times New Roman"/>
          <w:color w:val="212529"/>
        </w:rPr>
        <w:t xml:space="preserve">, </w:t>
      </w:r>
      <w:r w:rsidRPr="000F4ADC">
        <w:rPr>
          <w:rFonts w:cs="Times New Roman"/>
          <w:i/>
          <w:iCs/>
          <w:color w:val="212529"/>
        </w:rPr>
        <w:t>Pye</w:t>
      </w:r>
      <w:r>
        <w:rPr>
          <w:rFonts w:cs="Times New Roman"/>
          <w:i/>
          <w:iCs/>
          <w:color w:val="212529"/>
        </w:rPr>
        <w:t xml:space="preserve"> </w:t>
      </w:r>
      <w:r>
        <w:rPr>
          <w:rFonts w:cs="Times New Roman"/>
          <w:color w:val="212529"/>
        </w:rPr>
        <w:t>and</w:t>
      </w:r>
      <w:r>
        <w:rPr>
          <w:rFonts w:cs="Times New Roman"/>
          <w:i/>
          <w:iCs/>
          <w:color w:val="212529"/>
        </w:rPr>
        <w:t xml:space="preserve"> </w:t>
      </w:r>
      <w:r w:rsidRPr="000F4ADC">
        <w:rPr>
          <w:rFonts w:cs="Times New Roman"/>
          <w:i/>
          <w:iCs/>
          <w:color w:val="212529"/>
        </w:rPr>
        <w:t>CBA</w:t>
      </w:r>
      <w:r w:rsidRPr="000F4ADC">
        <w:rPr>
          <w:rFonts w:cs="Times New Roman"/>
          <w:color w:val="212529"/>
        </w:rPr>
        <w:t xml:space="preserve">. </w:t>
      </w:r>
      <w:r>
        <w:rPr>
          <w:rFonts w:cs="Times New Roman"/>
          <w:color w:val="212529"/>
        </w:rPr>
        <w:t xml:space="preserve">Interestingly, in the context of finding the minimum one year sentence for sexual assault under s 271(a) of the </w:t>
      </w:r>
      <w:r w:rsidRPr="00177C3D">
        <w:rPr>
          <w:rFonts w:cs="Times New Roman"/>
          <w:i/>
          <w:iCs/>
          <w:color w:val="212529"/>
        </w:rPr>
        <w:t>Criminal Code</w:t>
      </w:r>
      <w:r>
        <w:rPr>
          <w:rFonts w:cs="Times New Roman"/>
          <w:i/>
          <w:iCs/>
          <w:color w:val="212529"/>
        </w:rPr>
        <w:t xml:space="preserve"> </w:t>
      </w:r>
      <w:r>
        <w:rPr>
          <w:rFonts w:cs="Times New Roman"/>
          <w:color w:val="212529"/>
        </w:rPr>
        <w:t xml:space="preserve">unconstitutional, where the Crown proceeds by indictment, Justice Charbonneau relied on a reasonable hypothetical that was eerily similar to the actual facts of this case: </w:t>
      </w:r>
      <w:r w:rsidRPr="004007C6">
        <w:rPr>
          <w:rFonts w:cs="Times New Roman"/>
          <w:i/>
          <w:iCs/>
          <w:color w:val="212529"/>
        </w:rPr>
        <w:t>R v Lafferty</w:t>
      </w:r>
      <w:r>
        <w:rPr>
          <w:rFonts w:cs="Times New Roman"/>
          <w:color w:val="212529"/>
        </w:rPr>
        <w:t>, 2020 NWTSC 4 at para 18.</w:t>
      </w:r>
    </w:p>
    <w:p w14:paraId="70ED5A1C" w14:textId="77777777" w:rsidR="00426AB8" w:rsidRPr="002B7227" w:rsidRDefault="00426AB8" w:rsidP="00426AB8">
      <w:pPr>
        <w:pStyle w:val="FelskyNumbering12"/>
        <w:numPr>
          <w:ilvl w:val="0"/>
          <w:numId w:val="1"/>
        </w:numPr>
        <w:ind w:left="0"/>
        <w:rPr>
          <w:rFonts w:cs="Times New Roman"/>
        </w:rPr>
      </w:pPr>
      <w:r>
        <w:rPr>
          <w:rFonts w:cs="Times New Roman"/>
          <w:color w:val="212529"/>
        </w:rPr>
        <w:t xml:space="preserve">The only case that the Crown can point to in support of its position </w:t>
      </w:r>
      <w:r w:rsidRPr="00942160">
        <w:rPr>
          <w:rFonts w:cs="Times New Roman"/>
          <w:color w:val="212529"/>
        </w:rPr>
        <w:t>that the 90 day minimum sentence is not grossly disproportionate</w:t>
      </w:r>
      <w:r>
        <w:rPr>
          <w:rFonts w:cs="Times New Roman"/>
          <w:color w:val="212529"/>
        </w:rPr>
        <w:t xml:space="preserve"> to a one day custodial sentence is </w:t>
      </w:r>
      <w:r w:rsidRPr="002B7227">
        <w:rPr>
          <w:rFonts w:cs="Times New Roman"/>
          <w:i/>
          <w:iCs/>
          <w:color w:val="212529"/>
        </w:rPr>
        <w:t>R v M-M</w:t>
      </w:r>
      <w:r w:rsidRPr="002B7227">
        <w:rPr>
          <w:rFonts w:cs="Times New Roman"/>
          <w:color w:val="212529"/>
        </w:rPr>
        <w:t>, 2022 ABQB 197</w:t>
      </w:r>
      <w:r>
        <w:rPr>
          <w:rFonts w:cs="Times New Roman"/>
          <w:color w:val="212529"/>
        </w:rPr>
        <w:t>.</w:t>
      </w:r>
      <w:r>
        <w:rPr>
          <w:rFonts w:cs="Times New Roman"/>
        </w:rPr>
        <w:t xml:space="preserve"> </w:t>
      </w:r>
      <w:r w:rsidRPr="002B7227">
        <w:rPr>
          <w:rFonts w:cs="Times New Roman"/>
          <w:color w:val="212529"/>
        </w:rPr>
        <w:t>The respondent submits it is distinguishable and, in any event, wrongly decided.</w:t>
      </w:r>
      <w:r w:rsidRPr="002B7227">
        <w:rPr>
          <w:rFonts w:cs="Times New Roman"/>
          <w:color w:val="212529"/>
          <w:sz w:val="21"/>
          <w:szCs w:val="21"/>
        </w:rPr>
        <w:t xml:space="preserve"> </w:t>
      </w:r>
      <w:r w:rsidRPr="00286AB8">
        <w:t xml:space="preserve">I agree that </w:t>
      </w:r>
      <w:r w:rsidRPr="002B7227">
        <w:rPr>
          <w:i/>
          <w:iCs/>
        </w:rPr>
        <w:t>M-M</w:t>
      </w:r>
      <w:r w:rsidRPr="00286AB8">
        <w:t xml:space="preserve"> </w:t>
      </w:r>
      <w:r w:rsidRPr="00B43DC7">
        <w:t>does</w:t>
      </w:r>
      <w:r w:rsidRPr="00286AB8">
        <w:t xml:space="preserve"> not assist the Crown</w:t>
      </w:r>
      <w:r>
        <w:t xml:space="preserve"> in this application</w:t>
      </w:r>
      <w:r w:rsidRPr="00286AB8">
        <w:t xml:space="preserve">. </w:t>
      </w:r>
    </w:p>
    <w:p w14:paraId="5CA6E13A" w14:textId="783E59BB" w:rsidR="00426AB8" w:rsidRDefault="00426AB8" w:rsidP="006179C7">
      <w:pPr>
        <w:pStyle w:val="FelskyNumbering12"/>
        <w:numPr>
          <w:ilvl w:val="0"/>
          <w:numId w:val="1"/>
        </w:numPr>
        <w:spacing w:before="120" w:after="120"/>
        <w:ind w:left="0"/>
      </w:pPr>
      <w:r w:rsidRPr="00286AB8">
        <w:t>First, an “important” factor</w:t>
      </w:r>
      <w:r>
        <w:t xml:space="preserve"> in </w:t>
      </w:r>
      <w:r w:rsidRPr="00AB1B24">
        <w:rPr>
          <w:i/>
          <w:iCs/>
        </w:rPr>
        <w:t>M-M</w:t>
      </w:r>
      <w:r>
        <w:t xml:space="preserve"> </w:t>
      </w:r>
      <w:r w:rsidRPr="00286AB8">
        <w:t xml:space="preserve">for upholding the constitutionality of the </w:t>
      </w:r>
      <w:r>
        <w:t xml:space="preserve">90 day </w:t>
      </w:r>
      <w:r w:rsidRPr="00286AB8">
        <w:t xml:space="preserve">mandatory minimum sentence was that it could be served intermittently. </w:t>
      </w:r>
      <w:r>
        <w:t>Without commenting on the correctness of this position, it is not a factor here. The respondent submits, and t</w:t>
      </w:r>
      <w:r w:rsidRPr="00286AB8">
        <w:t>he Crown concedes</w:t>
      </w:r>
      <w:r>
        <w:t>,</w:t>
      </w:r>
      <w:r w:rsidRPr="00286AB8">
        <w:t xml:space="preserve"> that in most cases, including this one, serving a sentence on an intermittent basis is not a realistic option in the Northwest Territories, and the Crown does not rely on this point. </w:t>
      </w:r>
      <w:r>
        <w:t xml:space="preserve">Second, </w:t>
      </w:r>
      <w:r w:rsidRPr="00AB1B24">
        <w:rPr>
          <w:i/>
          <w:iCs/>
        </w:rPr>
        <w:t>M-M</w:t>
      </w:r>
      <w:r w:rsidRPr="00286AB8">
        <w:t xml:space="preserve"> relies heavily</w:t>
      </w:r>
      <w:r>
        <w:t xml:space="preserve"> on</w:t>
      </w:r>
      <w:r w:rsidRPr="00286AB8">
        <w:t xml:space="preserve"> </w:t>
      </w:r>
      <w:r w:rsidRPr="00AB1B24">
        <w:rPr>
          <w:i/>
          <w:iCs/>
        </w:rPr>
        <w:t>Friesen</w:t>
      </w:r>
      <w:r w:rsidRPr="00286AB8">
        <w:t xml:space="preserve"> to support its conclusion</w:t>
      </w:r>
      <w:r>
        <w:t xml:space="preserve">. I agree that </w:t>
      </w:r>
      <w:r w:rsidRPr="009130BE">
        <w:t>pre-</w:t>
      </w:r>
      <w:r w:rsidRPr="00AB1B24">
        <w:rPr>
          <w:i/>
          <w:iCs/>
        </w:rPr>
        <w:t>Friesen</w:t>
      </w:r>
      <w:r>
        <w:t xml:space="preserve"> case law on sentencing for sexual interference has to be considered in light of </w:t>
      </w:r>
      <w:r w:rsidRPr="00AB1B24">
        <w:rPr>
          <w:i/>
          <w:iCs/>
        </w:rPr>
        <w:t>Friesen</w:t>
      </w:r>
      <w:r>
        <w:t xml:space="preserve">, but that does not automatically mean it is wrong or irrelevant. Further, while clearly sending a strong message that sexual offences against children are serious crimes and sentences in some provinces may need to increase, the Supreme Court of Canada did not do away with the primary principle of proportionality in crimes against children: </w:t>
      </w:r>
      <w:r w:rsidRPr="00AB1B24">
        <w:rPr>
          <w:i/>
          <w:iCs/>
        </w:rPr>
        <w:t>Friesen</w:t>
      </w:r>
      <w:r>
        <w:t xml:space="preserve"> at paras 5, 91. In addition, as already noted, </w:t>
      </w:r>
      <w:r w:rsidRPr="00AB1B24">
        <w:rPr>
          <w:i/>
          <w:iCs/>
        </w:rPr>
        <w:t>Friesen</w:t>
      </w:r>
      <w:r>
        <w:t xml:space="preserve"> impacts the analysis of what is a “fit” sentence, not gross disproportionality. </w:t>
      </w:r>
    </w:p>
    <w:p w14:paraId="091B4E0F" w14:textId="77777777" w:rsidR="00426AB8" w:rsidRDefault="00426AB8" w:rsidP="00426AB8">
      <w:pPr>
        <w:pStyle w:val="FelskyNumbering12"/>
        <w:numPr>
          <w:ilvl w:val="0"/>
          <w:numId w:val="1"/>
        </w:numPr>
        <w:spacing w:before="180" w:after="180"/>
        <w:ind w:left="0"/>
      </w:pPr>
      <w:r>
        <w:t xml:space="preserve">Third, </w:t>
      </w:r>
      <w:r w:rsidRPr="00B53110">
        <w:t xml:space="preserve">the fit sentence for the actual offender in </w:t>
      </w:r>
      <w:r w:rsidRPr="00B53110">
        <w:rPr>
          <w:i/>
          <w:iCs/>
        </w:rPr>
        <w:t>M-M</w:t>
      </w:r>
      <w:r w:rsidRPr="00B53110">
        <w:t xml:space="preserve"> was 15 months imprisonment. The Court in </w:t>
      </w:r>
      <w:r w:rsidRPr="00B53110">
        <w:rPr>
          <w:i/>
          <w:iCs/>
        </w:rPr>
        <w:t>M-M</w:t>
      </w:r>
      <w:r w:rsidRPr="00B53110">
        <w:t xml:space="preserve"> did not consider whether the 90 day minimum would be grossly disproportionate to a fit sentence of one day in custody, which is what the Crown proposes to argue if given leave in this case.</w:t>
      </w:r>
      <w:r>
        <w:t xml:space="preserve"> And lastly, </w:t>
      </w:r>
      <w:r w:rsidRPr="00B53110">
        <w:rPr>
          <w:i/>
          <w:iCs/>
        </w:rPr>
        <w:t>M-M</w:t>
      </w:r>
      <w:r>
        <w:t xml:space="preserve"> relies on the Alberta Court of Appeal decision in </w:t>
      </w:r>
      <w:r w:rsidRPr="00B53110">
        <w:rPr>
          <w:i/>
          <w:iCs/>
        </w:rPr>
        <w:t>Hills</w:t>
      </w:r>
      <w:r>
        <w:t>, which was clearly repudiated by the Supreme Court of Canada.</w:t>
      </w:r>
    </w:p>
    <w:p w14:paraId="778E3CB5" w14:textId="77777777" w:rsidR="00426AB8" w:rsidRDefault="00426AB8" w:rsidP="00426AB8">
      <w:pPr>
        <w:pStyle w:val="FelskyNumbering12"/>
        <w:numPr>
          <w:ilvl w:val="0"/>
          <w:numId w:val="1"/>
        </w:numPr>
        <w:spacing w:before="180" w:after="180"/>
        <w:ind w:left="0"/>
      </w:pPr>
      <w:r>
        <w:t xml:space="preserve">In conclusion, the Crown raises a </w:t>
      </w:r>
      <w:r w:rsidRPr="003D60B7">
        <w:t>question</w:t>
      </w:r>
      <w:r>
        <w:t xml:space="preserve"> of law that is sufficiently important to warrant a further appeal but I find that it is not reasonably arguable on this record. The courts below found that the mandatory 90 day custodial sentence is grossly disproportionate to the one day custodial sentence fit for this offender in the circumstances. The Crown has not outlined any reasonable argument that their conclusion is in error. Therefore, the Crown’s application for leave to appeal is denied.</w:t>
      </w:r>
    </w:p>
    <w:p w14:paraId="26BBF2DA" w14:textId="77777777" w:rsidR="00426AB8" w:rsidRDefault="00426AB8" w:rsidP="00426AB8">
      <w:pPr>
        <w:pStyle w:val="FelskyNumbering12"/>
        <w:numPr>
          <w:ilvl w:val="0"/>
          <w:numId w:val="0"/>
        </w:numPr>
        <w:rPr>
          <w:rFonts w:cs="Times New Roman"/>
          <w:color w:val="212529"/>
        </w:rPr>
      </w:pPr>
    </w:p>
    <w:p w14:paraId="13605BDB" w14:textId="77777777" w:rsidR="00426AB8" w:rsidRPr="009C2254" w:rsidRDefault="00426AB8" w:rsidP="00426AB8">
      <w:pPr>
        <w:pStyle w:val="FelskyNumbering12"/>
        <w:numPr>
          <w:ilvl w:val="0"/>
          <w:numId w:val="0"/>
        </w:numPr>
      </w:pPr>
      <w:r>
        <w:t>Application heard on June 28, 2023</w:t>
      </w:r>
    </w:p>
    <w:p w14:paraId="72B09F0C" w14:textId="77777777" w:rsidR="00426AB8" w:rsidRPr="009C2254" w:rsidRDefault="00426AB8" w:rsidP="00426AB8">
      <w:pPr>
        <w:ind w:left="0"/>
      </w:pPr>
      <w:bookmarkStart w:id="13" w:name="JudgmentFiled"/>
      <w:bookmarkEnd w:id="13"/>
      <w:r>
        <w:t>Reasons filed</w:t>
      </w:r>
      <w:r w:rsidRPr="009C2254">
        <w:t xml:space="preserve"> at </w:t>
      </w:r>
      <w:bookmarkStart w:id="14" w:name="FilingJudicialDistrict"/>
      <w:bookmarkEnd w:id="14"/>
      <w:r>
        <w:rPr>
          <w:rFonts w:eastAsia="PMingLiU"/>
        </w:rPr>
        <w:t>Yellowknife, NWT</w:t>
      </w:r>
    </w:p>
    <w:p w14:paraId="7CD27BED" w14:textId="77777777" w:rsidR="00426AB8" w:rsidRPr="00933249" w:rsidRDefault="00426AB8" w:rsidP="00426AB8">
      <w:pPr>
        <w:ind w:left="0"/>
        <w:rPr>
          <w:color w:val="000000"/>
        </w:rPr>
      </w:pPr>
      <w:r w:rsidRPr="009C2254">
        <w:t xml:space="preserve">this </w:t>
      </w:r>
      <w:bookmarkStart w:id="15" w:name="FilingDate"/>
      <w:bookmarkEnd w:id="15"/>
      <w:r>
        <w:t xml:space="preserve">2nd </w:t>
      </w:r>
      <w:r w:rsidRPr="00932F9A">
        <w:t>day of</w:t>
      </w:r>
      <w:r>
        <w:t xml:space="preserve"> August</w:t>
      </w:r>
      <w:r w:rsidRPr="00932F9A">
        <w:t>, 202</w:t>
      </w:r>
      <w:r>
        <w:t>3</w:t>
      </w:r>
    </w:p>
    <w:p w14:paraId="31E93AF2" w14:textId="77777777" w:rsidR="00426AB8" w:rsidRPr="009C2254" w:rsidRDefault="00426AB8" w:rsidP="00426AB8">
      <w:pPr>
        <w:ind w:left="0"/>
      </w:pPr>
    </w:p>
    <w:p w14:paraId="5B871587" w14:textId="77777777" w:rsidR="00426AB8" w:rsidRPr="009C2254" w:rsidRDefault="00426AB8" w:rsidP="00426AB8">
      <w:pPr>
        <w:ind w:left="0"/>
      </w:pPr>
    </w:p>
    <w:p w14:paraId="6851BE0C" w14:textId="77777777" w:rsidR="00426AB8" w:rsidRPr="009C2254" w:rsidRDefault="00426AB8" w:rsidP="00426AB8">
      <w:pPr>
        <w:ind w:left="0"/>
      </w:pPr>
    </w:p>
    <w:p w14:paraId="22F4C2AE" w14:textId="77777777" w:rsidR="00426AB8" w:rsidRDefault="00253BF6" w:rsidP="00426AB8">
      <w:pPr>
        <w:ind w:left="0"/>
        <w:jc w:val="right"/>
      </w:pPr>
      <w:r>
        <w:pict w14:anchorId="140A968E">
          <v:rect id="_x0000_i1025" style="width:3in;height:.7pt" o:hrpct="0" o:hralign="right" o:hrstd="t" o:hrnoshade="t" o:hr="t" fillcolor="black" stroked="f"/>
        </w:pict>
      </w:r>
    </w:p>
    <w:p w14:paraId="22DD4B67" w14:textId="77777777" w:rsidR="00426AB8" w:rsidRDefault="00426AB8" w:rsidP="00426AB8">
      <w:pPr>
        <w:spacing w:after="200" w:line="276" w:lineRule="auto"/>
        <w:ind w:left="0"/>
        <w:jc w:val="right"/>
      </w:pPr>
      <w:r>
        <w:t>Khullar C.J.A.</w:t>
      </w:r>
    </w:p>
    <w:p w14:paraId="1EA27F1E" w14:textId="77777777" w:rsidR="00426AB8" w:rsidRDefault="00426AB8" w:rsidP="00426AB8">
      <w:pPr>
        <w:spacing w:after="200" w:line="276" w:lineRule="auto"/>
        <w:ind w:left="0"/>
        <w:jc w:val="left"/>
      </w:pPr>
      <w:r>
        <w:br w:type="page"/>
      </w:r>
    </w:p>
    <w:p w14:paraId="5AF36D6D" w14:textId="77777777" w:rsidR="00426AB8" w:rsidRPr="00F45B83" w:rsidRDefault="00426AB8" w:rsidP="00426AB8">
      <w:pPr>
        <w:spacing w:after="200" w:line="276" w:lineRule="auto"/>
        <w:ind w:left="0"/>
        <w:jc w:val="left"/>
        <w:rPr>
          <w:b/>
        </w:rPr>
      </w:pPr>
      <w:r>
        <w:rPr>
          <w:b/>
        </w:rPr>
        <w:t>Appearances:</w:t>
      </w:r>
    </w:p>
    <w:p w14:paraId="47B9CC08" w14:textId="77777777" w:rsidR="00426AB8" w:rsidRDefault="00426AB8" w:rsidP="00426AB8">
      <w:pPr>
        <w:spacing w:line="276" w:lineRule="auto"/>
        <w:ind w:left="0"/>
        <w:jc w:val="left"/>
      </w:pPr>
      <w:r>
        <w:t>T. Johnson</w:t>
      </w:r>
    </w:p>
    <w:p w14:paraId="3DD53C27" w14:textId="77777777" w:rsidR="00426AB8" w:rsidRDefault="00426AB8" w:rsidP="00426AB8">
      <w:pPr>
        <w:spacing w:line="276" w:lineRule="auto"/>
        <w:ind w:left="0"/>
        <w:jc w:val="left"/>
      </w:pPr>
      <w:r>
        <w:tab/>
        <w:t>for the Appellant</w:t>
      </w:r>
    </w:p>
    <w:p w14:paraId="38717790" w14:textId="77777777" w:rsidR="00426AB8" w:rsidRDefault="00426AB8" w:rsidP="00426AB8">
      <w:pPr>
        <w:spacing w:line="276" w:lineRule="auto"/>
        <w:ind w:left="0"/>
        <w:jc w:val="left"/>
      </w:pPr>
    </w:p>
    <w:p w14:paraId="7404AF84" w14:textId="77777777" w:rsidR="00426AB8" w:rsidRDefault="00426AB8" w:rsidP="00426AB8">
      <w:pPr>
        <w:ind w:left="0"/>
        <w:jc w:val="left"/>
      </w:pPr>
      <w:r>
        <w:t>R. Clements</w:t>
      </w:r>
    </w:p>
    <w:p w14:paraId="72CE63D8" w14:textId="77777777" w:rsidR="00426AB8" w:rsidRDefault="00426AB8" w:rsidP="00426AB8">
      <w:pPr>
        <w:ind w:left="0"/>
        <w:jc w:val="left"/>
      </w:pPr>
      <w:r>
        <w:tab/>
        <w:t>for the Respondent</w:t>
      </w:r>
    </w:p>
    <w:p w14:paraId="72D95046" w14:textId="77777777" w:rsidR="00426AB8" w:rsidRDefault="00426AB8" w:rsidP="00426AB8">
      <w:pPr>
        <w:ind w:left="0"/>
        <w:jc w:val="right"/>
      </w:pPr>
    </w:p>
    <w:p w14:paraId="15E9828C" w14:textId="77777777" w:rsidR="00426AB8" w:rsidRPr="002B6E0A" w:rsidRDefault="00426AB8" w:rsidP="00426AB8">
      <w:pPr>
        <w:pStyle w:val="FelskyNumbering12"/>
        <w:numPr>
          <w:ilvl w:val="0"/>
          <w:numId w:val="0"/>
        </w:numPr>
        <w:rPr>
          <w:rFonts w:eastAsia="PMingLiU"/>
          <w:lang w:val="en-US"/>
        </w:rPr>
      </w:pPr>
    </w:p>
    <w:p w14:paraId="3A41E4BD" w14:textId="77777777" w:rsidR="00426AB8" w:rsidRDefault="00426AB8" w:rsidP="00426AB8">
      <w:pPr>
        <w:tabs>
          <w:tab w:val="center" w:pos="4680"/>
        </w:tabs>
        <w:ind w:left="0"/>
        <w:rPr>
          <w:rFonts w:eastAsia="PMingLiU"/>
        </w:rPr>
      </w:pPr>
      <w:r w:rsidRPr="009C2254">
        <w:rPr>
          <w:rFonts w:eastAsia="PMingLiU"/>
        </w:rPr>
        <w:tab/>
      </w:r>
    </w:p>
    <w:p w14:paraId="0CF10320" w14:textId="77777777" w:rsidR="00426AB8" w:rsidRPr="009C2254" w:rsidRDefault="00426AB8" w:rsidP="00426AB8">
      <w:pPr>
        <w:ind w:left="0"/>
      </w:pPr>
    </w:p>
    <w:p w14:paraId="15119BA6" w14:textId="77777777" w:rsidR="00426AB8" w:rsidRDefault="00426AB8" w:rsidP="00426AB8">
      <w:pPr>
        <w:spacing w:after="200" w:line="276" w:lineRule="auto"/>
        <w:ind w:left="0"/>
        <w:jc w:val="left"/>
        <w:sectPr w:rsidR="00426AB8" w:rsidSect="00C54F39">
          <w:headerReference w:type="even" r:id="rId11"/>
          <w:headerReference w:type="default" r:id="rId12"/>
          <w:headerReference w:type="first" r:id="rId13"/>
          <w:type w:val="continuous"/>
          <w:pgSz w:w="12240" w:h="15840"/>
          <w:pgMar w:top="1585" w:right="1440" w:bottom="1440" w:left="1440" w:header="1584" w:footer="1440" w:gutter="0"/>
          <w:pgNumType w:start="1"/>
          <w:cols w:space="720"/>
          <w:noEndnote/>
          <w:docGrid w:linePitch="326"/>
        </w:sectPr>
      </w:pPr>
      <w:bookmarkStart w:id="16" w:name="Signature"/>
      <w:bookmarkStart w:id="17" w:name="frAppearances"/>
      <w:bookmarkEnd w:id="16"/>
      <w:bookmarkEnd w:id="17"/>
    </w:p>
    <w:p w14:paraId="5F8CEB8C" w14:textId="77777777" w:rsidR="00426AB8" w:rsidRPr="007D3FA9" w:rsidRDefault="00426AB8" w:rsidP="00426AB8">
      <w:pPr>
        <w:rPr>
          <w:rFonts w:eastAsia="PMingLiU"/>
        </w:rPr>
      </w:pPr>
    </w:p>
    <w:p w14:paraId="3C353533" w14:textId="77777777" w:rsidR="00426AB8" w:rsidRDefault="00426AB8" w:rsidP="00426AB8">
      <w:pPr>
        <w:ind w:left="3168"/>
        <w:jc w:val="right"/>
        <w:rPr>
          <w:rFonts w:eastAsia="PMingLiU"/>
          <w:bCs/>
        </w:rPr>
      </w:pPr>
      <w:r>
        <w:rPr>
          <w:rFonts w:eastAsia="PMingLiU"/>
          <w:bCs/>
        </w:rPr>
        <w:t xml:space="preserve">    </w:t>
      </w:r>
      <w:r>
        <w:rPr>
          <w:rFonts w:eastAsia="PMingLiU"/>
          <w:bCs/>
        </w:rPr>
        <w:tab/>
      </w:r>
      <w:r>
        <w:rPr>
          <w:rFonts w:eastAsia="PMingLiU"/>
          <w:bCs/>
        </w:rPr>
        <w:tab/>
      </w:r>
      <w:r>
        <w:rPr>
          <w:rFonts w:eastAsia="PMingLiU"/>
          <w:bCs/>
        </w:rPr>
        <w:tab/>
        <w:t>A-1-AP-2022-0006</w:t>
      </w:r>
    </w:p>
    <w:p w14:paraId="6046A91C" w14:textId="77777777" w:rsidR="00426AB8" w:rsidRDefault="00426AB8" w:rsidP="00426AB8">
      <w:pPr>
        <w:ind w:left="3168"/>
        <w:jc w:val="right"/>
        <w:rPr>
          <w:rFonts w:eastAsia="PMingLiU"/>
          <w:bCs/>
        </w:rPr>
      </w:pPr>
    </w:p>
    <w:p w14:paraId="11D2913C" w14:textId="77777777" w:rsidR="00426AB8" w:rsidRPr="007D3FA9" w:rsidRDefault="00426AB8" w:rsidP="00426AB8">
      <w:pPr>
        <w:spacing w:line="19" w:lineRule="exact"/>
        <w:ind w:left="3168"/>
        <w:rPr>
          <w:rFonts w:eastAsia="PMingLiU"/>
        </w:rPr>
      </w:pPr>
      <w:r>
        <w:rPr>
          <w:noProof/>
        </w:rPr>
        <mc:AlternateContent>
          <mc:Choice Requires="wps">
            <w:drawing>
              <wp:anchor distT="0" distB="0" distL="114300" distR="114300" simplePos="0" relativeHeight="251659264" behindDoc="1" locked="1" layoutInCell="0" allowOverlap="1" wp14:anchorId="77218B9A" wp14:editId="5CF589A1">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062D"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561A5A27" w14:textId="77777777" w:rsidR="00426AB8" w:rsidRPr="007D3FA9" w:rsidRDefault="00426AB8" w:rsidP="00426AB8">
      <w:pPr>
        <w:ind w:left="3168"/>
        <w:rPr>
          <w:rFonts w:eastAsia="PMingLiU"/>
        </w:rPr>
      </w:pPr>
    </w:p>
    <w:p w14:paraId="4C015C37" w14:textId="77777777" w:rsidR="00426AB8" w:rsidRPr="007D3FA9" w:rsidRDefault="00426AB8" w:rsidP="00426AB8">
      <w:pPr>
        <w:ind w:left="3168"/>
        <w:jc w:val="center"/>
        <w:rPr>
          <w:rFonts w:eastAsia="PMingLiU"/>
        </w:rPr>
      </w:pPr>
      <w:r w:rsidRPr="007D3FA9">
        <w:rPr>
          <w:rFonts w:eastAsia="PMingLiU"/>
        </w:rPr>
        <w:t>IN THE COURT OF APPEAL</w:t>
      </w:r>
    </w:p>
    <w:p w14:paraId="6B3B7FD9" w14:textId="77777777" w:rsidR="00426AB8" w:rsidRPr="007D3FA9" w:rsidRDefault="00426AB8" w:rsidP="00426AB8">
      <w:pPr>
        <w:ind w:left="3168"/>
        <w:jc w:val="center"/>
        <w:rPr>
          <w:rFonts w:eastAsia="PMingLiU"/>
        </w:rPr>
      </w:pPr>
      <w:r>
        <w:rPr>
          <w:rFonts w:eastAsia="PMingLiU"/>
        </w:rPr>
        <w:t>FOR</w:t>
      </w:r>
      <w:r w:rsidRPr="007D3FA9">
        <w:rPr>
          <w:rFonts w:eastAsia="PMingLiU"/>
        </w:rPr>
        <w:t xml:space="preserve"> THE NORTHWEST TERRITORIES</w:t>
      </w:r>
    </w:p>
    <w:p w14:paraId="64A487D0" w14:textId="77777777" w:rsidR="00426AB8" w:rsidRPr="007D3FA9" w:rsidRDefault="00426AB8" w:rsidP="00426AB8">
      <w:pPr>
        <w:ind w:left="3168"/>
        <w:jc w:val="center"/>
        <w:rPr>
          <w:rFonts w:eastAsia="PMingLiU"/>
        </w:rPr>
      </w:pPr>
    </w:p>
    <w:p w14:paraId="16FB2AA1" w14:textId="77777777" w:rsidR="00426AB8" w:rsidRPr="007D3FA9" w:rsidRDefault="00426AB8" w:rsidP="00426AB8">
      <w:pPr>
        <w:spacing w:line="19" w:lineRule="exact"/>
        <w:ind w:left="3168"/>
        <w:rPr>
          <w:rFonts w:eastAsia="PMingLiU"/>
        </w:rPr>
      </w:pPr>
      <w:r>
        <w:rPr>
          <w:noProof/>
        </w:rPr>
        <mc:AlternateContent>
          <mc:Choice Requires="wps">
            <w:drawing>
              <wp:anchor distT="0" distB="0" distL="114300" distR="114300" simplePos="0" relativeHeight="251660288" behindDoc="1" locked="1" layoutInCell="0" allowOverlap="1" wp14:anchorId="52ADDAE6" wp14:editId="72B39B98">
                <wp:simplePos x="0" y="0"/>
                <wp:positionH relativeFrom="page">
                  <wp:posOffset>2926080</wp:posOffset>
                </wp:positionH>
                <wp:positionV relativeFrom="paragraph">
                  <wp:posOffset>0</wp:posOffset>
                </wp:positionV>
                <wp:extent cx="393192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C0FC4"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3C9F23D4" w14:textId="77777777" w:rsidR="00426AB8" w:rsidRPr="007D3FA9" w:rsidRDefault="00426AB8" w:rsidP="00426AB8">
      <w:pPr>
        <w:ind w:left="3168"/>
        <w:rPr>
          <w:rFonts w:eastAsia="PMingLiU"/>
        </w:rPr>
      </w:pPr>
    </w:p>
    <w:p w14:paraId="402E3E7A" w14:textId="77777777" w:rsidR="00426AB8" w:rsidRPr="009C2254" w:rsidRDefault="00426AB8" w:rsidP="00426AB8">
      <w:pPr>
        <w:ind w:left="3150"/>
        <w:rPr>
          <w:rFonts w:eastAsia="PMingLiU"/>
        </w:rPr>
      </w:pPr>
      <w:r w:rsidRPr="009C2254">
        <w:rPr>
          <w:rFonts w:eastAsia="PMingLiU"/>
          <w:b/>
          <w:bCs/>
        </w:rPr>
        <w:t>Between:</w:t>
      </w:r>
    </w:p>
    <w:p w14:paraId="491FAC94" w14:textId="77777777" w:rsidR="00426AB8" w:rsidRPr="009C2254" w:rsidRDefault="00426AB8" w:rsidP="00426AB8">
      <w:pPr>
        <w:ind w:left="3150"/>
        <w:rPr>
          <w:rFonts w:eastAsia="PMingLiU"/>
        </w:rPr>
      </w:pPr>
    </w:p>
    <w:p w14:paraId="5F2C96EF" w14:textId="1D18CEB7" w:rsidR="00426AB8" w:rsidRDefault="00426AB8" w:rsidP="00426AB8">
      <w:pPr>
        <w:ind w:left="0"/>
        <w:jc w:val="center"/>
        <w:rPr>
          <w:rFonts w:eastAsia="PMingLiU"/>
          <w:b/>
          <w:bCs/>
        </w:rPr>
      </w:pPr>
      <w:r>
        <w:rPr>
          <w:rFonts w:eastAsia="PMingLiU"/>
        </w:rPr>
        <w:t xml:space="preserve">                             </w:t>
      </w:r>
      <w:r w:rsidR="00462D7D">
        <w:rPr>
          <w:rFonts w:eastAsia="PMingLiU"/>
        </w:rPr>
        <w:tab/>
      </w:r>
      <w:r w:rsidR="00462D7D">
        <w:rPr>
          <w:rFonts w:eastAsia="PMingLiU"/>
        </w:rPr>
        <w:tab/>
      </w:r>
      <w:r w:rsidRPr="003478CF">
        <w:rPr>
          <w:rFonts w:eastAsia="PMingLiU"/>
          <w:b/>
          <w:bCs/>
        </w:rPr>
        <w:t>His Majesty the King</w:t>
      </w:r>
    </w:p>
    <w:p w14:paraId="4CA7419D" w14:textId="77777777" w:rsidR="00426AB8" w:rsidRPr="003478CF" w:rsidRDefault="00426AB8" w:rsidP="00426AB8">
      <w:pPr>
        <w:ind w:left="0"/>
        <w:jc w:val="center"/>
        <w:rPr>
          <w:rFonts w:eastAsia="PMingLiU"/>
          <w:b/>
          <w:bCs/>
        </w:rPr>
      </w:pPr>
    </w:p>
    <w:p w14:paraId="478D085D" w14:textId="77777777" w:rsidR="00426AB8" w:rsidRDefault="00426AB8" w:rsidP="00426AB8">
      <w:pPr>
        <w:ind w:left="0"/>
        <w:jc w:val="right"/>
        <w:rPr>
          <w:rFonts w:eastAsia="PMingLiU"/>
        </w:rPr>
      </w:pPr>
      <w:r>
        <w:rPr>
          <w:rFonts w:eastAsia="PMingLiU"/>
        </w:rPr>
        <w:t>Appellant</w:t>
      </w:r>
    </w:p>
    <w:p w14:paraId="0886B9F2" w14:textId="77777777" w:rsidR="00426AB8" w:rsidRDefault="00426AB8" w:rsidP="00426AB8">
      <w:pPr>
        <w:ind w:left="0"/>
        <w:jc w:val="center"/>
        <w:rPr>
          <w:rFonts w:eastAsia="PMingLiU"/>
        </w:rPr>
      </w:pPr>
    </w:p>
    <w:p w14:paraId="33982A71" w14:textId="48DA3F12" w:rsidR="00426AB8" w:rsidRDefault="00426AB8" w:rsidP="00426AB8">
      <w:pPr>
        <w:ind w:left="0"/>
        <w:jc w:val="center"/>
        <w:rPr>
          <w:rFonts w:eastAsia="PMingLiU"/>
        </w:rPr>
      </w:pPr>
      <w:r>
        <w:rPr>
          <w:rFonts w:eastAsia="PMingLiU"/>
        </w:rPr>
        <w:t xml:space="preserve">                             </w:t>
      </w:r>
      <w:r w:rsidR="00462D7D">
        <w:rPr>
          <w:rFonts w:eastAsia="PMingLiU"/>
        </w:rPr>
        <w:tab/>
      </w:r>
      <w:r w:rsidR="00462D7D">
        <w:rPr>
          <w:rFonts w:eastAsia="PMingLiU"/>
        </w:rPr>
        <w:tab/>
      </w:r>
      <w:r>
        <w:rPr>
          <w:rFonts w:eastAsia="PMingLiU"/>
        </w:rPr>
        <w:t>- and -</w:t>
      </w:r>
    </w:p>
    <w:p w14:paraId="6FA10D5C" w14:textId="77777777" w:rsidR="00426AB8" w:rsidRDefault="00426AB8" w:rsidP="00426AB8">
      <w:pPr>
        <w:ind w:left="0"/>
        <w:jc w:val="center"/>
        <w:rPr>
          <w:rFonts w:eastAsia="PMingLiU"/>
        </w:rPr>
      </w:pPr>
    </w:p>
    <w:p w14:paraId="108A7A3C" w14:textId="77777777" w:rsidR="00426AB8" w:rsidRDefault="00426AB8" w:rsidP="00426AB8">
      <w:pPr>
        <w:ind w:left="0"/>
        <w:jc w:val="center"/>
        <w:rPr>
          <w:rFonts w:eastAsia="PMingLiU"/>
        </w:rPr>
      </w:pPr>
    </w:p>
    <w:p w14:paraId="2B80145C" w14:textId="14702204" w:rsidR="00426AB8" w:rsidRPr="0082501F" w:rsidRDefault="00426AB8" w:rsidP="00426AB8">
      <w:pPr>
        <w:ind w:left="0"/>
        <w:jc w:val="center"/>
        <w:rPr>
          <w:rFonts w:eastAsia="PMingLiU"/>
          <w:b/>
          <w:bCs/>
        </w:rPr>
      </w:pPr>
      <w:r>
        <w:rPr>
          <w:rFonts w:eastAsia="PMingLiU"/>
        </w:rPr>
        <w:t xml:space="preserve">                              </w:t>
      </w:r>
      <w:r w:rsidR="00462D7D">
        <w:rPr>
          <w:rFonts w:eastAsia="PMingLiU"/>
        </w:rPr>
        <w:tab/>
      </w:r>
      <w:r w:rsidR="00462D7D">
        <w:rPr>
          <w:rFonts w:eastAsia="PMingLiU"/>
        </w:rPr>
        <w:tab/>
      </w:r>
      <w:r w:rsidRPr="0082501F">
        <w:rPr>
          <w:rFonts w:eastAsia="PMingLiU"/>
          <w:b/>
          <w:bCs/>
        </w:rPr>
        <w:t>Benny Greg Gargan</w:t>
      </w:r>
    </w:p>
    <w:p w14:paraId="6B99C89D" w14:textId="77777777" w:rsidR="00426AB8" w:rsidRPr="003478CF" w:rsidRDefault="00426AB8" w:rsidP="00426AB8">
      <w:pPr>
        <w:ind w:left="0"/>
        <w:jc w:val="center"/>
        <w:rPr>
          <w:b/>
          <w:bCs/>
        </w:rPr>
      </w:pPr>
    </w:p>
    <w:p w14:paraId="05B21BE9" w14:textId="77777777" w:rsidR="00426AB8" w:rsidRPr="007D3FA9" w:rsidRDefault="00426AB8" w:rsidP="00426AB8">
      <w:pPr>
        <w:ind w:left="3168"/>
        <w:jc w:val="right"/>
      </w:pPr>
      <w:r>
        <w:t>Respondent</w:t>
      </w:r>
    </w:p>
    <w:p w14:paraId="1CE56A47" w14:textId="77777777" w:rsidR="00426AB8" w:rsidRPr="007D3FA9" w:rsidRDefault="00426AB8" w:rsidP="00426AB8">
      <w:pPr>
        <w:ind w:left="3168"/>
      </w:pPr>
    </w:p>
    <w:p w14:paraId="282AD4DA" w14:textId="77777777" w:rsidR="00426AB8" w:rsidRPr="007D3FA9" w:rsidRDefault="00426AB8" w:rsidP="00426AB8">
      <w:pPr>
        <w:spacing w:line="19" w:lineRule="exact"/>
        <w:ind w:left="3168"/>
      </w:pPr>
      <w:r>
        <w:rPr>
          <w:noProof/>
        </w:rPr>
        <mc:AlternateContent>
          <mc:Choice Requires="wps">
            <w:drawing>
              <wp:anchor distT="0" distB="0" distL="114300" distR="114300" simplePos="0" relativeHeight="251661312" behindDoc="1" locked="1" layoutInCell="0" allowOverlap="1" wp14:anchorId="6F650197" wp14:editId="10FAE2F0">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368B3"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0E34655F" w14:textId="77777777" w:rsidR="00426AB8" w:rsidRPr="007D3FA9" w:rsidRDefault="00426AB8" w:rsidP="00426AB8">
      <w:pPr>
        <w:ind w:left="3168"/>
      </w:pPr>
    </w:p>
    <w:p w14:paraId="0B21AD81" w14:textId="77777777" w:rsidR="00426AB8" w:rsidRPr="007D3FA9" w:rsidRDefault="00426AB8" w:rsidP="00426AB8">
      <w:pPr>
        <w:ind w:left="3168"/>
        <w:jc w:val="center"/>
      </w:pPr>
      <w:r>
        <w:t>REASONS FOR DECISON</w:t>
      </w:r>
    </w:p>
    <w:p w14:paraId="2609E5FD" w14:textId="77777777" w:rsidR="00426AB8" w:rsidRPr="007D3FA9" w:rsidRDefault="00426AB8" w:rsidP="00426AB8">
      <w:pPr>
        <w:ind w:left="3168"/>
        <w:jc w:val="center"/>
      </w:pPr>
    </w:p>
    <w:p w14:paraId="64C8D042" w14:textId="77777777" w:rsidR="00426AB8" w:rsidRPr="009C2254" w:rsidRDefault="00426AB8" w:rsidP="00426AB8">
      <w:pPr>
        <w:spacing w:line="19" w:lineRule="exact"/>
        <w:ind w:left="3168"/>
      </w:pPr>
      <w:r>
        <w:rPr>
          <w:noProof/>
        </w:rPr>
        <mc:AlternateContent>
          <mc:Choice Requires="wps">
            <w:drawing>
              <wp:anchor distT="0" distB="0" distL="114300" distR="114300" simplePos="0" relativeHeight="251662336" behindDoc="1" locked="1" layoutInCell="0" allowOverlap="1" wp14:anchorId="03E0C604" wp14:editId="61193D1A">
                <wp:simplePos x="0" y="0"/>
                <wp:positionH relativeFrom="page">
                  <wp:posOffset>2926080</wp:posOffset>
                </wp:positionH>
                <wp:positionV relativeFrom="paragraph">
                  <wp:posOffset>0</wp:posOffset>
                </wp:positionV>
                <wp:extent cx="393192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D2C0"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06EA5A68" w14:textId="77777777" w:rsidR="00426AB8" w:rsidRPr="009C2254" w:rsidRDefault="00426AB8" w:rsidP="00426AB8">
      <w:pPr>
        <w:ind w:left="0"/>
      </w:pPr>
    </w:p>
    <w:p w14:paraId="679B06DE" w14:textId="77777777" w:rsidR="00426AB8" w:rsidRDefault="00426AB8" w:rsidP="00426AB8">
      <w:pPr>
        <w:ind w:left="3168"/>
        <w:jc w:val="right"/>
        <w:rPr>
          <w:rFonts w:eastAsia="PMingLiU"/>
          <w:bCs/>
        </w:rPr>
      </w:pPr>
      <w:r>
        <w:rPr>
          <w:rFonts w:eastAsia="PMingLiU"/>
          <w:bCs/>
        </w:rPr>
        <w:tab/>
        <w:t xml:space="preserve"> </w:t>
      </w:r>
    </w:p>
    <w:p w14:paraId="4163709A" w14:textId="77777777" w:rsidR="00426AB8" w:rsidRPr="007D3FA9" w:rsidRDefault="00426AB8" w:rsidP="00426AB8">
      <w:pPr>
        <w:ind w:left="3168" w:right="-216"/>
        <w:rPr>
          <w:rFonts w:eastAsia="PMingLiU"/>
        </w:rPr>
      </w:pPr>
    </w:p>
    <w:p w14:paraId="1EE3AAC0" w14:textId="77777777" w:rsidR="00426AB8" w:rsidRPr="007D3FA9" w:rsidRDefault="00426AB8" w:rsidP="00426AB8">
      <w:pPr>
        <w:spacing w:line="19" w:lineRule="exact"/>
        <w:ind w:left="3168"/>
        <w:rPr>
          <w:rFonts w:eastAsia="PMingLiU"/>
        </w:rPr>
      </w:pPr>
    </w:p>
    <w:p w14:paraId="1F1A4352" w14:textId="77777777" w:rsidR="00426AB8" w:rsidRPr="007D3FA9" w:rsidRDefault="00426AB8" w:rsidP="00426AB8">
      <w:pPr>
        <w:ind w:left="3168"/>
        <w:rPr>
          <w:rFonts w:eastAsia="PMingLiU"/>
        </w:rPr>
      </w:pPr>
    </w:p>
    <w:p w14:paraId="4D9563C6" w14:textId="77777777" w:rsidR="00426AB8" w:rsidRPr="009C2254" w:rsidRDefault="00426AB8" w:rsidP="00426AB8">
      <w:pPr>
        <w:ind w:left="0"/>
      </w:pPr>
    </w:p>
    <w:p w14:paraId="4B362086" w14:textId="77777777" w:rsidR="00F52CE4" w:rsidRPr="00FA11F7" w:rsidRDefault="00F52CE4" w:rsidP="00C31B43">
      <w:pPr>
        <w:pStyle w:val="NoSpacing"/>
      </w:pPr>
    </w:p>
    <w:sectPr w:rsidR="00F52CE4" w:rsidRPr="00FA11F7" w:rsidSect="00A41AB9">
      <w:headerReference w:type="even" r:id="rId14"/>
      <w:headerReference w:type="default" r:id="rId15"/>
      <w:headerReference w:type="first" r:id="rId16"/>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B4CB" w14:textId="77777777" w:rsidR="001D062E" w:rsidRDefault="001D062E" w:rsidP="007F5E82">
      <w:r>
        <w:separator/>
      </w:r>
    </w:p>
  </w:endnote>
  <w:endnote w:type="continuationSeparator" w:id="0">
    <w:p w14:paraId="0C9FFEE0" w14:textId="77777777" w:rsidR="001D062E" w:rsidRDefault="001D062E" w:rsidP="007F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259F" w14:textId="77777777" w:rsidR="001D062E" w:rsidRDefault="001D062E" w:rsidP="007F5E82">
      <w:r>
        <w:separator/>
      </w:r>
    </w:p>
  </w:footnote>
  <w:footnote w:type="continuationSeparator" w:id="0">
    <w:p w14:paraId="32FD95B5" w14:textId="77777777" w:rsidR="001D062E" w:rsidRDefault="001D062E" w:rsidP="007F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D54A" w14:textId="77777777" w:rsidR="00426AB8" w:rsidRDefault="00426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AF4A" w14:textId="77777777" w:rsidR="00426AB8" w:rsidRDefault="00426AB8">
    <w:pPr>
      <w:pStyle w:val="Header"/>
      <w:jc w:val="right"/>
    </w:pPr>
    <w:r>
      <w:t xml:space="preserve">Page: </w:t>
    </w:r>
    <w:sdt>
      <w:sdtPr>
        <w:id w:val="3119923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256DEB" w14:textId="77777777" w:rsidR="00426AB8" w:rsidRDefault="00426AB8">
    <w:pPr>
      <w:spacing w:line="240" w:lineRule="exact"/>
      <w:rPr>
        <w:rFonts w:eastAsia="PMingLiU"/>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FF2" w14:textId="77777777" w:rsidR="00426AB8" w:rsidRDefault="00426A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8948" w14:textId="77777777" w:rsidR="00AB1B24" w:rsidRDefault="00253BF6">
    <w:pPr>
      <w:pStyle w:val="Header"/>
    </w:pPr>
    <w:r>
      <w:rPr>
        <w:noProof/>
      </w:rPr>
      <w:pict w14:anchorId="07C53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30B2" w14:textId="77777777" w:rsidR="00AB1B24" w:rsidRDefault="00AB1B24">
    <w:pPr>
      <w:spacing w:line="240" w:lineRule="exact"/>
      <w:rPr>
        <w:rFonts w:eastAsia="PMingLiU"/>
        <w:lang w:val="en-GB"/>
      </w:rPr>
    </w:pPr>
  </w:p>
  <w:p w14:paraId="2C4B026B" w14:textId="77777777" w:rsidR="00AB1B24" w:rsidRDefault="00AB1B24">
    <w:pPr>
      <w:spacing w:line="240" w:lineRule="exact"/>
      <w:rPr>
        <w:rFonts w:eastAsia="PMingLiU"/>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D984" w14:textId="77777777" w:rsidR="00AB1B24" w:rsidRDefault="00AB1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6"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5B650815"/>
    <w:multiLevelType w:val="multilevel"/>
    <w:tmpl w:val="88F0CF04"/>
    <w:lvl w:ilvl="0">
      <w:start w:val="1"/>
      <w:numFmt w:val="decimal"/>
      <w:lvlText w:val="%1)"/>
      <w:lvlJc w:val="left"/>
      <w:pPr>
        <w:ind w:left="720" w:hanging="720"/>
      </w:pPr>
      <w:rPr>
        <w:rFonts w:hint="default"/>
      </w:rPr>
    </w:lvl>
    <w:lvl w:ilvl="1">
      <w:start w:val="1"/>
      <w:numFmt w:val="lowerRoman"/>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1621737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207023075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42364920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6947270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65159638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64739501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17395577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53591821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997222489">
    <w:abstractNumId w:val="6"/>
  </w:num>
  <w:num w:numId="10" w16cid:durableId="2005015381">
    <w:abstractNumId w:val="6"/>
  </w:num>
  <w:num w:numId="11" w16cid:durableId="512764161">
    <w:abstractNumId w:val="1"/>
  </w:num>
  <w:num w:numId="12" w16cid:durableId="259412263">
    <w:abstractNumId w:val="0"/>
  </w:num>
  <w:num w:numId="13" w16cid:durableId="2004701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1779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470257">
    <w:abstractNumId w:val="6"/>
  </w:num>
  <w:num w:numId="16" w16cid:durableId="1336958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5033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9612131">
    <w:abstractNumId w:val="4"/>
  </w:num>
  <w:num w:numId="19" w16cid:durableId="7779149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4777186">
    <w:abstractNumId w:val="5"/>
  </w:num>
  <w:num w:numId="21" w16cid:durableId="785849689">
    <w:abstractNumId w:val="3"/>
  </w:num>
  <w:num w:numId="22" w16cid:durableId="970592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426AB8"/>
    <w:rsid w:val="000173E5"/>
    <w:rsid w:val="00027BD8"/>
    <w:rsid w:val="00032751"/>
    <w:rsid w:val="000408D4"/>
    <w:rsid w:val="0004672E"/>
    <w:rsid w:val="00055806"/>
    <w:rsid w:val="00061D2D"/>
    <w:rsid w:val="00063BA8"/>
    <w:rsid w:val="00070B72"/>
    <w:rsid w:val="00075BBB"/>
    <w:rsid w:val="00075FED"/>
    <w:rsid w:val="00082EE6"/>
    <w:rsid w:val="00087A30"/>
    <w:rsid w:val="0009540E"/>
    <w:rsid w:val="000A5AB2"/>
    <w:rsid w:val="000A6E2C"/>
    <w:rsid w:val="000B1373"/>
    <w:rsid w:val="000B26B8"/>
    <w:rsid w:val="000B3FB7"/>
    <w:rsid w:val="000B6E1A"/>
    <w:rsid w:val="000C00E3"/>
    <w:rsid w:val="000D5921"/>
    <w:rsid w:val="000D7800"/>
    <w:rsid w:val="000E19A3"/>
    <w:rsid w:val="000E2471"/>
    <w:rsid w:val="000E4ABD"/>
    <w:rsid w:val="001015AB"/>
    <w:rsid w:val="00103C05"/>
    <w:rsid w:val="00107CB7"/>
    <w:rsid w:val="0011207A"/>
    <w:rsid w:val="00112F1F"/>
    <w:rsid w:val="00132956"/>
    <w:rsid w:val="0013796F"/>
    <w:rsid w:val="00140E79"/>
    <w:rsid w:val="001566B6"/>
    <w:rsid w:val="00164947"/>
    <w:rsid w:val="00166C49"/>
    <w:rsid w:val="00174D0A"/>
    <w:rsid w:val="00177A27"/>
    <w:rsid w:val="001807E4"/>
    <w:rsid w:val="00180B97"/>
    <w:rsid w:val="0018779B"/>
    <w:rsid w:val="0019062D"/>
    <w:rsid w:val="001A0794"/>
    <w:rsid w:val="001C69FC"/>
    <w:rsid w:val="001C6E42"/>
    <w:rsid w:val="001D03E1"/>
    <w:rsid w:val="001D062E"/>
    <w:rsid w:val="001E6FD3"/>
    <w:rsid w:val="001F0B8A"/>
    <w:rsid w:val="001F4B38"/>
    <w:rsid w:val="00214B33"/>
    <w:rsid w:val="00215F71"/>
    <w:rsid w:val="00222501"/>
    <w:rsid w:val="002250E8"/>
    <w:rsid w:val="002309DB"/>
    <w:rsid w:val="00231F89"/>
    <w:rsid w:val="00240F51"/>
    <w:rsid w:val="00253BF6"/>
    <w:rsid w:val="0025426C"/>
    <w:rsid w:val="00256B98"/>
    <w:rsid w:val="00270A1D"/>
    <w:rsid w:val="002814F0"/>
    <w:rsid w:val="002851FF"/>
    <w:rsid w:val="00285D75"/>
    <w:rsid w:val="00286BDC"/>
    <w:rsid w:val="0029343E"/>
    <w:rsid w:val="002A298C"/>
    <w:rsid w:val="002A5872"/>
    <w:rsid w:val="002A711D"/>
    <w:rsid w:val="002B5356"/>
    <w:rsid w:val="002C11BA"/>
    <w:rsid w:val="002C5306"/>
    <w:rsid w:val="002D0D27"/>
    <w:rsid w:val="002D1C16"/>
    <w:rsid w:val="002D38D7"/>
    <w:rsid w:val="002E35FC"/>
    <w:rsid w:val="002F2E80"/>
    <w:rsid w:val="00306A59"/>
    <w:rsid w:val="00326FB4"/>
    <w:rsid w:val="00330D72"/>
    <w:rsid w:val="003320EE"/>
    <w:rsid w:val="00347BB5"/>
    <w:rsid w:val="003639A1"/>
    <w:rsid w:val="00367033"/>
    <w:rsid w:val="00371CB6"/>
    <w:rsid w:val="00373A04"/>
    <w:rsid w:val="003857A4"/>
    <w:rsid w:val="003A202A"/>
    <w:rsid w:val="003A5F36"/>
    <w:rsid w:val="003C3167"/>
    <w:rsid w:val="003C4856"/>
    <w:rsid w:val="003E11B9"/>
    <w:rsid w:val="003F76EB"/>
    <w:rsid w:val="00426AB8"/>
    <w:rsid w:val="00433886"/>
    <w:rsid w:val="00434CBE"/>
    <w:rsid w:val="00453190"/>
    <w:rsid w:val="004550B0"/>
    <w:rsid w:val="00456785"/>
    <w:rsid w:val="004606CE"/>
    <w:rsid w:val="0046091A"/>
    <w:rsid w:val="00460E79"/>
    <w:rsid w:val="00462D7D"/>
    <w:rsid w:val="00481455"/>
    <w:rsid w:val="00496DF8"/>
    <w:rsid w:val="004A2E01"/>
    <w:rsid w:val="004A3C6F"/>
    <w:rsid w:val="004A3FB0"/>
    <w:rsid w:val="004B0E6C"/>
    <w:rsid w:val="004B147F"/>
    <w:rsid w:val="004B14E2"/>
    <w:rsid w:val="004B2001"/>
    <w:rsid w:val="004C2D51"/>
    <w:rsid w:val="004C4F79"/>
    <w:rsid w:val="004C6DF6"/>
    <w:rsid w:val="004D465B"/>
    <w:rsid w:val="004E0E6E"/>
    <w:rsid w:val="00505022"/>
    <w:rsid w:val="00510694"/>
    <w:rsid w:val="005121CE"/>
    <w:rsid w:val="00513442"/>
    <w:rsid w:val="0052056E"/>
    <w:rsid w:val="0053065B"/>
    <w:rsid w:val="005319BD"/>
    <w:rsid w:val="00532494"/>
    <w:rsid w:val="005375FA"/>
    <w:rsid w:val="00537E3C"/>
    <w:rsid w:val="005403D9"/>
    <w:rsid w:val="005459B5"/>
    <w:rsid w:val="00550806"/>
    <w:rsid w:val="00566484"/>
    <w:rsid w:val="00584C3C"/>
    <w:rsid w:val="0059124C"/>
    <w:rsid w:val="005A11C9"/>
    <w:rsid w:val="005A7404"/>
    <w:rsid w:val="005B23EE"/>
    <w:rsid w:val="005E0C06"/>
    <w:rsid w:val="006068FF"/>
    <w:rsid w:val="00607D10"/>
    <w:rsid w:val="0061066C"/>
    <w:rsid w:val="00610A93"/>
    <w:rsid w:val="00612E50"/>
    <w:rsid w:val="006179C7"/>
    <w:rsid w:val="00623698"/>
    <w:rsid w:val="006261D3"/>
    <w:rsid w:val="006307D6"/>
    <w:rsid w:val="00637C01"/>
    <w:rsid w:val="006519A5"/>
    <w:rsid w:val="00651D8B"/>
    <w:rsid w:val="00657F39"/>
    <w:rsid w:val="00663354"/>
    <w:rsid w:val="0068045E"/>
    <w:rsid w:val="006932BA"/>
    <w:rsid w:val="006A2707"/>
    <w:rsid w:val="006A50D8"/>
    <w:rsid w:val="006A5172"/>
    <w:rsid w:val="006A6060"/>
    <w:rsid w:val="006C4E0E"/>
    <w:rsid w:val="006F3C13"/>
    <w:rsid w:val="006F4BFA"/>
    <w:rsid w:val="006F4ECB"/>
    <w:rsid w:val="00720035"/>
    <w:rsid w:val="0075772F"/>
    <w:rsid w:val="00764BD0"/>
    <w:rsid w:val="00765FF9"/>
    <w:rsid w:val="007871C6"/>
    <w:rsid w:val="00792F76"/>
    <w:rsid w:val="00796431"/>
    <w:rsid w:val="007A102A"/>
    <w:rsid w:val="007A1BF1"/>
    <w:rsid w:val="007C0851"/>
    <w:rsid w:val="007C4D24"/>
    <w:rsid w:val="007D17DF"/>
    <w:rsid w:val="007F31E4"/>
    <w:rsid w:val="007F4FA2"/>
    <w:rsid w:val="007F4FCA"/>
    <w:rsid w:val="007F5E82"/>
    <w:rsid w:val="00806724"/>
    <w:rsid w:val="0080704E"/>
    <w:rsid w:val="00807E1A"/>
    <w:rsid w:val="0081612E"/>
    <w:rsid w:val="008210CE"/>
    <w:rsid w:val="0082384F"/>
    <w:rsid w:val="0084115A"/>
    <w:rsid w:val="00850A7B"/>
    <w:rsid w:val="0085691B"/>
    <w:rsid w:val="0087319F"/>
    <w:rsid w:val="00881D33"/>
    <w:rsid w:val="00885C9E"/>
    <w:rsid w:val="00887EA6"/>
    <w:rsid w:val="00892F75"/>
    <w:rsid w:val="008A1848"/>
    <w:rsid w:val="008A41AE"/>
    <w:rsid w:val="008B5BA3"/>
    <w:rsid w:val="008B5DD7"/>
    <w:rsid w:val="008D204A"/>
    <w:rsid w:val="008D535F"/>
    <w:rsid w:val="008E4B21"/>
    <w:rsid w:val="008F4FE5"/>
    <w:rsid w:val="00900AEA"/>
    <w:rsid w:val="00902AFC"/>
    <w:rsid w:val="00903021"/>
    <w:rsid w:val="0093259D"/>
    <w:rsid w:val="00932F88"/>
    <w:rsid w:val="00943083"/>
    <w:rsid w:val="00956FAF"/>
    <w:rsid w:val="0096144D"/>
    <w:rsid w:val="00971993"/>
    <w:rsid w:val="00973FC8"/>
    <w:rsid w:val="00983DFA"/>
    <w:rsid w:val="00983E29"/>
    <w:rsid w:val="00992680"/>
    <w:rsid w:val="009C1089"/>
    <w:rsid w:val="009D7E94"/>
    <w:rsid w:val="009E08BE"/>
    <w:rsid w:val="009F63FA"/>
    <w:rsid w:val="009F7FAF"/>
    <w:rsid w:val="00A06D01"/>
    <w:rsid w:val="00A203E9"/>
    <w:rsid w:val="00A23DF7"/>
    <w:rsid w:val="00A26B8F"/>
    <w:rsid w:val="00A35122"/>
    <w:rsid w:val="00A42637"/>
    <w:rsid w:val="00A60BE6"/>
    <w:rsid w:val="00A721D3"/>
    <w:rsid w:val="00A74C58"/>
    <w:rsid w:val="00A779DC"/>
    <w:rsid w:val="00AA27B3"/>
    <w:rsid w:val="00AB1B24"/>
    <w:rsid w:val="00AB488E"/>
    <w:rsid w:val="00AD1DD8"/>
    <w:rsid w:val="00AE3251"/>
    <w:rsid w:val="00AE35F4"/>
    <w:rsid w:val="00AF1AF2"/>
    <w:rsid w:val="00AF5B16"/>
    <w:rsid w:val="00AF6573"/>
    <w:rsid w:val="00B07370"/>
    <w:rsid w:val="00B144EC"/>
    <w:rsid w:val="00B23686"/>
    <w:rsid w:val="00B35541"/>
    <w:rsid w:val="00B41240"/>
    <w:rsid w:val="00B41667"/>
    <w:rsid w:val="00B4716A"/>
    <w:rsid w:val="00B50FBF"/>
    <w:rsid w:val="00B6117F"/>
    <w:rsid w:val="00B62236"/>
    <w:rsid w:val="00B652FC"/>
    <w:rsid w:val="00B806AF"/>
    <w:rsid w:val="00B840E6"/>
    <w:rsid w:val="00B85ADD"/>
    <w:rsid w:val="00B965F1"/>
    <w:rsid w:val="00BA0F0F"/>
    <w:rsid w:val="00BB3691"/>
    <w:rsid w:val="00BB690E"/>
    <w:rsid w:val="00BC07A7"/>
    <w:rsid w:val="00BC10EA"/>
    <w:rsid w:val="00BC5373"/>
    <w:rsid w:val="00BE2D42"/>
    <w:rsid w:val="00BF7B9B"/>
    <w:rsid w:val="00C1006A"/>
    <w:rsid w:val="00C14F55"/>
    <w:rsid w:val="00C23C7C"/>
    <w:rsid w:val="00C31B43"/>
    <w:rsid w:val="00C34243"/>
    <w:rsid w:val="00C35262"/>
    <w:rsid w:val="00C54F39"/>
    <w:rsid w:val="00C56C7C"/>
    <w:rsid w:val="00C57993"/>
    <w:rsid w:val="00C60001"/>
    <w:rsid w:val="00C659C8"/>
    <w:rsid w:val="00C772E0"/>
    <w:rsid w:val="00C801B0"/>
    <w:rsid w:val="00C829D5"/>
    <w:rsid w:val="00C85BE1"/>
    <w:rsid w:val="00C8653A"/>
    <w:rsid w:val="00C9558D"/>
    <w:rsid w:val="00C972B8"/>
    <w:rsid w:val="00CA1A34"/>
    <w:rsid w:val="00CB2733"/>
    <w:rsid w:val="00CB4334"/>
    <w:rsid w:val="00CB5926"/>
    <w:rsid w:val="00CB7753"/>
    <w:rsid w:val="00CD1B6C"/>
    <w:rsid w:val="00CE00C7"/>
    <w:rsid w:val="00CE093C"/>
    <w:rsid w:val="00CF4B77"/>
    <w:rsid w:val="00D05AC1"/>
    <w:rsid w:val="00D171B8"/>
    <w:rsid w:val="00D21430"/>
    <w:rsid w:val="00D308E4"/>
    <w:rsid w:val="00D40AD7"/>
    <w:rsid w:val="00D42A55"/>
    <w:rsid w:val="00D43FFB"/>
    <w:rsid w:val="00D45D7F"/>
    <w:rsid w:val="00D50FF9"/>
    <w:rsid w:val="00D608BF"/>
    <w:rsid w:val="00D63201"/>
    <w:rsid w:val="00D71839"/>
    <w:rsid w:val="00D9003D"/>
    <w:rsid w:val="00DA2B52"/>
    <w:rsid w:val="00DA7635"/>
    <w:rsid w:val="00DB5A49"/>
    <w:rsid w:val="00DC01EB"/>
    <w:rsid w:val="00DD005E"/>
    <w:rsid w:val="00DD040C"/>
    <w:rsid w:val="00DD40B5"/>
    <w:rsid w:val="00DE0565"/>
    <w:rsid w:val="00DE1B42"/>
    <w:rsid w:val="00DE2C12"/>
    <w:rsid w:val="00DE5A5E"/>
    <w:rsid w:val="00DF0ACC"/>
    <w:rsid w:val="00E2578D"/>
    <w:rsid w:val="00E27B1D"/>
    <w:rsid w:val="00E44BA0"/>
    <w:rsid w:val="00E56190"/>
    <w:rsid w:val="00E57206"/>
    <w:rsid w:val="00E62F91"/>
    <w:rsid w:val="00E6614C"/>
    <w:rsid w:val="00E92CB8"/>
    <w:rsid w:val="00EA0AA3"/>
    <w:rsid w:val="00EA5863"/>
    <w:rsid w:val="00EA6265"/>
    <w:rsid w:val="00EA7FA1"/>
    <w:rsid w:val="00EC065C"/>
    <w:rsid w:val="00EC19DD"/>
    <w:rsid w:val="00ED1FF6"/>
    <w:rsid w:val="00EE6C81"/>
    <w:rsid w:val="00F05ED2"/>
    <w:rsid w:val="00F067AB"/>
    <w:rsid w:val="00F06F09"/>
    <w:rsid w:val="00F340B2"/>
    <w:rsid w:val="00F4526D"/>
    <w:rsid w:val="00F52CE4"/>
    <w:rsid w:val="00F57198"/>
    <w:rsid w:val="00F701E0"/>
    <w:rsid w:val="00F74A4A"/>
    <w:rsid w:val="00F76417"/>
    <w:rsid w:val="00F77A34"/>
    <w:rsid w:val="00FA11F7"/>
    <w:rsid w:val="00FA1E7D"/>
    <w:rsid w:val="00FA2F0F"/>
    <w:rsid w:val="00FA5B76"/>
    <w:rsid w:val="00FB44A4"/>
    <w:rsid w:val="00FE288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D3DABE"/>
  <w15:chartTrackingRefBased/>
  <w15:docId w15:val="{E40F869E-69D5-4604-A4E5-5D9CA12B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AB8"/>
    <w:pPr>
      <w:spacing w:before="0" w:after="0"/>
      <w:ind w:left="720"/>
      <w:jc w:val="both"/>
    </w:pPr>
    <w:rPr>
      <w:rFonts w:ascii="Times New Roman" w:eastAsiaTheme="minorEastAsia" w:hAnsi="Times New Roman"/>
      <w:lang w:eastAsia="en-CA"/>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rPr>
      <w:rFonts w:ascii="Tahoma" w:hAnsi="Tahoma" w:cs="Tahoma"/>
      <w:sz w:val="16"/>
      <w:szCs w:val="16"/>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rPr>
      <w:noProof/>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p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rPr>
      <w:szCs w:val="20"/>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p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623698"/>
  </w:style>
  <w:style w:type="paragraph" w:customStyle="1" w:styleId="TableText">
    <w:name w:val="Table Text"/>
    <w:basedOn w:val="Spacingadjust"/>
    <w:link w:val="TableTextChar"/>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style>
  <w:style w:type="paragraph" w:styleId="TOC2">
    <w:name w:val="toc 2"/>
    <w:basedOn w:val="Normal"/>
    <w:next w:val="Normal"/>
    <w:uiPriority w:val="39"/>
    <w:semiHidden/>
    <w:rsid w:val="00B50FBF"/>
    <w:pPr>
      <w:ind w:left="245"/>
    </w:pPr>
  </w:style>
  <w:style w:type="paragraph" w:styleId="TOC3">
    <w:name w:val="toc 3"/>
    <w:basedOn w:val="Normal"/>
    <w:next w:val="Normal"/>
    <w:uiPriority w:val="39"/>
    <w:semiHidden/>
    <w:rsid w:val="00B50FBF"/>
    <w:pPr>
      <w:ind w:left="475"/>
    </w:pPr>
    <w:rPr>
      <w:b/>
    </w:rPr>
  </w:style>
  <w:style w:type="paragraph" w:styleId="TOC4">
    <w:name w:val="toc 4"/>
    <w:basedOn w:val="Heading4"/>
    <w:next w:val="Normal"/>
    <w:uiPriority w:val="39"/>
    <w:semiHidden/>
    <w:rsid w:val="00B50FBF"/>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jc w:val="center"/>
    </w:pPr>
    <w:rPr>
      <w:rFonts w:asciiTheme="majorHAnsi" w:hAnsiTheme="majorHAnsi"/>
      <w:b/>
      <w:sz w:val="28"/>
      <w:lang w:eastAsia="ja-JP"/>
    </w:rPr>
  </w:style>
  <w:style w:type="paragraph" w:customStyle="1" w:styleId="Quote1st">
    <w:name w:val="Quote 1st"/>
    <w:basedOn w:val="RegularText"/>
    <w:next w:val="FelskyNumbering12"/>
    <w:link w:val="Quote1stChar"/>
    <w:uiPriority w:val="3"/>
    <w:qFormat/>
    <w:rsid w:val="00FE2885"/>
    <w:pPr>
      <w:ind w:right="720"/>
    </w:pPr>
    <w:rPr>
      <w:lang w:val="en-US"/>
    </w:rPr>
  </w:style>
  <w:style w:type="paragraph" w:customStyle="1" w:styleId="RegularText">
    <w:name w:val="RegularText"/>
    <w:basedOn w:val="ChangeFont"/>
    <w:link w:val="RegularTextChar"/>
    <w:uiPriority w:val="1"/>
    <w:semiHidden/>
    <w:qFormat/>
    <w:rsid w:val="007F5E82"/>
  </w:style>
  <w:style w:type="paragraph" w:customStyle="1" w:styleId="Spacingadjust">
    <w:name w:val="Spacing adjust"/>
    <w:basedOn w:val="ChangeFont"/>
    <w:link w:val="SpacingadjustChar"/>
    <w:qFormat/>
    <w:rsid w:val="00C35262"/>
    <w:pPr>
      <w:spacing w:after="240"/>
    </w:pPr>
    <w:rPr>
      <w:rFonts w:eastAsia="Times New Roman" w:cs="Times New Roman"/>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semiHidden/>
    <w:rsid w:val="00075FED"/>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623698"/>
    <w:rPr>
      <w:rFonts w:ascii="Times New Roman" w:eastAsiaTheme="minorEastAsia" w:hAnsi="Times New Roman" w:cs="Times New Roman"/>
      <w:lang w:eastAsia="en-CA"/>
    </w:rPr>
  </w:style>
  <w:style w:type="paragraph" w:styleId="ListNumber">
    <w:name w:val="List Number"/>
    <w:basedOn w:val="Spacingadjust"/>
    <w:uiPriority w:val="41"/>
    <w:rsid w:val="002C11BA"/>
    <w:pPr>
      <w:numPr>
        <w:numId w:val="15"/>
      </w:numPr>
    </w:pPr>
  </w:style>
  <w:style w:type="paragraph" w:styleId="ListNumber2">
    <w:name w:val="List Number 2"/>
    <w:basedOn w:val="Spacingadjust"/>
    <w:uiPriority w:val="43"/>
    <w:rsid w:val="002C11BA"/>
    <w:pPr>
      <w:numPr>
        <w:ilvl w:val="1"/>
        <w:numId w:val="15"/>
      </w:numPr>
    </w:pPr>
  </w:style>
  <w:style w:type="paragraph" w:customStyle="1" w:styleId="ChangeFont">
    <w:name w:val="Change Font"/>
    <w:basedOn w:val="Normal"/>
    <w:uiPriority w:val="47"/>
    <w:qFormat/>
    <w:rsid w:val="00132956"/>
  </w:style>
  <w:style w:type="paragraph" w:customStyle="1" w:styleId="Lista">
    <w:name w:val="List (a)"/>
    <w:basedOn w:val="ListParagraph"/>
    <w:uiPriority w:val="49"/>
    <w:qFormat/>
    <w:rsid w:val="00426AB8"/>
    <w:pPr>
      <w:tabs>
        <w:tab w:val="num" w:pos="360"/>
      </w:tabs>
      <w:spacing w:before="120" w:after="120"/>
      <w:ind w:left="720" w:firstLine="0"/>
      <w:contextualSpacing w:val="0"/>
    </w:pPr>
  </w:style>
  <w:style w:type="paragraph" w:customStyle="1" w:styleId="Listi">
    <w:name w:val="List (i)"/>
    <w:basedOn w:val="ListParagraph"/>
    <w:uiPriority w:val="51"/>
    <w:qFormat/>
    <w:rsid w:val="00426AB8"/>
    <w:pPr>
      <w:tabs>
        <w:tab w:val="num" w:pos="360"/>
      </w:tabs>
      <w:spacing w:before="120" w:after="120" w:line="480" w:lineRule="auto"/>
      <w:ind w:left="720" w:firstLine="0"/>
      <w:contextualSpacing w:val="0"/>
    </w:pPr>
  </w:style>
  <w:style w:type="character" w:customStyle="1" w:styleId="TableTextChar">
    <w:name w:val="Table Text Char"/>
    <w:basedOn w:val="DefaultParagraphFont"/>
    <w:link w:val="TableText"/>
    <w:uiPriority w:val="39"/>
    <w:rsid w:val="00426AB8"/>
    <w:rPr>
      <w:rFonts w:ascii="Times New Roman" w:eastAsia="PMingLiU" w:hAnsi="Times New Roman"/>
      <w:bCs/>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2" ma:contentTypeDescription="Create a new document." ma:contentTypeScope="" ma:versionID="c06500ac656ca4389518399650a9c2f6">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7c1a736e25566b3d5363ec0404da7411"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Props1.xml><?xml version="1.0" encoding="utf-8"?>
<ds:datastoreItem xmlns:ds="http://schemas.openxmlformats.org/officeDocument/2006/customXml" ds:itemID="{1EE2FF39-55BA-496B-90E7-EE1069A14933}">
  <ds:schemaRefs>
    <ds:schemaRef ds:uri="http://schemas.openxmlformats.org/officeDocument/2006/bibliography"/>
  </ds:schemaRefs>
</ds:datastoreItem>
</file>

<file path=customXml/itemProps2.xml><?xml version="1.0" encoding="utf-8"?>
<ds:datastoreItem xmlns:ds="http://schemas.openxmlformats.org/officeDocument/2006/customXml" ds:itemID="{2D80325F-4968-4921-B1BC-4273B070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E3CB9-7506-40E4-88A3-8D1B16158FC4}">
  <ds:schemaRefs>
    <ds:schemaRef ds:uri="http://schemas.microsoft.com/sharepoint/v3/contenttype/forms"/>
  </ds:schemaRefs>
</ds:datastoreItem>
</file>

<file path=customXml/itemProps4.xml><?xml version="1.0" encoding="utf-8"?>
<ds:datastoreItem xmlns:ds="http://schemas.openxmlformats.org/officeDocument/2006/customXml" ds:itemID="{07A63495-902A-4573-A9A7-E973FF5E7257}">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2331</Words>
  <Characters>13292</Characters>
  <Application>Microsoft Office Word</Application>
  <DocSecurity>0</DocSecurity>
  <Lines>110</Lines>
  <Paragraphs>31</Paragraphs>
  <ScaleCrop>false</ScaleCrop>
  <Company>Alberta Courts</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Jackson</dc:creator>
  <cp:keywords/>
  <dc:description/>
  <cp:lastModifiedBy>Tyler Vibert</cp:lastModifiedBy>
  <cp:revision>3</cp:revision>
  <dcterms:created xsi:type="dcterms:W3CDTF">2023-08-02T21:54:00Z</dcterms:created>
  <dcterms:modified xsi:type="dcterms:W3CDTF">2023-08-02T22:04:00Z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2023-08-02T20:15:17Z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a6083d05-5151-4a33-ad8f-b27c5e6a87f5</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y fmtid="{D5CDD505-2E9C-101B-9397-08002B2CF9AE}" pid="10" name="MediaServiceImageTags">
    <vt:lpwstr/>
  </property>
</Properties>
</file>