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49" w:rsidRPr="00D24E83" w:rsidRDefault="00283549" w:rsidP="007F73F9">
      <w:pPr>
        <w:pStyle w:val="Title1"/>
      </w:pPr>
      <w:bookmarkStart w:id="0" w:name="frTitle"/>
      <w:bookmarkEnd w:id="0"/>
      <w:r w:rsidRPr="00D24E83">
        <w:t xml:space="preserve">In the Court of Appeal of </w:t>
      </w:r>
      <w:r w:rsidR="00B842B8">
        <w:t>for the Northwest Territories</w:t>
      </w:r>
    </w:p>
    <w:p w:rsidR="00283549" w:rsidRPr="008442F0" w:rsidRDefault="00283549" w:rsidP="00E11681">
      <w:pPr>
        <w:ind w:left="0"/>
        <w:rPr>
          <w:rFonts w:eastAsia="PMingLiU"/>
          <w:b/>
          <w:lang w:val="fr-CA"/>
        </w:rPr>
      </w:pPr>
      <w:bookmarkStart w:id="1" w:name="frCitation"/>
      <w:bookmarkEnd w:id="1"/>
      <w:r w:rsidRPr="008442F0">
        <w:rPr>
          <w:rFonts w:eastAsia="PMingLiU"/>
          <w:b/>
          <w:lang w:val="fr-CA"/>
        </w:rPr>
        <w:t xml:space="preserve">Citation: </w:t>
      </w:r>
      <w:r w:rsidR="00B62368" w:rsidRPr="008442F0">
        <w:rPr>
          <w:rFonts w:eastAsia="PMingLiU"/>
          <w:b/>
          <w:i/>
          <w:lang w:val="fr-CA"/>
        </w:rPr>
        <w:t>R v Zoe</w:t>
      </w:r>
      <w:r w:rsidRPr="008442F0">
        <w:rPr>
          <w:rFonts w:eastAsia="PMingLiU"/>
          <w:b/>
          <w:lang w:val="fr-CA"/>
        </w:rPr>
        <w:t xml:space="preserve">, </w:t>
      </w:r>
      <w:r w:rsidR="00B62368" w:rsidRPr="008442F0">
        <w:rPr>
          <w:rFonts w:eastAsia="PMingLiU"/>
          <w:b/>
          <w:color w:val="000000" w:themeColor="text1"/>
          <w:lang w:val="fr-CA"/>
        </w:rPr>
        <w:t>20</w:t>
      </w:r>
      <w:r w:rsidR="00B306CE" w:rsidRPr="008442F0">
        <w:rPr>
          <w:rFonts w:eastAsia="PMingLiU"/>
          <w:b/>
          <w:color w:val="000000" w:themeColor="text1"/>
          <w:lang w:val="fr-CA"/>
        </w:rPr>
        <w:t>20</w:t>
      </w:r>
      <w:r w:rsidRPr="008442F0">
        <w:rPr>
          <w:rFonts w:eastAsia="PMingLiU"/>
          <w:b/>
          <w:lang w:val="fr-CA"/>
        </w:rPr>
        <w:t xml:space="preserve"> </w:t>
      </w:r>
      <w:r w:rsidR="004B0DB2" w:rsidRPr="008442F0">
        <w:rPr>
          <w:rFonts w:eastAsia="PMingLiU"/>
          <w:b/>
          <w:lang w:val="fr-CA"/>
        </w:rPr>
        <w:t>NWT</w:t>
      </w:r>
      <w:r w:rsidRPr="008442F0">
        <w:rPr>
          <w:rFonts w:eastAsia="PMingLiU"/>
          <w:b/>
          <w:lang w:val="fr-CA"/>
        </w:rPr>
        <w:t xml:space="preserve">CA </w:t>
      </w:r>
      <w:r w:rsidR="008442F0" w:rsidRPr="008442F0">
        <w:rPr>
          <w:rFonts w:eastAsia="PMingLiU"/>
          <w:b/>
          <w:lang w:val="fr-CA"/>
        </w:rPr>
        <w:t>1</w:t>
      </w:r>
    </w:p>
    <w:p w:rsidR="00935271" w:rsidRPr="008442F0" w:rsidRDefault="00935271" w:rsidP="00E11681">
      <w:pPr>
        <w:tabs>
          <w:tab w:val="right" w:pos="9360"/>
        </w:tabs>
        <w:ind w:left="0"/>
        <w:rPr>
          <w:rFonts w:eastAsia="PMingLiU"/>
          <w:b/>
          <w:lang w:val="fr-CA"/>
        </w:rPr>
      </w:pPr>
    </w:p>
    <w:p w:rsidR="00283549" w:rsidRPr="004B0DB2" w:rsidRDefault="00283549" w:rsidP="008368D3">
      <w:pPr>
        <w:tabs>
          <w:tab w:val="right" w:pos="9360"/>
        </w:tabs>
        <w:ind w:left="0"/>
        <w:jc w:val="right"/>
        <w:rPr>
          <w:rFonts w:eastAsia="PMingLiU"/>
          <w:color w:val="000000"/>
        </w:rPr>
      </w:pPr>
      <w:r w:rsidRPr="004B0DB2">
        <w:rPr>
          <w:rFonts w:eastAsia="PMingLiU"/>
          <w:b/>
          <w:bCs/>
        </w:rPr>
        <w:t>Date:</w:t>
      </w:r>
      <w:r w:rsidRPr="004B0DB2">
        <w:rPr>
          <w:rFonts w:eastAsia="PMingLiU"/>
        </w:rPr>
        <w:t xml:space="preserve"> </w:t>
      </w:r>
      <w:r w:rsidR="00650849">
        <w:rPr>
          <w:rFonts w:eastAsia="PMingLiU"/>
        </w:rPr>
        <w:t>2020</w:t>
      </w:r>
      <w:r w:rsidR="00B77E59">
        <w:rPr>
          <w:rFonts w:eastAsia="PMingLiU"/>
        </w:rPr>
        <w:t xml:space="preserve"> </w:t>
      </w:r>
      <w:r w:rsidR="00650849">
        <w:rPr>
          <w:rFonts w:eastAsia="PMingLiU"/>
        </w:rPr>
        <w:t>0</w:t>
      </w:r>
      <w:r w:rsidR="007A131A">
        <w:rPr>
          <w:rFonts w:eastAsia="PMingLiU"/>
        </w:rPr>
        <w:t>1</w:t>
      </w:r>
      <w:r w:rsidR="00B77E59">
        <w:rPr>
          <w:rFonts w:eastAsia="PMingLiU"/>
        </w:rPr>
        <w:t xml:space="preserve"> </w:t>
      </w:r>
      <w:r w:rsidR="007A131A">
        <w:rPr>
          <w:rFonts w:eastAsia="PMingLiU"/>
        </w:rPr>
        <w:t>31</w:t>
      </w:r>
    </w:p>
    <w:p w:rsidR="00283549" w:rsidRPr="004D654D" w:rsidRDefault="00283549" w:rsidP="008368D3">
      <w:pPr>
        <w:tabs>
          <w:tab w:val="right" w:pos="9360"/>
        </w:tabs>
        <w:ind w:left="0"/>
        <w:jc w:val="right"/>
        <w:rPr>
          <w:rFonts w:eastAsia="PMingLiU"/>
        </w:rPr>
      </w:pPr>
      <w:bookmarkStart w:id="2" w:name="frDocket"/>
      <w:bookmarkEnd w:id="2"/>
      <w:r w:rsidRPr="004D654D">
        <w:rPr>
          <w:rFonts w:eastAsia="PMingLiU"/>
          <w:b/>
          <w:bCs/>
        </w:rPr>
        <w:t>Docket:</w:t>
      </w:r>
      <w:r w:rsidR="004D654D" w:rsidRPr="004D654D">
        <w:rPr>
          <w:rFonts w:eastAsia="PMingLiU"/>
          <w:bCs/>
        </w:rPr>
        <w:t xml:space="preserve"> </w:t>
      </w:r>
      <w:r w:rsidR="00B62368">
        <w:rPr>
          <w:rFonts w:eastAsia="PMingLiU"/>
          <w:bCs/>
        </w:rPr>
        <w:t>A-1-AP-2017-000</w:t>
      </w:r>
      <w:r w:rsidR="00B77E59">
        <w:rPr>
          <w:rFonts w:eastAsia="PMingLiU"/>
          <w:bCs/>
        </w:rPr>
        <w:t xml:space="preserve"> </w:t>
      </w:r>
      <w:r w:rsidR="00B62368">
        <w:rPr>
          <w:rFonts w:eastAsia="PMingLiU"/>
          <w:bCs/>
        </w:rPr>
        <w:t>016</w:t>
      </w:r>
    </w:p>
    <w:p w:rsidR="00283549" w:rsidRPr="00973735" w:rsidRDefault="00283549" w:rsidP="008368D3">
      <w:pPr>
        <w:tabs>
          <w:tab w:val="right" w:pos="9360"/>
        </w:tabs>
        <w:ind w:left="0"/>
        <w:jc w:val="right"/>
        <w:rPr>
          <w:rFonts w:eastAsia="PMingLiU"/>
        </w:rPr>
      </w:pPr>
      <w:bookmarkStart w:id="3" w:name="frRegistry"/>
      <w:bookmarkEnd w:id="3"/>
      <w:r w:rsidRPr="009C2254">
        <w:rPr>
          <w:rFonts w:eastAsia="PMingLiU"/>
          <w:b/>
          <w:bCs/>
        </w:rPr>
        <w:t>Registry:</w:t>
      </w:r>
      <w:r w:rsidRPr="00973735">
        <w:rPr>
          <w:rFonts w:eastAsia="PMingLiU"/>
        </w:rPr>
        <w:t xml:space="preserve"> </w:t>
      </w:r>
      <w:r w:rsidR="00D8331C">
        <w:rPr>
          <w:rFonts w:eastAsia="PMingLiU"/>
        </w:rPr>
        <w:t>Yellowknife</w:t>
      </w:r>
    </w:p>
    <w:p w:rsidR="00283549" w:rsidRPr="009C2254" w:rsidRDefault="00283549" w:rsidP="00E11681">
      <w:pPr>
        <w:ind w:left="0"/>
        <w:rPr>
          <w:rFonts w:eastAsia="PMingLiU"/>
        </w:rPr>
      </w:pPr>
      <w:bookmarkStart w:id="4" w:name="frBetween"/>
      <w:bookmarkEnd w:id="4"/>
      <w:r w:rsidRPr="009C2254">
        <w:rPr>
          <w:rFonts w:eastAsia="PMingLiU"/>
          <w:b/>
          <w:bCs/>
        </w:rPr>
        <w:t>Between:</w:t>
      </w:r>
    </w:p>
    <w:p w:rsidR="00283549" w:rsidRPr="00467D72" w:rsidRDefault="00283549" w:rsidP="00E11681">
      <w:pPr>
        <w:ind w:left="0"/>
        <w:rPr>
          <w:rFonts w:eastAsia="PMingLiU"/>
          <w:sz w:val="20"/>
        </w:rPr>
      </w:pPr>
    </w:p>
    <w:p w:rsidR="00283549" w:rsidRPr="00B62368" w:rsidRDefault="00B62368" w:rsidP="00E11681">
      <w:pPr>
        <w:ind w:left="0"/>
        <w:jc w:val="center"/>
        <w:rPr>
          <w:rFonts w:eastAsia="PMingLiU"/>
        </w:rPr>
      </w:pPr>
      <w:r>
        <w:rPr>
          <w:rFonts w:eastAsia="PMingLiU"/>
          <w:b/>
        </w:rPr>
        <w:t>Her Majesty the Queen</w:t>
      </w:r>
    </w:p>
    <w:p w:rsidR="00283549" w:rsidRPr="009C2254" w:rsidRDefault="00283549" w:rsidP="00E11681">
      <w:pPr>
        <w:ind w:left="0"/>
        <w:rPr>
          <w:rFonts w:eastAsia="PMingLiU"/>
        </w:rPr>
      </w:pPr>
    </w:p>
    <w:p w:rsidR="00283549" w:rsidRPr="009C2254" w:rsidRDefault="00B62368" w:rsidP="008368D3">
      <w:pPr>
        <w:tabs>
          <w:tab w:val="right" w:pos="9360"/>
        </w:tabs>
        <w:ind w:left="0"/>
        <w:jc w:val="right"/>
        <w:rPr>
          <w:rFonts w:eastAsia="PMingLiU"/>
        </w:rPr>
      </w:pPr>
      <w:r>
        <w:rPr>
          <w:rFonts w:eastAsia="PMingLiU"/>
        </w:rPr>
        <w:t>Respondent</w:t>
      </w:r>
    </w:p>
    <w:p w:rsidR="00283549" w:rsidRPr="009C2254" w:rsidRDefault="00283549" w:rsidP="00E11681">
      <w:pPr>
        <w:ind w:left="0"/>
        <w:rPr>
          <w:rFonts w:eastAsia="PMingLiU"/>
        </w:rPr>
      </w:pPr>
    </w:p>
    <w:p w:rsidR="00283549" w:rsidRPr="009C2254" w:rsidRDefault="00283549" w:rsidP="008368D3">
      <w:pPr>
        <w:tabs>
          <w:tab w:val="center" w:pos="4680"/>
        </w:tabs>
        <w:ind w:left="0"/>
        <w:jc w:val="center"/>
        <w:rPr>
          <w:rFonts w:eastAsia="PMingLiU"/>
        </w:rPr>
      </w:pPr>
      <w:r w:rsidRPr="009C2254">
        <w:rPr>
          <w:rFonts w:eastAsia="PMingLiU"/>
        </w:rPr>
        <w:t xml:space="preserve">- </w:t>
      </w:r>
      <w:bookmarkStart w:id="5" w:name="frAnd"/>
      <w:bookmarkEnd w:id="5"/>
      <w:proofErr w:type="gramStart"/>
      <w:r w:rsidRPr="009C2254">
        <w:rPr>
          <w:rFonts w:eastAsia="PMingLiU"/>
        </w:rPr>
        <w:t>and</w:t>
      </w:r>
      <w:proofErr w:type="gramEnd"/>
      <w:r w:rsidRPr="009C2254">
        <w:rPr>
          <w:rFonts w:eastAsia="PMingLiU"/>
        </w:rPr>
        <w:t xml:space="preserve"> -</w:t>
      </w:r>
    </w:p>
    <w:p w:rsidR="00283549" w:rsidRPr="009C2254" w:rsidRDefault="00283549" w:rsidP="00E11681">
      <w:pPr>
        <w:ind w:left="0"/>
        <w:rPr>
          <w:rFonts w:eastAsia="PMingLiU"/>
        </w:rPr>
      </w:pPr>
    </w:p>
    <w:p w:rsidR="00283549" w:rsidRPr="00B62368" w:rsidRDefault="00B62368" w:rsidP="00E11681">
      <w:pPr>
        <w:ind w:left="0"/>
        <w:jc w:val="center"/>
        <w:rPr>
          <w:rFonts w:eastAsia="PMingLiU"/>
        </w:rPr>
      </w:pPr>
      <w:r>
        <w:rPr>
          <w:rFonts w:eastAsia="PMingLiU"/>
          <w:b/>
        </w:rPr>
        <w:t>Bobby Zoe</w:t>
      </w:r>
    </w:p>
    <w:p w:rsidR="00283549" w:rsidRPr="009C2254" w:rsidRDefault="00283549" w:rsidP="00E11681">
      <w:pPr>
        <w:ind w:left="0"/>
        <w:rPr>
          <w:rFonts w:eastAsia="PMingLiU"/>
        </w:rPr>
      </w:pPr>
    </w:p>
    <w:p w:rsidR="00283549" w:rsidRPr="009C2254" w:rsidRDefault="00B62368" w:rsidP="008368D3">
      <w:pPr>
        <w:tabs>
          <w:tab w:val="right" w:pos="9360"/>
        </w:tabs>
        <w:ind w:left="0"/>
        <w:jc w:val="right"/>
        <w:rPr>
          <w:rFonts w:eastAsia="PMingLiU"/>
        </w:rPr>
      </w:pPr>
      <w:r>
        <w:rPr>
          <w:rFonts w:eastAsia="PMingLiU"/>
        </w:rPr>
        <w:t>Appellant</w:t>
      </w:r>
    </w:p>
    <w:p w:rsidR="00283549" w:rsidRPr="009C2254" w:rsidRDefault="00283549" w:rsidP="00E11681">
      <w:pPr>
        <w:ind w:left="0"/>
        <w:rPr>
          <w:rFonts w:eastAsia="PMingLiU"/>
        </w:rPr>
      </w:pPr>
      <w:bookmarkStart w:id="6" w:name="PubBanTableStart"/>
      <w:bookmarkEnd w:id="6"/>
    </w:p>
    <w:tbl>
      <w:tblPr>
        <w:tblW w:w="0" w:type="auto"/>
        <w:jc w:val="center"/>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CellMar>
          <w:top w:w="144" w:type="dxa"/>
          <w:left w:w="264" w:type="dxa"/>
          <w:bottom w:w="144" w:type="dxa"/>
          <w:right w:w="264" w:type="dxa"/>
        </w:tblCellMar>
        <w:tblLook w:val="0000" w:firstRow="0" w:lastRow="0" w:firstColumn="0" w:lastColumn="0" w:noHBand="0" w:noVBand="0"/>
      </w:tblPr>
      <w:tblGrid>
        <w:gridCol w:w="7920"/>
      </w:tblGrid>
      <w:tr w:rsidR="00283549" w:rsidRPr="009C2254" w:rsidTr="00194D2F">
        <w:trPr>
          <w:jc w:val="center"/>
        </w:trPr>
        <w:tc>
          <w:tcPr>
            <w:tcW w:w="7920" w:type="dxa"/>
          </w:tcPr>
          <w:p w:rsidR="00283549" w:rsidRPr="00B24F8F" w:rsidRDefault="00283549" w:rsidP="00D73CCC">
            <w:pPr>
              <w:spacing w:after="120"/>
              <w:ind w:left="0"/>
              <w:jc w:val="center"/>
              <w:rPr>
                <w:rFonts w:eastAsia="PMingLiU"/>
                <w:sz w:val="28"/>
                <w:szCs w:val="28"/>
              </w:rPr>
            </w:pPr>
            <w:r w:rsidRPr="00B24F8F">
              <w:rPr>
                <w:b/>
                <w:bCs/>
                <w:sz w:val="28"/>
                <w:szCs w:val="28"/>
              </w:rPr>
              <w:t>Restriction on Publication</w:t>
            </w:r>
          </w:p>
          <w:p w:rsidR="00B62368" w:rsidRDefault="00B62368" w:rsidP="00502C82">
            <w:pPr>
              <w:spacing w:before="120" w:after="120"/>
              <w:ind w:left="0"/>
              <w:rPr>
                <w:rFonts w:eastAsia="PMingLiU"/>
                <w:sz w:val="22"/>
                <w:szCs w:val="22"/>
              </w:rPr>
            </w:pPr>
            <w:r>
              <w:rPr>
                <w:rFonts w:eastAsia="PMingLiU"/>
                <w:b/>
                <w:sz w:val="22"/>
                <w:szCs w:val="22"/>
              </w:rPr>
              <w:t>Identification Ban</w:t>
            </w:r>
            <w:r>
              <w:rPr>
                <w:rFonts w:eastAsia="PMingLiU"/>
                <w:sz w:val="22"/>
                <w:szCs w:val="22"/>
              </w:rPr>
              <w:t xml:space="preserve"> – See the </w:t>
            </w:r>
            <w:r>
              <w:rPr>
                <w:rFonts w:eastAsia="PMingLiU"/>
                <w:i/>
                <w:sz w:val="22"/>
                <w:szCs w:val="22"/>
              </w:rPr>
              <w:t>Criminal Code</w:t>
            </w:r>
            <w:r>
              <w:rPr>
                <w:rFonts w:eastAsia="PMingLiU"/>
                <w:sz w:val="22"/>
                <w:szCs w:val="22"/>
              </w:rPr>
              <w:t>, section 486.4.</w:t>
            </w:r>
          </w:p>
          <w:p w:rsidR="00B62368" w:rsidRDefault="00B62368" w:rsidP="00502C82">
            <w:pPr>
              <w:spacing w:before="120" w:after="120"/>
              <w:ind w:left="0"/>
              <w:rPr>
                <w:rFonts w:eastAsia="PMingLiU"/>
                <w:sz w:val="22"/>
                <w:szCs w:val="22"/>
              </w:rPr>
            </w:pPr>
            <w:r>
              <w:rPr>
                <w:rFonts w:eastAsia="PMingLiU"/>
                <w:sz w:val="22"/>
                <w:szCs w:val="22"/>
              </w:rPr>
              <w:t>By Court Order, information that may identify the victim</w:t>
            </w:r>
            <w:r w:rsidR="00C6140D">
              <w:rPr>
                <w:rFonts w:eastAsia="PMingLiU"/>
                <w:sz w:val="22"/>
                <w:szCs w:val="22"/>
              </w:rPr>
              <w:t>s</w:t>
            </w:r>
            <w:r>
              <w:rPr>
                <w:rFonts w:eastAsia="PMingLiU"/>
                <w:sz w:val="22"/>
                <w:szCs w:val="22"/>
              </w:rPr>
              <w:t xml:space="preserve"> must not be published, broadcast, or transmitted in any way.</w:t>
            </w:r>
          </w:p>
          <w:p w:rsidR="00283549" w:rsidRPr="00B62368" w:rsidRDefault="00B62368" w:rsidP="00502C82">
            <w:pPr>
              <w:spacing w:before="120" w:after="120"/>
              <w:ind w:left="0"/>
              <w:rPr>
                <w:rFonts w:eastAsia="PMingLiU"/>
                <w:sz w:val="22"/>
                <w:szCs w:val="22"/>
              </w:rPr>
            </w:pPr>
            <w:r>
              <w:rPr>
                <w:rFonts w:eastAsia="PMingLiU"/>
                <w:b/>
                <w:sz w:val="22"/>
                <w:szCs w:val="22"/>
              </w:rPr>
              <w:t>NOTE:</w:t>
            </w:r>
            <w:r>
              <w:rPr>
                <w:rFonts w:eastAsia="PMingLiU"/>
                <w:sz w:val="22"/>
                <w:szCs w:val="22"/>
              </w:rPr>
              <w:t xml:space="preserve"> This judgment is intended to comply with the identification ban.</w:t>
            </w:r>
            <w:bookmarkStart w:id="7" w:name="PubBanText"/>
            <w:bookmarkEnd w:id="7"/>
          </w:p>
        </w:tc>
      </w:tr>
    </w:tbl>
    <w:p w:rsidR="00B62368" w:rsidRDefault="00B62368" w:rsidP="00B62368">
      <w:pPr>
        <w:ind w:left="0"/>
        <w:jc w:val="center"/>
        <w:rPr>
          <w:rFonts w:eastAsia="PMingLiU"/>
          <w:b/>
        </w:rPr>
      </w:pPr>
      <w:bookmarkStart w:id="8" w:name="PubBanTableEnd"/>
      <w:bookmarkStart w:id="9" w:name="CorrectedJudgment"/>
      <w:bookmarkStart w:id="10" w:name="TheCourt"/>
      <w:bookmarkEnd w:id="8"/>
      <w:bookmarkEnd w:id="9"/>
      <w:bookmarkEnd w:id="10"/>
      <w:r>
        <w:rPr>
          <w:rFonts w:eastAsia="PMingLiU"/>
          <w:b/>
        </w:rPr>
        <w:t>_______________________________________________________</w:t>
      </w:r>
    </w:p>
    <w:p w:rsidR="00B62368" w:rsidRPr="00467D72" w:rsidRDefault="00B62368" w:rsidP="00B62368">
      <w:pPr>
        <w:ind w:left="0"/>
        <w:jc w:val="center"/>
        <w:rPr>
          <w:rFonts w:eastAsia="PMingLiU"/>
          <w:b/>
          <w:sz w:val="22"/>
        </w:rPr>
      </w:pPr>
    </w:p>
    <w:p w:rsidR="00B62368" w:rsidRDefault="00B62368" w:rsidP="00B62368">
      <w:pPr>
        <w:ind w:left="0"/>
        <w:jc w:val="left"/>
        <w:rPr>
          <w:rFonts w:eastAsia="PMingLiU"/>
          <w:b/>
        </w:rPr>
      </w:pPr>
      <w:r>
        <w:rPr>
          <w:rFonts w:eastAsia="PMingLiU"/>
          <w:b/>
        </w:rPr>
        <w:t>The Court:</w:t>
      </w:r>
    </w:p>
    <w:p w:rsidR="006A3891" w:rsidRDefault="006A3891" w:rsidP="006A3891">
      <w:pPr>
        <w:ind w:left="0"/>
        <w:jc w:val="center"/>
        <w:rPr>
          <w:rFonts w:eastAsia="PMingLiU"/>
          <w:b/>
        </w:rPr>
      </w:pPr>
      <w:bookmarkStart w:id="11" w:name="JusticeTitleStart"/>
      <w:bookmarkStart w:id="12" w:name="JusticeName3"/>
      <w:bookmarkStart w:id="13" w:name="JusticeName"/>
      <w:bookmarkEnd w:id="11"/>
      <w:r>
        <w:rPr>
          <w:rFonts w:eastAsia="PMingLiU"/>
          <w:b/>
        </w:rPr>
        <w:t xml:space="preserve">The Honourable Mr. Justice Paul </w:t>
      </w:r>
      <w:proofErr w:type="spellStart"/>
      <w:r>
        <w:rPr>
          <w:rFonts w:eastAsia="PMingLiU"/>
          <w:b/>
        </w:rPr>
        <w:t>Bychok</w:t>
      </w:r>
      <w:bookmarkStart w:id="14" w:name="JusticeTitleEnd"/>
      <w:bookmarkEnd w:id="12"/>
      <w:bookmarkEnd w:id="14"/>
      <w:proofErr w:type="spellEnd"/>
    </w:p>
    <w:p w:rsidR="00B62368" w:rsidRDefault="00B62368" w:rsidP="00B62368">
      <w:pPr>
        <w:ind w:left="0"/>
        <w:jc w:val="center"/>
        <w:rPr>
          <w:rFonts w:eastAsia="PMingLiU"/>
          <w:b/>
        </w:rPr>
      </w:pPr>
      <w:r>
        <w:rPr>
          <w:rFonts w:eastAsia="PMingLiU"/>
          <w:b/>
        </w:rPr>
        <w:t xml:space="preserve">The Honourable Madam Justice </w:t>
      </w:r>
      <w:proofErr w:type="spellStart"/>
      <w:r>
        <w:rPr>
          <w:rFonts w:eastAsia="PMingLiU"/>
          <w:b/>
        </w:rPr>
        <w:t>Ritu</w:t>
      </w:r>
      <w:proofErr w:type="spellEnd"/>
      <w:r>
        <w:rPr>
          <w:rFonts w:eastAsia="PMingLiU"/>
          <w:b/>
        </w:rPr>
        <w:t xml:space="preserve"> </w:t>
      </w:r>
      <w:proofErr w:type="spellStart"/>
      <w:r>
        <w:rPr>
          <w:rFonts w:eastAsia="PMingLiU"/>
          <w:b/>
        </w:rPr>
        <w:t>Khullar</w:t>
      </w:r>
      <w:bookmarkEnd w:id="13"/>
      <w:proofErr w:type="spellEnd"/>
    </w:p>
    <w:p w:rsidR="00B62368" w:rsidRDefault="00B62368" w:rsidP="00B62368">
      <w:pPr>
        <w:ind w:left="0"/>
        <w:jc w:val="center"/>
        <w:rPr>
          <w:rFonts w:eastAsia="PMingLiU"/>
          <w:b/>
        </w:rPr>
      </w:pPr>
      <w:bookmarkStart w:id="15" w:name="JusticeName2"/>
      <w:r>
        <w:rPr>
          <w:rFonts w:eastAsia="PMingLiU"/>
          <w:b/>
        </w:rPr>
        <w:t xml:space="preserve">The Honourable Madam Justice Dawn </w:t>
      </w:r>
      <w:proofErr w:type="spellStart"/>
      <w:r>
        <w:rPr>
          <w:rFonts w:eastAsia="PMingLiU"/>
          <w:b/>
        </w:rPr>
        <w:t>Pentelechuk</w:t>
      </w:r>
      <w:bookmarkEnd w:id="15"/>
      <w:proofErr w:type="spellEnd"/>
    </w:p>
    <w:p w:rsidR="00283549" w:rsidRPr="00B62368" w:rsidRDefault="00B62368" w:rsidP="00B62368">
      <w:pPr>
        <w:ind w:left="0"/>
        <w:jc w:val="center"/>
        <w:rPr>
          <w:rFonts w:eastAsia="PMingLiU"/>
          <w:b/>
        </w:rPr>
      </w:pPr>
      <w:r>
        <w:rPr>
          <w:rFonts w:eastAsia="PMingLiU"/>
          <w:b/>
        </w:rPr>
        <w:t>_______________________________________________________</w:t>
      </w:r>
    </w:p>
    <w:p w:rsidR="00467D72" w:rsidRDefault="00467D72" w:rsidP="00B62368">
      <w:pPr>
        <w:keepNext/>
        <w:keepLines/>
        <w:ind w:left="0"/>
        <w:jc w:val="center"/>
        <w:rPr>
          <w:rFonts w:eastAsia="PMingLiU"/>
          <w:b/>
        </w:rPr>
      </w:pPr>
      <w:bookmarkStart w:id="16" w:name="JudgmentType"/>
    </w:p>
    <w:p w:rsidR="00B62368" w:rsidRDefault="00B62368" w:rsidP="00B62368">
      <w:pPr>
        <w:keepNext/>
        <w:keepLines/>
        <w:ind w:left="0"/>
        <w:jc w:val="center"/>
        <w:rPr>
          <w:rFonts w:eastAsia="PMingLiU"/>
        </w:rPr>
      </w:pPr>
      <w:r w:rsidRPr="00B62368">
        <w:rPr>
          <w:rFonts w:eastAsia="PMingLiU"/>
          <w:b/>
        </w:rPr>
        <w:t>Memorandum of Judgment</w:t>
      </w:r>
      <w:bookmarkEnd w:id="16"/>
    </w:p>
    <w:p w:rsidR="00B62368" w:rsidRDefault="00B62368" w:rsidP="00B62368">
      <w:pPr>
        <w:keepNext/>
        <w:keepLines/>
        <w:ind w:left="0"/>
        <w:jc w:val="center"/>
        <w:rPr>
          <w:rFonts w:eastAsia="PMingLiU"/>
        </w:rPr>
      </w:pPr>
      <w:bookmarkStart w:id="17" w:name="JudgmentTypeCover"/>
      <w:bookmarkEnd w:id="17"/>
    </w:p>
    <w:p w:rsidR="00283549" w:rsidRPr="009C2254" w:rsidRDefault="00B62368" w:rsidP="008368D3">
      <w:pPr>
        <w:tabs>
          <w:tab w:val="center" w:pos="4680"/>
        </w:tabs>
        <w:ind w:left="0"/>
        <w:jc w:val="center"/>
        <w:rPr>
          <w:rFonts w:eastAsia="PMingLiU"/>
        </w:rPr>
      </w:pPr>
      <w:bookmarkStart w:id="18" w:name="TrialJudgmentType"/>
      <w:bookmarkEnd w:id="18"/>
      <w:r>
        <w:rPr>
          <w:rFonts w:eastAsia="PMingLiU"/>
        </w:rPr>
        <w:t>Appeal from the Conviction by</w:t>
      </w:r>
    </w:p>
    <w:p w:rsidR="00283549" w:rsidRPr="00B62368" w:rsidRDefault="00B62368" w:rsidP="008368D3">
      <w:pPr>
        <w:tabs>
          <w:tab w:val="center" w:pos="4680"/>
        </w:tabs>
        <w:ind w:left="0"/>
        <w:jc w:val="center"/>
        <w:rPr>
          <w:rFonts w:eastAsia="PMingLiU"/>
          <w:color w:val="000000"/>
        </w:rPr>
      </w:pPr>
      <w:bookmarkStart w:id="19" w:name="TrialJudgeSalutation"/>
      <w:r>
        <w:rPr>
          <w:rFonts w:eastAsia="PMingLiU"/>
        </w:rPr>
        <w:t xml:space="preserve">The Honourable </w:t>
      </w:r>
      <w:bookmarkStart w:id="20" w:name="TrialJudgeName"/>
      <w:bookmarkEnd w:id="19"/>
      <w:bookmarkEnd w:id="20"/>
      <w:r w:rsidR="003F0216">
        <w:rPr>
          <w:rFonts w:eastAsia="PMingLiU"/>
        </w:rPr>
        <w:t>Deputy Judge</w:t>
      </w:r>
      <w:r w:rsidR="008533A5">
        <w:rPr>
          <w:rFonts w:eastAsia="PMingLiU"/>
        </w:rPr>
        <w:t xml:space="preserve"> J.R. McIntosh</w:t>
      </w:r>
    </w:p>
    <w:p w:rsidR="00B62368" w:rsidRDefault="00B62368" w:rsidP="008368D3">
      <w:pPr>
        <w:tabs>
          <w:tab w:val="center" w:pos="4680"/>
        </w:tabs>
        <w:ind w:left="0"/>
        <w:jc w:val="center"/>
        <w:rPr>
          <w:rFonts w:eastAsia="PMingLiU"/>
        </w:rPr>
      </w:pPr>
      <w:bookmarkStart w:id="21" w:name="TrialConvictionDate"/>
      <w:bookmarkStart w:id="22" w:name="TrialJudgmentDate"/>
      <w:bookmarkStart w:id="23" w:name="TrialFiledDate"/>
      <w:bookmarkEnd w:id="21"/>
      <w:bookmarkEnd w:id="22"/>
      <w:bookmarkEnd w:id="23"/>
      <w:r>
        <w:rPr>
          <w:rFonts w:eastAsia="PMingLiU"/>
        </w:rPr>
        <w:t>Convicted on the 24th day of February, 2016</w:t>
      </w:r>
    </w:p>
    <w:p w:rsidR="003F0216" w:rsidRDefault="003F0216" w:rsidP="008368D3">
      <w:pPr>
        <w:tabs>
          <w:tab w:val="center" w:pos="4680"/>
        </w:tabs>
        <w:ind w:left="0"/>
        <w:jc w:val="center"/>
        <w:rPr>
          <w:rFonts w:eastAsia="PMingLiU"/>
        </w:rPr>
      </w:pPr>
    </w:p>
    <w:p w:rsidR="001F3FB1" w:rsidRDefault="001F3FB1" w:rsidP="008368D3">
      <w:pPr>
        <w:tabs>
          <w:tab w:val="center" w:pos="4680"/>
        </w:tabs>
        <w:ind w:left="0"/>
        <w:jc w:val="center"/>
        <w:rPr>
          <w:rFonts w:eastAsia="PMingLiU"/>
        </w:rPr>
      </w:pPr>
      <w:r>
        <w:rPr>
          <w:rFonts w:eastAsia="PMingLiU"/>
        </w:rPr>
        <w:t>Appeal from the Sentenc</w:t>
      </w:r>
      <w:r w:rsidR="003F0216">
        <w:rPr>
          <w:rFonts w:eastAsia="PMingLiU"/>
        </w:rPr>
        <w:t>e</w:t>
      </w:r>
      <w:r>
        <w:rPr>
          <w:rFonts w:eastAsia="PMingLiU"/>
        </w:rPr>
        <w:t xml:space="preserve"> by</w:t>
      </w:r>
    </w:p>
    <w:p w:rsidR="001F3FB1" w:rsidRDefault="003F0216" w:rsidP="008368D3">
      <w:pPr>
        <w:tabs>
          <w:tab w:val="center" w:pos="4680"/>
        </w:tabs>
        <w:ind w:left="0"/>
        <w:jc w:val="center"/>
        <w:rPr>
          <w:rFonts w:eastAsia="PMingLiU"/>
        </w:rPr>
      </w:pPr>
      <w:r>
        <w:rPr>
          <w:rFonts w:eastAsia="PMingLiU"/>
        </w:rPr>
        <w:t>The Honourable Deputy Judge J.R. McIntosh</w:t>
      </w:r>
    </w:p>
    <w:p w:rsidR="003F0216" w:rsidRDefault="003F0216" w:rsidP="008368D3">
      <w:pPr>
        <w:tabs>
          <w:tab w:val="center" w:pos="4680"/>
        </w:tabs>
        <w:ind w:left="0"/>
        <w:jc w:val="center"/>
        <w:rPr>
          <w:rFonts w:eastAsia="PMingLiU"/>
        </w:rPr>
      </w:pPr>
      <w:r>
        <w:rPr>
          <w:rFonts w:eastAsia="PMingLiU"/>
        </w:rPr>
        <w:t>Sentenced on the 8</w:t>
      </w:r>
      <w:r w:rsidRPr="006D5B01">
        <w:rPr>
          <w:rFonts w:eastAsia="PMingLiU"/>
        </w:rPr>
        <w:t xml:space="preserve">th </w:t>
      </w:r>
      <w:r>
        <w:rPr>
          <w:rFonts w:eastAsia="PMingLiU"/>
        </w:rPr>
        <w:t>day of December, 2017</w:t>
      </w:r>
    </w:p>
    <w:p w:rsidR="00283549" w:rsidRPr="009C2254" w:rsidRDefault="00283549" w:rsidP="00B62368">
      <w:pPr>
        <w:tabs>
          <w:tab w:val="center" w:pos="4680"/>
        </w:tabs>
        <w:ind w:left="0"/>
        <w:jc w:val="center"/>
        <w:rPr>
          <w:rFonts w:eastAsia="PMingLiU"/>
        </w:rPr>
      </w:pPr>
    </w:p>
    <w:p w:rsidR="00283549" w:rsidRPr="00B62368" w:rsidRDefault="00B62368" w:rsidP="008368D3">
      <w:pPr>
        <w:tabs>
          <w:tab w:val="center" w:pos="4680"/>
        </w:tabs>
        <w:ind w:left="0"/>
        <w:jc w:val="center"/>
        <w:rPr>
          <w:rFonts w:eastAsia="PMingLiU"/>
          <w:color w:val="000000"/>
        </w:rPr>
      </w:pPr>
      <w:bookmarkStart w:id="24" w:name="JudgmentDetails"/>
      <w:bookmarkEnd w:id="24"/>
      <w:r>
        <w:rPr>
          <w:rFonts w:eastAsia="PMingLiU"/>
        </w:rPr>
        <w:t>(</w:t>
      </w:r>
      <w:r>
        <w:rPr>
          <w:rFonts w:eastAsia="PMingLiU"/>
          <w:color w:val="000000"/>
        </w:rPr>
        <w:t>Docket:</w:t>
      </w:r>
      <w:r w:rsidR="001F3FB1">
        <w:rPr>
          <w:rFonts w:eastAsia="PMingLiU"/>
          <w:color w:val="000000"/>
        </w:rPr>
        <w:t xml:space="preserve"> </w:t>
      </w:r>
      <w:r w:rsidR="003F0216">
        <w:rPr>
          <w:rFonts w:eastAsia="PMingLiU"/>
          <w:color w:val="000000"/>
        </w:rPr>
        <w:t>T-2-CR-2015-000134</w:t>
      </w:r>
      <w:r>
        <w:rPr>
          <w:rFonts w:eastAsia="PMingLiU"/>
          <w:color w:val="000000"/>
        </w:rPr>
        <w:t>)</w:t>
      </w:r>
    </w:p>
    <w:p w:rsidR="00283549" w:rsidRPr="009C2254" w:rsidRDefault="00283549" w:rsidP="004B6F64">
      <w:pPr>
        <w:ind w:left="0"/>
        <w:rPr>
          <w:rFonts w:eastAsia="PMingLiU"/>
        </w:rPr>
        <w:sectPr w:rsidR="00283549" w:rsidRPr="009C2254" w:rsidSect="00AB0EFF">
          <w:headerReference w:type="even" r:id="rId9"/>
          <w:pgSz w:w="12240" w:h="15840"/>
          <w:pgMar w:top="1440" w:right="1440" w:bottom="1440" w:left="1440" w:header="1152" w:footer="1440" w:gutter="0"/>
          <w:cols w:space="720"/>
          <w:noEndnote/>
          <w:docGrid w:linePitch="326"/>
        </w:sectPr>
      </w:pPr>
    </w:p>
    <w:p w:rsidR="00283549" w:rsidRPr="00A120A5" w:rsidRDefault="00283549" w:rsidP="00CD77E5">
      <w:pPr>
        <w:ind w:left="0"/>
        <w:jc w:val="center"/>
        <w:rPr>
          <w:rFonts w:eastAsia="PMingLiU"/>
          <w:b/>
        </w:rPr>
      </w:pPr>
      <w:bookmarkStart w:id="25" w:name="TOC_Here"/>
      <w:bookmarkEnd w:id="25"/>
      <w:r w:rsidRPr="00A120A5">
        <w:rPr>
          <w:rFonts w:eastAsia="PMingLiU"/>
          <w:b/>
        </w:rPr>
        <w:lastRenderedPageBreak/>
        <w:t>_______________________________________________________</w:t>
      </w:r>
    </w:p>
    <w:p w:rsidR="00283549" w:rsidRPr="00A120A5" w:rsidRDefault="00283549" w:rsidP="0024025E">
      <w:pPr>
        <w:ind w:left="0"/>
        <w:jc w:val="center"/>
        <w:rPr>
          <w:rFonts w:eastAsia="PMingLiU"/>
          <w:b/>
        </w:rPr>
      </w:pPr>
    </w:p>
    <w:p w:rsidR="00283549" w:rsidRPr="00B62368" w:rsidRDefault="00B62368" w:rsidP="00B1323A">
      <w:pPr>
        <w:ind w:left="0"/>
        <w:jc w:val="center"/>
        <w:rPr>
          <w:rFonts w:eastAsia="PMingLiU"/>
        </w:rPr>
      </w:pPr>
      <w:bookmarkStart w:id="26" w:name="JudgmentTypeStart"/>
      <w:bookmarkStart w:id="27" w:name="JudgmentTypeEnd"/>
      <w:bookmarkEnd w:id="26"/>
      <w:bookmarkEnd w:id="27"/>
      <w:r>
        <w:rPr>
          <w:rFonts w:eastAsia="PMingLiU"/>
          <w:b/>
        </w:rPr>
        <w:t>Memorandum of Judgment</w:t>
      </w:r>
      <w:bookmarkStart w:id="28" w:name="JudgmentTypeDocument"/>
      <w:bookmarkEnd w:id="28"/>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99595C" w:rsidRDefault="0099595C" w:rsidP="004B6F64">
      <w:pPr>
        <w:ind w:left="0"/>
        <w:rPr>
          <w:rFonts w:eastAsia="PMingLiU"/>
        </w:rPr>
        <w:sectPr w:rsidR="0099595C" w:rsidSect="009456BD">
          <w:headerReference w:type="even" r:id="rId10"/>
          <w:headerReference w:type="default" r:id="rId11"/>
          <w:footerReference w:type="default" r:id="rId12"/>
          <w:headerReference w:type="first" r:id="rId13"/>
          <w:pgSz w:w="12240" w:h="15840"/>
          <w:pgMar w:top="1255" w:right="1440" w:bottom="1440" w:left="1440" w:header="1152" w:footer="1440" w:gutter="0"/>
          <w:pgNumType w:fmt="upperRoman" w:start="1"/>
          <w:cols w:space="720"/>
          <w:noEndnote/>
          <w:docGrid w:linePitch="326"/>
        </w:sectPr>
      </w:pPr>
    </w:p>
    <w:p w:rsidR="00B62368" w:rsidRDefault="00B62368" w:rsidP="006C044D">
      <w:pPr>
        <w:pStyle w:val="FelskyNumbering12"/>
        <w:numPr>
          <w:ilvl w:val="0"/>
          <w:numId w:val="0"/>
        </w:numPr>
        <w:rPr>
          <w:rFonts w:eastAsia="PMingLiU"/>
        </w:rPr>
      </w:pPr>
    </w:p>
    <w:p w:rsidR="00283549" w:rsidRDefault="00B62368" w:rsidP="006C044D">
      <w:pPr>
        <w:pStyle w:val="FelskyNumbering12"/>
        <w:numPr>
          <w:ilvl w:val="0"/>
          <w:numId w:val="0"/>
        </w:numPr>
        <w:rPr>
          <w:rFonts w:eastAsia="PMingLiU"/>
          <w:b/>
        </w:rPr>
      </w:pPr>
      <w:r>
        <w:rPr>
          <w:rFonts w:eastAsia="PMingLiU"/>
          <w:b/>
        </w:rPr>
        <w:t>The Court:</w:t>
      </w:r>
    </w:p>
    <w:p w:rsidR="00F57B1E" w:rsidRPr="007727FA" w:rsidRDefault="00F57B1E" w:rsidP="007727FA">
      <w:pPr>
        <w:pStyle w:val="Heading1"/>
        <w:numPr>
          <w:ilvl w:val="0"/>
          <w:numId w:val="19"/>
        </w:numPr>
        <w:jc w:val="left"/>
        <w:rPr>
          <w:rFonts w:eastAsia="PMingLiU"/>
        </w:rPr>
      </w:pPr>
      <w:r>
        <w:rPr>
          <w:rFonts w:eastAsia="PMingLiU"/>
        </w:rPr>
        <w:t>Introductio</w:t>
      </w:r>
      <w:r w:rsidR="007727FA">
        <w:rPr>
          <w:rFonts w:eastAsia="PMingLiU"/>
        </w:rPr>
        <w:t>n</w:t>
      </w:r>
    </w:p>
    <w:p w:rsidR="00056E70" w:rsidRDefault="00C36A5D" w:rsidP="004B6F64">
      <w:pPr>
        <w:pStyle w:val="FelskyNumbering12"/>
      </w:pPr>
      <w:bookmarkStart w:id="29" w:name="FelskyStart"/>
      <w:bookmarkStart w:id="30" w:name="Paragraph1"/>
      <w:bookmarkEnd w:id="29"/>
      <w:bookmarkEnd w:id="30"/>
      <w:r>
        <w:t>What does society do with an offender with low cognitive functioning and an alcohol use disorder who has committed multiple random sexual assaults</w:t>
      </w:r>
      <w:r w:rsidR="00453717">
        <w:t>?</w:t>
      </w:r>
      <w:r>
        <w:t xml:space="preserve"> </w:t>
      </w:r>
      <w:r w:rsidR="00453717">
        <w:t>Th</w:t>
      </w:r>
      <w:r w:rsidR="00FD2C84">
        <w:t>e</w:t>
      </w:r>
      <w:r w:rsidR="00453717">
        <w:t xml:space="preserve"> offender</w:t>
      </w:r>
      <w:r w:rsidR="00FD2C84">
        <w:t xml:space="preserve"> </w:t>
      </w:r>
      <w:r w:rsidR="00235C6C">
        <w:t xml:space="preserve">has been </w:t>
      </w:r>
      <w:r w:rsidR="00FD2C84">
        <w:t xml:space="preserve">in denial about his conduct and alcohol problems and </w:t>
      </w:r>
      <w:r w:rsidR="009E4184">
        <w:t xml:space="preserve">often </w:t>
      </w:r>
      <w:r w:rsidR="00453717">
        <w:t xml:space="preserve">fails to </w:t>
      </w:r>
      <w:r w:rsidR="00FD2C84">
        <w:t xml:space="preserve">cooperate </w:t>
      </w:r>
      <w:r w:rsidR="00453717">
        <w:t>in</w:t>
      </w:r>
      <w:r w:rsidR="00FD2C84">
        <w:t xml:space="preserve"> treatment and counsel</w:t>
      </w:r>
      <w:r w:rsidR="00C126F4">
        <w:t>l</w:t>
      </w:r>
      <w:r w:rsidR="00FD2C84">
        <w:t>ing. He is a difficult inmate to manage. For most of his adult life he has been in custody, and when not</w:t>
      </w:r>
      <w:r w:rsidR="005748CD">
        <w:t xml:space="preserve"> </w:t>
      </w:r>
      <w:r w:rsidR="00FD2C84">
        <w:t xml:space="preserve">in custody, he lives a transient lifestyle of shelters or couch surfing, sustained by social assistance and </w:t>
      </w:r>
      <w:r w:rsidR="005748CD">
        <w:t xml:space="preserve">occasional support from an adoptive sister, the only pro-social relationship in his life. </w:t>
      </w:r>
      <w:r w:rsidR="00FD2C84">
        <w:t>He is at high risk to reoffend. At what point does he fall into the category of the “small group of persistent criminals with a propensity for committing violent crimes against the person”,</w:t>
      </w:r>
      <w:r w:rsidR="007C3ACF">
        <w:t xml:space="preserve"> a dangerous offender designation</w:t>
      </w:r>
      <w:r w:rsidR="00837194">
        <w:t xml:space="preserve"> and</w:t>
      </w:r>
      <w:r w:rsidR="00850449">
        <w:t xml:space="preserve"> </w:t>
      </w:r>
      <w:r w:rsidR="00837194">
        <w:t>warranting indeterminate preventative detention</w:t>
      </w:r>
      <w:r w:rsidR="006F0654">
        <w:t xml:space="preserve">: </w:t>
      </w:r>
      <w:r w:rsidR="007C3ACF">
        <w:rPr>
          <w:b/>
          <w:i/>
        </w:rPr>
        <w:t xml:space="preserve">R v </w:t>
      </w:r>
      <w:proofErr w:type="spellStart"/>
      <w:r w:rsidR="007C3ACF" w:rsidRPr="007C3ACF">
        <w:rPr>
          <w:b/>
          <w:i/>
        </w:rPr>
        <w:t>Boutilier</w:t>
      </w:r>
      <w:proofErr w:type="spellEnd"/>
      <w:r w:rsidR="00056E70">
        <w:t>, 2017 SCC 64</w:t>
      </w:r>
      <w:r w:rsidR="007C3ACF" w:rsidRPr="007C3ACF">
        <w:t xml:space="preserve"> </w:t>
      </w:r>
      <w:r w:rsidR="007C3ACF">
        <w:t xml:space="preserve">at </w:t>
      </w:r>
      <w:proofErr w:type="spellStart"/>
      <w:r w:rsidR="007C3ACF">
        <w:t>para</w:t>
      </w:r>
      <w:proofErr w:type="spellEnd"/>
      <w:r w:rsidR="007C3ACF">
        <w:t xml:space="preserve"> 3. Did the Crown discharge its burden in this case, to justify such an order</w:t>
      </w:r>
      <w:r w:rsidR="006F0654">
        <w:t>?</w:t>
      </w:r>
    </w:p>
    <w:p w:rsidR="00F57B1E" w:rsidRDefault="00867F88" w:rsidP="004B6F64">
      <w:pPr>
        <w:pStyle w:val="FelskyNumbering12"/>
      </w:pPr>
      <w:proofErr w:type="spellStart"/>
      <w:r w:rsidRPr="007C3ACF">
        <w:t>Mr</w:t>
      </w:r>
      <w:proofErr w:type="spellEnd"/>
      <w:r w:rsidR="00983F10">
        <w:t xml:space="preserve"> Zoe appeals his conviction for three offences: break</w:t>
      </w:r>
      <w:r w:rsidR="00A5375A">
        <w:t>ing</w:t>
      </w:r>
      <w:r w:rsidR="00983F10">
        <w:t xml:space="preserve"> and enter</w:t>
      </w:r>
      <w:r w:rsidR="00BD2EDA">
        <w:t>ing</w:t>
      </w:r>
      <w:r w:rsidR="00D215AF">
        <w:t xml:space="preserve"> into</w:t>
      </w:r>
      <w:r w:rsidR="00BD2EDA">
        <w:t xml:space="preserve"> a dwell</w:t>
      </w:r>
      <w:r w:rsidR="00A5375A">
        <w:t>ing</w:t>
      </w:r>
      <w:r w:rsidR="00D215AF">
        <w:t xml:space="preserve"> and</w:t>
      </w:r>
      <w:r w:rsidR="005D506E">
        <w:t xml:space="preserve"> commit</w:t>
      </w:r>
      <w:r w:rsidR="00A5375A">
        <w:t>ting</w:t>
      </w:r>
      <w:r w:rsidR="005D506E">
        <w:t xml:space="preserve"> sexual assault</w:t>
      </w:r>
      <w:r w:rsidR="00A5375A">
        <w:t xml:space="preserve"> inside</w:t>
      </w:r>
      <w:r w:rsidR="005D506E">
        <w:t>, break</w:t>
      </w:r>
      <w:r w:rsidR="00A5375A">
        <w:t>ing</w:t>
      </w:r>
      <w:r w:rsidR="005D506E">
        <w:t xml:space="preserve"> and enter</w:t>
      </w:r>
      <w:r w:rsidR="00A5375A">
        <w:t>ing into a dwelling</w:t>
      </w:r>
      <w:r w:rsidR="00D215AF">
        <w:t xml:space="preserve"> and</w:t>
      </w:r>
      <w:r w:rsidR="005D506E">
        <w:t xml:space="preserve"> commit</w:t>
      </w:r>
      <w:r w:rsidR="00A5375A">
        <w:t>ting</w:t>
      </w:r>
      <w:r w:rsidR="005D506E">
        <w:t xml:space="preserve"> theft</w:t>
      </w:r>
      <w:r w:rsidR="0045227D">
        <w:t xml:space="preserve"> inside</w:t>
      </w:r>
      <w:r w:rsidR="005D506E">
        <w:t xml:space="preserve">, and breach of probation order (failure to keep the peace and be of good behaviour). He also appeals his </w:t>
      </w:r>
      <w:r w:rsidR="00231E11">
        <w:t>designation as</w:t>
      </w:r>
      <w:r w:rsidR="005D506E">
        <w:t xml:space="preserve"> a dangerous offender and </w:t>
      </w:r>
      <w:r w:rsidR="00231E11">
        <w:t>the</w:t>
      </w:r>
      <w:r w:rsidR="005D506E">
        <w:t xml:space="preserve"> indeterminate </w:t>
      </w:r>
      <w:r w:rsidR="009D6527">
        <w:t>sentence in a penitentiary</w:t>
      </w:r>
      <w:r w:rsidR="002F0773">
        <w:t>.</w:t>
      </w:r>
      <w:r w:rsidR="009D6527">
        <w:t xml:space="preserve"> These appeals were heard together</w:t>
      </w:r>
      <w:r w:rsidR="00056E70">
        <w:t xml:space="preserve">. </w:t>
      </w:r>
      <w:proofErr w:type="spellStart"/>
      <w:r>
        <w:t>Mr</w:t>
      </w:r>
      <w:proofErr w:type="spellEnd"/>
      <w:r w:rsidR="009D6527">
        <w:t xml:space="preserve"> Zoe was self-represented for his conviction appeal. While he did not file any written submissions on the conviction appeal, he did make oral submissions and </w:t>
      </w:r>
      <w:r w:rsidR="00056E70">
        <w:t xml:space="preserve">was able to </w:t>
      </w:r>
      <w:r w:rsidR="009D6527">
        <w:t xml:space="preserve">answer questions from the </w:t>
      </w:r>
      <w:r w:rsidR="00231E11">
        <w:t>b</w:t>
      </w:r>
      <w:r w:rsidR="009D6527">
        <w:t>ench. He was represented on his sentence appeal and written submissions and oral submissions were received</w:t>
      </w:r>
      <w:r w:rsidR="00F57B1E">
        <w:t xml:space="preserve"> on this issue. </w:t>
      </w:r>
    </w:p>
    <w:p w:rsidR="00283549" w:rsidRDefault="00F57B1E" w:rsidP="004B6F64">
      <w:pPr>
        <w:pStyle w:val="FelskyNumbering12"/>
      </w:pPr>
      <w:r>
        <w:t xml:space="preserve">For the reasons below, the conviction appeal is dismissed and the sentence appeal is </w:t>
      </w:r>
      <w:r w:rsidR="00BF4589">
        <w:t>allowed</w:t>
      </w:r>
      <w:r>
        <w:t xml:space="preserve">. </w:t>
      </w:r>
      <w:r w:rsidR="009D6527">
        <w:t xml:space="preserve">  </w:t>
      </w:r>
    </w:p>
    <w:p w:rsidR="007727FA" w:rsidRDefault="007727FA" w:rsidP="001F1B76">
      <w:pPr>
        <w:pStyle w:val="Heading1"/>
        <w:numPr>
          <w:ilvl w:val="0"/>
          <w:numId w:val="19"/>
        </w:numPr>
        <w:tabs>
          <w:tab w:val="left" w:pos="900"/>
        </w:tabs>
        <w:jc w:val="left"/>
      </w:pPr>
      <w:r>
        <w:t xml:space="preserve">Background </w:t>
      </w:r>
      <w:r w:rsidR="009E4184">
        <w:t>F</w:t>
      </w:r>
      <w:r>
        <w:t xml:space="preserve">acts to the </w:t>
      </w:r>
      <w:r w:rsidR="009E4184">
        <w:t>O</w:t>
      </w:r>
      <w:r>
        <w:t>ffences</w:t>
      </w:r>
    </w:p>
    <w:p w:rsidR="007727FA" w:rsidRDefault="007727FA" w:rsidP="007727FA">
      <w:pPr>
        <w:pStyle w:val="FelskyNumbering12"/>
        <w:rPr>
          <w:lang w:eastAsia="en-US"/>
        </w:rPr>
      </w:pPr>
      <w:r>
        <w:rPr>
          <w:lang w:eastAsia="en-US"/>
        </w:rPr>
        <w:t>In the early morning hours of February 15, 201</w:t>
      </w:r>
      <w:r w:rsidR="00646CC4">
        <w:rPr>
          <w:lang w:eastAsia="en-US"/>
        </w:rPr>
        <w:t>5</w:t>
      </w:r>
      <w:r>
        <w:rPr>
          <w:lang w:eastAsia="en-US"/>
        </w:rPr>
        <w:t>,</w:t>
      </w:r>
      <w:r w:rsidR="00646CC4">
        <w:rPr>
          <w:lang w:eastAsia="en-US"/>
        </w:rPr>
        <w:t xml:space="preserve"> while on probation,</w:t>
      </w:r>
      <w:r>
        <w:rPr>
          <w:lang w:eastAsia="en-US"/>
        </w:rPr>
        <w:t xml:space="preserve"> </w:t>
      </w:r>
      <w:proofErr w:type="spellStart"/>
      <w:r w:rsidR="00646CC4">
        <w:rPr>
          <w:lang w:eastAsia="en-US"/>
        </w:rPr>
        <w:t>M</w:t>
      </w:r>
      <w:r w:rsidR="00867F88">
        <w:rPr>
          <w:lang w:eastAsia="en-US"/>
        </w:rPr>
        <w:t>r</w:t>
      </w:r>
      <w:proofErr w:type="spellEnd"/>
      <w:r>
        <w:rPr>
          <w:lang w:eastAsia="en-US"/>
        </w:rPr>
        <w:t xml:space="preserve"> Zoe entered the apartment of HS and JF. </w:t>
      </w:r>
      <w:r w:rsidR="008C353B">
        <w:rPr>
          <w:lang w:eastAsia="en-US"/>
        </w:rPr>
        <w:t>HS</w:t>
      </w:r>
      <w:r>
        <w:rPr>
          <w:lang w:eastAsia="en-US"/>
        </w:rPr>
        <w:t xml:space="preserve"> had gone to bed around midnight on the evening of February 14 and her partner, </w:t>
      </w:r>
      <w:r w:rsidR="008C353B">
        <w:rPr>
          <w:lang w:eastAsia="en-US"/>
        </w:rPr>
        <w:t>JF</w:t>
      </w:r>
      <w:r>
        <w:rPr>
          <w:lang w:eastAsia="en-US"/>
        </w:rPr>
        <w:t>, returned from his job as a bartender around 2:00 or 3:00 a</w:t>
      </w:r>
      <w:r w:rsidR="00EE68EE">
        <w:rPr>
          <w:lang w:eastAsia="en-US"/>
        </w:rPr>
        <w:t xml:space="preserve">m. </w:t>
      </w:r>
      <w:r>
        <w:rPr>
          <w:lang w:eastAsia="en-US"/>
        </w:rPr>
        <w:t xml:space="preserve">He had $285 in cash in his wallet. He went to bed </w:t>
      </w:r>
      <w:r w:rsidR="00BF4589">
        <w:rPr>
          <w:lang w:eastAsia="en-US"/>
        </w:rPr>
        <w:t xml:space="preserve">at </w:t>
      </w:r>
      <w:r>
        <w:rPr>
          <w:lang w:eastAsia="en-US"/>
        </w:rPr>
        <w:t>approximately 4:00 a</w:t>
      </w:r>
      <w:r w:rsidR="00EE68EE">
        <w:rPr>
          <w:lang w:eastAsia="en-US"/>
        </w:rPr>
        <w:t>m.</w:t>
      </w:r>
      <w:r>
        <w:rPr>
          <w:lang w:eastAsia="en-US"/>
        </w:rPr>
        <w:t xml:space="preserve"> </w:t>
      </w:r>
      <w:r w:rsidR="008C353B">
        <w:rPr>
          <w:lang w:eastAsia="en-US"/>
        </w:rPr>
        <w:t xml:space="preserve">HS </w:t>
      </w:r>
      <w:r>
        <w:rPr>
          <w:lang w:eastAsia="en-US"/>
        </w:rPr>
        <w:t>woke up to someone rubbing her vagina over her clothes</w:t>
      </w:r>
      <w:r w:rsidR="00646CC4">
        <w:rPr>
          <w:lang w:eastAsia="en-US"/>
        </w:rPr>
        <w:t xml:space="preserve"> and blanket</w:t>
      </w:r>
      <w:r>
        <w:rPr>
          <w:lang w:eastAsia="en-US"/>
        </w:rPr>
        <w:t xml:space="preserve">. </w:t>
      </w:r>
      <w:r w:rsidR="00646CC4">
        <w:rPr>
          <w:lang w:eastAsia="en-US"/>
        </w:rPr>
        <w:t>W</w:t>
      </w:r>
      <w:r>
        <w:rPr>
          <w:lang w:eastAsia="en-US"/>
        </w:rPr>
        <w:t>hen she opened her eyes she saw a man standing next to the bed with a finger over his lips saying “</w:t>
      </w:r>
      <w:proofErr w:type="spellStart"/>
      <w:r>
        <w:rPr>
          <w:lang w:eastAsia="en-US"/>
        </w:rPr>
        <w:t>Ssssh</w:t>
      </w:r>
      <w:proofErr w:type="spellEnd"/>
      <w:r>
        <w:rPr>
          <w:lang w:eastAsia="en-US"/>
        </w:rPr>
        <w:t>”.</w:t>
      </w:r>
      <w:r w:rsidR="00EE68EE">
        <w:rPr>
          <w:lang w:eastAsia="en-US"/>
        </w:rPr>
        <w:t xml:space="preserve"> She screamed and </w:t>
      </w:r>
      <w:r w:rsidR="008C353B">
        <w:rPr>
          <w:lang w:eastAsia="en-US"/>
        </w:rPr>
        <w:t xml:space="preserve">JF </w:t>
      </w:r>
      <w:r w:rsidR="00EE68EE">
        <w:rPr>
          <w:lang w:eastAsia="en-US"/>
        </w:rPr>
        <w:t xml:space="preserve">woke up. </w:t>
      </w:r>
      <w:r w:rsidR="008C353B">
        <w:rPr>
          <w:lang w:eastAsia="en-US"/>
        </w:rPr>
        <w:t xml:space="preserve">HS </w:t>
      </w:r>
      <w:r w:rsidR="00EE68EE">
        <w:rPr>
          <w:lang w:eastAsia="en-US"/>
        </w:rPr>
        <w:t xml:space="preserve">could not see the intruder’s face but described </w:t>
      </w:r>
      <w:r w:rsidR="00283158">
        <w:rPr>
          <w:lang w:eastAsia="en-US"/>
        </w:rPr>
        <w:t xml:space="preserve">him </w:t>
      </w:r>
      <w:r w:rsidR="00EE68EE">
        <w:rPr>
          <w:lang w:eastAsia="en-US"/>
        </w:rPr>
        <w:t>as wearing a “reddish</w:t>
      </w:r>
      <w:r w:rsidR="00283158">
        <w:rPr>
          <w:lang w:eastAsia="en-US"/>
        </w:rPr>
        <w:t>”</w:t>
      </w:r>
      <w:r w:rsidR="00EE68EE">
        <w:rPr>
          <w:lang w:eastAsia="en-US"/>
        </w:rPr>
        <w:t xml:space="preserve"> winter jacket, </w:t>
      </w:r>
      <w:r w:rsidR="00283158">
        <w:rPr>
          <w:lang w:eastAsia="en-US"/>
        </w:rPr>
        <w:t xml:space="preserve">a backpack, a dark toque and possibly a blue scarf. </w:t>
      </w:r>
    </w:p>
    <w:p w:rsidR="00283158" w:rsidRDefault="008C353B" w:rsidP="007727FA">
      <w:pPr>
        <w:pStyle w:val="FelskyNumbering12"/>
        <w:rPr>
          <w:lang w:eastAsia="en-US"/>
        </w:rPr>
      </w:pPr>
      <w:r>
        <w:rPr>
          <w:lang w:eastAsia="en-US"/>
        </w:rPr>
        <w:t>JF</w:t>
      </w:r>
      <w:r w:rsidR="00283158">
        <w:rPr>
          <w:lang w:eastAsia="en-US"/>
        </w:rPr>
        <w:t xml:space="preserve"> jumped out of bed in his underwear, chased the man into the stairwell, at which point a struggle ensued </w:t>
      </w:r>
      <w:r w:rsidR="003558F6">
        <w:rPr>
          <w:lang w:eastAsia="en-US"/>
        </w:rPr>
        <w:t xml:space="preserve">during which he pulled the man’s backpack off. As the man was exiting the </w:t>
      </w:r>
      <w:proofErr w:type="gramStart"/>
      <w:r w:rsidR="003558F6">
        <w:rPr>
          <w:lang w:eastAsia="en-US"/>
        </w:rPr>
        <w:t>building</w:t>
      </w:r>
      <w:proofErr w:type="gramEnd"/>
      <w:r w:rsidR="003558F6">
        <w:rPr>
          <w:lang w:eastAsia="en-US"/>
        </w:rPr>
        <w:t>, he looked back at</w:t>
      </w:r>
      <w:r w:rsidR="005E0B0C">
        <w:rPr>
          <w:lang w:eastAsia="en-US"/>
        </w:rPr>
        <w:t xml:space="preserve"> JF</w:t>
      </w:r>
      <w:r w:rsidR="003558F6">
        <w:rPr>
          <w:lang w:eastAsia="en-US"/>
        </w:rPr>
        <w:t xml:space="preserve">. </w:t>
      </w:r>
      <w:r w:rsidR="005E0B0C">
        <w:rPr>
          <w:lang w:eastAsia="en-US"/>
        </w:rPr>
        <w:t xml:space="preserve">JF </w:t>
      </w:r>
      <w:r w:rsidR="003558F6">
        <w:rPr>
          <w:lang w:eastAsia="en-US"/>
        </w:rPr>
        <w:t>saw his face</w:t>
      </w:r>
      <w:r w:rsidR="0059162A">
        <w:rPr>
          <w:lang w:eastAsia="en-US"/>
        </w:rPr>
        <w:t xml:space="preserve"> and he re</w:t>
      </w:r>
      <w:r w:rsidR="003558F6">
        <w:rPr>
          <w:lang w:eastAsia="en-US"/>
        </w:rPr>
        <w:t xml:space="preserve">called the swishing sound of the jacket or </w:t>
      </w:r>
      <w:proofErr w:type="spellStart"/>
      <w:r w:rsidR="003558F6">
        <w:rPr>
          <w:lang w:eastAsia="en-US"/>
        </w:rPr>
        <w:lastRenderedPageBreak/>
        <w:t>snowpants</w:t>
      </w:r>
      <w:proofErr w:type="spellEnd"/>
      <w:r w:rsidR="003558F6">
        <w:rPr>
          <w:lang w:eastAsia="en-US"/>
        </w:rPr>
        <w:t xml:space="preserve">. He said the jacket was red. He described the man as having </w:t>
      </w:r>
      <w:r w:rsidR="0091083F">
        <w:rPr>
          <w:lang w:eastAsia="en-US"/>
        </w:rPr>
        <w:t xml:space="preserve">the same build as </w:t>
      </w:r>
      <w:proofErr w:type="gramStart"/>
      <w:r w:rsidR="008455AC">
        <w:rPr>
          <w:lang w:eastAsia="en-US"/>
        </w:rPr>
        <w:t>himself</w:t>
      </w:r>
      <w:proofErr w:type="gramEnd"/>
      <w:r w:rsidR="008455AC">
        <w:rPr>
          <w:lang w:eastAsia="en-US"/>
        </w:rPr>
        <w:t xml:space="preserve"> and saw enough of his face to identify him as </w:t>
      </w:r>
      <w:r w:rsidR="0091083F">
        <w:rPr>
          <w:lang w:eastAsia="en-US"/>
        </w:rPr>
        <w:t>A</w:t>
      </w:r>
      <w:r w:rsidR="008455AC">
        <w:rPr>
          <w:lang w:eastAsia="en-US"/>
        </w:rPr>
        <w:t>boriginal.</w:t>
      </w:r>
    </w:p>
    <w:p w:rsidR="008455AC" w:rsidRDefault="005E0B0C" w:rsidP="007727FA">
      <w:pPr>
        <w:pStyle w:val="FelskyNumbering12"/>
        <w:rPr>
          <w:lang w:eastAsia="en-US"/>
        </w:rPr>
      </w:pPr>
      <w:r>
        <w:rPr>
          <w:lang w:eastAsia="en-US"/>
        </w:rPr>
        <w:t xml:space="preserve">JF </w:t>
      </w:r>
      <w:r w:rsidR="008455AC">
        <w:rPr>
          <w:lang w:eastAsia="en-US"/>
        </w:rPr>
        <w:t>opened the backpack and noticed some beer which had been removed from their fridge as well as some clothing and</w:t>
      </w:r>
      <w:r w:rsidR="00412262">
        <w:rPr>
          <w:lang w:eastAsia="en-US"/>
        </w:rPr>
        <w:t xml:space="preserve"> documentation with </w:t>
      </w:r>
      <w:proofErr w:type="spellStart"/>
      <w:r w:rsidR="00412262">
        <w:rPr>
          <w:lang w:eastAsia="en-US"/>
        </w:rPr>
        <w:t>Mr</w:t>
      </w:r>
      <w:proofErr w:type="spellEnd"/>
      <w:r w:rsidR="00412262">
        <w:rPr>
          <w:lang w:eastAsia="en-US"/>
        </w:rPr>
        <w:t xml:space="preserve"> Zoe’s name. A glove was also </w:t>
      </w:r>
      <w:r w:rsidR="008C765E">
        <w:rPr>
          <w:lang w:eastAsia="en-US"/>
        </w:rPr>
        <w:t xml:space="preserve">found </w:t>
      </w:r>
      <w:r w:rsidR="00D215AF">
        <w:rPr>
          <w:lang w:eastAsia="en-US"/>
        </w:rPr>
        <w:t xml:space="preserve">that tested positive for </w:t>
      </w:r>
      <w:proofErr w:type="spellStart"/>
      <w:r w:rsidR="008C765E">
        <w:rPr>
          <w:lang w:eastAsia="en-US"/>
        </w:rPr>
        <w:t>Mr</w:t>
      </w:r>
      <w:proofErr w:type="spellEnd"/>
      <w:r w:rsidR="008C765E">
        <w:rPr>
          <w:lang w:eastAsia="en-US"/>
        </w:rPr>
        <w:t xml:space="preserve"> Zo</w:t>
      </w:r>
      <w:r w:rsidR="00CB3650">
        <w:rPr>
          <w:lang w:eastAsia="en-US"/>
        </w:rPr>
        <w:t xml:space="preserve">e’s DNA </w:t>
      </w:r>
      <w:r w:rsidR="00BA387D">
        <w:rPr>
          <w:lang w:eastAsia="en-US"/>
        </w:rPr>
        <w:t xml:space="preserve">and </w:t>
      </w:r>
      <w:r w:rsidR="0045227D">
        <w:rPr>
          <w:lang w:eastAsia="en-US"/>
        </w:rPr>
        <w:t xml:space="preserve">the DNA of </w:t>
      </w:r>
      <w:r w:rsidR="00CB3650">
        <w:rPr>
          <w:lang w:eastAsia="en-US"/>
        </w:rPr>
        <w:t>an unidentified individual.</w:t>
      </w:r>
      <w:r w:rsidR="00425AB6">
        <w:rPr>
          <w:lang w:eastAsia="en-US"/>
        </w:rPr>
        <w:t xml:space="preserve"> </w:t>
      </w:r>
      <w:r>
        <w:rPr>
          <w:lang w:eastAsia="en-US"/>
        </w:rPr>
        <w:t>JF</w:t>
      </w:r>
      <w:r w:rsidR="00CB3650">
        <w:rPr>
          <w:lang w:eastAsia="en-US"/>
        </w:rPr>
        <w:t xml:space="preserve"> </w:t>
      </w:r>
      <w:r w:rsidR="008455AC">
        <w:rPr>
          <w:lang w:eastAsia="en-US"/>
        </w:rPr>
        <w:t xml:space="preserve">checked his wallet and noticed his cash was missing. </w:t>
      </w:r>
    </w:p>
    <w:p w:rsidR="00917F2E" w:rsidRDefault="00917F2E" w:rsidP="007727FA">
      <w:pPr>
        <w:pStyle w:val="FelskyNumbering12"/>
        <w:rPr>
          <w:lang w:eastAsia="en-US"/>
        </w:rPr>
      </w:pPr>
      <w:r>
        <w:rPr>
          <w:lang w:eastAsia="en-US"/>
        </w:rPr>
        <w:t>While JF chased the intruder, HS called the police. She noted the time to be 5:30 a.m.</w:t>
      </w:r>
    </w:p>
    <w:p w:rsidR="008455AC" w:rsidRDefault="00F77BF4" w:rsidP="007727FA">
      <w:pPr>
        <w:pStyle w:val="FelskyNumbering12"/>
        <w:rPr>
          <w:lang w:eastAsia="en-US"/>
        </w:rPr>
      </w:pPr>
      <w:r>
        <w:rPr>
          <w:lang w:eastAsia="en-US"/>
        </w:rPr>
        <w:t xml:space="preserve">Two RCMP constables responded to the call </w:t>
      </w:r>
      <w:r w:rsidR="0045227D">
        <w:rPr>
          <w:lang w:eastAsia="en-US"/>
        </w:rPr>
        <w:t xml:space="preserve">to the </w:t>
      </w:r>
      <w:r>
        <w:rPr>
          <w:lang w:eastAsia="en-US"/>
        </w:rPr>
        <w:t xml:space="preserve">police. Upon interviewing the victims, they realized they had seen someone matching the description of the assailant on their way to the apartment, approximately fifty meters from the </w:t>
      </w:r>
      <w:r w:rsidR="005C18AA">
        <w:rPr>
          <w:lang w:eastAsia="en-US"/>
        </w:rPr>
        <w:t>victims’ apartment</w:t>
      </w:r>
      <w:r w:rsidR="0045227D">
        <w:rPr>
          <w:lang w:eastAsia="en-US"/>
        </w:rPr>
        <w:t xml:space="preserve">, </w:t>
      </w:r>
      <w:r w:rsidR="00CB3650">
        <w:rPr>
          <w:lang w:eastAsia="en-US"/>
        </w:rPr>
        <w:t xml:space="preserve">walking </w:t>
      </w:r>
      <w:r w:rsidR="0045227D">
        <w:rPr>
          <w:lang w:eastAsia="en-US"/>
        </w:rPr>
        <w:t>a</w:t>
      </w:r>
      <w:r w:rsidR="005C18AA">
        <w:rPr>
          <w:lang w:eastAsia="en-US"/>
        </w:rPr>
        <w:t xml:space="preserve">way from downtown. He was the only person they had observed on their patrols. Another constable was dispatched to pick up the man who identified himself as </w:t>
      </w:r>
      <w:proofErr w:type="spellStart"/>
      <w:r w:rsidR="00867F88">
        <w:rPr>
          <w:lang w:eastAsia="en-US"/>
        </w:rPr>
        <w:t>Mr</w:t>
      </w:r>
      <w:proofErr w:type="spellEnd"/>
      <w:r w:rsidR="005C18AA">
        <w:rPr>
          <w:lang w:eastAsia="en-US"/>
        </w:rPr>
        <w:t xml:space="preserve"> Zoe. This all happened within fifteen minutes of the initial call to the police. Upon confirming the backpack contained </w:t>
      </w:r>
      <w:proofErr w:type="spellStart"/>
      <w:r w:rsidR="00867F88">
        <w:rPr>
          <w:lang w:eastAsia="en-US"/>
        </w:rPr>
        <w:t>Mr</w:t>
      </w:r>
      <w:proofErr w:type="spellEnd"/>
      <w:r w:rsidR="005C18AA">
        <w:rPr>
          <w:lang w:eastAsia="en-US"/>
        </w:rPr>
        <w:t xml:space="preserve"> Zoe’s documentation, </w:t>
      </w:r>
      <w:proofErr w:type="spellStart"/>
      <w:r w:rsidR="00867F88">
        <w:rPr>
          <w:lang w:eastAsia="en-US"/>
        </w:rPr>
        <w:t>Mr</w:t>
      </w:r>
      <w:proofErr w:type="spellEnd"/>
      <w:r w:rsidR="005C18AA">
        <w:rPr>
          <w:lang w:eastAsia="en-US"/>
        </w:rPr>
        <w:t xml:space="preserve"> Zoe was arrested and then transported back to the victim’s apartment. After some discussion, </w:t>
      </w:r>
      <w:r w:rsidR="005E0B0C">
        <w:rPr>
          <w:lang w:eastAsia="en-US"/>
        </w:rPr>
        <w:t xml:space="preserve">JF </w:t>
      </w:r>
      <w:r w:rsidR="005C18AA">
        <w:rPr>
          <w:lang w:eastAsia="en-US"/>
        </w:rPr>
        <w:t xml:space="preserve">was brought down where he identified the appellant </w:t>
      </w:r>
      <w:r w:rsidR="00305C1C">
        <w:rPr>
          <w:lang w:eastAsia="en-US"/>
        </w:rPr>
        <w:t>through the rear window</w:t>
      </w:r>
      <w:r w:rsidR="00CB3650">
        <w:rPr>
          <w:lang w:eastAsia="en-US"/>
        </w:rPr>
        <w:t xml:space="preserve"> of the police car</w:t>
      </w:r>
      <w:r w:rsidR="00305C1C">
        <w:rPr>
          <w:lang w:eastAsia="en-US"/>
        </w:rPr>
        <w:t xml:space="preserve">. </w:t>
      </w:r>
      <w:proofErr w:type="spellStart"/>
      <w:r w:rsidR="00CB3650">
        <w:rPr>
          <w:lang w:eastAsia="en-US"/>
        </w:rPr>
        <w:t>Mr</w:t>
      </w:r>
      <w:proofErr w:type="spellEnd"/>
      <w:r w:rsidR="00CB3650">
        <w:rPr>
          <w:lang w:eastAsia="en-US"/>
        </w:rPr>
        <w:t xml:space="preserve"> Zoe</w:t>
      </w:r>
      <w:r w:rsidR="00305C1C">
        <w:rPr>
          <w:lang w:eastAsia="en-US"/>
        </w:rPr>
        <w:t xml:space="preserve"> was found with $460</w:t>
      </w:r>
      <w:r w:rsidR="0045227D">
        <w:rPr>
          <w:lang w:eastAsia="en-US"/>
        </w:rPr>
        <w:t xml:space="preserve"> </w:t>
      </w:r>
      <w:r w:rsidR="00305C1C">
        <w:rPr>
          <w:lang w:eastAsia="en-US"/>
        </w:rPr>
        <w:t xml:space="preserve">cash. </w:t>
      </w:r>
    </w:p>
    <w:p w:rsidR="00AB4B91" w:rsidRDefault="00867F88" w:rsidP="004F41FC">
      <w:pPr>
        <w:pStyle w:val="FelskyNumbering12"/>
        <w:rPr>
          <w:lang w:eastAsia="en-US"/>
        </w:rPr>
      </w:pPr>
      <w:proofErr w:type="spellStart"/>
      <w:r>
        <w:rPr>
          <w:lang w:eastAsia="en-US"/>
        </w:rPr>
        <w:t>Mr</w:t>
      </w:r>
      <w:proofErr w:type="spellEnd"/>
      <w:r w:rsidR="008A0109">
        <w:rPr>
          <w:lang w:eastAsia="en-US"/>
        </w:rPr>
        <w:t xml:space="preserve"> Zoe had been with his childhood friend, </w:t>
      </w:r>
      <w:proofErr w:type="spellStart"/>
      <w:r>
        <w:rPr>
          <w:lang w:eastAsia="en-US"/>
        </w:rPr>
        <w:t>Mr</w:t>
      </w:r>
      <w:proofErr w:type="spellEnd"/>
      <w:r w:rsidR="008A0109">
        <w:rPr>
          <w:lang w:eastAsia="en-US"/>
        </w:rPr>
        <w:t xml:space="preserve"> Lawrence Tailbone</w:t>
      </w:r>
      <w:r w:rsidR="00837194">
        <w:rPr>
          <w:lang w:eastAsia="en-US"/>
        </w:rPr>
        <w:t>,</w:t>
      </w:r>
      <w:r w:rsidR="008A0109">
        <w:rPr>
          <w:lang w:eastAsia="en-US"/>
        </w:rPr>
        <w:t xml:space="preserve"> earlier during the day on February 14</w:t>
      </w:r>
      <w:r w:rsidR="0045227D">
        <w:rPr>
          <w:lang w:eastAsia="en-US"/>
        </w:rPr>
        <w:t xml:space="preserve">, 2015 </w:t>
      </w:r>
      <w:r w:rsidR="008A0109">
        <w:rPr>
          <w:lang w:eastAsia="en-US"/>
        </w:rPr>
        <w:t xml:space="preserve">and they had been at </w:t>
      </w:r>
      <w:proofErr w:type="spellStart"/>
      <w:r>
        <w:rPr>
          <w:lang w:eastAsia="en-US"/>
        </w:rPr>
        <w:t>Mr</w:t>
      </w:r>
      <w:proofErr w:type="spellEnd"/>
      <w:r w:rsidR="008A0109">
        <w:rPr>
          <w:lang w:eastAsia="en-US"/>
        </w:rPr>
        <w:t xml:space="preserve"> Tailbone’s brother’s </w:t>
      </w:r>
      <w:r w:rsidR="0045227D">
        <w:rPr>
          <w:lang w:eastAsia="en-US"/>
        </w:rPr>
        <w:t xml:space="preserve">trailer </w:t>
      </w:r>
      <w:r w:rsidR="008A0109">
        <w:rPr>
          <w:lang w:eastAsia="en-US"/>
        </w:rPr>
        <w:t xml:space="preserve">drinking beer. At one point, they left to go to the liquor store and </w:t>
      </w:r>
      <w:r w:rsidR="00AB4B91">
        <w:rPr>
          <w:lang w:eastAsia="en-US"/>
        </w:rPr>
        <w:t>then returned to the trailer</w:t>
      </w:r>
      <w:r w:rsidR="00C267F6">
        <w:rPr>
          <w:lang w:eastAsia="en-US"/>
        </w:rPr>
        <w:t xml:space="preserve"> with </w:t>
      </w:r>
      <w:r w:rsidR="00AB4B91">
        <w:rPr>
          <w:lang w:eastAsia="en-US"/>
        </w:rPr>
        <w:t xml:space="preserve">a large bottle of rum and divided it into four mickeys, two of which </w:t>
      </w:r>
      <w:proofErr w:type="spellStart"/>
      <w:r>
        <w:rPr>
          <w:lang w:eastAsia="en-US"/>
        </w:rPr>
        <w:t>Mr</w:t>
      </w:r>
      <w:proofErr w:type="spellEnd"/>
      <w:r w:rsidR="00AB4B91">
        <w:rPr>
          <w:lang w:eastAsia="en-US"/>
        </w:rPr>
        <w:t xml:space="preserve"> Zoe</w:t>
      </w:r>
      <w:r w:rsidR="00C267F6">
        <w:rPr>
          <w:lang w:eastAsia="en-US"/>
        </w:rPr>
        <w:t xml:space="preserve"> put into his</w:t>
      </w:r>
      <w:r w:rsidR="00AB4B91">
        <w:rPr>
          <w:lang w:eastAsia="en-US"/>
        </w:rPr>
        <w:t xml:space="preserve"> backpack. </w:t>
      </w:r>
      <w:proofErr w:type="spellStart"/>
      <w:r>
        <w:rPr>
          <w:lang w:eastAsia="en-US"/>
        </w:rPr>
        <w:t>Mr</w:t>
      </w:r>
      <w:proofErr w:type="spellEnd"/>
      <w:r w:rsidR="00AB4B91">
        <w:rPr>
          <w:lang w:eastAsia="en-US"/>
        </w:rPr>
        <w:t xml:space="preserve"> Tailbone testified that he was told by his brother not to let </w:t>
      </w:r>
      <w:proofErr w:type="spellStart"/>
      <w:r>
        <w:rPr>
          <w:lang w:eastAsia="en-US"/>
        </w:rPr>
        <w:t>Mr</w:t>
      </w:r>
      <w:proofErr w:type="spellEnd"/>
      <w:r w:rsidR="00AB4B91">
        <w:rPr>
          <w:lang w:eastAsia="en-US"/>
        </w:rPr>
        <w:t xml:space="preserve"> Zoe stay the night. At approximately 2:00 am, </w:t>
      </w:r>
      <w:proofErr w:type="spellStart"/>
      <w:r>
        <w:rPr>
          <w:lang w:eastAsia="en-US"/>
        </w:rPr>
        <w:t>Mr</w:t>
      </w:r>
      <w:proofErr w:type="spellEnd"/>
      <w:r w:rsidR="00AB4B91">
        <w:rPr>
          <w:lang w:eastAsia="en-US"/>
        </w:rPr>
        <w:t xml:space="preserve"> Tailbone let </w:t>
      </w:r>
      <w:proofErr w:type="spellStart"/>
      <w:r>
        <w:rPr>
          <w:lang w:eastAsia="en-US"/>
        </w:rPr>
        <w:t>Mr</w:t>
      </w:r>
      <w:proofErr w:type="spellEnd"/>
      <w:r w:rsidR="00AB4B91">
        <w:rPr>
          <w:lang w:eastAsia="en-US"/>
        </w:rPr>
        <w:t xml:space="preserve"> Zoe out of the trailer</w:t>
      </w:r>
      <w:r w:rsidR="002A520F">
        <w:rPr>
          <w:lang w:eastAsia="en-US"/>
        </w:rPr>
        <w:t>;</w:t>
      </w:r>
      <w:r w:rsidR="00AB4B91">
        <w:rPr>
          <w:lang w:eastAsia="en-US"/>
        </w:rPr>
        <w:t xml:space="preserve"> he recalled the time because</w:t>
      </w:r>
      <w:r w:rsidR="002A520F">
        <w:rPr>
          <w:lang w:eastAsia="en-US"/>
        </w:rPr>
        <w:t xml:space="preserve"> he noticed it on the clock and</w:t>
      </w:r>
      <w:r w:rsidR="00AB4B91">
        <w:rPr>
          <w:lang w:eastAsia="en-US"/>
        </w:rPr>
        <w:t xml:space="preserve"> it was almost “bar closing time”. </w:t>
      </w:r>
    </w:p>
    <w:p w:rsidR="00AB4B91" w:rsidRDefault="00867F88" w:rsidP="007727FA">
      <w:pPr>
        <w:pStyle w:val="FelskyNumbering12"/>
        <w:rPr>
          <w:lang w:eastAsia="en-US"/>
        </w:rPr>
      </w:pPr>
      <w:proofErr w:type="spellStart"/>
      <w:r>
        <w:rPr>
          <w:lang w:eastAsia="en-US"/>
        </w:rPr>
        <w:t>Mr</w:t>
      </w:r>
      <w:proofErr w:type="spellEnd"/>
      <w:r w:rsidR="00AB4B91">
        <w:rPr>
          <w:lang w:eastAsia="en-US"/>
        </w:rPr>
        <w:t xml:space="preserve"> Zoe testified. He confirmed that he had been </w:t>
      </w:r>
      <w:r w:rsidR="00BF4589">
        <w:rPr>
          <w:lang w:eastAsia="en-US"/>
        </w:rPr>
        <w:t xml:space="preserve">at the trailer </w:t>
      </w:r>
      <w:r w:rsidR="00AB4B91">
        <w:rPr>
          <w:lang w:eastAsia="en-US"/>
        </w:rPr>
        <w:t xml:space="preserve">with </w:t>
      </w:r>
      <w:proofErr w:type="spellStart"/>
      <w:r>
        <w:rPr>
          <w:lang w:eastAsia="en-US"/>
        </w:rPr>
        <w:t>Mr</w:t>
      </w:r>
      <w:proofErr w:type="spellEnd"/>
      <w:r w:rsidR="00AB4B91">
        <w:rPr>
          <w:lang w:eastAsia="en-US"/>
        </w:rPr>
        <w:t xml:space="preserve"> Tailbone earlier on February 14. He confirmed going to the liquor store.</w:t>
      </w:r>
      <w:r w:rsidR="00D17AD5">
        <w:rPr>
          <w:lang w:eastAsia="en-US"/>
        </w:rPr>
        <w:t xml:space="preserve"> He claim</w:t>
      </w:r>
      <w:r w:rsidR="00601AD4">
        <w:rPr>
          <w:lang w:eastAsia="en-US"/>
        </w:rPr>
        <w:t>ed</w:t>
      </w:r>
      <w:r w:rsidR="00D17AD5">
        <w:rPr>
          <w:lang w:eastAsia="en-US"/>
        </w:rPr>
        <w:t xml:space="preserve"> that he left the trailer at about midnight, went to the Winks gas station and purchased some food. Approximately twenty minutes later, he was walking and left his backpack in the local ball park</w:t>
      </w:r>
      <w:r w:rsidR="005E0B0C">
        <w:rPr>
          <w:lang w:eastAsia="en-US"/>
        </w:rPr>
        <w:t xml:space="preserve"> under the stands</w:t>
      </w:r>
      <w:r w:rsidR="00D17AD5">
        <w:rPr>
          <w:lang w:eastAsia="en-US"/>
        </w:rPr>
        <w:t xml:space="preserve"> and then proceeded to walk towards some bars. He </w:t>
      </w:r>
      <w:r w:rsidR="00231E11">
        <w:rPr>
          <w:lang w:eastAsia="en-US"/>
        </w:rPr>
        <w:t>did</w:t>
      </w:r>
      <w:r w:rsidR="00D17AD5">
        <w:rPr>
          <w:lang w:eastAsia="en-US"/>
        </w:rPr>
        <w:t xml:space="preserve"> that because he was not allowed to take alcohol into </w:t>
      </w:r>
      <w:r w:rsidR="004F41FC">
        <w:rPr>
          <w:lang w:eastAsia="en-US"/>
        </w:rPr>
        <w:t>the</w:t>
      </w:r>
      <w:r w:rsidR="00D17AD5">
        <w:rPr>
          <w:lang w:eastAsia="en-US"/>
        </w:rPr>
        <w:t xml:space="preserve"> bar</w:t>
      </w:r>
      <w:r w:rsidR="004F41FC">
        <w:rPr>
          <w:lang w:eastAsia="en-US"/>
        </w:rPr>
        <w:t>s</w:t>
      </w:r>
      <w:r w:rsidR="00D17AD5">
        <w:rPr>
          <w:lang w:eastAsia="en-US"/>
        </w:rPr>
        <w:t>.</w:t>
      </w:r>
      <w:r w:rsidR="004F41FC">
        <w:rPr>
          <w:lang w:eastAsia="en-US"/>
        </w:rPr>
        <w:t xml:space="preserve"> His gloves were also in the backpack.</w:t>
      </w:r>
      <w:r w:rsidR="00D17AD5">
        <w:rPr>
          <w:lang w:eastAsia="en-US"/>
        </w:rPr>
        <w:t xml:space="preserve"> </w:t>
      </w:r>
      <w:r w:rsidR="00A23CE8">
        <w:rPr>
          <w:lang w:eastAsia="en-US"/>
        </w:rPr>
        <w:t xml:space="preserve">He had noticed a group of people who he believed to be homeless in the lobby of an apartment building close to the ball park and noticed that one of them was wearing a red jacket. </w:t>
      </w:r>
      <w:r w:rsidR="00D17AD5">
        <w:rPr>
          <w:lang w:eastAsia="en-US"/>
        </w:rPr>
        <w:t>He claims he continued to walk towards the Northern Lights Hotel, where he shared</w:t>
      </w:r>
      <w:r w:rsidR="00231E11">
        <w:rPr>
          <w:lang w:eastAsia="en-US"/>
        </w:rPr>
        <w:t xml:space="preserve"> </w:t>
      </w:r>
      <w:r w:rsidR="00D17AD5">
        <w:rPr>
          <w:lang w:eastAsia="en-US"/>
        </w:rPr>
        <w:t>cigarette</w:t>
      </w:r>
      <w:r w:rsidR="00231E11">
        <w:rPr>
          <w:lang w:eastAsia="en-US"/>
        </w:rPr>
        <w:t>s</w:t>
      </w:r>
      <w:r w:rsidR="00D17AD5">
        <w:rPr>
          <w:lang w:eastAsia="en-US"/>
        </w:rPr>
        <w:t xml:space="preserve"> with an individual he knew and with another individual who unexpectedly struck him in the eye. </w:t>
      </w:r>
    </w:p>
    <w:p w:rsidR="00D17AD5" w:rsidRDefault="00D17AD5" w:rsidP="007727FA">
      <w:pPr>
        <w:pStyle w:val="FelskyNumbering12"/>
        <w:rPr>
          <w:lang w:eastAsia="en-US"/>
        </w:rPr>
      </w:pPr>
      <w:r>
        <w:rPr>
          <w:lang w:eastAsia="en-US"/>
        </w:rPr>
        <w:t xml:space="preserve">He testified that when he made his way back to the ball park, he found that his backpack had been stolen so he decided to walk towards downtown to see if </w:t>
      </w:r>
      <w:r w:rsidR="005348EA">
        <w:rPr>
          <w:lang w:eastAsia="en-US"/>
        </w:rPr>
        <w:t xml:space="preserve">he could find someone wearing </w:t>
      </w:r>
      <w:r w:rsidR="00231E11">
        <w:rPr>
          <w:lang w:eastAsia="en-US"/>
        </w:rPr>
        <w:t>it</w:t>
      </w:r>
      <w:r w:rsidR="005348EA">
        <w:rPr>
          <w:lang w:eastAsia="en-US"/>
        </w:rPr>
        <w:t xml:space="preserve">. He was wearing a balaclava around his neck but not wearing gloves. After looking for his </w:t>
      </w:r>
      <w:r w:rsidR="005348EA">
        <w:rPr>
          <w:lang w:eastAsia="en-US"/>
        </w:rPr>
        <w:lastRenderedPageBreak/>
        <w:t xml:space="preserve">backpack for approximately half an hour, he started walking back towards the trailer sometime between and </w:t>
      </w:r>
      <w:r w:rsidR="001F1B76">
        <w:rPr>
          <w:lang w:eastAsia="en-US"/>
        </w:rPr>
        <w:t>1:00 and 2:30 am</w:t>
      </w:r>
      <w:r w:rsidR="00C267F6">
        <w:rPr>
          <w:lang w:eastAsia="en-US"/>
        </w:rPr>
        <w:t>. T</w:t>
      </w:r>
      <w:r w:rsidR="001F1B76">
        <w:rPr>
          <w:lang w:eastAsia="en-US"/>
        </w:rPr>
        <w:t xml:space="preserve">hen he was arrested. </w:t>
      </w:r>
    </w:p>
    <w:p w:rsidR="001F1B76" w:rsidRDefault="00867F88" w:rsidP="007727FA">
      <w:pPr>
        <w:pStyle w:val="FelskyNumbering12"/>
        <w:rPr>
          <w:lang w:eastAsia="en-US"/>
        </w:rPr>
      </w:pPr>
      <w:proofErr w:type="spellStart"/>
      <w:r>
        <w:rPr>
          <w:lang w:eastAsia="en-US"/>
        </w:rPr>
        <w:t>Mr</w:t>
      </w:r>
      <w:proofErr w:type="spellEnd"/>
      <w:r w:rsidR="001F1B76">
        <w:rPr>
          <w:lang w:eastAsia="en-US"/>
        </w:rPr>
        <w:t xml:space="preserve"> Zoe denied entering the victim’s apartment, committing a sexual assault or </w:t>
      </w:r>
      <w:r w:rsidR="00A23CE8">
        <w:rPr>
          <w:lang w:eastAsia="en-US"/>
        </w:rPr>
        <w:t>taking the money.</w:t>
      </w:r>
      <w:r w:rsidR="001F1B76">
        <w:rPr>
          <w:lang w:eastAsia="en-US"/>
        </w:rPr>
        <w:t xml:space="preserve"> At trial, he filed an alibi notice. He also confirmed at trial </w:t>
      </w:r>
      <w:r w:rsidR="00601AD4">
        <w:rPr>
          <w:lang w:eastAsia="en-US"/>
        </w:rPr>
        <w:t xml:space="preserve">that </w:t>
      </w:r>
      <w:r w:rsidR="00A23CE8">
        <w:rPr>
          <w:lang w:eastAsia="en-US"/>
        </w:rPr>
        <w:t xml:space="preserve">he owned </w:t>
      </w:r>
      <w:r w:rsidR="002A520F">
        <w:rPr>
          <w:lang w:eastAsia="en-US"/>
        </w:rPr>
        <w:t xml:space="preserve">the </w:t>
      </w:r>
      <w:r w:rsidR="001F1B76">
        <w:rPr>
          <w:lang w:eastAsia="en-US"/>
        </w:rPr>
        <w:t>backpack and glove found in the victim’s apartment</w:t>
      </w:r>
      <w:r w:rsidR="00A23CE8">
        <w:rPr>
          <w:lang w:eastAsia="en-US"/>
        </w:rPr>
        <w:t>,</w:t>
      </w:r>
      <w:r w:rsidR="001F1B76">
        <w:rPr>
          <w:lang w:eastAsia="en-US"/>
        </w:rPr>
        <w:t xml:space="preserve"> but denied being in the apartment.</w:t>
      </w:r>
    </w:p>
    <w:p w:rsidR="00A23CE8" w:rsidRDefault="00A23CE8" w:rsidP="00A23CE8">
      <w:pPr>
        <w:pStyle w:val="FelskyNumbering12"/>
        <w:rPr>
          <w:lang w:eastAsia="en-US"/>
        </w:rPr>
      </w:pPr>
      <w:r>
        <w:rPr>
          <w:lang w:eastAsia="en-US"/>
        </w:rPr>
        <w:t>In addition</w:t>
      </w:r>
      <w:r w:rsidR="00AA76C7">
        <w:rPr>
          <w:lang w:eastAsia="en-US"/>
        </w:rPr>
        <w:t>,</w:t>
      </w:r>
      <w:r w:rsidR="00C267F6">
        <w:rPr>
          <w:lang w:eastAsia="en-US"/>
        </w:rPr>
        <w:t xml:space="preserve"> </w:t>
      </w:r>
      <w:proofErr w:type="spellStart"/>
      <w:r>
        <w:rPr>
          <w:lang w:eastAsia="en-US"/>
        </w:rPr>
        <w:t>Mr</w:t>
      </w:r>
      <w:proofErr w:type="spellEnd"/>
      <w:r>
        <w:rPr>
          <w:lang w:eastAsia="en-US"/>
        </w:rPr>
        <w:t xml:space="preserve"> David Pin</w:t>
      </w:r>
      <w:r w:rsidR="00C267F6">
        <w:rPr>
          <w:lang w:eastAsia="en-US"/>
        </w:rPr>
        <w:t xml:space="preserve">, </w:t>
      </w:r>
      <w:proofErr w:type="spellStart"/>
      <w:r>
        <w:rPr>
          <w:lang w:eastAsia="en-US"/>
        </w:rPr>
        <w:t>Mr</w:t>
      </w:r>
      <w:proofErr w:type="spellEnd"/>
      <w:r>
        <w:rPr>
          <w:lang w:eastAsia="en-US"/>
        </w:rPr>
        <w:t xml:space="preserve"> Zoe’s case manager at the North Slave Correctional Centre</w:t>
      </w:r>
      <w:r w:rsidR="00C267F6">
        <w:rPr>
          <w:lang w:eastAsia="en-US"/>
        </w:rPr>
        <w:t xml:space="preserve"> </w:t>
      </w:r>
      <w:r w:rsidR="002A520F">
        <w:rPr>
          <w:lang w:eastAsia="en-US"/>
        </w:rPr>
        <w:t xml:space="preserve">from </w:t>
      </w:r>
      <w:r>
        <w:rPr>
          <w:lang w:eastAsia="en-US"/>
        </w:rPr>
        <w:t>where he had been released in January 2015</w:t>
      </w:r>
      <w:r w:rsidR="00AA76C7">
        <w:rPr>
          <w:lang w:eastAsia="en-US"/>
        </w:rPr>
        <w:t xml:space="preserve">, </w:t>
      </w:r>
      <w:r>
        <w:rPr>
          <w:lang w:eastAsia="en-US"/>
        </w:rPr>
        <w:t>testified that when inmates are released from custody in the winter months, they are provided a free jacket and gloves</w:t>
      </w:r>
      <w:r w:rsidR="002A520F">
        <w:rPr>
          <w:lang w:eastAsia="en-US"/>
        </w:rPr>
        <w:t>. H</w:t>
      </w:r>
      <w:r>
        <w:rPr>
          <w:lang w:eastAsia="en-US"/>
        </w:rPr>
        <w:t xml:space="preserve">e identified that the jacket </w:t>
      </w:r>
      <w:proofErr w:type="spellStart"/>
      <w:r>
        <w:rPr>
          <w:lang w:eastAsia="en-US"/>
        </w:rPr>
        <w:t>Mr</w:t>
      </w:r>
      <w:proofErr w:type="spellEnd"/>
      <w:r>
        <w:rPr>
          <w:lang w:eastAsia="en-US"/>
        </w:rPr>
        <w:t xml:space="preserve"> Zoe was wearing when he was arrested as being one of the models of jackets issued to inmates on release though the gloves were not. </w:t>
      </w:r>
    </w:p>
    <w:p w:rsidR="001F1B76" w:rsidRDefault="00AA76C7" w:rsidP="001F1B76">
      <w:pPr>
        <w:pStyle w:val="Heading1"/>
        <w:numPr>
          <w:ilvl w:val="0"/>
          <w:numId w:val="19"/>
        </w:numPr>
        <w:jc w:val="left"/>
      </w:pPr>
      <w:r>
        <w:t>Conviction Appeal</w:t>
      </w:r>
    </w:p>
    <w:p w:rsidR="00237638" w:rsidRDefault="00867F88" w:rsidP="005E4298">
      <w:pPr>
        <w:pStyle w:val="FelskyNumbering12"/>
        <w:rPr>
          <w:lang w:eastAsia="en-US"/>
        </w:rPr>
      </w:pPr>
      <w:proofErr w:type="spellStart"/>
      <w:r>
        <w:rPr>
          <w:lang w:eastAsia="en-US"/>
        </w:rPr>
        <w:t>Mr</w:t>
      </w:r>
      <w:proofErr w:type="spellEnd"/>
      <w:r w:rsidR="00477584">
        <w:rPr>
          <w:lang w:eastAsia="en-US"/>
        </w:rPr>
        <w:t xml:space="preserve"> Zoe’s appeal center</w:t>
      </w:r>
      <w:r w:rsidR="00837194">
        <w:rPr>
          <w:lang w:eastAsia="en-US"/>
        </w:rPr>
        <w:t>s</w:t>
      </w:r>
      <w:r w:rsidR="00477584">
        <w:rPr>
          <w:lang w:eastAsia="en-US"/>
        </w:rPr>
        <w:t xml:space="preserve"> on two issues: </w:t>
      </w:r>
      <w:r w:rsidR="00354F42">
        <w:rPr>
          <w:lang w:eastAsia="en-US"/>
        </w:rPr>
        <w:t xml:space="preserve">his </w:t>
      </w:r>
      <w:r w:rsidR="00477584">
        <w:rPr>
          <w:lang w:eastAsia="en-US"/>
        </w:rPr>
        <w:t xml:space="preserve">alibi defence which the trial judge rejected; and the related issue of whether the Crown had met its burden to prove </w:t>
      </w:r>
      <w:r w:rsidR="00DF009C">
        <w:rPr>
          <w:lang w:eastAsia="en-US"/>
        </w:rPr>
        <w:t xml:space="preserve">the </w:t>
      </w:r>
      <w:r w:rsidR="00477584">
        <w:rPr>
          <w:lang w:eastAsia="en-US"/>
        </w:rPr>
        <w:t xml:space="preserve">identity </w:t>
      </w:r>
      <w:r w:rsidR="00DF009C">
        <w:rPr>
          <w:lang w:eastAsia="en-US"/>
        </w:rPr>
        <w:t>of</w:t>
      </w:r>
      <w:r w:rsidR="00477584">
        <w:rPr>
          <w:lang w:eastAsia="en-US"/>
        </w:rPr>
        <w:t xml:space="preserve"> the perpetrator of the offences. Both of those issues engage with findings of fact </w:t>
      </w:r>
      <w:r w:rsidR="00237638">
        <w:rPr>
          <w:lang w:eastAsia="en-US"/>
        </w:rPr>
        <w:t xml:space="preserve">made by the trial judge which largely turned on assessments of credibility. Trial judges are entitled to great deference in this area and </w:t>
      </w:r>
      <w:r w:rsidR="00DF066A">
        <w:rPr>
          <w:lang w:eastAsia="en-US"/>
        </w:rPr>
        <w:t xml:space="preserve">their findings </w:t>
      </w:r>
      <w:r w:rsidR="00237638">
        <w:rPr>
          <w:lang w:eastAsia="en-US"/>
        </w:rPr>
        <w:t xml:space="preserve">should only be interfered with on appeal if there is a palpable and overriding error: </w:t>
      </w:r>
      <w:r w:rsidR="00237638" w:rsidRPr="00F16B3F">
        <w:rPr>
          <w:b/>
          <w:i/>
          <w:lang w:eastAsia="en-US"/>
        </w:rPr>
        <w:t>R v Bourg</w:t>
      </w:r>
      <w:r w:rsidR="00F16B3F" w:rsidRPr="00F16B3F">
        <w:rPr>
          <w:b/>
          <w:i/>
          <w:lang w:eastAsia="en-US"/>
        </w:rPr>
        <w:t>e</w:t>
      </w:r>
      <w:r w:rsidR="00237638" w:rsidRPr="00F16B3F">
        <w:rPr>
          <w:b/>
          <w:i/>
          <w:lang w:eastAsia="en-US"/>
        </w:rPr>
        <w:t>o</w:t>
      </w:r>
      <w:r w:rsidR="00F16B3F" w:rsidRPr="00F16B3F">
        <w:rPr>
          <w:b/>
          <w:i/>
          <w:lang w:eastAsia="en-US"/>
        </w:rPr>
        <w:t>i</w:t>
      </w:r>
      <w:r w:rsidR="00237638" w:rsidRPr="00F16B3F">
        <w:rPr>
          <w:b/>
          <w:i/>
          <w:lang w:eastAsia="en-US"/>
        </w:rPr>
        <w:t>s</w:t>
      </w:r>
      <w:r w:rsidR="00237638">
        <w:rPr>
          <w:lang w:eastAsia="en-US"/>
        </w:rPr>
        <w:t>, 2017 ABCA 32</w:t>
      </w:r>
      <w:r w:rsidR="00F16B3F">
        <w:rPr>
          <w:lang w:eastAsia="en-US"/>
        </w:rPr>
        <w:t xml:space="preserve"> at</w:t>
      </w:r>
      <w:r w:rsidR="00237638">
        <w:rPr>
          <w:lang w:eastAsia="en-US"/>
        </w:rPr>
        <w:t xml:space="preserve"> </w:t>
      </w:r>
      <w:proofErr w:type="spellStart"/>
      <w:r w:rsidR="00237638">
        <w:rPr>
          <w:lang w:eastAsia="en-US"/>
        </w:rPr>
        <w:t>para</w:t>
      </w:r>
      <w:proofErr w:type="spellEnd"/>
      <w:r w:rsidR="00237638">
        <w:rPr>
          <w:lang w:eastAsia="en-US"/>
        </w:rPr>
        <w:t xml:space="preserve"> 12, </w:t>
      </w:r>
      <w:proofErr w:type="spellStart"/>
      <w:r w:rsidR="00237638">
        <w:rPr>
          <w:lang w:eastAsia="en-US"/>
        </w:rPr>
        <w:t>aff’d</w:t>
      </w:r>
      <w:proofErr w:type="spellEnd"/>
      <w:r w:rsidR="00237638">
        <w:rPr>
          <w:lang w:eastAsia="en-US"/>
        </w:rPr>
        <w:t xml:space="preserve"> 2017 SCC 49. This standard also applies to any eyewitness </w:t>
      </w:r>
      <w:r w:rsidR="005E4298">
        <w:rPr>
          <w:lang w:eastAsia="en-US"/>
        </w:rPr>
        <w:t xml:space="preserve">identification notwithstanding that a court’s review of eyewitness identification evidence </w:t>
      </w:r>
      <w:r w:rsidR="00DD302D">
        <w:rPr>
          <w:lang w:eastAsia="en-US"/>
        </w:rPr>
        <w:t xml:space="preserve">should </w:t>
      </w:r>
      <w:r w:rsidR="005E4298">
        <w:rPr>
          <w:lang w:eastAsia="en-US"/>
        </w:rPr>
        <w:t xml:space="preserve">be “penetrating and robust”: </w:t>
      </w:r>
      <w:r w:rsidR="005E4298" w:rsidRPr="00A7148A">
        <w:rPr>
          <w:b/>
          <w:i/>
          <w:lang w:eastAsia="en-US"/>
        </w:rPr>
        <w:t xml:space="preserve">R v </w:t>
      </w:r>
      <w:proofErr w:type="spellStart"/>
      <w:r w:rsidR="005E4298" w:rsidRPr="00A7148A">
        <w:rPr>
          <w:b/>
          <w:i/>
          <w:lang w:eastAsia="en-US"/>
        </w:rPr>
        <w:t>Letendre</w:t>
      </w:r>
      <w:proofErr w:type="spellEnd"/>
      <w:r w:rsidR="005E4298">
        <w:rPr>
          <w:lang w:eastAsia="en-US"/>
        </w:rPr>
        <w:t>, 2019 ABCA 179</w:t>
      </w:r>
      <w:r w:rsidR="00DD302D">
        <w:rPr>
          <w:lang w:eastAsia="en-US"/>
        </w:rPr>
        <w:t xml:space="preserve"> at </w:t>
      </w:r>
      <w:proofErr w:type="spellStart"/>
      <w:r w:rsidR="00DD302D">
        <w:rPr>
          <w:lang w:eastAsia="en-US"/>
        </w:rPr>
        <w:t>para</w:t>
      </w:r>
      <w:proofErr w:type="spellEnd"/>
      <w:r w:rsidR="00DD302D">
        <w:rPr>
          <w:lang w:eastAsia="en-US"/>
        </w:rPr>
        <w:t xml:space="preserve"> 7</w:t>
      </w:r>
      <w:r w:rsidR="005E4298">
        <w:rPr>
          <w:lang w:eastAsia="en-US"/>
        </w:rPr>
        <w:t xml:space="preserve">. </w:t>
      </w:r>
    </w:p>
    <w:p w:rsidR="005E4298" w:rsidRDefault="005E4298" w:rsidP="00477584">
      <w:pPr>
        <w:pStyle w:val="FelskyNumbering12"/>
        <w:rPr>
          <w:lang w:eastAsia="en-US"/>
        </w:rPr>
      </w:pPr>
      <w:r>
        <w:rPr>
          <w:lang w:eastAsia="en-US"/>
        </w:rPr>
        <w:t xml:space="preserve">The trial judge rejected </w:t>
      </w:r>
      <w:proofErr w:type="spellStart"/>
      <w:r w:rsidR="00867F88">
        <w:rPr>
          <w:lang w:eastAsia="en-US"/>
        </w:rPr>
        <w:t>Mr</w:t>
      </w:r>
      <w:proofErr w:type="spellEnd"/>
      <w:r>
        <w:rPr>
          <w:lang w:eastAsia="en-US"/>
        </w:rPr>
        <w:t xml:space="preserve"> Zoe’s alibi evidence. This conclusion turned on findings of credibility with respect to </w:t>
      </w:r>
      <w:proofErr w:type="spellStart"/>
      <w:r w:rsidR="00867F88">
        <w:rPr>
          <w:lang w:eastAsia="en-US"/>
        </w:rPr>
        <w:t>Mr</w:t>
      </w:r>
      <w:proofErr w:type="spellEnd"/>
      <w:r w:rsidR="00D453FE">
        <w:rPr>
          <w:lang w:eastAsia="en-US"/>
        </w:rPr>
        <w:t xml:space="preserve"> Zoe and other witnesses</w:t>
      </w:r>
      <w:r w:rsidR="00DD302D">
        <w:rPr>
          <w:lang w:eastAsia="en-US"/>
        </w:rPr>
        <w:t>,</w:t>
      </w:r>
      <w:r w:rsidR="00D453FE">
        <w:rPr>
          <w:lang w:eastAsia="en-US"/>
        </w:rPr>
        <w:t xml:space="preserve"> in particular Lawrence Tailbone. The trial judge found </w:t>
      </w:r>
      <w:proofErr w:type="spellStart"/>
      <w:r w:rsidR="00867F88">
        <w:rPr>
          <w:lang w:eastAsia="en-US"/>
        </w:rPr>
        <w:t>Mr</w:t>
      </w:r>
      <w:proofErr w:type="spellEnd"/>
      <w:r w:rsidR="00D453FE">
        <w:rPr>
          <w:lang w:eastAsia="en-US"/>
        </w:rPr>
        <w:t xml:space="preserve"> Tailbone to be a credible witness and accepted his evidence that </w:t>
      </w:r>
      <w:proofErr w:type="spellStart"/>
      <w:r w:rsidR="00867F88">
        <w:rPr>
          <w:lang w:eastAsia="en-US"/>
        </w:rPr>
        <w:t>Mr</w:t>
      </w:r>
      <w:proofErr w:type="spellEnd"/>
      <w:r w:rsidR="00D453FE">
        <w:rPr>
          <w:lang w:eastAsia="en-US"/>
        </w:rPr>
        <w:t xml:space="preserve"> Zoe left the trailer around 2:00 a.m. and was told he could not return. He rejected </w:t>
      </w:r>
      <w:proofErr w:type="spellStart"/>
      <w:r w:rsidR="00867F88">
        <w:rPr>
          <w:lang w:eastAsia="en-US"/>
        </w:rPr>
        <w:t>Mr</w:t>
      </w:r>
      <w:proofErr w:type="spellEnd"/>
      <w:r w:rsidR="00D453FE">
        <w:rPr>
          <w:lang w:eastAsia="en-US"/>
        </w:rPr>
        <w:t xml:space="preserve"> Zoe’s evidence</w:t>
      </w:r>
      <w:r w:rsidR="00DD302D">
        <w:rPr>
          <w:lang w:eastAsia="en-US"/>
        </w:rPr>
        <w:t xml:space="preserve">, </w:t>
      </w:r>
      <w:r w:rsidR="00D453FE">
        <w:rPr>
          <w:lang w:eastAsia="en-US"/>
        </w:rPr>
        <w:t xml:space="preserve">pointing to </w:t>
      </w:r>
      <w:r w:rsidR="00231E11">
        <w:rPr>
          <w:lang w:eastAsia="en-US"/>
        </w:rPr>
        <w:t>problems</w:t>
      </w:r>
      <w:r w:rsidR="00D453FE">
        <w:rPr>
          <w:lang w:eastAsia="en-US"/>
        </w:rPr>
        <w:t>, including that</w:t>
      </w:r>
      <w:r w:rsidR="00DD302D">
        <w:rPr>
          <w:lang w:eastAsia="en-US"/>
        </w:rPr>
        <w:t xml:space="preserve">: </w:t>
      </w:r>
      <w:proofErr w:type="spellStart"/>
      <w:r w:rsidR="00867F88">
        <w:rPr>
          <w:lang w:eastAsia="en-US"/>
        </w:rPr>
        <w:t>Mr</w:t>
      </w:r>
      <w:proofErr w:type="spellEnd"/>
      <w:r w:rsidR="00D453FE">
        <w:rPr>
          <w:lang w:eastAsia="en-US"/>
        </w:rPr>
        <w:t xml:space="preserve"> Zoe could not </w:t>
      </w:r>
      <w:r w:rsidR="00BA387D">
        <w:rPr>
          <w:lang w:eastAsia="en-US"/>
        </w:rPr>
        <w:t>say</w:t>
      </w:r>
      <w:r w:rsidR="00D453FE">
        <w:rPr>
          <w:lang w:eastAsia="en-US"/>
        </w:rPr>
        <w:t xml:space="preserve"> </w:t>
      </w:r>
      <w:r w:rsidR="00AA76C7">
        <w:rPr>
          <w:lang w:eastAsia="en-US"/>
        </w:rPr>
        <w:t>if he left the trailer at 2:00 am when the bars closed</w:t>
      </w:r>
      <w:r w:rsidR="00DD302D">
        <w:rPr>
          <w:lang w:eastAsia="en-US"/>
        </w:rPr>
        <w:t>;</w:t>
      </w:r>
      <w:r w:rsidR="00AA76C7">
        <w:rPr>
          <w:lang w:eastAsia="en-US"/>
        </w:rPr>
        <w:t xml:space="preserve"> his claim to have left his backpack at the ballpark so he could go to the bar made no sense; </w:t>
      </w:r>
      <w:r w:rsidR="00D453FE">
        <w:rPr>
          <w:lang w:eastAsia="en-US"/>
        </w:rPr>
        <w:t>the approximately three</w:t>
      </w:r>
      <w:r w:rsidR="00F16B3F">
        <w:rPr>
          <w:lang w:eastAsia="en-US"/>
        </w:rPr>
        <w:t>-</w:t>
      </w:r>
      <w:r w:rsidR="00D453FE">
        <w:rPr>
          <w:lang w:eastAsia="en-US"/>
        </w:rPr>
        <w:t>hour time gap from 2:00 am when he</w:t>
      </w:r>
      <w:r w:rsidR="009C603C">
        <w:rPr>
          <w:lang w:eastAsia="en-US"/>
        </w:rPr>
        <w:t xml:space="preserve"> said he left downtown to his arrest just after 5:30 am</w:t>
      </w:r>
      <w:r w:rsidR="00DF009C">
        <w:rPr>
          <w:lang w:eastAsia="en-US"/>
        </w:rPr>
        <w:t xml:space="preserve">; </w:t>
      </w:r>
      <w:r w:rsidR="009C603C">
        <w:rPr>
          <w:lang w:eastAsia="en-US"/>
        </w:rPr>
        <w:t>he was found walking northbound in the opposite direction of the trailer</w:t>
      </w:r>
      <w:r w:rsidR="00F17911">
        <w:rPr>
          <w:lang w:eastAsia="en-US"/>
        </w:rPr>
        <w:t xml:space="preserve"> to which he said he was returning</w:t>
      </w:r>
      <w:r w:rsidR="00DF009C">
        <w:rPr>
          <w:lang w:eastAsia="en-US"/>
        </w:rPr>
        <w:t xml:space="preserve">; </w:t>
      </w:r>
      <w:r w:rsidR="00DD302D">
        <w:rPr>
          <w:lang w:eastAsia="en-US"/>
        </w:rPr>
        <w:t>and</w:t>
      </w:r>
      <w:r w:rsidR="00F17911">
        <w:rPr>
          <w:lang w:eastAsia="en-US"/>
        </w:rPr>
        <w:t xml:space="preserve"> </w:t>
      </w:r>
      <w:r w:rsidR="00DF009C">
        <w:rPr>
          <w:lang w:eastAsia="en-US"/>
        </w:rPr>
        <w:t xml:space="preserve">that he did not wear his gloves when it was -30 </w:t>
      </w:r>
      <w:r w:rsidR="00DD302D">
        <w:rPr>
          <w:lang w:eastAsia="en-US"/>
        </w:rPr>
        <w:t xml:space="preserve">Celsius </w:t>
      </w:r>
      <w:r w:rsidR="00DF009C">
        <w:rPr>
          <w:lang w:eastAsia="en-US"/>
        </w:rPr>
        <w:t>or colder in Yellowknife when he was outside walking</w:t>
      </w:r>
      <w:r w:rsidR="009C603C">
        <w:rPr>
          <w:lang w:eastAsia="en-US"/>
        </w:rPr>
        <w:t xml:space="preserve">. </w:t>
      </w:r>
    </w:p>
    <w:p w:rsidR="009C603C" w:rsidRDefault="009C603C" w:rsidP="00477584">
      <w:pPr>
        <w:pStyle w:val="FelskyNumbering12"/>
        <w:rPr>
          <w:lang w:eastAsia="en-US"/>
        </w:rPr>
      </w:pPr>
      <w:r>
        <w:rPr>
          <w:lang w:eastAsia="en-US"/>
        </w:rPr>
        <w:t>We see no basis for interfering with the trial judge’s conclusions in this regard.</w:t>
      </w:r>
    </w:p>
    <w:p w:rsidR="009C603C" w:rsidRDefault="009C603C" w:rsidP="00477584">
      <w:pPr>
        <w:pStyle w:val="FelskyNumbering12"/>
        <w:rPr>
          <w:lang w:eastAsia="en-US"/>
        </w:rPr>
      </w:pPr>
      <w:r>
        <w:rPr>
          <w:lang w:eastAsia="en-US"/>
        </w:rPr>
        <w:t xml:space="preserve">With respect to the identification evidence, we also see no reviewable errors made by the trial judge. First, while </w:t>
      </w:r>
      <w:r w:rsidR="00CA65B4">
        <w:rPr>
          <w:lang w:eastAsia="en-US"/>
        </w:rPr>
        <w:t>t</w:t>
      </w:r>
      <w:r>
        <w:rPr>
          <w:lang w:eastAsia="en-US"/>
        </w:rPr>
        <w:t>he</w:t>
      </w:r>
      <w:r w:rsidR="00CA65B4">
        <w:rPr>
          <w:lang w:eastAsia="en-US"/>
        </w:rPr>
        <w:t xml:space="preserve"> trial judge</w:t>
      </w:r>
      <w:r>
        <w:rPr>
          <w:lang w:eastAsia="en-US"/>
        </w:rPr>
        <w:t xml:space="preserve"> admitted </w:t>
      </w:r>
      <w:r w:rsidR="00880F94">
        <w:rPr>
          <w:lang w:eastAsia="en-US"/>
        </w:rPr>
        <w:t>JF</w:t>
      </w:r>
      <w:r>
        <w:rPr>
          <w:lang w:eastAsia="en-US"/>
        </w:rPr>
        <w:t xml:space="preserve">’s identification </w:t>
      </w:r>
      <w:r w:rsidR="00757630">
        <w:rPr>
          <w:lang w:eastAsia="en-US"/>
        </w:rPr>
        <w:t xml:space="preserve">of </w:t>
      </w:r>
      <w:proofErr w:type="spellStart"/>
      <w:r w:rsidR="00867F88">
        <w:rPr>
          <w:lang w:eastAsia="en-US"/>
        </w:rPr>
        <w:t>Mr</w:t>
      </w:r>
      <w:proofErr w:type="spellEnd"/>
      <w:r w:rsidR="00757630">
        <w:rPr>
          <w:lang w:eastAsia="en-US"/>
        </w:rPr>
        <w:t xml:space="preserve"> Zoe in the police car as an exception to the hearsay rule only, he was right to accord it very little weight because of the </w:t>
      </w:r>
      <w:r w:rsidR="00CA65B4">
        <w:rPr>
          <w:lang w:eastAsia="en-US"/>
        </w:rPr>
        <w:t>unreliable</w:t>
      </w:r>
      <w:r w:rsidR="00757630">
        <w:rPr>
          <w:lang w:eastAsia="en-US"/>
        </w:rPr>
        <w:t xml:space="preserve"> circumstance</w:t>
      </w:r>
      <w:r w:rsidR="00231E11">
        <w:rPr>
          <w:lang w:eastAsia="en-US"/>
        </w:rPr>
        <w:t>s</w:t>
      </w:r>
      <w:r w:rsidR="00757630">
        <w:rPr>
          <w:lang w:eastAsia="en-US"/>
        </w:rPr>
        <w:t xml:space="preserve">. </w:t>
      </w:r>
      <w:r w:rsidR="00F17911">
        <w:rPr>
          <w:lang w:eastAsia="en-US"/>
        </w:rPr>
        <w:t xml:space="preserve">It </w:t>
      </w:r>
      <w:r w:rsidR="00757630">
        <w:rPr>
          <w:lang w:eastAsia="en-US"/>
        </w:rPr>
        <w:t xml:space="preserve">was appropriate to receive the evidence of </w:t>
      </w:r>
      <w:r w:rsidR="00880F94">
        <w:rPr>
          <w:lang w:eastAsia="en-US"/>
        </w:rPr>
        <w:t xml:space="preserve">HS </w:t>
      </w:r>
      <w:r w:rsidR="00757630">
        <w:rPr>
          <w:lang w:eastAsia="en-US"/>
        </w:rPr>
        <w:t xml:space="preserve">and </w:t>
      </w:r>
      <w:r w:rsidR="00880F94">
        <w:rPr>
          <w:lang w:eastAsia="en-US"/>
        </w:rPr>
        <w:t xml:space="preserve">JF </w:t>
      </w:r>
      <w:r w:rsidR="002867AE">
        <w:rPr>
          <w:lang w:eastAsia="en-US"/>
        </w:rPr>
        <w:t>regarding their contemporaneous descriptions of the person in their apartment. Ultimately</w:t>
      </w:r>
      <w:r w:rsidR="00231E11">
        <w:rPr>
          <w:lang w:eastAsia="en-US"/>
        </w:rPr>
        <w:t>,</w:t>
      </w:r>
      <w:r w:rsidR="002867AE">
        <w:rPr>
          <w:lang w:eastAsia="en-US"/>
        </w:rPr>
        <w:t xml:space="preserve"> the identification </w:t>
      </w:r>
      <w:r w:rsidR="008F6A6C">
        <w:rPr>
          <w:lang w:eastAsia="en-US"/>
        </w:rPr>
        <w:t xml:space="preserve">was </w:t>
      </w:r>
      <w:r w:rsidR="009557B4">
        <w:rPr>
          <w:lang w:eastAsia="en-US"/>
        </w:rPr>
        <w:t xml:space="preserve">established by relying on a </w:t>
      </w:r>
      <w:r w:rsidR="008F6A6C">
        <w:rPr>
          <w:lang w:eastAsia="en-US"/>
        </w:rPr>
        <w:t>constellation of</w:t>
      </w:r>
      <w:r w:rsidR="000D78DD">
        <w:rPr>
          <w:lang w:eastAsia="en-US"/>
        </w:rPr>
        <w:t xml:space="preserve"> circumstantial evidence</w:t>
      </w:r>
      <w:r w:rsidR="008F6A6C">
        <w:rPr>
          <w:lang w:eastAsia="en-US"/>
        </w:rPr>
        <w:t xml:space="preserve"> including: the rejection of the </w:t>
      </w:r>
      <w:r w:rsidR="008F6A6C">
        <w:rPr>
          <w:lang w:eastAsia="en-US"/>
        </w:rPr>
        <w:lastRenderedPageBreak/>
        <w:t xml:space="preserve">alibi evidence; the fact that </w:t>
      </w:r>
      <w:proofErr w:type="spellStart"/>
      <w:r w:rsidR="000D78DD">
        <w:rPr>
          <w:lang w:eastAsia="en-US"/>
        </w:rPr>
        <w:t>Mr</w:t>
      </w:r>
      <w:proofErr w:type="spellEnd"/>
      <w:r w:rsidR="000D78DD">
        <w:rPr>
          <w:lang w:eastAsia="en-US"/>
        </w:rPr>
        <w:t xml:space="preserve"> Zoe’s</w:t>
      </w:r>
      <w:r w:rsidR="008F6A6C">
        <w:rPr>
          <w:lang w:eastAsia="en-US"/>
        </w:rPr>
        <w:t xml:space="preserve"> backpack and glove were found in the victim’s apartment; the victim</w:t>
      </w:r>
      <w:r w:rsidR="000D78DD">
        <w:rPr>
          <w:lang w:eastAsia="en-US"/>
        </w:rPr>
        <w:t>s’</w:t>
      </w:r>
      <w:r w:rsidR="008F6A6C">
        <w:rPr>
          <w:lang w:eastAsia="en-US"/>
        </w:rPr>
        <w:t xml:space="preserve"> description matched </w:t>
      </w:r>
      <w:proofErr w:type="spellStart"/>
      <w:r w:rsidR="00867F88">
        <w:rPr>
          <w:lang w:eastAsia="en-US"/>
        </w:rPr>
        <w:t>Mr</w:t>
      </w:r>
      <w:proofErr w:type="spellEnd"/>
      <w:r w:rsidR="008F6A6C">
        <w:rPr>
          <w:lang w:eastAsia="en-US"/>
        </w:rPr>
        <w:t xml:space="preserve"> Zoe and his clothing, even before </w:t>
      </w:r>
      <w:r w:rsidR="00880F94">
        <w:rPr>
          <w:lang w:eastAsia="en-US"/>
        </w:rPr>
        <w:t xml:space="preserve">JF </w:t>
      </w:r>
      <w:r w:rsidR="008F6A6C">
        <w:rPr>
          <w:lang w:eastAsia="en-US"/>
        </w:rPr>
        <w:t xml:space="preserve">was asked to identify him in the police vehicle; he was arrested within 100 meters of the victim’s residence; he was the only person seen by police at approximately 5:30 am </w:t>
      </w:r>
      <w:r w:rsidR="00A31916">
        <w:rPr>
          <w:lang w:eastAsia="en-US"/>
        </w:rPr>
        <w:t xml:space="preserve">in </w:t>
      </w:r>
      <w:r w:rsidR="00CA65B4">
        <w:rPr>
          <w:lang w:eastAsia="en-US"/>
        </w:rPr>
        <w:t>-</w:t>
      </w:r>
      <w:r w:rsidR="00A31916">
        <w:rPr>
          <w:lang w:eastAsia="en-US"/>
        </w:rPr>
        <w:t>3</w:t>
      </w:r>
      <w:r w:rsidR="00CA65B4">
        <w:rPr>
          <w:lang w:eastAsia="en-US"/>
        </w:rPr>
        <w:t>0</w:t>
      </w:r>
      <w:r w:rsidR="00A31916">
        <w:rPr>
          <w:lang w:eastAsia="en-US"/>
        </w:rPr>
        <w:t xml:space="preserve"> degree Celsius weather; and the complete rejection of </w:t>
      </w:r>
      <w:proofErr w:type="spellStart"/>
      <w:r w:rsidR="00867F88">
        <w:rPr>
          <w:lang w:eastAsia="en-US"/>
        </w:rPr>
        <w:t>Mr</w:t>
      </w:r>
      <w:proofErr w:type="spellEnd"/>
      <w:r w:rsidR="00A31916">
        <w:rPr>
          <w:lang w:eastAsia="en-US"/>
        </w:rPr>
        <w:t xml:space="preserve"> Zoe’s evidence. Relying on these factors, the trial judge reasonably concluded that </w:t>
      </w:r>
      <w:proofErr w:type="spellStart"/>
      <w:r w:rsidR="00867F88">
        <w:rPr>
          <w:lang w:eastAsia="en-US"/>
        </w:rPr>
        <w:t>Mr</w:t>
      </w:r>
      <w:proofErr w:type="spellEnd"/>
      <w:r w:rsidR="00A31916">
        <w:rPr>
          <w:lang w:eastAsia="en-US"/>
        </w:rPr>
        <w:t xml:space="preserve"> Zoe was the assailant. </w:t>
      </w:r>
    </w:p>
    <w:p w:rsidR="00A31916" w:rsidRDefault="00867F88" w:rsidP="00477584">
      <w:pPr>
        <w:pStyle w:val="FelskyNumbering12"/>
        <w:rPr>
          <w:lang w:eastAsia="en-US"/>
        </w:rPr>
      </w:pPr>
      <w:proofErr w:type="spellStart"/>
      <w:r>
        <w:rPr>
          <w:lang w:eastAsia="en-US"/>
        </w:rPr>
        <w:t>Mr</w:t>
      </w:r>
      <w:proofErr w:type="spellEnd"/>
      <w:r w:rsidR="00A31916">
        <w:rPr>
          <w:lang w:eastAsia="en-US"/>
        </w:rPr>
        <w:t xml:space="preserve"> Zoe also argues that the police service dog was not able to track him outside of the victim’s apartment and this proves he was innocent. </w:t>
      </w:r>
      <w:r w:rsidR="00CA65B4">
        <w:rPr>
          <w:lang w:eastAsia="en-US"/>
        </w:rPr>
        <w:t xml:space="preserve">In our view, this does not </w:t>
      </w:r>
      <w:r w:rsidR="00F16B3F">
        <w:rPr>
          <w:lang w:eastAsia="en-US"/>
        </w:rPr>
        <w:t xml:space="preserve">detract from the evidence which supported his identification. </w:t>
      </w:r>
    </w:p>
    <w:p w:rsidR="00F16B3F" w:rsidRDefault="00F16B3F" w:rsidP="00477584">
      <w:pPr>
        <w:pStyle w:val="FelskyNumbering12"/>
        <w:rPr>
          <w:lang w:eastAsia="en-US"/>
        </w:rPr>
      </w:pPr>
      <w:r>
        <w:rPr>
          <w:lang w:eastAsia="en-US"/>
        </w:rPr>
        <w:t xml:space="preserve">In all of the circumstances, the appeal from the conviction is dismissed. </w:t>
      </w:r>
    </w:p>
    <w:p w:rsidR="00F16B3F" w:rsidRDefault="00F16B3F" w:rsidP="00F16B3F">
      <w:pPr>
        <w:pStyle w:val="Heading1"/>
        <w:numPr>
          <w:ilvl w:val="0"/>
          <w:numId w:val="19"/>
        </w:numPr>
        <w:jc w:val="left"/>
      </w:pPr>
      <w:r>
        <w:t>Sentence appeal</w:t>
      </w:r>
    </w:p>
    <w:p w:rsidR="00C34414" w:rsidRDefault="00C34414" w:rsidP="00F17911">
      <w:pPr>
        <w:pStyle w:val="FelskyNumbering12"/>
        <w:rPr>
          <w:lang w:eastAsia="en-US"/>
        </w:rPr>
      </w:pPr>
      <w:r>
        <w:rPr>
          <w:lang w:eastAsia="en-US"/>
        </w:rPr>
        <w:t xml:space="preserve">Sentencing someone as a dangerous offender is a two-step process. </w:t>
      </w:r>
      <w:r w:rsidR="00354F42">
        <w:rPr>
          <w:lang w:eastAsia="en-US"/>
        </w:rPr>
        <w:t>In t</w:t>
      </w:r>
      <w:r>
        <w:rPr>
          <w:lang w:eastAsia="en-US"/>
        </w:rPr>
        <w:t>he first step</w:t>
      </w:r>
      <w:r w:rsidR="00354F42">
        <w:rPr>
          <w:lang w:eastAsia="en-US"/>
        </w:rPr>
        <w:t xml:space="preserve">, </w:t>
      </w:r>
      <w:r>
        <w:rPr>
          <w:lang w:eastAsia="en-US"/>
        </w:rPr>
        <w:t xml:space="preserve">the sentencing judge must determine whether an offender should be designated as a dangerous offender under </w:t>
      </w:r>
      <w:r w:rsidR="00B026BE">
        <w:rPr>
          <w:lang w:eastAsia="en-US"/>
        </w:rPr>
        <w:t>s</w:t>
      </w:r>
      <w:r>
        <w:rPr>
          <w:lang w:eastAsia="en-US"/>
        </w:rPr>
        <w:t xml:space="preserve"> 753(1) of the </w:t>
      </w:r>
      <w:r w:rsidRPr="00F17911">
        <w:rPr>
          <w:i/>
          <w:lang w:eastAsia="en-US"/>
        </w:rPr>
        <w:t>Criminal Code</w:t>
      </w:r>
      <w:r>
        <w:rPr>
          <w:lang w:eastAsia="en-US"/>
        </w:rPr>
        <w:t xml:space="preserve">. If so, the next step is to determine the appropriate sentence under </w:t>
      </w:r>
      <w:proofErr w:type="spellStart"/>
      <w:r w:rsidR="00B026BE">
        <w:rPr>
          <w:lang w:eastAsia="en-US"/>
        </w:rPr>
        <w:t>ss</w:t>
      </w:r>
      <w:proofErr w:type="spellEnd"/>
      <w:r>
        <w:rPr>
          <w:lang w:eastAsia="en-US"/>
        </w:rPr>
        <w:t xml:space="preserve"> 753(4) and (4.1). </w:t>
      </w:r>
    </w:p>
    <w:p w:rsidR="00354F42" w:rsidRDefault="00F16004" w:rsidP="008E1D29">
      <w:pPr>
        <w:pStyle w:val="FelskyNumbering12"/>
        <w:rPr>
          <w:lang w:eastAsia="en-US"/>
        </w:rPr>
      </w:pPr>
      <w:r>
        <w:rPr>
          <w:lang w:eastAsia="en-US"/>
        </w:rPr>
        <w:t xml:space="preserve">These provisions of the </w:t>
      </w:r>
      <w:r>
        <w:rPr>
          <w:i/>
          <w:lang w:eastAsia="en-US"/>
        </w:rPr>
        <w:t xml:space="preserve">Criminal </w:t>
      </w:r>
      <w:r w:rsidRPr="005B5719">
        <w:rPr>
          <w:i/>
          <w:lang w:eastAsia="en-US"/>
        </w:rPr>
        <w:t>Code</w:t>
      </w:r>
      <w:r>
        <w:rPr>
          <w:lang w:eastAsia="en-US"/>
        </w:rPr>
        <w:t xml:space="preserve"> were amended in 2008, and their constitutionality challenged. The Supreme Court of Canada issued its reason</w:t>
      </w:r>
      <w:r w:rsidR="00880F94">
        <w:rPr>
          <w:lang w:eastAsia="en-US"/>
        </w:rPr>
        <w:t>s</w:t>
      </w:r>
      <w:r>
        <w:rPr>
          <w:lang w:eastAsia="en-US"/>
        </w:rPr>
        <w:t xml:space="preserve"> in </w:t>
      </w:r>
      <w:proofErr w:type="spellStart"/>
      <w:r>
        <w:rPr>
          <w:b/>
          <w:i/>
          <w:lang w:eastAsia="en-US"/>
        </w:rPr>
        <w:t>Boutilier</w:t>
      </w:r>
      <w:proofErr w:type="spellEnd"/>
      <w:r>
        <w:rPr>
          <w:b/>
          <w:i/>
          <w:lang w:eastAsia="en-US"/>
        </w:rPr>
        <w:t xml:space="preserve"> </w:t>
      </w:r>
      <w:r>
        <w:rPr>
          <w:lang w:eastAsia="en-US"/>
        </w:rPr>
        <w:t>just two weeks after sentencing occurred in this case. The test</w:t>
      </w:r>
      <w:r w:rsidR="00CA65B4">
        <w:rPr>
          <w:lang w:eastAsia="en-US"/>
        </w:rPr>
        <w:t xml:space="preserve"> for dangerous offender designation</w:t>
      </w:r>
      <w:r w:rsidR="00BA387D">
        <w:rPr>
          <w:lang w:eastAsia="en-US"/>
        </w:rPr>
        <w:t xml:space="preserve"> and </w:t>
      </w:r>
      <w:r w:rsidR="00CD5503">
        <w:rPr>
          <w:lang w:eastAsia="en-US"/>
        </w:rPr>
        <w:t xml:space="preserve">the appropriateness of an </w:t>
      </w:r>
      <w:r w:rsidR="00BA387D">
        <w:rPr>
          <w:lang w:eastAsia="en-US"/>
        </w:rPr>
        <w:t xml:space="preserve">indeterminate sentence </w:t>
      </w:r>
      <w:r>
        <w:rPr>
          <w:lang w:eastAsia="en-US"/>
        </w:rPr>
        <w:t xml:space="preserve">applied </w:t>
      </w:r>
      <w:r w:rsidR="00F874D1">
        <w:rPr>
          <w:lang w:eastAsia="en-US"/>
        </w:rPr>
        <w:t xml:space="preserve">by the sentencing judge in this case contained legal errors in light of the reasons in </w:t>
      </w:r>
      <w:proofErr w:type="spellStart"/>
      <w:r w:rsidR="00F874D1" w:rsidRPr="00354F42">
        <w:rPr>
          <w:b/>
          <w:i/>
          <w:lang w:eastAsia="en-US"/>
        </w:rPr>
        <w:t>Boutilier</w:t>
      </w:r>
      <w:proofErr w:type="spellEnd"/>
      <w:r w:rsidR="00F874D1">
        <w:rPr>
          <w:lang w:eastAsia="en-US"/>
        </w:rPr>
        <w:t xml:space="preserve">. </w:t>
      </w:r>
    </w:p>
    <w:p w:rsidR="00F874D1" w:rsidRDefault="00F874D1" w:rsidP="008E1D29">
      <w:pPr>
        <w:pStyle w:val="FelskyNumbering12"/>
        <w:rPr>
          <w:lang w:eastAsia="en-US"/>
        </w:rPr>
      </w:pPr>
      <w:r>
        <w:rPr>
          <w:lang w:eastAsia="en-US"/>
        </w:rPr>
        <w:t xml:space="preserve">The appellant argues, among other </w:t>
      </w:r>
      <w:proofErr w:type="gramStart"/>
      <w:r>
        <w:rPr>
          <w:lang w:eastAsia="en-US"/>
        </w:rPr>
        <w:t xml:space="preserve">things, </w:t>
      </w:r>
      <w:r w:rsidR="00BF4589">
        <w:rPr>
          <w:lang w:eastAsia="en-US"/>
        </w:rPr>
        <w:t>that</w:t>
      </w:r>
      <w:proofErr w:type="gramEnd"/>
      <w:r w:rsidR="00BF4589">
        <w:rPr>
          <w:lang w:eastAsia="en-US"/>
        </w:rPr>
        <w:t xml:space="preserve"> </w:t>
      </w:r>
      <w:r w:rsidR="00231E11">
        <w:rPr>
          <w:lang w:eastAsia="en-US"/>
        </w:rPr>
        <w:t>because</w:t>
      </w:r>
      <w:r>
        <w:rPr>
          <w:lang w:eastAsia="en-US"/>
        </w:rPr>
        <w:t xml:space="preserve"> of these errors</w:t>
      </w:r>
      <w:r w:rsidR="00231E11">
        <w:rPr>
          <w:lang w:eastAsia="en-US"/>
        </w:rPr>
        <w:t>,</w:t>
      </w:r>
      <w:r>
        <w:rPr>
          <w:lang w:eastAsia="en-US"/>
        </w:rPr>
        <w:t xml:space="preserve"> the sentencing judge did not do the required analysis so the appeal should be granted and the matter be remitted for a new sentencing hearing</w:t>
      </w:r>
      <w:r w:rsidR="00575090">
        <w:rPr>
          <w:lang w:eastAsia="en-US"/>
        </w:rPr>
        <w:t>.</w:t>
      </w:r>
    </w:p>
    <w:p w:rsidR="00F874D1" w:rsidRDefault="00F874D1" w:rsidP="008E1D29">
      <w:pPr>
        <w:pStyle w:val="FelskyNumbering12"/>
        <w:rPr>
          <w:lang w:eastAsia="en-US"/>
        </w:rPr>
      </w:pPr>
      <w:r>
        <w:rPr>
          <w:lang w:eastAsia="en-US"/>
        </w:rPr>
        <w:t xml:space="preserve">In addition, </w:t>
      </w:r>
      <w:proofErr w:type="spellStart"/>
      <w:r>
        <w:rPr>
          <w:lang w:eastAsia="en-US"/>
        </w:rPr>
        <w:t>Mr</w:t>
      </w:r>
      <w:proofErr w:type="spellEnd"/>
      <w:r>
        <w:rPr>
          <w:lang w:eastAsia="en-US"/>
        </w:rPr>
        <w:t xml:space="preserve"> Zoe applies to submit fresh evidence in the form of a </w:t>
      </w:r>
      <w:proofErr w:type="spellStart"/>
      <w:r w:rsidRPr="00366E25">
        <w:rPr>
          <w:b/>
          <w:i/>
          <w:lang w:eastAsia="en-US"/>
        </w:rPr>
        <w:t>Gladue</w:t>
      </w:r>
      <w:proofErr w:type="spellEnd"/>
      <w:r>
        <w:rPr>
          <w:b/>
          <w:i/>
          <w:lang w:eastAsia="en-US"/>
        </w:rPr>
        <w:t xml:space="preserve"> </w:t>
      </w:r>
      <w:r>
        <w:rPr>
          <w:lang w:eastAsia="en-US"/>
        </w:rPr>
        <w:t>report</w:t>
      </w:r>
      <w:r w:rsidR="00575090">
        <w:rPr>
          <w:lang w:eastAsia="en-US"/>
        </w:rPr>
        <w:t xml:space="preserve"> in relation to an alleged error of the sentencing judge failing to consider </w:t>
      </w:r>
      <w:proofErr w:type="spellStart"/>
      <w:r w:rsidR="00575090" w:rsidRPr="00366E25">
        <w:rPr>
          <w:b/>
          <w:i/>
          <w:lang w:eastAsia="en-US"/>
        </w:rPr>
        <w:t>Gladue</w:t>
      </w:r>
      <w:proofErr w:type="spellEnd"/>
      <w:r w:rsidR="00575090">
        <w:rPr>
          <w:b/>
          <w:i/>
          <w:lang w:eastAsia="en-US"/>
        </w:rPr>
        <w:t xml:space="preserve"> </w:t>
      </w:r>
      <w:r w:rsidR="00575090">
        <w:rPr>
          <w:lang w:eastAsia="en-US"/>
        </w:rPr>
        <w:t>factors.</w:t>
      </w:r>
    </w:p>
    <w:p w:rsidR="001E0671" w:rsidRDefault="00F874D1" w:rsidP="008E1D29">
      <w:pPr>
        <w:pStyle w:val="FelskyNumbering12"/>
        <w:rPr>
          <w:lang w:eastAsia="en-US"/>
        </w:rPr>
      </w:pPr>
      <w:r>
        <w:rPr>
          <w:lang w:eastAsia="en-US"/>
        </w:rPr>
        <w:t xml:space="preserve">The Crown concedes </w:t>
      </w:r>
      <w:r w:rsidR="00CB4DA0">
        <w:rPr>
          <w:lang w:eastAsia="en-US"/>
        </w:rPr>
        <w:t xml:space="preserve">one </w:t>
      </w:r>
      <w:r>
        <w:rPr>
          <w:lang w:eastAsia="en-US"/>
        </w:rPr>
        <w:t xml:space="preserve">legal error by the sentencing judge in light of </w:t>
      </w:r>
      <w:proofErr w:type="spellStart"/>
      <w:r w:rsidRPr="00354F42">
        <w:rPr>
          <w:b/>
          <w:i/>
          <w:lang w:eastAsia="en-US"/>
        </w:rPr>
        <w:t>Boutilier</w:t>
      </w:r>
      <w:proofErr w:type="spellEnd"/>
      <w:r>
        <w:rPr>
          <w:lang w:eastAsia="en-US"/>
        </w:rPr>
        <w:t xml:space="preserve">, but submits that the curative provisions of the </w:t>
      </w:r>
      <w:r>
        <w:rPr>
          <w:i/>
          <w:lang w:eastAsia="en-US"/>
        </w:rPr>
        <w:t xml:space="preserve">Code </w:t>
      </w:r>
      <w:r>
        <w:rPr>
          <w:lang w:eastAsia="en-US"/>
        </w:rPr>
        <w:t xml:space="preserve">be applied to </w:t>
      </w:r>
      <w:r w:rsidR="001E0671">
        <w:rPr>
          <w:lang w:eastAsia="en-US"/>
        </w:rPr>
        <w:t xml:space="preserve">dismiss the appeal. </w:t>
      </w:r>
      <w:r w:rsidR="00DF066A">
        <w:rPr>
          <w:lang w:eastAsia="en-US"/>
        </w:rPr>
        <w:t>The Crown argues</w:t>
      </w:r>
      <w:r w:rsidR="001E0671">
        <w:rPr>
          <w:lang w:eastAsia="en-US"/>
        </w:rPr>
        <w:t xml:space="preserve"> </w:t>
      </w:r>
      <w:r w:rsidR="00231E11">
        <w:rPr>
          <w:lang w:eastAsia="en-US"/>
        </w:rPr>
        <w:t xml:space="preserve">that given </w:t>
      </w:r>
      <w:r w:rsidR="001E0671">
        <w:rPr>
          <w:lang w:eastAsia="en-US"/>
        </w:rPr>
        <w:t xml:space="preserve">the extensive record, when the proper legal analysis is done, the same conclusions on sentence will flow. It also opposes the admission of fresh evidence. </w:t>
      </w:r>
    </w:p>
    <w:p w:rsidR="00837194" w:rsidRDefault="00837194" w:rsidP="00837194">
      <w:pPr>
        <w:pStyle w:val="FelskyNumbering12"/>
        <w:numPr>
          <w:ilvl w:val="0"/>
          <w:numId w:val="0"/>
        </w:numPr>
        <w:rPr>
          <w:lang w:eastAsia="en-US"/>
        </w:rPr>
      </w:pPr>
    </w:p>
    <w:p w:rsidR="00837194" w:rsidRDefault="00837194" w:rsidP="00837194">
      <w:pPr>
        <w:pStyle w:val="FelskyNumbering12"/>
        <w:numPr>
          <w:ilvl w:val="0"/>
          <w:numId w:val="0"/>
        </w:numPr>
        <w:rPr>
          <w:lang w:eastAsia="en-US"/>
        </w:rPr>
      </w:pPr>
    </w:p>
    <w:p w:rsidR="005354E7" w:rsidRDefault="005354E7" w:rsidP="00575090">
      <w:pPr>
        <w:pStyle w:val="Heading2"/>
        <w:numPr>
          <w:ilvl w:val="0"/>
          <w:numId w:val="20"/>
        </w:numPr>
        <w:ind w:hanging="720"/>
      </w:pPr>
      <w:proofErr w:type="spellStart"/>
      <w:r>
        <w:rPr>
          <w:i/>
        </w:rPr>
        <w:lastRenderedPageBreak/>
        <w:t>Boutilier</w:t>
      </w:r>
      <w:proofErr w:type="spellEnd"/>
      <w:r>
        <w:rPr>
          <w:i/>
        </w:rPr>
        <w:t xml:space="preserve"> </w:t>
      </w:r>
      <w:r>
        <w:t>and the Legal Test</w:t>
      </w:r>
    </w:p>
    <w:p w:rsidR="001601D2" w:rsidRPr="000F791A" w:rsidRDefault="001C5284" w:rsidP="00837194">
      <w:pPr>
        <w:pStyle w:val="FelskyNumbering12"/>
        <w:numPr>
          <w:ilvl w:val="0"/>
          <w:numId w:val="26"/>
        </w:numPr>
        <w:ind w:left="720"/>
        <w:rPr>
          <w:b/>
          <w:lang w:eastAsia="en-US"/>
        </w:rPr>
      </w:pPr>
      <w:r w:rsidRPr="000F791A">
        <w:rPr>
          <w:rFonts w:eastAsiaTheme="majorEastAsia" w:cstheme="majorBidi"/>
          <w:b/>
          <w:szCs w:val="26"/>
          <w:lang w:eastAsia="en-US"/>
        </w:rPr>
        <w:t>Designation Stage</w:t>
      </w:r>
    </w:p>
    <w:p w:rsidR="001C5284" w:rsidRDefault="005354E7" w:rsidP="00B23CC3">
      <w:pPr>
        <w:pStyle w:val="FelskyNumbering12"/>
        <w:rPr>
          <w:lang w:eastAsia="en-US"/>
        </w:rPr>
      </w:pPr>
      <w:r>
        <w:rPr>
          <w:lang w:eastAsia="en-US"/>
        </w:rPr>
        <w:t xml:space="preserve">Prior to </w:t>
      </w:r>
      <w:proofErr w:type="spellStart"/>
      <w:r>
        <w:rPr>
          <w:b/>
          <w:i/>
          <w:lang w:eastAsia="en-US"/>
        </w:rPr>
        <w:t>Boutilier</w:t>
      </w:r>
      <w:proofErr w:type="spellEnd"/>
      <w:r>
        <w:rPr>
          <w:lang w:eastAsia="en-US"/>
        </w:rPr>
        <w:t xml:space="preserve">, there had been some </w:t>
      </w:r>
      <w:r w:rsidR="00231E11">
        <w:rPr>
          <w:lang w:eastAsia="en-US"/>
        </w:rPr>
        <w:t>uncertainty about whether an offender’s future treatment prospects were relevant to the designation stage of the dangerous offender scheme</w:t>
      </w:r>
      <w:r>
        <w:rPr>
          <w:lang w:eastAsia="en-US"/>
        </w:rPr>
        <w:t>. The Supreme Court of Canada clarified that the</w:t>
      </w:r>
      <w:r w:rsidR="00B23CC3">
        <w:rPr>
          <w:lang w:eastAsia="en-US"/>
        </w:rPr>
        <w:t xml:space="preserve">re are two aspects to </w:t>
      </w:r>
      <w:r w:rsidR="00476459">
        <w:rPr>
          <w:lang w:eastAsia="en-US"/>
        </w:rPr>
        <w:t xml:space="preserve">the </w:t>
      </w:r>
      <w:r w:rsidR="00B23CC3">
        <w:rPr>
          <w:lang w:eastAsia="en-US"/>
        </w:rPr>
        <w:t>designation stage. First, the</w:t>
      </w:r>
      <w:r>
        <w:rPr>
          <w:lang w:eastAsia="en-US"/>
        </w:rPr>
        <w:t xml:space="preserve"> </w:t>
      </w:r>
      <w:r w:rsidR="00EF642E">
        <w:rPr>
          <w:lang w:eastAsia="en-US"/>
        </w:rPr>
        <w:t xml:space="preserve">sentencing judge must look at the </w:t>
      </w:r>
      <w:r w:rsidRPr="00CE3110">
        <w:rPr>
          <w:i/>
          <w:lang w:eastAsia="en-US"/>
        </w:rPr>
        <w:t>past</w:t>
      </w:r>
      <w:r>
        <w:rPr>
          <w:lang w:eastAsia="en-US"/>
        </w:rPr>
        <w:t xml:space="preserve"> behaviour of the accused </w:t>
      </w:r>
      <w:r w:rsidR="00BA387D">
        <w:rPr>
          <w:lang w:eastAsia="en-US"/>
        </w:rPr>
        <w:t>and consider whether it comes within</w:t>
      </w:r>
      <w:r w:rsidR="00CF6DA8">
        <w:rPr>
          <w:lang w:eastAsia="en-US"/>
        </w:rPr>
        <w:t xml:space="preserve"> </w:t>
      </w:r>
      <w:proofErr w:type="spellStart"/>
      <w:r w:rsidR="00CF6DA8">
        <w:rPr>
          <w:lang w:eastAsia="en-US"/>
        </w:rPr>
        <w:t>ss</w:t>
      </w:r>
      <w:proofErr w:type="spellEnd"/>
      <w:r w:rsidR="00CF6DA8">
        <w:rPr>
          <w:lang w:eastAsia="en-US"/>
        </w:rPr>
        <w:t xml:space="preserve"> 753(1</w:t>
      </w:r>
      <w:proofErr w:type="gramStart"/>
      <w:r w:rsidR="00CF6DA8">
        <w:rPr>
          <w:lang w:eastAsia="en-US"/>
        </w:rPr>
        <w:t>)(</w:t>
      </w:r>
      <w:proofErr w:type="gramEnd"/>
      <w:r w:rsidR="00CF6DA8">
        <w:rPr>
          <w:lang w:eastAsia="en-US"/>
        </w:rPr>
        <w:t xml:space="preserve">a)(i) to 753(1)(a)(iii) or, 753(1)(b) of the </w:t>
      </w:r>
      <w:r w:rsidR="00CF6DA8" w:rsidRPr="00CF6DA8">
        <w:rPr>
          <w:i/>
          <w:lang w:eastAsia="en-US"/>
        </w:rPr>
        <w:t>Criminal Code</w:t>
      </w:r>
      <w:r w:rsidR="00CF6DA8">
        <w:rPr>
          <w:lang w:eastAsia="en-US"/>
        </w:rPr>
        <w:t xml:space="preserve">. </w:t>
      </w:r>
      <w:r w:rsidR="001C5284">
        <w:rPr>
          <w:lang w:eastAsia="en-US"/>
        </w:rPr>
        <w:t>The statutory elements are:</w:t>
      </w:r>
    </w:p>
    <w:p w:rsidR="00E56C5C" w:rsidRPr="00E56C5C" w:rsidRDefault="00E56C5C" w:rsidP="008A5397">
      <w:pPr>
        <w:pStyle w:val="Quote1st"/>
      </w:pPr>
      <w:r w:rsidRPr="00E56C5C">
        <w:rPr>
          <w:rStyle w:val="sectionlabel"/>
          <w:rFonts w:cs="Times New Roman"/>
          <w:bCs/>
          <w:color w:val="000000"/>
        </w:rPr>
        <w:t>753</w:t>
      </w:r>
      <w:r w:rsidRPr="00E56C5C">
        <w:rPr>
          <w:rStyle w:val="lawlabel"/>
          <w:rFonts w:cs="Times New Roman"/>
          <w:bCs/>
          <w:color w:val="000000"/>
        </w:rPr>
        <w:t>(1)</w:t>
      </w:r>
      <w:r w:rsidRPr="00E56C5C">
        <w:t> </w:t>
      </w:r>
      <w:proofErr w:type="gramStart"/>
      <w:r w:rsidRPr="00E56C5C">
        <w:t>On</w:t>
      </w:r>
      <w:proofErr w:type="gramEnd"/>
      <w:r w:rsidRPr="00E56C5C">
        <w:t xml:space="preserve"> application made under this Part after an assessment report is filed under subsection 752.1(2), the court shall find the offender to be a dangerous offender if it is satisfied</w:t>
      </w:r>
    </w:p>
    <w:p w:rsidR="00E56C5C" w:rsidRPr="008A5397" w:rsidRDefault="00E56C5C" w:rsidP="008A5397">
      <w:pPr>
        <w:pStyle w:val="Quote1st"/>
        <w:ind w:left="990"/>
      </w:pPr>
      <w:r w:rsidRPr="008A5397">
        <w:t>(a) </w:t>
      </w:r>
      <w:proofErr w:type="gramStart"/>
      <w:r w:rsidRPr="008A5397">
        <w:t>that</w:t>
      </w:r>
      <w:proofErr w:type="gramEnd"/>
      <w:r w:rsidRPr="008A5397">
        <w:t xml:space="preserve"> the offence for which the offender has been convicted is a serious personal injury offence</w:t>
      </w:r>
      <w:r w:rsidR="000F791A" w:rsidRPr="008A5397">
        <w:t xml:space="preserve"> ... </w:t>
      </w:r>
      <w:r w:rsidRPr="008A5397">
        <w:t xml:space="preserve"> and the offender constitutes a threat to the life, safety or physical or mental well-being of other persons on the basis of evidence establishing</w:t>
      </w:r>
    </w:p>
    <w:p w:rsidR="00E56C5C" w:rsidRPr="008A5397" w:rsidRDefault="00E56C5C" w:rsidP="008A5397">
      <w:pPr>
        <w:pStyle w:val="Quote1st"/>
        <w:ind w:left="1350"/>
      </w:pPr>
      <w:r w:rsidRPr="008A5397">
        <w:t xml:space="preserve">(i) a pattern of repetitive </w:t>
      </w:r>
      <w:proofErr w:type="spellStart"/>
      <w:r w:rsidRPr="008A5397">
        <w:t>behaviour</w:t>
      </w:r>
      <w:proofErr w:type="spellEnd"/>
      <w:r w:rsidRPr="008A5397">
        <w:t xml:space="preserve"> by the offender, of which the offence for which he or she has been convicted forms a part, showing a failure to restrain his or her </w:t>
      </w:r>
      <w:proofErr w:type="spellStart"/>
      <w:r w:rsidRPr="008A5397">
        <w:t>behaviour</w:t>
      </w:r>
      <w:proofErr w:type="spellEnd"/>
      <w:r w:rsidRPr="008A5397">
        <w:t xml:space="preserve"> and a likelihood of causing death or injury to other persons, or inflicting severe psychological damage on other persons, through failure in the future to restrain his or her </w:t>
      </w:r>
      <w:proofErr w:type="spellStart"/>
      <w:r w:rsidRPr="008A5397">
        <w:t>behaviour</w:t>
      </w:r>
      <w:proofErr w:type="spellEnd"/>
      <w:r w:rsidRPr="008A5397">
        <w:t>,</w:t>
      </w:r>
    </w:p>
    <w:p w:rsidR="00E56C5C" w:rsidRPr="008A5397" w:rsidRDefault="00E56C5C" w:rsidP="008A5397">
      <w:pPr>
        <w:pStyle w:val="Quote1st"/>
        <w:ind w:left="1350"/>
      </w:pPr>
      <w:r w:rsidRPr="008A5397">
        <w:t xml:space="preserve">(ii) a pattern of persistent aggressive </w:t>
      </w:r>
      <w:proofErr w:type="spellStart"/>
      <w:r w:rsidRPr="008A5397">
        <w:t>behaviour</w:t>
      </w:r>
      <w:proofErr w:type="spellEnd"/>
      <w:r w:rsidRPr="008A5397">
        <w:t xml:space="preserve"> by the offender, of which the offence for which he or she has been convicted forms a part, showing a substantial degree of indifference on the part of the offender respecting the reasonably foreseeable consequences to other persons of his or her </w:t>
      </w:r>
      <w:proofErr w:type="spellStart"/>
      <w:r w:rsidRPr="008A5397">
        <w:t>behaviour</w:t>
      </w:r>
      <w:proofErr w:type="spellEnd"/>
      <w:r w:rsidRPr="008A5397">
        <w:t>, or</w:t>
      </w:r>
    </w:p>
    <w:p w:rsidR="00E56C5C" w:rsidRPr="00917F2E" w:rsidRDefault="00E56C5C" w:rsidP="00917F2E">
      <w:pPr>
        <w:pStyle w:val="Quote1st"/>
        <w:ind w:left="1350"/>
      </w:pPr>
      <w:r w:rsidRPr="00917F2E">
        <w:t xml:space="preserve">(iii) any </w:t>
      </w:r>
      <w:proofErr w:type="spellStart"/>
      <w:r w:rsidRPr="00917F2E">
        <w:t>behaviour</w:t>
      </w:r>
      <w:proofErr w:type="spellEnd"/>
      <w:r w:rsidRPr="00917F2E">
        <w:t xml:space="preserve"> by the offender, associated with the offence for which he or she has been convicted, that is of such a brutal nature as to compel the conclusion that the offender’s </w:t>
      </w:r>
      <w:proofErr w:type="spellStart"/>
      <w:r w:rsidRPr="00917F2E">
        <w:t>behaviour</w:t>
      </w:r>
      <w:proofErr w:type="spellEnd"/>
      <w:r w:rsidRPr="00917F2E">
        <w:t xml:space="preserve"> in the future is unlikely to be inhibited by normal standards of </w:t>
      </w:r>
      <w:proofErr w:type="spellStart"/>
      <w:r w:rsidRPr="00917F2E">
        <w:t>behavioural</w:t>
      </w:r>
      <w:proofErr w:type="spellEnd"/>
      <w:r w:rsidRPr="00917F2E">
        <w:t xml:space="preserve"> restraint; or</w:t>
      </w:r>
    </w:p>
    <w:p w:rsidR="00E56C5C" w:rsidRPr="00546ACB" w:rsidRDefault="00E56C5C" w:rsidP="00546ACB">
      <w:pPr>
        <w:pStyle w:val="Quote1st"/>
        <w:ind w:left="900"/>
      </w:pPr>
      <w:r w:rsidRPr="000913C2">
        <w:rPr>
          <w:rStyle w:val="lawlabel"/>
          <w:bCs/>
          <w:color w:val="000000"/>
        </w:rPr>
        <w:t>(b)</w:t>
      </w:r>
      <w:r w:rsidRPr="00E56C5C">
        <w:t> </w:t>
      </w:r>
      <w:r w:rsidR="00546ACB">
        <w:t xml:space="preserve"> </w:t>
      </w:r>
      <w:r w:rsidRPr="00E56C5C">
        <w:t xml:space="preserve">that the offence for which the offender has been convicted is a serious personal injury offence </w:t>
      </w:r>
      <w:r w:rsidR="000F791A">
        <w:t xml:space="preserve">... and </w:t>
      </w:r>
      <w:r w:rsidRPr="00E56C5C">
        <w:t>the offender, by his or her conduct in any sexual matter including that involved in the commission of the offence for which he or she has been convicted, has shown a failure to control his or her sexual impulses and a likelihood of causing injury, pain or other evil to other persons through failure in the future to control his or her sexual impulses.</w:t>
      </w:r>
    </w:p>
    <w:p w:rsidR="008A5397" w:rsidRPr="00546ACB" w:rsidRDefault="008A5397" w:rsidP="00546ACB"/>
    <w:p w:rsidR="00476459" w:rsidRDefault="006E7789" w:rsidP="00B23CC3">
      <w:pPr>
        <w:pStyle w:val="FelskyNumbering12"/>
        <w:rPr>
          <w:lang w:eastAsia="en-US"/>
        </w:rPr>
      </w:pPr>
      <w:r>
        <w:rPr>
          <w:lang w:eastAsia="en-US"/>
        </w:rPr>
        <w:t xml:space="preserve">In short, the underlying offence must be a serious personal injury offence and the offender </w:t>
      </w:r>
      <w:r w:rsidR="00CE3110">
        <w:rPr>
          <w:lang w:eastAsia="en-US"/>
        </w:rPr>
        <w:t>must be</w:t>
      </w:r>
      <w:r>
        <w:rPr>
          <w:lang w:eastAsia="en-US"/>
        </w:rPr>
        <w:t xml:space="preserve"> a threat on the basis of evidence:</w:t>
      </w:r>
    </w:p>
    <w:p w:rsidR="006E7789" w:rsidRDefault="00D74984" w:rsidP="00C9370F">
      <w:pPr>
        <w:pStyle w:val="Quote1st"/>
        <w:numPr>
          <w:ilvl w:val="0"/>
          <w:numId w:val="30"/>
        </w:numPr>
        <w:spacing w:after="120"/>
        <w:rPr>
          <w:lang w:eastAsia="en-US"/>
        </w:rPr>
      </w:pPr>
      <w:r>
        <w:rPr>
          <w:lang w:eastAsia="en-US"/>
        </w:rPr>
        <w:t>o</w:t>
      </w:r>
      <w:r w:rsidR="006E7789">
        <w:rPr>
          <w:lang w:eastAsia="en-US"/>
        </w:rPr>
        <w:t xml:space="preserve">f a pattern of repetitive </w:t>
      </w:r>
      <w:proofErr w:type="spellStart"/>
      <w:r w:rsidR="006E7789">
        <w:rPr>
          <w:lang w:eastAsia="en-US"/>
        </w:rPr>
        <w:t>behaviour</w:t>
      </w:r>
      <w:proofErr w:type="spellEnd"/>
      <w:r w:rsidR="006E7789">
        <w:rPr>
          <w:lang w:eastAsia="en-US"/>
        </w:rPr>
        <w:t xml:space="preserve"> and likelihood of death or injury to </w:t>
      </w:r>
      <w:r w:rsidR="002600AC">
        <w:rPr>
          <w:lang w:eastAsia="en-US"/>
        </w:rPr>
        <w:t>ot</w:t>
      </w:r>
      <w:r w:rsidR="006E7789">
        <w:rPr>
          <w:lang w:eastAsia="en-US"/>
        </w:rPr>
        <w:t>hers if not restrained (s 753(i)(a)(i));</w:t>
      </w:r>
    </w:p>
    <w:p w:rsidR="006E7789" w:rsidRDefault="00032ECF" w:rsidP="00C9370F">
      <w:pPr>
        <w:pStyle w:val="Quote1st"/>
        <w:numPr>
          <w:ilvl w:val="0"/>
          <w:numId w:val="30"/>
        </w:numPr>
        <w:spacing w:after="120"/>
        <w:rPr>
          <w:lang w:eastAsia="en-US"/>
        </w:rPr>
      </w:pPr>
      <w:r>
        <w:rPr>
          <w:lang w:eastAsia="en-US"/>
        </w:rPr>
        <w:t xml:space="preserve">of a pattern of aggressive </w:t>
      </w:r>
      <w:proofErr w:type="spellStart"/>
      <w:r>
        <w:rPr>
          <w:lang w:eastAsia="en-US"/>
        </w:rPr>
        <w:t>behaviour</w:t>
      </w:r>
      <w:proofErr w:type="spellEnd"/>
      <w:r>
        <w:rPr>
          <w:lang w:eastAsia="en-US"/>
        </w:rPr>
        <w:t xml:space="preserve"> and an attitude of indifference to the reasonably foreseeable consequences of such </w:t>
      </w:r>
      <w:proofErr w:type="spellStart"/>
      <w:r>
        <w:rPr>
          <w:lang w:eastAsia="en-US"/>
        </w:rPr>
        <w:t>behaviour</w:t>
      </w:r>
      <w:proofErr w:type="spellEnd"/>
      <w:r>
        <w:rPr>
          <w:lang w:eastAsia="en-US"/>
        </w:rPr>
        <w:t xml:space="preserve"> (s 753(1)(a)(ii));</w:t>
      </w:r>
    </w:p>
    <w:p w:rsidR="00032ECF" w:rsidRDefault="00032ECF" w:rsidP="00C9370F">
      <w:pPr>
        <w:pStyle w:val="Quote1st"/>
        <w:numPr>
          <w:ilvl w:val="0"/>
          <w:numId w:val="30"/>
        </w:numPr>
        <w:spacing w:after="120"/>
        <w:rPr>
          <w:lang w:eastAsia="en-US"/>
        </w:rPr>
      </w:pPr>
      <w:r>
        <w:rPr>
          <w:lang w:eastAsia="en-US"/>
        </w:rPr>
        <w:t xml:space="preserve">any brutal </w:t>
      </w:r>
      <w:proofErr w:type="spellStart"/>
      <w:r>
        <w:rPr>
          <w:lang w:eastAsia="en-US"/>
        </w:rPr>
        <w:t>behaviour</w:t>
      </w:r>
      <w:proofErr w:type="spellEnd"/>
      <w:r>
        <w:rPr>
          <w:lang w:eastAsia="en-US"/>
        </w:rPr>
        <w:t xml:space="preserve"> which indicates that the offender is unlikely to be inhibited in the future (s 753(1)(a)(iii));</w:t>
      </w:r>
    </w:p>
    <w:p w:rsidR="00032ECF" w:rsidRPr="00032ECF" w:rsidRDefault="00032ECF" w:rsidP="00C9370F">
      <w:pPr>
        <w:pStyle w:val="Quote1st"/>
        <w:numPr>
          <w:ilvl w:val="0"/>
          <w:numId w:val="30"/>
        </w:numPr>
        <w:rPr>
          <w:lang w:eastAsia="en-US"/>
        </w:rPr>
      </w:pPr>
      <w:proofErr w:type="gramStart"/>
      <w:r>
        <w:rPr>
          <w:lang w:eastAsia="en-US"/>
        </w:rPr>
        <w:t>a</w:t>
      </w:r>
      <w:proofErr w:type="gramEnd"/>
      <w:r>
        <w:rPr>
          <w:lang w:eastAsia="en-US"/>
        </w:rPr>
        <w:t xml:space="preserve"> pattern of sexual offences that demonstrate a failure to control sexual impulses in the past and the likelihood to fail to control the sexual impulses in the future (s 753(1)(b)).</w:t>
      </w:r>
    </w:p>
    <w:p w:rsidR="000F3FE0" w:rsidRDefault="00E7310C" w:rsidP="00C9370F">
      <w:pPr>
        <w:pStyle w:val="FelskyNumbering12"/>
        <w:rPr>
          <w:lang w:eastAsia="en-US"/>
        </w:rPr>
      </w:pPr>
      <w:r>
        <w:rPr>
          <w:lang w:eastAsia="en-US"/>
        </w:rPr>
        <w:t xml:space="preserve">Second, </w:t>
      </w:r>
      <w:r w:rsidR="00CA6D90">
        <w:rPr>
          <w:lang w:eastAsia="en-US"/>
        </w:rPr>
        <w:t xml:space="preserve">the sentencing judge </w:t>
      </w:r>
      <w:r>
        <w:rPr>
          <w:lang w:eastAsia="en-US"/>
        </w:rPr>
        <w:t xml:space="preserve">must look to the future </w:t>
      </w:r>
      <w:r w:rsidR="000F791A">
        <w:rPr>
          <w:lang w:eastAsia="en-US"/>
        </w:rPr>
        <w:t>and</w:t>
      </w:r>
      <w:r w:rsidR="00CA6D90">
        <w:rPr>
          <w:lang w:eastAsia="en-US"/>
        </w:rPr>
        <w:t xml:space="preserve"> the</w:t>
      </w:r>
      <w:r w:rsidR="000F791A">
        <w:rPr>
          <w:lang w:eastAsia="en-US"/>
        </w:rPr>
        <w:t xml:space="preserve"> threat or risk that an offender poses, </w:t>
      </w:r>
      <w:r>
        <w:rPr>
          <w:lang w:eastAsia="en-US"/>
        </w:rPr>
        <w:t xml:space="preserve">as the point is to prevent </w:t>
      </w:r>
      <w:r w:rsidR="00476459">
        <w:rPr>
          <w:lang w:eastAsia="en-US"/>
        </w:rPr>
        <w:t>violent</w:t>
      </w:r>
      <w:r>
        <w:rPr>
          <w:lang w:eastAsia="en-US"/>
        </w:rPr>
        <w:t xml:space="preserve"> behaviour</w:t>
      </w:r>
      <w:r w:rsidR="00476459">
        <w:rPr>
          <w:lang w:eastAsia="en-US"/>
        </w:rPr>
        <w:t xml:space="preserve"> in the future</w:t>
      </w:r>
      <w:r>
        <w:rPr>
          <w:lang w:eastAsia="en-US"/>
        </w:rPr>
        <w:t xml:space="preserve">. Thus, there must be </w:t>
      </w:r>
      <w:r w:rsidR="005354E7">
        <w:rPr>
          <w:lang w:eastAsia="en-US"/>
        </w:rPr>
        <w:t>a prospective assessment of risk</w:t>
      </w:r>
      <w:r w:rsidR="00322626">
        <w:rPr>
          <w:lang w:eastAsia="en-US"/>
        </w:rPr>
        <w:t xml:space="preserve">. </w:t>
      </w:r>
      <w:r w:rsidR="005354E7">
        <w:rPr>
          <w:lang w:eastAsia="en-US"/>
        </w:rPr>
        <w:t xml:space="preserve"> Specifically, a court must be satisfied that an offender</w:t>
      </w:r>
    </w:p>
    <w:p w:rsidR="00CA6D90" w:rsidRDefault="000F3FE0" w:rsidP="000F3FE0">
      <w:pPr>
        <w:pStyle w:val="Quote1st"/>
        <w:rPr>
          <w:lang w:eastAsia="en-US"/>
        </w:rPr>
      </w:pPr>
      <w:r>
        <w:rPr>
          <w:lang w:val="en-CA" w:eastAsia="en-US"/>
        </w:rPr>
        <w:t>...</w:t>
      </w:r>
      <w:r w:rsidR="008A5397">
        <w:rPr>
          <w:lang w:val="en-CA" w:eastAsia="en-US"/>
        </w:rPr>
        <w:t xml:space="preserve"> </w:t>
      </w:r>
      <w:proofErr w:type="gramStart"/>
      <w:r w:rsidR="005354E7">
        <w:rPr>
          <w:lang w:eastAsia="en-US"/>
        </w:rPr>
        <w:t>poses</w:t>
      </w:r>
      <w:proofErr w:type="gramEnd"/>
      <w:r w:rsidR="005354E7">
        <w:rPr>
          <w:lang w:eastAsia="en-US"/>
        </w:rPr>
        <w:t xml:space="preserve"> a high likelihood of harmful recidivism</w:t>
      </w:r>
      <w:r w:rsidR="00322626">
        <w:rPr>
          <w:lang w:eastAsia="en-US"/>
        </w:rPr>
        <w:t xml:space="preserve"> and</w:t>
      </w:r>
      <w:r w:rsidR="005354E7">
        <w:rPr>
          <w:lang w:eastAsia="en-US"/>
        </w:rPr>
        <w:t xml:space="preserve"> that his or her conduct is intractable. I understand “intractable” conduct as meaning </w:t>
      </w:r>
      <w:proofErr w:type="spellStart"/>
      <w:r w:rsidR="005354E7">
        <w:rPr>
          <w:lang w:eastAsia="en-US"/>
        </w:rPr>
        <w:t>behaviour</w:t>
      </w:r>
      <w:proofErr w:type="spellEnd"/>
      <w:r w:rsidR="005354E7">
        <w:rPr>
          <w:lang w:eastAsia="en-US"/>
        </w:rPr>
        <w:t xml:space="preserve"> that the offender is unable to surmount</w:t>
      </w:r>
      <w:r w:rsidR="00CA6D90">
        <w:rPr>
          <w:lang w:eastAsia="en-US"/>
        </w:rPr>
        <w:t>.</w:t>
      </w:r>
      <w:r w:rsidR="00322626">
        <w:rPr>
          <w:lang w:eastAsia="en-US"/>
        </w:rPr>
        <w:t xml:space="preserve"> </w:t>
      </w:r>
    </w:p>
    <w:p w:rsidR="000F3FE0" w:rsidRDefault="00322626" w:rsidP="000F3FE0">
      <w:pPr>
        <w:pStyle w:val="Quote1st"/>
        <w:rPr>
          <w:lang w:eastAsia="en-US"/>
        </w:rPr>
      </w:pPr>
      <w:proofErr w:type="spellStart"/>
      <w:r>
        <w:rPr>
          <w:b/>
          <w:i/>
          <w:lang w:eastAsia="en-US"/>
        </w:rPr>
        <w:t>Boutilier</w:t>
      </w:r>
      <w:proofErr w:type="spellEnd"/>
      <w:r>
        <w:rPr>
          <w:b/>
          <w:i/>
          <w:lang w:eastAsia="en-US"/>
        </w:rPr>
        <w:t xml:space="preserve"> </w:t>
      </w:r>
      <w:r>
        <w:rPr>
          <w:lang w:eastAsia="en-US"/>
        </w:rPr>
        <w:t xml:space="preserve">at </w:t>
      </w:r>
      <w:proofErr w:type="spellStart"/>
      <w:r>
        <w:rPr>
          <w:lang w:eastAsia="en-US"/>
        </w:rPr>
        <w:t>para</w:t>
      </w:r>
      <w:proofErr w:type="spellEnd"/>
      <w:r>
        <w:rPr>
          <w:lang w:eastAsia="en-US"/>
        </w:rPr>
        <w:t xml:space="preserve"> 2</w:t>
      </w:r>
      <w:r w:rsidR="00CE3110">
        <w:rPr>
          <w:lang w:eastAsia="en-US"/>
        </w:rPr>
        <w:t>7</w:t>
      </w:r>
    </w:p>
    <w:p w:rsidR="005354E7" w:rsidRDefault="005354E7" w:rsidP="000F3FE0">
      <w:pPr>
        <w:pStyle w:val="FelskyNumbering12"/>
        <w:rPr>
          <w:lang w:eastAsia="en-US"/>
        </w:rPr>
      </w:pPr>
      <w:r>
        <w:rPr>
          <w:lang w:eastAsia="en-US"/>
        </w:rPr>
        <w:t xml:space="preserve">In assessing </w:t>
      </w:r>
      <w:r w:rsidR="000F3FE0">
        <w:rPr>
          <w:lang w:eastAsia="en-US"/>
        </w:rPr>
        <w:t>whether someone is intractable</w:t>
      </w:r>
      <w:r>
        <w:rPr>
          <w:lang w:eastAsia="en-US"/>
        </w:rPr>
        <w:t xml:space="preserve">, a court must consider the future treatment prospects of the offender </w:t>
      </w:r>
      <w:r w:rsidR="00D856E4">
        <w:rPr>
          <w:lang w:eastAsia="en-US"/>
        </w:rPr>
        <w:t xml:space="preserve">and </w:t>
      </w:r>
      <w:r>
        <w:rPr>
          <w:lang w:eastAsia="en-US"/>
        </w:rPr>
        <w:t xml:space="preserve">whether he or she might be responsive to future treatment. </w:t>
      </w:r>
    </w:p>
    <w:p w:rsidR="00D856E4" w:rsidRDefault="005354E7" w:rsidP="00423CDC">
      <w:pPr>
        <w:pStyle w:val="FelskyNumbering12"/>
        <w:rPr>
          <w:lang w:eastAsia="en-US"/>
        </w:rPr>
      </w:pPr>
      <w:r>
        <w:rPr>
          <w:lang w:eastAsia="en-US"/>
        </w:rPr>
        <w:t>At all times, the onus remains on the Crown to prove beyond a reasonable doubt that an offender’s condition is untreatable or intractable and the offender has a high likelihood of harmful recidivism</w:t>
      </w:r>
      <w:r w:rsidR="00CA6D90">
        <w:rPr>
          <w:lang w:eastAsia="en-US"/>
        </w:rPr>
        <w:t xml:space="preserve">: </w:t>
      </w:r>
      <w:proofErr w:type="spellStart"/>
      <w:r w:rsidR="00322626">
        <w:rPr>
          <w:b/>
          <w:i/>
          <w:lang w:eastAsia="en-US"/>
        </w:rPr>
        <w:t>Boutilier</w:t>
      </w:r>
      <w:proofErr w:type="spellEnd"/>
      <w:r w:rsidR="00322626">
        <w:rPr>
          <w:b/>
          <w:i/>
          <w:lang w:eastAsia="en-US"/>
        </w:rPr>
        <w:t xml:space="preserve"> </w:t>
      </w:r>
      <w:r w:rsidR="00322626">
        <w:rPr>
          <w:lang w:eastAsia="en-US"/>
        </w:rPr>
        <w:t xml:space="preserve">at </w:t>
      </w:r>
      <w:proofErr w:type="spellStart"/>
      <w:r>
        <w:rPr>
          <w:lang w:eastAsia="en-US"/>
        </w:rPr>
        <w:t>para</w:t>
      </w:r>
      <w:proofErr w:type="spellEnd"/>
      <w:r>
        <w:rPr>
          <w:lang w:eastAsia="en-US"/>
        </w:rPr>
        <w:t xml:space="preserve"> 4</w:t>
      </w:r>
      <w:r w:rsidR="00BA387D">
        <w:rPr>
          <w:lang w:eastAsia="en-US"/>
        </w:rPr>
        <w:t>5</w:t>
      </w:r>
      <w:r>
        <w:rPr>
          <w:lang w:eastAsia="en-US"/>
        </w:rPr>
        <w:t xml:space="preserve">. </w:t>
      </w:r>
    </w:p>
    <w:p w:rsidR="00D856E4" w:rsidRPr="00322626" w:rsidRDefault="00D856E4" w:rsidP="00837194">
      <w:pPr>
        <w:pStyle w:val="FelskyNumbering12"/>
        <w:numPr>
          <w:ilvl w:val="0"/>
          <w:numId w:val="26"/>
        </w:numPr>
        <w:ind w:left="720"/>
        <w:rPr>
          <w:b/>
          <w:lang w:eastAsia="en-US"/>
        </w:rPr>
      </w:pPr>
      <w:r w:rsidRPr="00322626">
        <w:rPr>
          <w:b/>
          <w:lang w:eastAsia="en-US"/>
        </w:rPr>
        <w:t>Sentence Stage</w:t>
      </w:r>
    </w:p>
    <w:p w:rsidR="005354E7" w:rsidRDefault="00533FBE" w:rsidP="005354E7">
      <w:pPr>
        <w:pStyle w:val="FelskyNumbering12"/>
        <w:rPr>
          <w:lang w:eastAsia="en-US"/>
        </w:rPr>
      </w:pPr>
      <w:r>
        <w:rPr>
          <w:lang w:eastAsia="en-US"/>
        </w:rPr>
        <w:t xml:space="preserve">The second stage, the sentencing stage, is governed by </w:t>
      </w:r>
      <w:proofErr w:type="spellStart"/>
      <w:r>
        <w:rPr>
          <w:lang w:eastAsia="en-US"/>
        </w:rPr>
        <w:t>s</w:t>
      </w:r>
      <w:r w:rsidR="00BA7199">
        <w:rPr>
          <w:lang w:eastAsia="en-US"/>
        </w:rPr>
        <w:t>s</w:t>
      </w:r>
      <w:proofErr w:type="spellEnd"/>
      <w:r>
        <w:rPr>
          <w:lang w:eastAsia="en-US"/>
        </w:rPr>
        <w:t xml:space="preserve"> 753(4) and (4.1). Section 753</w:t>
      </w:r>
      <w:r w:rsidR="00322626">
        <w:rPr>
          <w:lang w:eastAsia="en-US"/>
        </w:rPr>
        <w:t>(4)</w:t>
      </w:r>
      <w:r>
        <w:rPr>
          <w:lang w:eastAsia="en-US"/>
        </w:rPr>
        <w:t xml:space="preserve"> sets out the mandatory options, once an offender has been declared dangerous. He or she “shall” receive one of the following sentences:</w:t>
      </w:r>
    </w:p>
    <w:p w:rsidR="00533FBE" w:rsidRDefault="00CA6D90" w:rsidP="000309C2">
      <w:pPr>
        <w:pStyle w:val="FelskyNumbering12"/>
        <w:numPr>
          <w:ilvl w:val="0"/>
          <w:numId w:val="23"/>
        </w:numPr>
        <w:ind w:left="990" w:hanging="270"/>
        <w:rPr>
          <w:lang w:eastAsia="en-US"/>
        </w:rPr>
      </w:pPr>
      <w:r>
        <w:rPr>
          <w:lang w:eastAsia="en-US"/>
        </w:rPr>
        <w:t>A sentence of i</w:t>
      </w:r>
      <w:r w:rsidR="00533FBE">
        <w:rPr>
          <w:lang w:eastAsia="en-US"/>
        </w:rPr>
        <w:t xml:space="preserve">ndeterminate </w:t>
      </w:r>
      <w:r w:rsidR="003D72B2">
        <w:rPr>
          <w:lang w:eastAsia="en-US"/>
        </w:rPr>
        <w:t xml:space="preserve">detention </w:t>
      </w:r>
      <w:r w:rsidR="00533FBE">
        <w:rPr>
          <w:lang w:eastAsia="en-US"/>
        </w:rPr>
        <w:t>in a penitentiary;</w:t>
      </w:r>
    </w:p>
    <w:p w:rsidR="00533FBE" w:rsidRDefault="003D72B2" w:rsidP="000309C2">
      <w:pPr>
        <w:pStyle w:val="FelskyNumbering12"/>
        <w:numPr>
          <w:ilvl w:val="0"/>
          <w:numId w:val="23"/>
        </w:numPr>
        <w:ind w:left="990" w:hanging="270"/>
        <w:rPr>
          <w:lang w:eastAsia="en-US"/>
        </w:rPr>
      </w:pPr>
      <w:r>
        <w:rPr>
          <w:lang w:eastAsia="en-US"/>
        </w:rPr>
        <w:t>The a</w:t>
      </w:r>
      <w:r w:rsidR="00533FBE">
        <w:rPr>
          <w:lang w:eastAsia="en-US"/>
        </w:rPr>
        <w:t>ppropriate sentence for the underlying offence (minimum 2 years in a penitentiary) plus a long-term supervision order for a maximum of 10 years; or</w:t>
      </w:r>
    </w:p>
    <w:p w:rsidR="00533FBE" w:rsidRDefault="00533FBE" w:rsidP="000309C2">
      <w:pPr>
        <w:pStyle w:val="FelskyNumbering12"/>
        <w:numPr>
          <w:ilvl w:val="0"/>
          <w:numId w:val="23"/>
        </w:numPr>
        <w:ind w:left="990" w:hanging="270"/>
        <w:rPr>
          <w:lang w:eastAsia="en-US"/>
        </w:rPr>
      </w:pPr>
      <w:r>
        <w:rPr>
          <w:lang w:eastAsia="en-US"/>
        </w:rPr>
        <w:lastRenderedPageBreak/>
        <w:t>A sentence applying standard sentencing principles</w:t>
      </w:r>
      <w:r w:rsidR="003D72B2">
        <w:rPr>
          <w:lang w:eastAsia="en-US"/>
        </w:rPr>
        <w:t xml:space="preserve"> for the offence for which the offender has been convicted</w:t>
      </w:r>
      <w:r>
        <w:rPr>
          <w:lang w:eastAsia="en-US"/>
        </w:rPr>
        <w:t>.</w:t>
      </w:r>
    </w:p>
    <w:p w:rsidR="00481104" w:rsidRDefault="00481104" w:rsidP="00481104">
      <w:pPr>
        <w:pStyle w:val="FelskyNumbering12"/>
        <w:rPr>
          <w:lang w:eastAsia="en-US"/>
        </w:rPr>
      </w:pPr>
      <w:r>
        <w:rPr>
          <w:lang w:eastAsia="en-US"/>
        </w:rPr>
        <w:t xml:space="preserve">Section 753(4.1) mandates an indeterminate penitentiary sentence: </w:t>
      </w:r>
    </w:p>
    <w:p w:rsidR="00481104" w:rsidRDefault="00481104" w:rsidP="00481104">
      <w:pPr>
        <w:pStyle w:val="Quote1st"/>
        <w:rPr>
          <w:lang w:eastAsia="en-US"/>
        </w:rPr>
      </w:pPr>
      <w:r>
        <w:rPr>
          <w:lang w:eastAsia="en-US"/>
        </w:rPr>
        <w:t>...</w:t>
      </w:r>
      <w:r w:rsidR="000309C2">
        <w:rPr>
          <w:lang w:eastAsia="en-US"/>
        </w:rPr>
        <w:t xml:space="preserve"> </w:t>
      </w:r>
      <w:proofErr w:type="gramStart"/>
      <w:r>
        <w:rPr>
          <w:lang w:eastAsia="en-US"/>
        </w:rPr>
        <w:t>unless</w:t>
      </w:r>
      <w:proofErr w:type="gramEnd"/>
      <w:r>
        <w:rPr>
          <w:lang w:eastAsia="en-US"/>
        </w:rPr>
        <w:t xml:space="preserve"> [a Court] is satisfied by the evidence adduced during the hearing … that there is a reasonable expectation that a lesser measure … will adequately protect the public.</w:t>
      </w:r>
    </w:p>
    <w:p w:rsidR="00481104" w:rsidRDefault="00481104" w:rsidP="00481104">
      <w:pPr>
        <w:pStyle w:val="FelskyNumbering12"/>
        <w:rPr>
          <w:lang w:val="en-US" w:eastAsia="en-US"/>
        </w:rPr>
      </w:pPr>
      <w:r>
        <w:rPr>
          <w:lang w:val="en-US" w:eastAsia="en-US"/>
        </w:rPr>
        <w:t>The combined effect of these two provisions</w:t>
      </w:r>
      <w:r w:rsidR="003D72B2">
        <w:rPr>
          <w:lang w:val="en-US" w:eastAsia="en-US"/>
        </w:rPr>
        <w:t xml:space="preserve"> is as follows</w:t>
      </w:r>
      <w:r w:rsidR="00D856E4">
        <w:rPr>
          <w:lang w:val="en-US" w:eastAsia="en-US"/>
        </w:rPr>
        <w:t xml:space="preserve">: </w:t>
      </w:r>
    </w:p>
    <w:p w:rsidR="00081CE2" w:rsidRDefault="00081CE2" w:rsidP="00AD0DC1">
      <w:pPr>
        <w:pStyle w:val="FelskyNumbering12"/>
        <w:numPr>
          <w:ilvl w:val="0"/>
          <w:numId w:val="24"/>
        </w:numPr>
        <w:spacing w:after="160"/>
        <w:ind w:left="994" w:hanging="274"/>
        <w:rPr>
          <w:lang w:val="en-US" w:eastAsia="en-US"/>
        </w:rPr>
      </w:pPr>
      <w:r>
        <w:rPr>
          <w:lang w:val="en-US" w:eastAsia="en-US"/>
        </w:rPr>
        <w:t xml:space="preserve">There is no presumption of an indeterminate sentence; rather a sentencing judge has to conduct a thorough inquiry into the possibility of control in the community and consider all of the evidence to determine the fittest sentence: </w:t>
      </w:r>
      <w:proofErr w:type="spellStart"/>
      <w:r>
        <w:rPr>
          <w:b/>
          <w:i/>
          <w:lang w:val="en-US" w:eastAsia="en-US"/>
        </w:rPr>
        <w:t>Boutilier</w:t>
      </w:r>
      <w:proofErr w:type="spellEnd"/>
      <w:r>
        <w:rPr>
          <w:b/>
          <w:i/>
          <w:lang w:val="en-US" w:eastAsia="en-US"/>
        </w:rPr>
        <w:t xml:space="preserve"> </w:t>
      </w:r>
      <w:r>
        <w:rPr>
          <w:lang w:val="en-US" w:eastAsia="en-US"/>
        </w:rPr>
        <w:t xml:space="preserve">at </w:t>
      </w:r>
      <w:proofErr w:type="spellStart"/>
      <w:r>
        <w:rPr>
          <w:lang w:val="en-US" w:eastAsia="en-US"/>
        </w:rPr>
        <w:t>paras</w:t>
      </w:r>
      <w:proofErr w:type="spellEnd"/>
      <w:r>
        <w:rPr>
          <w:lang w:val="en-US" w:eastAsia="en-US"/>
        </w:rPr>
        <w:t xml:space="preserve"> 64-69</w:t>
      </w:r>
      <w:r w:rsidR="00E45A00">
        <w:rPr>
          <w:lang w:val="en-US" w:eastAsia="en-US"/>
        </w:rPr>
        <w:t>;</w:t>
      </w:r>
    </w:p>
    <w:p w:rsidR="00081CE2" w:rsidRPr="00721043" w:rsidRDefault="00081CE2" w:rsidP="00AD0DC1">
      <w:pPr>
        <w:pStyle w:val="FelskyNumbering12"/>
        <w:numPr>
          <w:ilvl w:val="0"/>
          <w:numId w:val="24"/>
        </w:numPr>
        <w:spacing w:after="160"/>
        <w:ind w:left="994" w:hanging="274"/>
        <w:rPr>
          <w:lang w:val="en-US" w:eastAsia="en-US"/>
        </w:rPr>
      </w:pPr>
      <w:r>
        <w:rPr>
          <w:lang w:val="en-US" w:eastAsia="en-US"/>
        </w:rPr>
        <w:t xml:space="preserve">The full range of sentencing options summarized in s 753(4) are available to a sentencing judge: </w:t>
      </w:r>
      <w:proofErr w:type="spellStart"/>
      <w:r>
        <w:rPr>
          <w:b/>
          <w:i/>
          <w:lang w:val="en-US" w:eastAsia="en-US"/>
        </w:rPr>
        <w:t>Boutilier</w:t>
      </w:r>
      <w:proofErr w:type="spellEnd"/>
      <w:r>
        <w:rPr>
          <w:b/>
          <w:i/>
          <w:lang w:val="en-US" w:eastAsia="en-US"/>
        </w:rPr>
        <w:t xml:space="preserve"> </w:t>
      </w:r>
      <w:r>
        <w:rPr>
          <w:lang w:val="en-US" w:eastAsia="en-US"/>
        </w:rPr>
        <w:t xml:space="preserve">at </w:t>
      </w:r>
      <w:proofErr w:type="spellStart"/>
      <w:r>
        <w:rPr>
          <w:lang w:val="en-US" w:eastAsia="en-US"/>
        </w:rPr>
        <w:t>paras</w:t>
      </w:r>
      <w:proofErr w:type="spellEnd"/>
      <w:r>
        <w:rPr>
          <w:lang w:val="en-US" w:eastAsia="en-US"/>
        </w:rPr>
        <w:t xml:space="preserve"> 58-59</w:t>
      </w:r>
      <w:r w:rsidR="00E45A00">
        <w:rPr>
          <w:lang w:val="en-US" w:eastAsia="en-US"/>
        </w:rPr>
        <w:t>;</w:t>
      </w:r>
    </w:p>
    <w:p w:rsidR="00481104" w:rsidRDefault="00061C48" w:rsidP="00AD0DC1">
      <w:pPr>
        <w:pStyle w:val="FelskyNumbering12"/>
        <w:numPr>
          <w:ilvl w:val="0"/>
          <w:numId w:val="24"/>
        </w:numPr>
        <w:spacing w:after="160"/>
        <w:ind w:left="990" w:hanging="270"/>
        <w:rPr>
          <w:lang w:val="en-US" w:eastAsia="en-US"/>
        </w:rPr>
      </w:pPr>
      <w:r>
        <w:rPr>
          <w:lang w:val="en-US" w:eastAsia="en-US"/>
        </w:rPr>
        <w:t>The sentencing judge m</w:t>
      </w:r>
      <w:r w:rsidR="00020F5E">
        <w:rPr>
          <w:lang w:val="en-US" w:eastAsia="en-US"/>
        </w:rPr>
        <w:t xml:space="preserve">ust apply sentencing principles outlined in </w:t>
      </w:r>
      <w:proofErr w:type="spellStart"/>
      <w:r w:rsidR="00020F5E">
        <w:rPr>
          <w:lang w:val="en-US" w:eastAsia="en-US"/>
        </w:rPr>
        <w:t>ss</w:t>
      </w:r>
      <w:proofErr w:type="spellEnd"/>
      <w:r w:rsidR="00020F5E">
        <w:rPr>
          <w:lang w:val="en-US" w:eastAsia="en-US"/>
        </w:rPr>
        <w:t xml:space="preserve"> 718 to 718.2</w:t>
      </w:r>
      <w:r w:rsidR="003D72B2">
        <w:rPr>
          <w:lang w:val="en-US" w:eastAsia="en-US"/>
        </w:rPr>
        <w:t>:</w:t>
      </w:r>
      <w:r w:rsidR="00020F5E">
        <w:rPr>
          <w:lang w:val="en-US" w:eastAsia="en-US"/>
        </w:rPr>
        <w:t xml:space="preserve"> </w:t>
      </w:r>
      <w:proofErr w:type="spellStart"/>
      <w:r w:rsidR="00020F5E">
        <w:rPr>
          <w:b/>
          <w:i/>
          <w:lang w:val="en-US" w:eastAsia="en-US"/>
        </w:rPr>
        <w:t>Boutilier</w:t>
      </w:r>
      <w:proofErr w:type="spellEnd"/>
      <w:r w:rsidR="00020F5E">
        <w:rPr>
          <w:b/>
          <w:i/>
          <w:lang w:val="en-US" w:eastAsia="en-US"/>
        </w:rPr>
        <w:t xml:space="preserve"> </w:t>
      </w:r>
      <w:r w:rsidR="00020F5E">
        <w:rPr>
          <w:lang w:val="en-US" w:eastAsia="en-US"/>
        </w:rPr>
        <w:t xml:space="preserve">at </w:t>
      </w:r>
      <w:proofErr w:type="spellStart"/>
      <w:r w:rsidR="00020F5E">
        <w:rPr>
          <w:lang w:val="en-US" w:eastAsia="en-US"/>
        </w:rPr>
        <w:t>para</w:t>
      </w:r>
      <w:r w:rsidR="00013C34">
        <w:rPr>
          <w:lang w:val="en-US" w:eastAsia="en-US"/>
        </w:rPr>
        <w:t>s</w:t>
      </w:r>
      <w:proofErr w:type="spellEnd"/>
      <w:r w:rsidR="00020F5E">
        <w:rPr>
          <w:lang w:val="en-US" w:eastAsia="en-US"/>
        </w:rPr>
        <w:t xml:space="preserve"> 53, 61</w:t>
      </w:r>
      <w:r w:rsidR="00013C34">
        <w:rPr>
          <w:lang w:val="en-US" w:eastAsia="en-US"/>
        </w:rPr>
        <w:t>-</w:t>
      </w:r>
      <w:r w:rsidR="00020F5E">
        <w:rPr>
          <w:lang w:val="en-US" w:eastAsia="en-US"/>
        </w:rPr>
        <w:t>62;</w:t>
      </w:r>
    </w:p>
    <w:p w:rsidR="00721043" w:rsidRDefault="00721043" w:rsidP="00AD0DC1">
      <w:pPr>
        <w:pStyle w:val="FelskyNumbering12"/>
        <w:numPr>
          <w:ilvl w:val="0"/>
          <w:numId w:val="24"/>
        </w:numPr>
        <w:spacing w:after="160"/>
        <w:ind w:left="1080"/>
        <w:rPr>
          <w:lang w:val="en-US" w:eastAsia="en-US"/>
        </w:rPr>
      </w:pPr>
      <w:r>
        <w:rPr>
          <w:lang w:val="en-US" w:eastAsia="en-US"/>
        </w:rPr>
        <w:t xml:space="preserve">The sentencing judge must consider an offender’s moral culpability, seriousness of the offence, mitigating factors, and </w:t>
      </w:r>
      <w:proofErr w:type="spellStart"/>
      <w:r>
        <w:rPr>
          <w:b/>
          <w:i/>
          <w:lang w:val="en-US" w:eastAsia="en-US"/>
        </w:rPr>
        <w:t>Gladue</w:t>
      </w:r>
      <w:proofErr w:type="spellEnd"/>
      <w:r>
        <w:rPr>
          <w:lang w:val="en-US" w:eastAsia="en-US"/>
        </w:rPr>
        <w:t xml:space="preserve"> factors: </w:t>
      </w:r>
      <w:proofErr w:type="spellStart"/>
      <w:r>
        <w:rPr>
          <w:b/>
          <w:i/>
          <w:lang w:val="en-US" w:eastAsia="en-US"/>
        </w:rPr>
        <w:t>Boutilier</w:t>
      </w:r>
      <w:proofErr w:type="spellEnd"/>
      <w:r>
        <w:rPr>
          <w:b/>
          <w:i/>
          <w:lang w:val="en-US" w:eastAsia="en-US"/>
        </w:rPr>
        <w:t xml:space="preserve"> </w:t>
      </w:r>
      <w:r>
        <w:rPr>
          <w:lang w:val="en-US" w:eastAsia="en-US"/>
        </w:rPr>
        <w:t xml:space="preserve">at </w:t>
      </w:r>
      <w:proofErr w:type="spellStart"/>
      <w:r>
        <w:rPr>
          <w:lang w:val="en-US" w:eastAsia="en-US"/>
        </w:rPr>
        <w:t>para</w:t>
      </w:r>
      <w:proofErr w:type="spellEnd"/>
      <w:r>
        <w:rPr>
          <w:lang w:val="en-US" w:eastAsia="en-US"/>
        </w:rPr>
        <w:t xml:space="preserve"> 63</w:t>
      </w:r>
      <w:r w:rsidR="006E5921">
        <w:rPr>
          <w:lang w:val="en-US" w:eastAsia="en-US"/>
        </w:rPr>
        <w:t>;</w:t>
      </w:r>
    </w:p>
    <w:p w:rsidR="00721043" w:rsidRPr="00721043" w:rsidRDefault="00425AB6" w:rsidP="00AD0DC1">
      <w:pPr>
        <w:pStyle w:val="FelskyNumbering12"/>
        <w:numPr>
          <w:ilvl w:val="0"/>
          <w:numId w:val="24"/>
        </w:numPr>
        <w:spacing w:after="160"/>
        <w:ind w:left="1080"/>
        <w:rPr>
          <w:lang w:val="en-US" w:eastAsia="en-US"/>
        </w:rPr>
      </w:pPr>
      <w:r>
        <w:rPr>
          <w:lang w:val="en-US" w:eastAsia="en-US"/>
        </w:rPr>
        <w:t>The</w:t>
      </w:r>
      <w:r w:rsidR="00721043">
        <w:rPr>
          <w:lang w:val="en-US" w:eastAsia="en-US"/>
        </w:rPr>
        <w:t xml:space="preserve"> sentencing judge should start with the least restrictive option and consider whether the public will be adequately protected, before considering more restrictive conditions: </w:t>
      </w:r>
      <w:proofErr w:type="spellStart"/>
      <w:r w:rsidR="00721043">
        <w:rPr>
          <w:b/>
          <w:i/>
          <w:lang w:val="en-US" w:eastAsia="en-US"/>
        </w:rPr>
        <w:t>Boutilier</w:t>
      </w:r>
      <w:proofErr w:type="spellEnd"/>
      <w:r w:rsidR="00721043">
        <w:rPr>
          <w:b/>
          <w:i/>
          <w:lang w:val="en-US" w:eastAsia="en-US"/>
        </w:rPr>
        <w:t xml:space="preserve"> </w:t>
      </w:r>
      <w:r w:rsidR="00721043">
        <w:rPr>
          <w:lang w:val="en-US" w:eastAsia="en-US"/>
        </w:rPr>
        <w:t xml:space="preserve">at </w:t>
      </w:r>
      <w:proofErr w:type="spellStart"/>
      <w:r w:rsidR="00721043">
        <w:rPr>
          <w:lang w:val="en-US" w:eastAsia="en-US"/>
        </w:rPr>
        <w:t>paras</w:t>
      </w:r>
      <w:proofErr w:type="spellEnd"/>
      <w:r w:rsidR="00721043">
        <w:rPr>
          <w:lang w:val="en-US" w:eastAsia="en-US"/>
        </w:rPr>
        <w:t xml:space="preserve"> 70</w:t>
      </w:r>
      <w:r w:rsidR="0025055D">
        <w:rPr>
          <w:lang w:val="en-US" w:eastAsia="en-US"/>
        </w:rPr>
        <w:t>;</w:t>
      </w:r>
    </w:p>
    <w:p w:rsidR="00020F5E" w:rsidRDefault="00061C48" w:rsidP="00AD0DC1">
      <w:pPr>
        <w:pStyle w:val="FelskyNumbering12"/>
        <w:numPr>
          <w:ilvl w:val="0"/>
          <w:numId w:val="24"/>
        </w:numPr>
        <w:ind w:left="1080"/>
        <w:rPr>
          <w:lang w:val="en-US" w:eastAsia="en-US"/>
        </w:rPr>
      </w:pPr>
      <w:r>
        <w:rPr>
          <w:lang w:val="en-US" w:eastAsia="en-US"/>
        </w:rPr>
        <w:t>The sentencing judge must i</w:t>
      </w:r>
      <w:r w:rsidR="00013C34">
        <w:rPr>
          <w:lang w:val="en-US" w:eastAsia="en-US"/>
        </w:rPr>
        <w:t>mpose the least intrusive sentence required to achieve the primary purpose of the scheme, protection of the public</w:t>
      </w:r>
      <w:r w:rsidR="00A909EC">
        <w:rPr>
          <w:lang w:val="en-US" w:eastAsia="en-US"/>
        </w:rPr>
        <w:t xml:space="preserve">: </w:t>
      </w:r>
      <w:proofErr w:type="spellStart"/>
      <w:r w:rsidR="00013C34">
        <w:rPr>
          <w:b/>
          <w:i/>
          <w:lang w:val="en-US" w:eastAsia="en-US"/>
        </w:rPr>
        <w:t>Boutilier</w:t>
      </w:r>
      <w:proofErr w:type="spellEnd"/>
      <w:r w:rsidR="00013C34">
        <w:rPr>
          <w:b/>
          <w:i/>
          <w:lang w:val="en-US" w:eastAsia="en-US"/>
        </w:rPr>
        <w:t xml:space="preserve"> </w:t>
      </w:r>
      <w:r w:rsidR="00013C34">
        <w:rPr>
          <w:lang w:val="en-US" w:eastAsia="en-US"/>
        </w:rPr>
        <w:t xml:space="preserve">at </w:t>
      </w:r>
      <w:proofErr w:type="spellStart"/>
      <w:r w:rsidR="00013C34">
        <w:rPr>
          <w:lang w:val="en-US" w:eastAsia="en-US"/>
        </w:rPr>
        <w:t>paras</w:t>
      </w:r>
      <w:proofErr w:type="spellEnd"/>
      <w:r w:rsidR="00013C34">
        <w:rPr>
          <w:lang w:val="en-US" w:eastAsia="en-US"/>
        </w:rPr>
        <w:t xml:space="preserve"> 60-61</w:t>
      </w:r>
      <w:r>
        <w:rPr>
          <w:lang w:val="en-US" w:eastAsia="en-US"/>
        </w:rPr>
        <w:t>.</w:t>
      </w:r>
    </w:p>
    <w:p w:rsidR="00DE4CC0" w:rsidRDefault="00DE4CC0" w:rsidP="00AD0DC1">
      <w:pPr>
        <w:pStyle w:val="Heading2"/>
        <w:numPr>
          <w:ilvl w:val="0"/>
          <w:numId w:val="20"/>
        </w:numPr>
        <w:ind w:hanging="720"/>
        <w:rPr>
          <w:lang w:val="en-US"/>
        </w:rPr>
      </w:pPr>
      <w:r>
        <w:rPr>
          <w:lang w:val="en-US"/>
        </w:rPr>
        <w:t>The Reasons for Sentence</w:t>
      </w:r>
    </w:p>
    <w:p w:rsidR="000C0919" w:rsidRDefault="003B1993" w:rsidP="003B1993">
      <w:pPr>
        <w:pStyle w:val="FelskyNumbering12"/>
        <w:rPr>
          <w:lang w:val="en-US" w:eastAsia="en-US"/>
        </w:rPr>
      </w:pPr>
      <w:r>
        <w:rPr>
          <w:lang w:val="en-US" w:eastAsia="en-US"/>
        </w:rPr>
        <w:t xml:space="preserve">At the </w:t>
      </w:r>
      <w:r w:rsidR="00CE3110">
        <w:rPr>
          <w:lang w:val="en-US" w:eastAsia="en-US"/>
        </w:rPr>
        <w:t>designation</w:t>
      </w:r>
      <w:r>
        <w:rPr>
          <w:lang w:val="en-US" w:eastAsia="en-US"/>
        </w:rPr>
        <w:t xml:space="preserve"> stage</w:t>
      </w:r>
      <w:r w:rsidR="00321AF8">
        <w:rPr>
          <w:lang w:val="en-US" w:eastAsia="en-US"/>
        </w:rPr>
        <w:t xml:space="preserve">, </w:t>
      </w:r>
      <w:r w:rsidR="00322626">
        <w:rPr>
          <w:lang w:val="en-US" w:eastAsia="en-US"/>
        </w:rPr>
        <w:t xml:space="preserve">the Crown initially sought the designation based on </w:t>
      </w:r>
      <w:proofErr w:type="spellStart"/>
      <w:r w:rsidR="00322626">
        <w:rPr>
          <w:lang w:val="en-US" w:eastAsia="en-US"/>
        </w:rPr>
        <w:t>s</w:t>
      </w:r>
      <w:r w:rsidR="00BA7199">
        <w:rPr>
          <w:lang w:val="en-US" w:eastAsia="en-US"/>
        </w:rPr>
        <w:t>s</w:t>
      </w:r>
      <w:proofErr w:type="spellEnd"/>
      <w:r w:rsidR="00322626">
        <w:rPr>
          <w:lang w:val="en-US" w:eastAsia="en-US"/>
        </w:rPr>
        <w:t xml:space="preserve"> 753(1</w:t>
      </w:r>
      <w:proofErr w:type="gramStart"/>
      <w:r w:rsidR="00322626">
        <w:rPr>
          <w:lang w:val="en-US" w:eastAsia="en-US"/>
        </w:rPr>
        <w:t>)(</w:t>
      </w:r>
      <w:proofErr w:type="gramEnd"/>
      <w:r w:rsidR="00322626">
        <w:rPr>
          <w:lang w:val="en-US" w:eastAsia="en-US"/>
        </w:rPr>
        <w:t xml:space="preserve">a)(i) </w:t>
      </w:r>
      <w:r w:rsidR="00A01024">
        <w:rPr>
          <w:lang w:val="en-US" w:eastAsia="en-US"/>
        </w:rPr>
        <w:t xml:space="preserve">(pattern of repetitive </w:t>
      </w:r>
      <w:proofErr w:type="spellStart"/>
      <w:r w:rsidR="00A01024">
        <w:rPr>
          <w:lang w:val="en-US" w:eastAsia="en-US"/>
        </w:rPr>
        <w:t>behaviour</w:t>
      </w:r>
      <w:proofErr w:type="spellEnd"/>
      <w:r w:rsidR="00A01024">
        <w:rPr>
          <w:lang w:val="en-US" w:eastAsia="en-US"/>
        </w:rPr>
        <w:t xml:space="preserve"> likely to cause death or injury) </w:t>
      </w:r>
      <w:r w:rsidR="00322626">
        <w:rPr>
          <w:lang w:val="en-US" w:eastAsia="en-US"/>
        </w:rPr>
        <w:t>and 753(1)(b)</w:t>
      </w:r>
      <w:r w:rsidR="00A01024">
        <w:rPr>
          <w:lang w:val="en-US" w:eastAsia="en-US"/>
        </w:rPr>
        <w:t xml:space="preserve"> (failure to control sexual impulses).</w:t>
      </w:r>
      <w:r>
        <w:rPr>
          <w:lang w:val="en-US" w:eastAsia="en-US"/>
        </w:rPr>
        <w:t xml:space="preserve"> </w:t>
      </w:r>
      <w:r w:rsidR="00321AF8">
        <w:rPr>
          <w:lang w:val="en-US" w:eastAsia="en-US"/>
        </w:rPr>
        <w:t xml:space="preserve">However, </w:t>
      </w:r>
      <w:proofErr w:type="spellStart"/>
      <w:r>
        <w:rPr>
          <w:lang w:val="en-US" w:eastAsia="en-US"/>
        </w:rPr>
        <w:t>Mr</w:t>
      </w:r>
      <w:proofErr w:type="spellEnd"/>
      <w:r>
        <w:rPr>
          <w:lang w:val="en-US" w:eastAsia="en-US"/>
        </w:rPr>
        <w:t xml:space="preserve"> Zoe conceded that he met the statutory requirement of s 753(1</w:t>
      </w:r>
      <w:proofErr w:type="gramStart"/>
      <w:r>
        <w:rPr>
          <w:lang w:val="en-US" w:eastAsia="en-US"/>
        </w:rPr>
        <w:t>)(</w:t>
      </w:r>
      <w:proofErr w:type="gramEnd"/>
      <w:r>
        <w:rPr>
          <w:lang w:val="en-US" w:eastAsia="en-US"/>
        </w:rPr>
        <w:t>b) for a dangerous offender</w:t>
      </w:r>
      <w:r w:rsidR="00321AF8">
        <w:rPr>
          <w:lang w:val="en-US" w:eastAsia="en-US"/>
        </w:rPr>
        <w:t xml:space="preserve"> designation</w:t>
      </w:r>
      <w:r>
        <w:rPr>
          <w:lang w:val="en-US" w:eastAsia="en-US"/>
        </w:rPr>
        <w:t xml:space="preserve">. </w:t>
      </w:r>
      <w:r w:rsidR="000C0919">
        <w:rPr>
          <w:lang w:val="en-US" w:eastAsia="en-US"/>
        </w:rPr>
        <w:t>He had previously been found guilty of the following sexual offences</w:t>
      </w:r>
      <w:r w:rsidR="00BE2F2B">
        <w:rPr>
          <w:lang w:val="en-US" w:eastAsia="en-US"/>
        </w:rPr>
        <w:t xml:space="preserve"> as summarized in </w:t>
      </w:r>
      <w:proofErr w:type="spellStart"/>
      <w:r w:rsidR="00BE2F2B">
        <w:rPr>
          <w:lang w:val="en-US" w:eastAsia="en-US"/>
        </w:rPr>
        <w:t>Mr</w:t>
      </w:r>
      <w:proofErr w:type="spellEnd"/>
      <w:r w:rsidR="00BE2F2B">
        <w:rPr>
          <w:lang w:val="en-US" w:eastAsia="en-US"/>
        </w:rPr>
        <w:t xml:space="preserve"> Zoe’s factum:</w:t>
      </w:r>
    </w:p>
    <w:p w:rsidR="000C0919" w:rsidRDefault="003C13B9" w:rsidP="00CE3110">
      <w:pPr>
        <w:pStyle w:val="FelskyNumbering12"/>
        <w:numPr>
          <w:ilvl w:val="0"/>
          <w:numId w:val="28"/>
        </w:numPr>
        <w:ind w:left="1080"/>
        <w:rPr>
          <w:lang w:val="en-US" w:eastAsia="en-US"/>
        </w:rPr>
      </w:pPr>
      <w:r>
        <w:rPr>
          <w:lang w:val="en-US" w:eastAsia="en-US"/>
        </w:rPr>
        <w:t>Sexual assault (s 271 CC): On August 7, 2004, in the middle of the afternoon, the appellant approached a woman whom he did not know from behind, and grabbed her on the buttocks. He was convicted of sexual assault, and on February 4, 2005, he was given a suspended sentence of six months.</w:t>
      </w:r>
    </w:p>
    <w:p w:rsidR="003C13B9" w:rsidRDefault="003C13B9" w:rsidP="00AD0DC1">
      <w:pPr>
        <w:pStyle w:val="FelskyNumbering12"/>
        <w:numPr>
          <w:ilvl w:val="0"/>
          <w:numId w:val="28"/>
        </w:numPr>
        <w:spacing w:after="160"/>
        <w:ind w:left="1080"/>
        <w:rPr>
          <w:lang w:val="en-US" w:eastAsia="en-US"/>
        </w:rPr>
      </w:pPr>
      <w:r>
        <w:rPr>
          <w:lang w:val="en-US" w:eastAsia="en-US"/>
        </w:rPr>
        <w:lastRenderedPageBreak/>
        <w:t>Sexual Interference (s 151 CC): On June 24-25, 2008, the appellant was drinking with the 13-year old female victim and two other people. The victim passed out, and awoke to the find the appellant touching her breasts, waist, buttocks and vagina over her clothing. He was found guilty on June 11, 2009 and sentenced to 15 months’ imprisonment.</w:t>
      </w:r>
    </w:p>
    <w:p w:rsidR="003C13B9" w:rsidRDefault="003C13B9" w:rsidP="00AD0DC1">
      <w:pPr>
        <w:pStyle w:val="FelskyNumbering12"/>
        <w:numPr>
          <w:ilvl w:val="0"/>
          <w:numId w:val="28"/>
        </w:numPr>
        <w:ind w:left="1080"/>
        <w:rPr>
          <w:lang w:val="en-US" w:eastAsia="en-US"/>
        </w:rPr>
      </w:pPr>
      <w:r>
        <w:rPr>
          <w:lang w:val="en-US" w:eastAsia="en-US"/>
        </w:rPr>
        <w:t>Sexual Assault (s 271 CC): On January 2, 2011, while intoxicated, the appellant approached the victim from behind, placed one arm around her neck and covered her mouth with his other hand. He demanded money and placed one hand down her pants, penetrating her vagina with his fingers for approximately 30 seconds. She told him she could</w:t>
      </w:r>
      <w:r w:rsidR="00321AF8">
        <w:rPr>
          <w:lang w:val="en-US" w:eastAsia="en-US"/>
        </w:rPr>
        <w:t xml:space="preserve"> not </w:t>
      </w:r>
      <w:r>
        <w:rPr>
          <w:lang w:val="en-US" w:eastAsia="en-US"/>
        </w:rPr>
        <w:t xml:space="preserve">breathe and when he loosened his grip, she yelled for help. Two men in the area </w:t>
      </w:r>
      <w:r w:rsidR="00F704C5">
        <w:rPr>
          <w:lang w:val="en-US" w:eastAsia="en-US"/>
        </w:rPr>
        <w:t xml:space="preserve">came to her assistance. The appellant entered a guilty plea on December 16, 2011 and was sentenced to 39 months’ imprisonment. </w:t>
      </w:r>
    </w:p>
    <w:p w:rsidR="003B1993" w:rsidRDefault="00BE2F2B" w:rsidP="00AD0DC1">
      <w:pPr>
        <w:pStyle w:val="FelskyNumbering12"/>
        <w:rPr>
          <w:lang w:val="en-US" w:eastAsia="en-US"/>
        </w:rPr>
      </w:pPr>
      <w:r>
        <w:rPr>
          <w:lang w:val="en-US" w:eastAsia="en-US"/>
        </w:rPr>
        <w:t xml:space="preserve">In light of the </w:t>
      </w:r>
      <w:r w:rsidR="00F704C5">
        <w:rPr>
          <w:lang w:val="en-US" w:eastAsia="en-US"/>
        </w:rPr>
        <w:t>concession</w:t>
      </w:r>
      <w:r w:rsidR="002C253B">
        <w:rPr>
          <w:lang w:val="en-US" w:eastAsia="en-US"/>
        </w:rPr>
        <w:t xml:space="preserve"> that </w:t>
      </w:r>
      <w:proofErr w:type="spellStart"/>
      <w:r w:rsidR="002C253B">
        <w:rPr>
          <w:lang w:val="en-US" w:eastAsia="en-US"/>
        </w:rPr>
        <w:t>Mr</w:t>
      </w:r>
      <w:proofErr w:type="spellEnd"/>
      <w:r w:rsidR="002C253B">
        <w:rPr>
          <w:lang w:val="en-US" w:eastAsia="en-US"/>
        </w:rPr>
        <w:t xml:space="preserve"> Zoe satisfied the requirements for a dangerous offender designation, </w:t>
      </w:r>
      <w:r w:rsidR="003B1993">
        <w:rPr>
          <w:lang w:val="en-US" w:eastAsia="en-US"/>
        </w:rPr>
        <w:t>the sentencing judge</w:t>
      </w:r>
      <w:r>
        <w:rPr>
          <w:lang w:val="en-US" w:eastAsia="en-US"/>
        </w:rPr>
        <w:t xml:space="preserve"> conducted </w:t>
      </w:r>
      <w:r w:rsidR="00F704C5">
        <w:rPr>
          <w:lang w:val="en-US" w:eastAsia="en-US"/>
        </w:rPr>
        <w:t>no analysis</w:t>
      </w:r>
      <w:r>
        <w:rPr>
          <w:lang w:val="en-US" w:eastAsia="en-US"/>
        </w:rPr>
        <w:t xml:space="preserve"> at the designation stage</w:t>
      </w:r>
      <w:r w:rsidR="003B1993">
        <w:rPr>
          <w:lang w:val="en-US" w:eastAsia="en-US"/>
        </w:rPr>
        <w:t xml:space="preserve">. </w:t>
      </w:r>
      <w:r>
        <w:rPr>
          <w:lang w:val="en-US" w:eastAsia="en-US"/>
        </w:rPr>
        <w:t>There was n</w:t>
      </w:r>
      <w:r w:rsidR="003B1993">
        <w:rPr>
          <w:lang w:val="en-US" w:eastAsia="en-US"/>
        </w:rPr>
        <w:t xml:space="preserve">o </w:t>
      </w:r>
      <w:r w:rsidR="00496ADB">
        <w:rPr>
          <w:lang w:val="en-US" w:eastAsia="en-US"/>
        </w:rPr>
        <w:t xml:space="preserve">consideration </w:t>
      </w:r>
      <w:r w:rsidR="003B1993">
        <w:rPr>
          <w:lang w:val="en-US" w:eastAsia="en-US"/>
        </w:rPr>
        <w:t xml:space="preserve">of </w:t>
      </w:r>
      <w:proofErr w:type="spellStart"/>
      <w:r w:rsidR="003B1993">
        <w:rPr>
          <w:lang w:val="en-US" w:eastAsia="en-US"/>
        </w:rPr>
        <w:t>Mr</w:t>
      </w:r>
      <w:proofErr w:type="spellEnd"/>
      <w:r w:rsidR="003B1993">
        <w:rPr>
          <w:lang w:val="en-US" w:eastAsia="en-US"/>
        </w:rPr>
        <w:t xml:space="preserve"> Zoe’s intractability or future treatment prospects</w:t>
      </w:r>
      <w:r w:rsidR="002C253B">
        <w:rPr>
          <w:lang w:val="en-US" w:eastAsia="en-US"/>
        </w:rPr>
        <w:t>.</w:t>
      </w:r>
    </w:p>
    <w:p w:rsidR="00E55314" w:rsidRPr="00144CA8" w:rsidRDefault="00E55314" w:rsidP="003B1993">
      <w:pPr>
        <w:pStyle w:val="FelskyNumbering12"/>
        <w:rPr>
          <w:lang w:val="en-US" w:eastAsia="en-US"/>
        </w:rPr>
      </w:pPr>
      <w:r>
        <w:rPr>
          <w:lang w:val="en-US" w:eastAsia="en-US"/>
        </w:rPr>
        <w:t xml:space="preserve">At the second stage, the sentencing judge interpreted </w:t>
      </w:r>
      <w:r w:rsidR="00D412E4">
        <w:rPr>
          <w:lang w:val="en-US" w:eastAsia="en-US"/>
        </w:rPr>
        <w:t xml:space="preserve">s 753(4.1) </w:t>
      </w:r>
      <w:r>
        <w:rPr>
          <w:lang w:val="en-US" w:eastAsia="en-US"/>
        </w:rPr>
        <w:t xml:space="preserve">as creating a presumption </w:t>
      </w:r>
      <w:r w:rsidR="00D412E4">
        <w:rPr>
          <w:lang w:val="en-US" w:eastAsia="en-US"/>
        </w:rPr>
        <w:t>of</w:t>
      </w:r>
      <w:r>
        <w:rPr>
          <w:lang w:val="en-US" w:eastAsia="en-US"/>
        </w:rPr>
        <w:t xml:space="preserve"> an indeterminate sentence which was not rebutted by the evidence.</w:t>
      </w:r>
      <w:r w:rsidR="00496ADB">
        <w:rPr>
          <w:lang w:val="en-US" w:eastAsia="en-US"/>
        </w:rPr>
        <w:t xml:space="preserve"> He rejected </w:t>
      </w:r>
      <w:proofErr w:type="spellStart"/>
      <w:r w:rsidR="00496ADB">
        <w:rPr>
          <w:lang w:val="en-US" w:eastAsia="en-US"/>
        </w:rPr>
        <w:t>Mr</w:t>
      </w:r>
      <w:proofErr w:type="spellEnd"/>
      <w:r w:rsidR="00496ADB">
        <w:rPr>
          <w:lang w:val="en-US" w:eastAsia="en-US"/>
        </w:rPr>
        <w:t xml:space="preserve"> Zoe’s suggestion of an </w:t>
      </w:r>
      <w:r w:rsidR="00D412E4">
        <w:rPr>
          <w:lang w:val="en-US" w:eastAsia="en-US"/>
        </w:rPr>
        <w:t>eight</w:t>
      </w:r>
      <w:r w:rsidR="004B369D">
        <w:rPr>
          <w:lang w:val="en-US" w:eastAsia="en-US"/>
        </w:rPr>
        <w:t>-</w:t>
      </w:r>
      <w:r w:rsidR="00496ADB">
        <w:rPr>
          <w:lang w:val="en-US" w:eastAsia="en-US"/>
        </w:rPr>
        <w:t>year penitentiary sentence followed by a 10</w:t>
      </w:r>
      <w:r w:rsidR="004B369D">
        <w:rPr>
          <w:lang w:val="en-US" w:eastAsia="en-US"/>
        </w:rPr>
        <w:t>-</w:t>
      </w:r>
      <w:r w:rsidR="00496ADB">
        <w:rPr>
          <w:lang w:val="en-US" w:eastAsia="en-US"/>
        </w:rPr>
        <w:t>year long-term supervision order.</w:t>
      </w:r>
      <w:r>
        <w:rPr>
          <w:lang w:val="en-US" w:eastAsia="en-US"/>
        </w:rPr>
        <w:t xml:space="preserve"> He found that </w:t>
      </w:r>
      <w:r w:rsidR="00C7596B">
        <w:rPr>
          <w:lang w:val="en-US" w:eastAsia="en-US"/>
        </w:rPr>
        <w:t xml:space="preserve">the phrase </w:t>
      </w:r>
      <w:r>
        <w:rPr>
          <w:lang w:val="en-US" w:eastAsia="en-US"/>
        </w:rPr>
        <w:t>‘reasonable expectation</w:t>
      </w:r>
      <w:r w:rsidR="00D412E4">
        <w:rPr>
          <w:lang w:val="en-US" w:eastAsia="en-US"/>
        </w:rPr>
        <w:t xml:space="preserve"> that a</w:t>
      </w:r>
      <w:r w:rsidR="00505275">
        <w:rPr>
          <w:lang w:val="en-US" w:eastAsia="en-US"/>
        </w:rPr>
        <w:t xml:space="preserve"> lesser measure</w:t>
      </w:r>
      <w:r w:rsidR="00D25F59">
        <w:rPr>
          <w:lang w:val="en-US" w:eastAsia="en-US"/>
        </w:rPr>
        <w:t xml:space="preserve"> </w:t>
      </w:r>
      <w:r w:rsidR="00D412E4">
        <w:rPr>
          <w:lang w:val="en-US" w:eastAsia="en-US"/>
        </w:rPr>
        <w:t>… will adequately protect the public</w:t>
      </w:r>
      <w:r>
        <w:rPr>
          <w:lang w:val="en-US" w:eastAsia="en-US"/>
        </w:rPr>
        <w:t xml:space="preserve">’ in s 753(4.1) meant more than ‘reasonable possibility’ which is what the evidence established. Because he relied on the </w:t>
      </w:r>
      <w:r w:rsidR="00837194">
        <w:rPr>
          <w:lang w:val="en-US" w:eastAsia="en-US"/>
        </w:rPr>
        <w:t>rebutt</w:t>
      </w:r>
      <w:r w:rsidR="00917F2E">
        <w:rPr>
          <w:lang w:val="en-US" w:eastAsia="en-US"/>
        </w:rPr>
        <w:t>able</w:t>
      </w:r>
      <w:r w:rsidR="00837194">
        <w:rPr>
          <w:lang w:val="en-US" w:eastAsia="en-US"/>
        </w:rPr>
        <w:t xml:space="preserve"> </w:t>
      </w:r>
      <w:r>
        <w:rPr>
          <w:lang w:val="en-US" w:eastAsia="en-US"/>
        </w:rPr>
        <w:t>presumption</w:t>
      </w:r>
      <w:r w:rsidR="00144CA8">
        <w:rPr>
          <w:lang w:val="en-US" w:eastAsia="en-US"/>
        </w:rPr>
        <w:t xml:space="preserve">, he did not </w:t>
      </w:r>
      <w:r w:rsidR="00797087">
        <w:rPr>
          <w:lang w:val="en-US" w:eastAsia="en-US"/>
        </w:rPr>
        <w:t xml:space="preserve">consider, as </w:t>
      </w:r>
      <w:proofErr w:type="spellStart"/>
      <w:r w:rsidR="00144CA8">
        <w:rPr>
          <w:b/>
          <w:i/>
          <w:lang w:val="en-US" w:eastAsia="en-US"/>
        </w:rPr>
        <w:t>Boutilier</w:t>
      </w:r>
      <w:proofErr w:type="spellEnd"/>
      <w:r w:rsidR="00144CA8">
        <w:rPr>
          <w:b/>
        </w:rPr>
        <w:t xml:space="preserve"> </w:t>
      </w:r>
      <w:r w:rsidR="00797087">
        <w:t>requires, whether an indeterminate</w:t>
      </w:r>
      <w:r w:rsidR="003633DF">
        <w:t xml:space="preserve"> </w:t>
      </w:r>
      <w:r w:rsidR="00A01024">
        <w:t xml:space="preserve">sentence </w:t>
      </w:r>
      <w:r w:rsidR="003633DF">
        <w:t>was</w:t>
      </w:r>
      <w:r w:rsidR="00174E9E">
        <w:t xml:space="preserve"> </w:t>
      </w:r>
      <w:r w:rsidR="00496ADB">
        <w:t>the least restrictive sentence that would</w:t>
      </w:r>
      <w:r w:rsidR="00C7596B">
        <w:t xml:space="preserve"> adequately protect the public</w:t>
      </w:r>
      <w:r w:rsidR="00496ADB">
        <w:t>.</w:t>
      </w:r>
    </w:p>
    <w:p w:rsidR="00144CA8" w:rsidRDefault="00144CA8" w:rsidP="00144CA8">
      <w:pPr>
        <w:pStyle w:val="Heading2"/>
        <w:numPr>
          <w:ilvl w:val="0"/>
          <w:numId w:val="20"/>
        </w:numPr>
        <w:ind w:hanging="720"/>
        <w:rPr>
          <w:lang w:val="en-US"/>
        </w:rPr>
      </w:pPr>
      <w:r>
        <w:rPr>
          <w:lang w:val="en-US"/>
        </w:rPr>
        <w:t>Issues</w:t>
      </w:r>
    </w:p>
    <w:p w:rsidR="00423CDC" w:rsidRPr="00C141DC" w:rsidRDefault="00423CDC" w:rsidP="00423CDC">
      <w:pPr>
        <w:pStyle w:val="FelskyNumbering12"/>
        <w:rPr>
          <w:lang w:eastAsia="en-US"/>
        </w:rPr>
      </w:pPr>
      <w:r>
        <w:rPr>
          <w:lang w:eastAsia="en-US"/>
        </w:rPr>
        <w:t>If the sentencing judge committed an error of law in failing to consider an offender’s treatment prospects (for the purpose of designation) and in applying a rebuttable presumption of an indeterminate sentence, whether a new hearing is required depends on the application of the curative proviso in s 686(1</w:t>
      </w:r>
      <w:proofErr w:type="gramStart"/>
      <w:r>
        <w:rPr>
          <w:lang w:eastAsia="en-US"/>
        </w:rPr>
        <w:t>)(</w:t>
      </w:r>
      <w:proofErr w:type="gramEnd"/>
      <w:r>
        <w:rPr>
          <w:lang w:eastAsia="en-US"/>
        </w:rPr>
        <w:t xml:space="preserve">b)(iii) of the </w:t>
      </w:r>
      <w:r w:rsidRPr="00827E5E">
        <w:rPr>
          <w:i/>
          <w:lang w:eastAsia="en-US"/>
        </w:rPr>
        <w:t>Criminal Code</w:t>
      </w:r>
      <w:r>
        <w:rPr>
          <w:lang w:eastAsia="en-US"/>
        </w:rPr>
        <w:t xml:space="preserve">: see </w:t>
      </w:r>
      <w:proofErr w:type="spellStart"/>
      <w:r w:rsidRPr="00827E5E">
        <w:rPr>
          <w:b/>
          <w:i/>
          <w:lang w:eastAsia="en-US"/>
        </w:rPr>
        <w:t>Boutilier</w:t>
      </w:r>
      <w:proofErr w:type="spellEnd"/>
      <w:r>
        <w:rPr>
          <w:lang w:eastAsia="en-US"/>
        </w:rPr>
        <w:t xml:space="preserve"> at </w:t>
      </w:r>
      <w:proofErr w:type="spellStart"/>
      <w:r>
        <w:rPr>
          <w:lang w:eastAsia="en-US"/>
        </w:rPr>
        <w:t>para</w:t>
      </w:r>
      <w:proofErr w:type="spellEnd"/>
      <w:r>
        <w:rPr>
          <w:lang w:eastAsia="en-US"/>
        </w:rPr>
        <w:t xml:space="preserve"> 82. In this case, neither of the alleged errors </w:t>
      </w:r>
      <w:proofErr w:type="gramStart"/>
      <w:r>
        <w:rPr>
          <w:lang w:eastAsia="en-US"/>
        </w:rPr>
        <w:t>are</w:t>
      </w:r>
      <w:proofErr w:type="gramEnd"/>
      <w:r>
        <w:rPr>
          <w:lang w:eastAsia="en-US"/>
        </w:rPr>
        <w:t xml:space="preserve"> “harmless”. If errors are made out, a new sentencing hearing must be ordered unless “there is no reasonable possibility that [the outcome] would have been any different if the error of law had not been made”: </w:t>
      </w:r>
      <w:r w:rsidRPr="00827E5E">
        <w:rPr>
          <w:b/>
          <w:i/>
          <w:lang w:eastAsia="en-US"/>
        </w:rPr>
        <w:t>R v Johnson</w:t>
      </w:r>
      <w:r>
        <w:rPr>
          <w:lang w:eastAsia="en-US"/>
        </w:rPr>
        <w:t xml:space="preserve">, 2003 SCC 46 at </w:t>
      </w:r>
      <w:proofErr w:type="spellStart"/>
      <w:r>
        <w:rPr>
          <w:lang w:eastAsia="en-US"/>
        </w:rPr>
        <w:t>para</w:t>
      </w:r>
      <w:proofErr w:type="spellEnd"/>
      <w:r>
        <w:rPr>
          <w:lang w:eastAsia="en-US"/>
        </w:rPr>
        <w:t xml:space="preserve"> 49; </w:t>
      </w:r>
      <w:proofErr w:type="spellStart"/>
      <w:r w:rsidRPr="00827E5E">
        <w:rPr>
          <w:b/>
          <w:i/>
          <w:lang w:eastAsia="en-US"/>
        </w:rPr>
        <w:t>Boutilier</w:t>
      </w:r>
      <w:proofErr w:type="spellEnd"/>
      <w:r>
        <w:rPr>
          <w:lang w:eastAsia="en-US"/>
        </w:rPr>
        <w:t xml:space="preserve"> at </w:t>
      </w:r>
      <w:proofErr w:type="spellStart"/>
      <w:r>
        <w:rPr>
          <w:lang w:eastAsia="en-US"/>
        </w:rPr>
        <w:t>para</w:t>
      </w:r>
      <w:proofErr w:type="spellEnd"/>
      <w:r>
        <w:rPr>
          <w:lang w:eastAsia="en-US"/>
        </w:rPr>
        <w:t xml:space="preserve"> 82. </w:t>
      </w:r>
    </w:p>
    <w:p w:rsidR="00767652" w:rsidRDefault="00767652" w:rsidP="00767652">
      <w:pPr>
        <w:pStyle w:val="FelskyNumbering12"/>
        <w:rPr>
          <w:lang w:val="en-US" w:eastAsia="en-US"/>
        </w:rPr>
      </w:pPr>
      <w:r>
        <w:rPr>
          <w:lang w:val="en-US" w:eastAsia="en-US"/>
        </w:rPr>
        <w:t xml:space="preserve">There is no doubt that in light of </w:t>
      </w:r>
      <w:proofErr w:type="spellStart"/>
      <w:r>
        <w:rPr>
          <w:b/>
          <w:i/>
          <w:lang w:val="en-US" w:eastAsia="en-US"/>
        </w:rPr>
        <w:t>Boutilier</w:t>
      </w:r>
      <w:proofErr w:type="spellEnd"/>
      <w:r>
        <w:rPr>
          <w:b/>
          <w:i/>
          <w:lang w:val="en-US" w:eastAsia="en-US"/>
        </w:rPr>
        <w:t xml:space="preserve"> </w:t>
      </w:r>
      <w:r>
        <w:rPr>
          <w:lang w:val="en-US" w:eastAsia="en-US"/>
        </w:rPr>
        <w:t xml:space="preserve">legal errors were made in the analysis at both stages of the dangerous offender </w:t>
      </w:r>
      <w:r w:rsidR="009101DA">
        <w:rPr>
          <w:lang w:val="en-US" w:eastAsia="en-US"/>
        </w:rPr>
        <w:t>analysis</w:t>
      </w:r>
      <w:r>
        <w:rPr>
          <w:lang w:val="en-US" w:eastAsia="en-US"/>
        </w:rPr>
        <w:t xml:space="preserve">. The question is whether on </w:t>
      </w:r>
      <w:r w:rsidR="00043217">
        <w:rPr>
          <w:lang w:val="en-US" w:eastAsia="en-US"/>
        </w:rPr>
        <w:t>this</w:t>
      </w:r>
      <w:r w:rsidR="009101DA">
        <w:rPr>
          <w:lang w:val="en-US" w:eastAsia="en-US"/>
        </w:rPr>
        <w:t xml:space="preserve"> </w:t>
      </w:r>
      <w:r>
        <w:rPr>
          <w:lang w:val="en-US" w:eastAsia="en-US"/>
        </w:rPr>
        <w:t>record, that ma</w:t>
      </w:r>
      <w:r w:rsidR="009101DA">
        <w:rPr>
          <w:lang w:val="en-US" w:eastAsia="en-US"/>
        </w:rPr>
        <w:t>de</w:t>
      </w:r>
      <w:r>
        <w:rPr>
          <w:lang w:val="en-US" w:eastAsia="en-US"/>
        </w:rPr>
        <w:t xml:space="preserve"> any difference</w:t>
      </w:r>
      <w:r w:rsidR="009101DA">
        <w:rPr>
          <w:lang w:val="en-US" w:eastAsia="en-US"/>
        </w:rPr>
        <w:t xml:space="preserve"> to the result</w:t>
      </w:r>
      <w:r>
        <w:rPr>
          <w:lang w:val="en-US" w:eastAsia="en-US"/>
        </w:rPr>
        <w:t xml:space="preserve">. </w:t>
      </w:r>
    </w:p>
    <w:p w:rsidR="00144CA8" w:rsidRDefault="0051621C" w:rsidP="00144CA8">
      <w:pPr>
        <w:pStyle w:val="FelskyNumbering12"/>
        <w:rPr>
          <w:lang w:val="en-US" w:eastAsia="en-US"/>
        </w:rPr>
      </w:pPr>
      <w:r>
        <w:rPr>
          <w:lang w:val="en-US" w:eastAsia="en-US"/>
        </w:rPr>
        <w:lastRenderedPageBreak/>
        <w:t xml:space="preserve">The Crown argues first of all that no error was made at the designation stage because the sentencing judge relied on a concession from </w:t>
      </w:r>
      <w:proofErr w:type="spellStart"/>
      <w:r>
        <w:rPr>
          <w:lang w:val="en-US" w:eastAsia="en-US"/>
        </w:rPr>
        <w:t>Mr</w:t>
      </w:r>
      <w:proofErr w:type="spellEnd"/>
      <w:r>
        <w:rPr>
          <w:lang w:val="en-US" w:eastAsia="en-US"/>
        </w:rPr>
        <w:t xml:space="preserve"> Zoe from which he cannot now </w:t>
      </w:r>
      <w:proofErr w:type="spellStart"/>
      <w:r>
        <w:rPr>
          <w:lang w:val="en-US" w:eastAsia="en-US"/>
        </w:rPr>
        <w:t>resile</w:t>
      </w:r>
      <w:proofErr w:type="spellEnd"/>
      <w:r>
        <w:rPr>
          <w:lang w:val="en-US" w:eastAsia="en-US"/>
        </w:rPr>
        <w:t>. Second, incorrectly applying a presumption</w:t>
      </w:r>
      <w:r w:rsidR="00C7596B">
        <w:rPr>
          <w:lang w:val="en-US" w:eastAsia="en-US"/>
        </w:rPr>
        <w:t xml:space="preserve"> at the sentencing stage is saved under the curative </w:t>
      </w:r>
      <w:r w:rsidR="002F0773">
        <w:rPr>
          <w:lang w:val="en-US" w:eastAsia="en-US"/>
        </w:rPr>
        <w:t xml:space="preserve">proviso </w:t>
      </w:r>
      <w:r w:rsidR="00C7596B">
        <w:rPr>
          <w:lang w:val="en-US" w:eastAsia="en-US"/>
        </w:rPr>
        <w:t xml:space="preserve">because </w:t>
      </w:r>
      <w:r>
        <w:rPr>
          <w:lang w:val="en-US" w:eastAsia="en-US"/>
        </w:rPr>
        <w:t xml:space="preserve">an indeterminate sentence was the only option available based on the evidence in the record. Lastly, </w:t>
      </w:r>
      <w:r w:rsidR="009101DA">
        <w:rPr>
          <w:lang w:val="en-US" w:eastAsia="en-US"/>
        </w:rPr>
        <w:t xml:space="preserve">the Crown submits </w:t>
      </w:r>
      <w:r>
        <w:rPr>
          <w:lang w:val="en-US" w:eastAsia="en-US"/>
        </w:rPr>
        <w:t xml:space="preserve">there was no error in the consideration of </w:t>
      </w:r>
      <w:proofErr w:type="spellStart"/>
      <w:r>
        <w:rPr>
          <w:b/>
          <w:i/>
          <w:lang w:val="en-US" w:eastAsia="en-US"/>
        </w:rPr>
        <w:t>Gladue</w:t>
      </w:r>
      <w:proofErr w:type="spellEnd"/>
      <w:r>
        <w:t xml:space="preserve"> factors, and the fresh evidence should not be admitted. </w:t>
      </w:r>
    </w:p>
    <w:p w:rsidR="00144CA8" w:rsidRDefault="00FE300A" w:rsidP="00FE300A">
      <w:pPr>
        <w:pStyle w:val="Heading2"/>
        <w:numPr>
          <w:ilvl w:val="0"/>
          <w:numId w:val="25"/>
        </w:numPr>
        <w:rPr>
          <w:b w:val="0"/>
          <w:lang w:val="en-US"/>
        </w:rPr>
      </w:pPr>
      <w:r>
        <w:rPr>
          <w:lang w:val="en-US"/>
        </w:rPr>
        <w:t>Concession</w:t>
      </w:r>
    </w:p>
    <w:p w:rsidR="00FE300A" w:rsidRDefault="00FE300A" w:rsidP="00FE300A">
      <w:pPr>
        <w:pStyle w:val="FelskyNumbering12"/>
        <w:rPr>
          <w:lang w:val="en-US" w:eastAsia="en-US"/>
        </w:rPr>
      </w:pPr>
      <w:r>
        <w:rPr>
          <w:lang w:val="en-US" w:eastAsia="en-US"/>
        </w:rPr>
        <w:t xml:space="preserve">The Crown argues that </w:t>
      </w:r>
      <w:proofErr w:type="spellStart"/>
      <w:r>
        <w:rPr>
          <w:lang w:val="en-US" w:eastAsia="en-US"/>
        </w:rPr>
        <w:t>Mr</w:t>
      </w:r>
      <w:proofErr w:type="spellEnd"/>
      <w:r>
        <w:rPr>
          <w:lang w:val="en-US" w:eastAsia="en-US"/>
        </w:rPr>
        <w:t xml:space="preserve"> Zoe cannot </w:t>
      </w:r>
      <w:proofErr w:type="spellStart"/>
      <w:r>
        <w:rPr>
          <w:lang w:val="en-US" w:eastAsia="en-US"/>
        </w:rPr>
        <w:t>resil</w:t>
      </w:r>
      <w:r w:rsidR="00C141DC">
        <w:rPr>
          <w:lang w:val="en-US" w:eastAsia="en-US"/>
        </w:rPr>
        <w:t>e</w:t>
      </w:r>
      <w:proofErr w:type="spellEnd"/>
      <w:r>
        <w:rPr>
          <w:lang w:val="en-US" w:eastAsia="en-US"/>
        </w:rPr>
        <w:t xml:space="preserve"> from his concession</w:t>
      </w:r>
      <w:r w:rsidR="00C141DC">
        <w:rPr>
          <w:lang w:val="en-US" w:eastAsia="en-US"/>
        </w:rPr>
        <w:t xml:space="preserve"> at trial that he met the criteria of a dangerous offender.</w:t>
      </w:r>
    </w:p>
    <w:p w:rsidR="00FE300A" w:rsidRPr="00E16955" w:rsidRDefault="00A01024" w:rsidP="00FE300A">
      <w:pPr>
        <w:pStyle w:val="FelskyNumbering12"/>
        <w:rPr>
          <w:lang w:eastAsia="en-US"/>
        </w:rPr>
      </w:pPr>
      <w:r>
        <w:rPr>
          <w:lang w:eastAsia="en-US"/>
        </w:rPr>
        <w:t>T</w:t>
      </w:r>
      <w:r w:rsidR="00FE300A">
        <w:rPr>
          <w:lang w:eastAsia="en-US"/>
        </w:rPr>
        <w:t>he concession made at the court below with respect to designation was made within a particular legal context</w:t>
      </w:r>
      <w:r w:rsidR="00A13770">
        <w:rPr>
          <w:lang w:eastAsia="en-US"/>
        </w:rPr>
        <w:t xml:space="preserve"> that</w:t>
      </w:r>
      <w:r w:rsidR="00E16955">
        <w:rPr>
          <w:lang w:eastAsia="en-US"/>
        </w:rPr>
        <w:t xml:space="preserve"> arguabl</w:t>
      </w:r>
      <w:r w:rsidR="00A13770">
        <w:rPr>
          <w:lang w:eastAsia="en-US"/>
        </w:rPr>
        <w:t>y</w:t>
      </w:r>
      <w:r w:rsidR="005C1375">
        <w:rPr>
          <w:lang w:eastAsia="en-US"/>
        </w:rPr>
        <w:t xml:space="preserve"> did not require the Court to consider future treatment</w:t>
      </w:r>
      <w:r w:rsidR="00FE300A">
        <w:rPr>
          <w:lang w:eastAsia="en-US"/>
        </w:rPr>
        <w:t xml:space="preserve">. </w:t>
      </w:r>
      <w:proofErr w:type="spellStart"/>
      <w:r w:rsidR="00E16955">
        <w:rPr>
          <w:b/>
          <w:i/>
          <w:lang w:eastAsia="en-US"/>
        </w:rPr>
        <w:t>Boutilier</w:t>
      </w:r>
      <w:proofErr w:type="spellEnd"/>
      <w:r w:rsidR="00E16955">
        <w:rPr>
          <w:b/>
          <w:i/>
          <w:lang w:eastAsia="en-US"/>
        </w:rPr>
        <w:t xml:space="preserve"> </w:t>
      </w:r>
      <w:r w:rsidR="00E16955">
        <w:rPr>
          <w:lang w:eastAsia="en-US"/>
        </w:rPr>
        <w:t xml:space="preserve">clarified the law on this topic. </w:t>
      </w:r>
      <w:r w:rsidR="00FE300A">
        <w:rPr>
          <w:lang w:eastAsia="en-US"/>
        </w:rPr>
        <w:t xml:space="preserve">We see no reason to hold </w:t>
      </w:r>
      <w:proofErr w:type="spellStart"/>
      <w:r w:rsidR="00FE300A">
        <w:rPr>
          <w:lang w:eastAsia="en-US"/>
        </w:rPr>
        <w:t>Mr</w:t>
      </w:r>
      <w:proofErr w:type="spellEnd"/>
      <w:r w:rsidR="00FE300A">
        <w:rPr>
          <w:lang w:eastAsia="en-US"/>
        </w:rPr>
        <w:t xml:space="preserve"> Zoe to that concession in light of the change in the law: see </w:t>
      </w:r>
      <w:r w:rsidR="00316FE5">
        <w:rPr>
          <w:b/>
          <w:i/>
          <w:lang w:eastAsia="en-US"/>
        </w:rPr>
        <w:t xml:space="preserve">R v </w:t>
      </w:r>
      <w:proofErr w:type="spellStart"/>
      <w:r w:rsidR="00316FE5">
        <w:rPr>
          <w:b/>
          <w:i/>
          <w:lang w:eastAsia="en-US"/>
        </w:rPr>
        <w:t>Napope</w:t>
      </w:r>
      <w:proofErr w:type="spellEnd"/>
      <w:r w:rsidR="00316FE5">
        <w:rPr>
          <w:lang w:eastAsia="en-US"/>
        </w:rPr>
        <w:t xml:space="preserve">, 2019 SKCA 124 at </w:t>
      </w:r>
      <w:proofErr w:type="spellStart"/>
      <w:r w:rsidR="00316FE5">
        <w:rPr>
          <w:lang w:eastAsia="en-US"/>
        </w:rPr>
        <w:t>para</w:t>
      </w:r>
      <w:proofErr w:type="spellEnd"/>
      <w:r w:rsidR="00316FE5">
        <w:rPr>
          <w:lang w:eastAsia="en-US"/>
        </w:rPr>
        <w:t xml:space="preserve"> 3.</w:t>
      </w:r>
    </w:p>
    <w:p w:rsidR="005C1375" w:rsidRPr="005C1375" w:rsidRDefault="005C1375" w:rsidP="00856282">
      <w:pPr>
        <w:pStyle w:val="Heading2"/>
        <w:numPr>
          <w:ilvl w:val="0"/>
          <w:numId w:val="25"/>
        </w:numPr>
      </w:pPr>
      <w:r w:rsidRPr="005C1375">
        <w:t>Treatment Prospects</w:t>
      </w:r>
    </w:p>
    <w:p w:rsidR="00FE300A" w:rsidRDefault="00276DC5" w:rsidP="00FE300A">
      <w:pPr>
        <w:pStyle w:val="FelskyNumbering12"/>
        <w:rPr>
          <w:lang w:eastAsia="en-US"/>
        </w:rPr>
      </w:pPr>
      <w:r>
        <w:rPr>
          <w:lang w:eastAsia="en-US"/>
        </w:rPr>
        <w:t xml:space="preserve">In </w:t>
      </w:r>
      <w:r w:rsidR="00FE300A">
        <w:rPr>
          <w:lang w:eastAsia="en-US"/>
        </w:rPr>
        <w:t xml:space="preserve">light of </w:t>
      </w:r>
      <w:proofErr w:type="spellStart"/>
      <w:r w:rsidR="00FE300A" w:rsidRPr="00FE300A">
        <w:rPr>
          <w:b/>
          <w:i/>
          <w:lang w:eastAsia="en-US"/>
        </w:rPr>
        <w:t>Boutilier</w:t>
      </w:r>
      <w:proofErr w:type="spellEnd"/>
      <w:r w:rsidR="00FE300A">
        <w:rPr>
          <w:lang w:eastAsia="en-US"/>
        </w:rPr>
        <w:t xml:space="preserve"> and the requirement to consider treatment </w:t>
      </w:r>
      <w:r w:rsidR="00F909DD">
        <w:rPr>
          <w:lang w:eastAsia="en-US"/>
        </w:rPr>
        <w:t xml:space="preserve">prospects </w:t>
      </w:r>
      <w:r w:rsidR="00FE300A">
        <w:rPr>
          <w:lang w:eastAsia="en-US"/>
        </w:rPr>
        <w:t xml:space="preserve">at the first stage, we find that the sentencing judge committed an error of law </w:t>
      </w:r>
      <w:r>
        <w:rPr>
          <w:lang w:eastAsia="en-US"/>
        </w:rPr>
        <w:t xml:space="preserve">in not doing so. </w:t>
      </w:r>
    </w:p>
    <w:p w:rsidR="00D975B2" w:rsidRDefault="00276DC5" w:rsidP="00FE300A">
      <w:pPr>
        <w:pStyle w:val="FelskyNumbering12"/>
        <w:rPr>
          <w:lang w:eastAsia="en-US"/>
        </w:rPr>
      </w:pPr>
      <w:r>
        <w:rPr>
          <w:lang w:eastAsia="en-US"/>
        </w:rPr>
        <w:t xml:space="preserve">The Crown argues that the </w:t>
      </w:r>
      <w:r w:rsidR="005C1375">
        <w:rPr>
          <w:lang w:eastAsia="en-US"/>
        </w:rPr>
        <w:t>sentencing judge turned his mind to the prospect of future treatment at the second stage and</w:t>
      </w:r>
      <w:r w:rsidR="00F909DD">
        <w:rPr>
          <w:lang w:eastAsia="en-US"/>
        </w:rPr>
        <w:t>,</w:t>
      </w:r>
      <w:r w:rsidR="005C1375">
        <w:rPr>
          <w:lang w:eastAsia="en-US"/>
        </w:rPr>
        <w:t xml:space="preserve"> in any event</w:t>
      </w:r>
      <w:r w:rsidR="00F909DD">
        <w:rPr>
          <w:lang w:eastAsia="en-US"/>
        </w:rPr>
        <w:t>,</w:t>
      </w:r>
      <w:r w:rsidR="005C1375">
        <w:rPr>
          <w:lang w:eastAsia="en-US"/>
        </w:rPr>
        <w:t xml:space="preserve"> that analysis would apply at the first stage</w:t>
      </w:r>
      <w:r w:rsidR="00D36498">
        <w:rPr>
          <w:lang w:eastAsia="en-US"/>
        </w:rPr>
        <w:t>. Therefore, the failure of the sentencing judge to</w:t>
      </w:r>
      <w:r w:rsidR="00D975B2">
        <w:rPr>
          <w:lang w:eastAsia="en-US"/>
        </w:rPr>
        <w:t xml:space="preserve"> consider treatability at the designation </w:t>
      </w:r>
      <w:r w:rsidR="003633DF">
        <w:rPr>
          <w:lang w:eastAsia="en-US"/>
        </w:rPr>
        <w:t>stage</w:t>
      </w:r>
      <w:r w:rsidR="00C7596B">
        <w:rPr>
          <w:lang w:eastAsia="en-US"/>
        </w:rPr>
        <w:t xml:space="preserve"> had no effect on the outcome</w:t>
      </w:r>
      <w:r w:rsidR="00D36498">
        <w:rPr>
          <w:lang w:eastAsia="en-US"/>
        </w:rPr>
        <w:t xml:space="preserve">. </w:t>
      </w:r>
    </w:p>
    <w:p w:rsidR="00276DC5" w:rsidRDefault="00D36498" w:rsidP="00FE300A">
      <w:pPr>
        <w:pStyle w:val="FelskyNumbering12"/>
        <w:rPr>
          <w:lang w:eastAsia="en-US"/>
        </w:rPr>
      </w:pPr>
      <w:r>
        <w:rPr>
          <w:lang w:eastAsia="en-US"/>
        </w:rPr>
        <w:t xml:space="preserve">The </w:t>
      </w:r>
      <w:r w:rsidR="00276DC5">
        <w:rPr>
          <w:lang w:eastAsia="en-US"/>
        </w:rPr>
        <w:t xml:space="preserve">evidentiary record establishes that </w:t>
      </w:r>
      <w:r>
        <w:rPr>
          <w:lang w:eastAsia="en-US"/>
        </w:rPr>
        <w:t xml:space="preserve">both </w:t>
      </w:r>
      <w:r w:rsidR="00276DC5">
        <w:rPr>
          <w:lang w:eastAsia="en-US"/>
        </w:rPr>
        <w:t xml:space="preserve">the experts </w:t>
      </w:r>
      <w:r>
        <w:rPr>
          <w:lang w:eastAsia="en-US"/>
        </w:rPr>
        <w:t xml:space="preserve">(Dr </w:t>
      </w:r>
      <w:proofErr w:type="spellStart"/>
      <w:r>
        <w:rPr>
          <w:lang w:eastAsia="en-US"/>
        </w:rPr>
        <w:t>Klassen</w:t>
      </w:r>
      <w:proofErr w:type="spellEnd"/>
      <w:r>
        <w:rPr>
          <w:lang w:eastAsia="en-US"/>
        </w:rPr>
        <w:t xml:space="preserve"> for the Crown and Dr </w:t>
      </w:r>
      <w:proofErr w:type="spellStart"/>
      <w:r>
        <w:rPr>
          <w:lang w:eastAsia="en-US"/>
        </w:rPr>
        <w:t>Nesca</w:t>
      </w:r>
      <w:proofErr w:type="spellEnd"/>
      <w:r>
        <w:rPr>
          <w:lang w:eastAsia="en-US"/>
        </w:rPr>
        <w:t xml:space="preserve"> for the defence) </w:t>
      </w:r>
      <w:r w:rsidR="00276DC5">
        <w:rPr>
          <w:lang w:eastAsia="en-US"/>
        </w:rPr>
        <w:t xml:space="preserve">agreed that </w:t>
      </w:r>
      <w:proofErr w:type="spellStart"/>
      <w:r w:rsidR="00276DC5">
        <w:rPr>
          <w:lang w:eastAsia="en-US"/>
        </w:rPr>
        <w:t>Mr</w:t>
      </w:r>
      <w:proofErr w:type="spellEnd"/>
      <w:r w:rsidR="00276DC5">
        <w:rPr>
          <w:lang w:eastAsia="en-US"/>
        </w:rPr>
        <w:t xml:space="preserve"> Zoe:</w:t>
      </w:r>
    </w:p>
    <w:p w:rsidR="00276DC5" w:rsidRDefault="00276DC5" w:rsidP="00AD0DC1">
      <w:pPr>
        <w:pStyle w:val="FelskyNumbering12"/>
        <w:numPr>
          <w:ilvl w:val="0"/>
          <w:numId w:val="29"/>
        </w:numPr>
        <w:spacing w:after="160"/>
        <w:rPr>
          <w:lang w:eastAsia="en-US"/>
        </w:rPr>
      </w:pPr>
      <w:r>
        <w:rPr>
          <w:lang w:eastAsia="en-US"/>
        </w:rPr>
        <w:t>Had a traditional stable upbringing until age 16;</w:t>
      </w:r>
    </w:p>
    <w:p w:rsidR="00276DC5" w:rsidRDefault="00276DC5" w:rsidP="00AD0DC1">
      <w:pPr>
        <w:pStyle w:val="FelskyNumbering12"/>
        <w:numPr>
          <w:ilvl w:val="0"/>
          <w:numId w:val="29"/>
        </w:numPr>
        <w:spacing w:after="160"/>
        <w:rPr>
          <w:lang w:eastAsia="en-US"/>
        </w:rPr>
      </w:pPr>
      <w:r>
        <w:rPr>
          <w:lang w:eastAsia="en-US"/>
        </w:rPr>
        <w:t>Has low cognitive functioning;</w:t>
      </w:r>
    </w:p>
    <w:p w:rsidR="00276DC5" w:rsidRDefault="00146623" w:rsidP="00AD0DC1">
      <w:pPr>
        <w:pStyle w:val="FelskyNumbering12"/>
        <w:numPr>
          <w:ilvl w:val="0"/>
          <w:numId w:val="29"/>
        </w:numPr>
        <w:spacing w:after="160"/>
        <w:rPr>
          <w:lang w:eastAsia="en-US"/>
        </w:rPr>
      </w:pPr>
      <w:r>
        <w:rPr>
          <w:lang w:eastAsia="en-US"/>
        </w:rPr>
        <w:t>Is a high risk to reoffend;</w:t>
      </w:r>
    </w:p>
    <w:p w:rsidR="00146623" w:rsidRDefault="00146623" w:rsidP="00AD0DC1">
      <w:pPr>
        <w:pStyle w:val="FelskyNumbering12"/>
        <w:numPr>
          <w:ilvl w:val="0"/>
          <w:numId w:val="29"/>
        </w:numPr>
        <w:spacing w:after="160"/>
        <w:rPr>
          <w:lang w:eastAsia="en-US"/>
        </w:rPr>
      </w:pPr>
      <w:r>
        <w:rPr>
          <w:lang w:eastAsia="en-US"/>
        </w:rPr>
        <w:t>Needs treatment for both his alcohol abuse and sexual offences;</w:t>
      </w:r>
      <w:r w:rsidR="00F909DD">
        <w:rPr>
          <w:lang w:eastAsia="en-US"/>
        </w:rPr>
        <w:t xml:space="preserve"> and</w:t>
      </w:r>
    </w:p>
    <w:p w:rsidR="00146623" w:rsidRDefault="00146623" w:rsidP="00AD0DC1">
      <w:pPr>
        <w:pStyle w:val="FelskyNumbering12"/>
        <w:numPr>
          <w:ilvl w:val="0"/>
          <w:numId w:val="29"/>
        </w:numPr>
        <w:rPr>
          <w:lang w:eastAsia="en-US"/>
        </w:rPr>
      </w:pPr>
      <w:r>
        <w:rPr>
          <w:lang w:eastAsia="en-US"/>
        </w:rPr>
        <w:t>Has generally not been cooperative with treatment</w:t>
      </w:r>
      <w:r w:rsidR="00BF4589">
        <w:rPr>
          <w:lang w:eastAsia="en-US"/>
        </w:rPr>
        <w:t>.</w:t>
      </w:r>
    </w:p>
    <w:p w:rsidR="00DF5A97" w:rsidRDefault="00DF5A97" w:rsidP="00AD0DC1">
      <w:pPr>
        <w:pStyle w:val="FelskyNumbering12"/>
        <w:rPr>
          <w:lang w:eastAsia="en-US"/>
        </w:rPr>
      </w:pPr>
      <w:r>
        <w:rPr>
          <w:lang w:eastAsia="en-US"/>
        </w:rPr>
        <w:t xml:space="preserve">Dr </w:t>
      </w:r>
      <w:proofErr w:type="spellStart"/>
      <w:r>
        <w:rPr>
          <w:lang w:eastAsia="en-US"/>
        </w:rPr>
        <w:t>Nesca</w:t>
      </w:r>
      <w:proofErr w:type="spellEnd"/>
      <w:r>
        <w:rPr>
          <w:lang w:eastAsia="en-US"/>
        </w:rPr>
        <w:t xml:space="preserve"> identified that Correction Services Canada </w:t>
      </w:r>
      <w:r w:rsidR="00BF4589">
        <w:rPr>
          <w:lang w:eastAsia="en-US"/>
        </w:rPr>
        <w:t>i</w:t>
      </w:r>
      <w:r>
        <w:rPr>
          <w:lang w:eastAsia="en-US"/>
        </w:rPr>
        <w:t xml:space="preserve">s rolling out a new generation of treatment programs for federal inmates known as the Integrated Correctional Program Model (ICPM) that would include motivational modules </w:t>
      </w:r>
      <w:r w:rsidR="00917F2E">
        <w:rPr>
          <w:lang w:eastAsia="en-US"/>
        </w:rPr>
        <w:t>and</w:t>
      </w:r>
      <w:r>
        <w:rPr>
          <w:lang w:eastAsia="en-US"/>
        </w:rPr>
        <w:t xml:space="preserve"> modules for cognitively impaired inmates. </w:t>
      </w:r>
      <w:r w:rsidR="00D71E3A">
        <w:rPr>
          <w:lang w:eastAsia="en-US"/>
        </w:rPr>
        <w:t>A</w:t>
      </w:r>
      <w:r>
        <w:rPr>
          <w:lang w:eastAsia="en-US"/>
        </w:rPr>
        <w:t>lso specialized service</w:t>
      </w:r>
      <w:r w:rsidR="00D71E3A">
        <w:rPr>
          <w:lang w:eastAsia="en-US"/>
        </w:rPr>
        <w:t>s</w:t>
      </w:r>
      <w:r>
        <w:rPr>
          <w:lang w:eastAsia="en-US"/>
        </w:rPr>
        <w:t xml:space="preserve"> for Aboriginal offenders</w:t>
      </w:r>
      <w:r w:rsidR="00D71E3A">
        <w:rPr>
          <w:lang w:eastAsia="en-US"/>
        </w:rPr>
        <w:t xml:space="preserve"> </w:t>
      </w:r>
      <w:r w:rsidR="00C7596B">
        <w:rPr>
          <w:lang w:eastAsia="en-US"/>
        </w:rPr>
        <w:t>were</w:t>
      </w:r>
      <w:r w:rsidR="00D71E3A">
        <w:rPr>
          <w:lang w:eastAsia="en-US"/>
        </w:rPr>
        <w:t xml:space="preserve"> in the works</w:t>
      </w:r>
      <w:r>
        <w:rPr>
          <w:lang w:eastAsia="en-US"/>
        </w:rPr>
        <w:t xml:space="preserve">. Dr </w:t>
      </w:r>
      <w:proofErr w:type="spellStart"/>
      <w:r>
        <w:rPr>
          <w:lang w:eastAsia="en-US"/>
        </w:rPr>
        <w:t>Nesca</w:t>
      </w:r>
      <w:proofErr w:type="spellEnd"/>
      <w:r>
        <w:rPr>
          <w:lang w:eastAsia="en-US"/>
        </w:rPr>
        <w:t xml:space="preserve"> though</w:t>
      </w:r>
      <w:r w:rsidR="00D975B2">
        <w:rPr>
          <w:lang w:eastAsia="en-US"/>
        </w:rPr>
        <w:t>t</w:t>
      </w:r>
      <w:r>
        <w:rPr>
          <w:lang w:eastAsia="en-US"/>
        </w:rPr>
        <w:t xml:space="preserve"> </w:t>
      </w:r>
      <w:proofErr w:type="spellStart"/>
      <w:r>
        <w:rPr>
          <w:lang w:eastAsia="en-US"/>
        </w:rPr>
        <w:t>Mr</w:t>
      </w:r>
      <w:proofErr w:type="spellEnd"/>
      <w:r>
        <w:rPr>
          <w:lang w:eastAsia="en-US"/>
        </w:rPr>
        <w:t xml:space="preserve"> Zoe </w:t>
      </w:r>
      <w:r>
        <w:rPr>
          <w:lang w:eastAsia="en-US"/>
        </w:rPr>
        <w:lastRenderedPageBreak/>
        <w:t>would benefit from access to some of this program</w:t>
      </w:r>
      <w:r w:rsidR="00D975B2">
        <w:rPr>
          <w:lang w:eastAsia="en-US"/>
        </w:rPr>
        <w:t>m</w:t>
      </w:r>
      <w:r>
        <w:rPr>
          <w:lang w:eastAsia="en-US"/>
        </w:rPr>
        <w:t xml:space="preserve">ing. Dr </w:t>
      </w:r>
      <w:proofErr w:type="spellStart"/>
      <w:r>
        <w:rPr>
          <w:lang w:eastAsia="en-US"/>
        </w:rPr>
        <w:t>Nesca</w:t>
      </w:r>
      <w:proofErr w:type="spellEnd"/>
      <w:r>
        <w:rPr>
          <w:lang w:eastAsia="en-US"/>
        </w:rPr>
        <w:t xml:space="preserve"> was realistic about treatment options, saying that it would be challenging and that there would likely be several setbacks. </w:t>
      </w:r>
    </w:p>
    <w:p w:rsidR="00DF5A97" w:rsidRDefault="00DF5A97" w:rsidP="00DF5A97">
      <w:pPr>
        <w:pStyle w:val="FelskyNumbering12"/>
        <w:rPr>
          <w:lang w:eastAsia="en-US"/>
        </w:rPr>
      </w:pPr>
      <w:r>
        <w:rPr>
          <w:lang w:eastAsia="en-US"/>
        </w:rPr>
        <w:t xml:space="preserve">Both Dr </w:t>
      </w:r>
      <w:proofErr w:type="spellStart"/>
      <w:r>
        <w:rPr>
          <w:lang w:eastAsia="en-US"/>
        </w:rPr>
        <w:t>Klassen</w:t>
      </w:r>
      <w:proofErr w:type="spellEnd"/>
      <w:r>
        <w:rPr>
          <w:lang w:eastAsia="en-US"/>
        </w:rPr>
        <w:t xml:space="preserve"> and Dr </w:t>
      </w:r>
      <w:proofErr w:type="spellStart"/>
      <w:r>
        <w:rPr>
          <w:lang w:eastAsia="en-US"/>
        </w:rPr>
        <w:t>Nesca</w:t>
      </w:r>
      <w:proofErr w:type="spellEnd"/>
      <w:r>
        <w:rPr>
          <w:lang w:eastAsia="en-US"/>
        </w:rPr>
        <w:t xml:space="preserve"> felt that indigenous-specific treatment options best suited </w:t>
      </w:r>
      <w:proofErr w:type="spellStart"/>
      <w:r>
        <w:rPr>
          <w:lang w:eastAsia="en-US"/>
        </w:rPr>
        <w:t>Mr</w:t>
      </w:r>
      <w:proofErr w:type="spellEnd"/>
      <w:r>
        <w:rPr>
          <w:lang w:eastAsia="en-US"/>
        </w:rPr>
        <w:t xml:space="preserve"> Zoe and </w:t>
      </w:r>
      <w:r w:rsidR="00F909DD">
        <w:rPr>
          <w:lang w:eastAsia="en-US"/>
        </w:rPr>
        <w:t xml:space="preserve">that suitable </w:t>
      </w:r>
      <w:r>
        <w:rPr>
          <w:lang w:eastAsia="en-US"/>
        </w:rPr>
        <w:t xml:space="preserve">programming was becoming available. </w:t>
      </w:r>
    </w:p>
    <w:p w:rsidR="009E35CD" w:rsidRDefault="009E35CD" w:rsidP="00DF5A97">
      <w:pPr>
        <w:pStyle w:val="FelskyNumbering12"/>
        <w:rPr>
          <w:lang w:eastAsia="en-US"/>
        </w:rPr>
      </w:pPr>
      <w:r>
        <w:rPr>
          <w:lang w:eastAsia="en-US"/>
        </w:rPr>
        <w:t xml:space="preserve">While both experts agreed </w:t>
      </w:r>
      <w:proofErr w:type="spellStart"/>
      <w:r>
        <w:rPr>
          <w:lang w:eastAsia="en-US"/>
        </w:rPr>
        <w:t>Mr</w:t>
      </w:r>
      <w:proofErr w:type="spellEnd"/>
      <w:r>
        <w:rPr>
          <w:lang w:eastAsia="en-US"/>
        </w:rPr>
        <w:t xml:space="preserve"> Zoe was a high risk to </w:t>
      </w:r>
      <w:r w:rsidR="00BF4589">
        <w:rPr>
          <w:lang w:eastAsia="en-US"/>
        </w:rPr>
        <w:t>re</w:t>
      </w:r>
      <w:r>
        <w:rPr>
          <w:lang w:eastAsia="en-US"/>
        </w:rPr>
        <w:t xml:space="preserve">offend, the sentencing judge never specifically considered whether </w:t>
      </w:r>
      <w:r w:rsidR="00747E92">
        <w:rPr>
          <w:lang w:eastAsia="en-US"/>
        </w:rPr>
        <w:t xml:space="preserve">his conduct was </w:t>
      </w:r>
      <w:r>
        <w:rPr>
          <w:lang w:eastAsia="en-US"/>
        </w:rPr>
        <w:t>intractable. There is no doubt he would be difficult to treat, but we cannot say that</w:t>
      </w:r>
      <w:r w:rsidR="00F909DD">
        <w:rPr>
          <w:lang w:eastAsia="en-US"/>
        </w:rPr>
        <w:t xml:space="preserve"> the outcome at the designation stage</w:t>
      </w:r>
      <w:r w:rsidR="00825ED7">
        <w:rPr>
          <w:lang w:eastAsia="en-US"/>
        </w:rPr>
        <w:t xml:space="preserve"> would have necessarily have been the same if the sentencing judge had considered the availability of appropriate treatment.</w:t>
      </w:r>
      <w:r>
        <w:rPr>
          <w:lang w:eastAsia="en-US"/>
        </w:rPr>
        <w:t xml:space="preserve"> </w:t>
      </w:r>
    </w:p>
    <w:p w:rsidR="00856282" w:rsidRDefault="00856282" w:rsidP="00856282">
      <w:pPr>
        <w:pStyle w:val="Heading2"/>
      </w:pPr>
      <w:r w:rsidRPr="00B2264B">
        <w:t>iii)</w:t>
      </w:r>
      <w:r>
        <w:tab/>
        <w:t>Presumption of Indeterminate Sentence</w:t>
      </w:r>
    </w:p>
    <w:p w:rsidR="00E16544" w:rsidRDefault="00E16544" w:rsidP="00DF5A97">
      <w:pPr>
        <w:pStyle w:val="FelskyNumbering12"/>
        <w:rPr>
          <w:lang w:eastAsia="en-US"/>
        </w:rPr>
      </w:pPr>
      <w:r>
        <w:rPr>
          <w:lang w:eastAsia="en-US"/>
        </w:rPr>
        <w:t>Th</w:t>
      </w:r>
      <w:r w:rsidR="0085296C">
        <w:rPr>
          <w:lang w:eastAsia="en-US"/>
        </w:rPr>
        <w:t>e foregoing</w:t>
      </w:r>
      <w:r>
        <w:rPr>
          <w:lang w:eastAsia="en-US"/>
        </w:rPr>
        <w:t xml:space="preserve"> analysis applies equally to the second sentencing stage</w:t>
      </w:r>
      <w:r w:rsidR="00494F61">
        <w:rPr>
          <w:lang w:eastAsia="en-US"/>
        </w:rPr>
        <w:t xml:space="preserve"> </w:t>
      </w:r>
      <w:r w:rsidR="00825ED7">
        <w:rPr>
          <w:lang w:eastAsia="en-US"/>
        </w:rPr>
        <w:t xml:space="preserve">of the dangerous offender analysis. </w:t>
      </w:r>
    </w:p>
    <w:p w:rsidR="00E16544" w:rsidRDefault="00E16544" w:rsidP="00DF5A97">
      <w:pPr>
        <w:pStyle w:val="FelskyNumbering12"/>
        <w:rPr>
          <w:lang w:eastAsia="en-US"/>
        </w:rPr>
      </w:pPr>
      <w:r>
        <w:rPr>
          <w:lang w:eastAsia="en-US"/>
        </w:rPr>
        <w:t xml:space="preserve">The sentencing judge applied </w:t>
      </w:r>
      <w:r w:rsidR="00B046DD">
        <w:rPr>
          <w:lang w:eastAsia="en-US"/>
        </w:rPr>
        <w:t>a</w:t>
      </w:r>
      <w:r>
        <w:rPr>
          <w:lang w:eastAsia="en-US"/>
        </w:rPr>
        <w:t xml:space="preserve"> presumption of an indeterminate sentence</w:t>
      </w:r>
      <w:r w:rsidR="0085296C">
        <w:rPr>
          <w:lang w:eastAsia="en-US"/>
        </w:rPr>
        <w:t xml:space="preserve"> </w:t>
      </w:r>
      <w:r>
        <w:rPr>
          <w:lang w:eastAsia="en-US"/>
        </w:rPr>
        <w:t>and evaluated the evidence only to see if the presumption was rebutted. We do not have the benefit of any consideration or p</w:t>
      </w:r>
      <w:r w:rsidR="00AE0A64">
        <w:rPr>
          <w:lang w:eastAsia="en-US"/>
        </w:rPr>
        <w:t>robi</w:t>
      </w:r>
      <w:r>
        <w:rPr>
          <w:lang w:eastAsia="en-US"/>
        </w:rPr>
        <w:t>ng of</w:t>
      </w:r>
      <w:r w:rsidR="00494F61">
        <w:rPr>
          <w:lang w:eastAsia="en-US"/>
        </w:rPr>
        <w:t xml:space="preserve"> whether any other disposition, such as a period of</w:t>
      </w:r>
      <w:r w:rsidR="00AE0A64">
        <w:rPr>
          <w:lang w:eastAsia="en-US"/>
        </w:rPr>
        <w:t xml:space="preserve"> penitentiary time, and/or a long</w:t>
      </w:r>
      <w:r w:rsidR="00BE6260">
        <w:rPr>
          <w:lang w:eastAsia="en-US"/>
        </w:rPr>
        <w:t>-</w:t>
      </w:r>
      <w:r w:rsidR="00AE0A64">
        <w:rPr>
          <w:lang w:eastAsia="en-US"/>
        </w:rPr>
        <w:t>term supervision order</w:t>
      </w:r>
      <w:r w:rsidR="00494F61">
        <w:rPr>
          <w:lang w:eastAsia="en-US"/>
        </w:rPr>
        <w:t xml:space="preserve"> would have adequately addressed the risk posed by </w:t>
      </w:r>
      <w:proofErr w:type="spellStart"/>
      <w:r w:rsidR="00494F61">
        <w:rPr>
          <w:lang w:eastAsia="en-US"/>
        </w:rPr>
        <w:t>Mr</w:t>
      </w:r>
      <w:proofErr w:type="spellEnd"/>
      <w:r w:rsidR="00494F61">
        <w:rPr>
          <w:lang w:eastAsia="en-US"/>
        </w:rPr>
        <w:t xml:space="preserve"> Zoe to the public. </w:t>
      </w:r>
      <w:r w:rsidR="00AE0A64">
        <w:rPr>
          <w:lang w:eastAsia="en-US"/>
        </w:rPr>
        <w:t xml:space="preserve">Both experts observed that </w:t>
      </w:r>
      <w:proofErr w:type="spellStart"/>
      <w:r w:rsidR="00AE0A64">
        <w:rPr>
          <w:lang w:eastAsia="en-US"/>
        </w:rPr>
        <w:t>Mr</w:t>
      </w:r>
      <w:proofErr w:type="spellEnd"/>
      <w:r w:rsidR="00AE0A64">
        <w:rPr>
          <w:lang w:eastAsia="en-US"/>
        </w:rPr>
        <w:t xml:space="preserve"> Zoe would benefit from structure and supervision in the community, something he has never had. </w:t>
      </w:r>
    </w:p>
    <w:p w:rsidR="002C18AE" w:rsidRDefault="00AE0A64" w:rsidP="002C18AE">
      <w:pPr>
        <w:pStyle w:val="FelskyNumbering12"/>
        <w:rPr>
          <w:lang w:eastAsia="en-US"/>
        </w:rPr>
      </w:pPr>
      <w:r>
        <w:rPr>
          <w:lang w:eastAsia="en-US"/>
        </w:rPr>
        <w:t xml:space="preserve">In this case, </w:t>
      </w:r>
      <w:r w:rsidR="00B046DD">
        <w:rPr>
          <w:lang w:eastAsia="en-US"/>
        </w:rPr>
        <w:t xml:space="preserve">there is a reasonable possibility </w:t>
      </w:r>
      <w:r>
        <w:rPr>
          <w:lang w:eastAsia="en-US"/>
        </w:rPr>
        <w:t xml:space="preserve">that the sentencing judge would have </w:t>
      </w:r>
      <w:r w:rsidR="00B046DD">
        <w:rPr>
          <w:lang w:eastAsia="en-US"/>
        </w:rPr>
        <w:t xml:space="preserve">reached a different conclusion about </w:t>
      </w:r>
      <w:r w:rsidR="00494F61">
        <w:rPr>
          <w:lang w:eastAsia="en-US"/>
        </w:rPr>
        <w:t xml:space="preserve">(1) </w:t>
      </w:r>
      <w:r w:rsidR="00B046DD">
        <w:rPr>
          <w:lang w:eastAsia="en-US"/>
        </w:rPr>
        <w:t>whether</w:t>
      </w:r>
      <w:r w:rsidR="00494F61">
        <w:rPr>
          <w:lang w:eastAsia="en-US"/>
        </w:rPr>
        <w:t xml:space="preserve"> </w:t>
      </w:r>
      <w:proofErr w:type="spellStart"/>
      <w:r w:rsidR="00494F61">
        <w:rPr>
          <w:lang w:eastAsia="en-US"/>
        </w:rPr>
        <w:t>Mr</w:t>
      </w:r>
      <w:proofErr w:type="spellEnd"/>
      <w:r w:rsidR="00494F61">
        <w:rPr>
          <w:lang w:eastAsia="en-US"/>
        </w:rPr>
        <w:t xml:space="preserve"> Zoe is a dangerous offender and (2)</w:t>
      </w:r>
      <w:r>
        <w:rPr>
          <w:lang w:eastAsia="en-US"/>
        </w:rPr>
        <w:t xml:space="preserve"> </w:t>
      </w:r>
      <w:r w:rsidR="00B046DD">
        <w:rPr>
          <w:lang w:eastAsia="en-US"/>
        </w:rPr>
        <w:t>whether</w:t>
      </w:r>
      <w:r>
        <w:rPr>
          <w:lang w:eastAsia="en-US"/>
        </w:rPr>
        <w:t xml:space="preserve"> an indeterminate penitentiary sentence </w:t>
      </w:r>
      <w:r w:rsidR="00494F61">
        <w:rPr>
          <w:lang w:eastAsia="en-US"/>
        </w:rPr>
        <w:t>i</w:t>
      </w:r>
      <w:r>
        <w:rPr>
          <w:lang w:eastAsia="en-US"/>
        </w:rPr>
        <w:t xml:space="preserve">s appropriate </w:t>
      </w:r>
      <w:r w:rsidR="002C18AE">
        <w:rPr>
          <w:lang w:eastAsia="en-US"/>
        </w:rPr>
        <w:t xml:space="preserve">if the proper legal analysis had been applied. </w:t>
      </w:r>
      <w:r w:rsidR="00BF4589">
        <w:rPr>
          <w:lang w:eastAsia="en-US"/>
        </w:rPr>
        <w:t>Therefore, the curative proviso does not displace the need for a new hearing.</w:t>
      </w:r>
    </w:p>
    <w:p w:rsidR="00FE300A" w:rsidRDefault="00494F61" w:rsidP="00494F61">
      <w:pPr>
        <w:pStyle w:val="Heading2"/>
        <w:ind w:left="720" w:hanging="720"/>
        <w:rPr>
          <w:b w:val="0"/>
          <w:i/>
          <w:lang w:val="en-US"/>
        </w:rPr>
      </w:pPr>
      <w:proofErr w:type="gramStart"/>
      <w:r w:rsidRPr="00B2264B">
        <w:rPr>
          <w:lang w:val="en-US"/>
        </w:rPr>
        <w:t>iv)</w:t>
      </w:r>
      <w:r>
        <w:rPr>
          <w:lang w:val="en-US"/>
        </w:rPr>
        <w:tab/>
      </w:r>
      <w:r w:rsidR="00FE300A">
        <w:rPr>
          <w:lang w:val="en-US"/>
        </w:rPr>
        <w:t>Fresh</w:t>
      </w:r>
      <w:proofErr w:type="gramEnd"/>
      <w:r w:rsidR="00FE300A">
        <w:rPr>
          <w:lang w:val="en-US"/>
        </w:rPr>
        <w:t xml:space="preserve"> Evidence of </w:t>
      </w:r>
      <w:proofErr w:type="spellStart"/>
      <w:r w:rsidR="00FE300A">
        <w:rPr>
          <w:i/>
          <w:lang w:val="en-US"/>
        </w:rPr>
        <w:t>Gladue</w:t>
      </w:r>
      <w:proofErr w:type="spellEnd"/>
      <w:r w:rsidR="00FE300A">
        <w:rPr>
          <w:i/>
          <w:lang w:val="en-US"/>
        </w:rPr>
        <w:t xml:space="preserve"> </w:t>
      </w:r>
      <w:r w:rsidR="00FE300A">
        <w:rPr>
          <w:lang w:val="en-US"/>
        </w:rPr>
        <w:t>Factors</w:t>
      </w:r>
    </w:p>
    <w:p w:rsidR="00E972DF" w:rsidRDefault="00E972DF" w:rsidP="00E972DF">
      <w:pPr>
        <w:pStyle w:val="FelskyNumbering12"/>
        <w:rPr>
          <w:lang w:val="en-US" w:eastAsia="en-US"/>
        </w:rPr>
      </w:pPr>
      <w:r>
        <w:rPr>
          <w:lang w:val="en-US" w:eastAsia="en-US"/>
        </w:rPr>
        <w:t xml:space="preserve">The presentence report addressed </w:t>
      </w:r>
      <w:proofErr w:type="spellStart"/>
      <w:r>
        <w:rPr>
          <w:lang w:val="en-US" w:eastAsia="en-US"/>
        </w:rPr>
        <w:t>Mr</w:t>
      </w:r>
      <w:proofErr w:type="spellEnd"/>
      <w:r>
        <w:rPr>
          <w:lang w:val="en-US" w:eastAsia="en-US"/>
        </w:rPr>
        <w:t xml:space="preserve"> Zoe’s aboriginal background. But the proposed fresh evidence, a comprehensive </w:t>
      </w:r>
      <w:proofErr w:type="spellStart"/>
      <w:r>
        <w:rPr>
          <w:b/>
          <w:i/>
          <w:lang w:val="en-US" w:eastAsia="en-US"/>
        </w:rPr>
        <w:t>Gladue</w:t>
      </w:r>
      <w:proofErr w:type="spellEnd"/>
      <w:r>
        <w:rPr>
          <w:b/>
          <w:i/>
          <w:lang w:val="en-US" w:eastAsia="en-US"/>
        </w:rPr>
        <w:t xml:space="preserve"> </w:t>
      </w:r>
      <w:r>
        <w:rPr>
          <w:lang w:val="en-US" w:eastAsia="en-US"/>
        </w:rPr>
        <w:t>report dated October 15, 2019</w:t>
      </w:r>
      <w:r w:rsidR="00494F61">
        <w:rPr>
          <w:lang w:val="en-US" w:eastAsia="en-US"/>
        </w:rPr>
        <w:t>,</w:t>
      </w:r>
      <w:r>
        <w:rPr>
          <w:lang w:val="en-US" w:eastAsia="en-US"/>
        </w:rPr>
        <w:t xml:space="preserve"> reveals a much more nuanced and complex histor</w:t>
      </w:r>
      <w:r w:rsidR="00494F61">
        <w:rPr>
          <w:lang w:val="en-US" w:eastAsia="en-US"/>
        </w:rPr>
        <w:t>y</w:t>
      </w:r>
      <w:r>
        <w:rPr>
          <w:lang w:val="en-US" w:eastAsia="en-US"/>
        </w:rPr>
        <w:t>.</w:t>
      </w:r>
    </w:p>
    <w:p w:rsidR="00E972DF" w:rsidRDefault="00E972DF" w:rsidP="00E972DF">
      <w:pPr>
        <w:pStyle w:val="FelskyNumbering12"/>
        <w:rPr>
          <w:lang w:val="en-US" w:eastAsia="en-US"/>
        </w:rPr>
      </w:pPr>
      <w:r>
        <w:rPr>
          <w:lang w:val="en-US" w:eastAsia="en-US"/>
        </w:rPr>
        <w:t xml:space="preserve">The information before the sentencing judge was that </w:t>
      </w:r>
      <w:proofErr w:type="spellStart"/>
      <w:r>
        <w:rPr>
          <w:lang w:val="en-US" w:eastAsia="en-US"/>
        </w:rPr>
        <w:t>Mr</w:t>
      </w:r>
      <w:proofErr w:type="spellEnd"/>
      <w:r>
        <w:rPr>
          <w:lang w:val="en-US" w:eastAsia="en-US"/>
        </w:rPr>
        <w:t xml:space="preserve"> Zoe was adopted as a baby into a stable loving family. He was raised in the remote and stable community of</w:t>
      </w:r>
      <w:r w:rsidR="00952FF4">
        <w:rPr>
          <w:lang w:val="en-US" w:eastAsia="en-US"/>
        </w:rPr>
        <w:t xml:space="preserve"> </w:t>
      </w:r>
      <w:proofErr w:type="spellStart"/>
      <w:r w:rsidR="00952FF4" w:rsidRPr="00952FF4">
        <w:rPr>
          <w:rFonts w:cs="Times New Roman"/>
          <w:shd w:val="clear" w:color="auto" w:fill="FFFFFF" w:themeFill="background1"/>
        </w:rPr>
        <w:t>Gamètì</w:t>
      </w:r>
      <w:proofErr w:type="spellEnd"/>
      <w:r w:rsidR="00AC40BD" w:rsidRPr="00952FF4">
        <w:rPr>
          <w:rFonts w:cs="Times New Roman"/>
          <w:shd w:val="clear" w:color="auto" w:fill="FFFFFF" w:themeFill="background1"/>
          <w:lang w:val="en-US" w:eastAsia="en-US"/>
        </w:rPr>
        <w:t>,</w:t>
      </w:r>
      <w:r w:rsidR="00AC40BD">
        <w:rPr>
          <w:lang w:val="en-US" w:eastAsia="en-US"/>
        </w:rPr>
        <w:t xml:space="preserve"> living a traditional life moving between camps and </w:t>
      </w:r>
      <w:proofErr w:type="spellStart"/>
      <w:r w:rsidR="00AC40BD">
        <w:rPr>
          <w:lang w:val="en-US" w:eastAsia="en-US"/>
        </w:rPr>
        <w:t>traplines</w:t>
      </w:r>
      <w:proofErr w:type="spellEnd"/>
      <w:r w:rsidR="00AC40BD">
        <w:rPr>
          <w:lang w:val="en-US" w:eastAsia="en-US"/>
        </w:rPr>
        <w:t>. When he was 16</w:t>
      </w:r>
      <w:r w:rsidR="00494F61">
        <w:rPr>
          <w:lang w:val="en-US" w:eastAsia="en-US"/>
        </w:rPr>
        <w:t>,</w:t>
      </w:r>
      <w:r w:rsidR="00AC40BD">
        <w:rPr>
          <w:lang w:val="en-US" w:eastAsia="en-US"/>
        </w:rPr>
        <w:t xml:space="preserve"> he left the community to attend school </w:t>
      </w:r>
      <w:r w:rsidR="00AC40BD" w:rsidRPr="001C26B6">
        <w:t xml:space="preserve">in </w:t>
      </w:r>
      <w:proofErr w:type="spellStart"/>
      <w:r w:rsidR="00132B2B" w:rsidRPr="001C26B6">
        <w:t>Behchokǫ</w:t>
      </w:r>
      <w:proofErr w:type="spellEnd"/>
      <w:r w:rsidR="00132B2B" w:rsidRPr="001C26B6">
        <w:t>̀</w:t>
      </w:r>
      <w:r w:rsidR="00AC40BD" w:rsidRPr="001C26B6">
        <w:t>, formerly known as Rae-</w:t>
      </w:r>
      <w:proofErr w:type="spellStart"/>
      <w:r w:rsidR="00AC40BD" w:rsidRPr="001C26B6">
        <w:t>Edzo</w:t>
      </w:r>
      <w:proofErr w:type="spellEnd"/>
      <w:r w:rsidR="00AC40BD" w:rsidRPr="001C26B6">
        <w:t>.</w:t>
      </w:r>
      <w:r w:rsidR="00AC40BD">
        <w:rPr>
          <w:lang w:val="en-US" w:eastAsia="en-US"/>
        </w:rPr>
        <w:t xml:space="preserve"> There he became exposed to alcohol and cannabis. He dropped out of school and began the transient life with no real employment or education prospects, supported by social assistance</w:t>
      </w:r>
      <w:r w:rsidR="002C18AE">
        <w:rPr>
          <w:lang w:val="en-US" w:eastAsia="en-US"/>
        </w:rPr>
        <w:t xml:space="preserve"> and </w:t>
      </w:r>
      <w:r w:rsidR="00AC40BD">
        <w:rPr>
          <w:lang w:val="en-US" w:eastAsia="en-US"/>
        </w:rPr>
        <w:t xml:space="preserve">odd jobs. His substance use, gambling and lack of supportive social network </w:t>
      </w:r>
      <w:proofErr w:type="gramStart"/>
      <w:r w:rsidR="00AC40BD">
        <w:rPr>
          <w:lang w:val="en-US" w:eastAsia="en-US"/>
        </w:rPr>
        <w:t>has</w:t>
      </w:r>
      <w:proofErr w:type="gramEnd"/>
      <w:r w:rsidR="00AC40BD">
        <w:rPr>
          <w:lang w:val="en-US" w:eastAsia="en-US"/>
        </w:rPr>
        <w:t xml:space="preserve"> resulted in him</w:t>
      </w:r>
      <w:r w:rsidR="00B74996">
        <w:rPr>
          <w:lang w:val="en-US" w:eastAsia="en-US"/>
        </w:rPr>
        <w:t xml:space="preserve"> amassing a criminal record which has kept him in custody for the majority of his adult life. </w:t>
      </w:r>
    </w:p>
    <w:p w:rsidR="00B74996" w:rsidRDefault="00B74996" w:rsidP="00E972DF">
      <w:pPr>
        <w:pStyle w:val="FelskyNumbering12"/>
        <w:rPr>
          <w:lang w:val="en-US" w:eastAsia="en-US"/>
        </w:rPr>
      </w:pPr>
      <w:r>
        <w:rPr>
          <w:lang w:val="en-US" w:eastAsia="en-US"/>
        </w:rPr>
        <w:lastRenderedPageBreak/>
        <w:t xml:space="preserve">His only </w:t>
      </w:r>
      <w:proofErr w:type="spellStart"/>
      <w:r>
        <w:rPr>
          <w:lang w:val="en-US" w:eastAsia="en-US"/>
        </w:rPr>
        <w:t>prosocial</w:t>
      </w:r>
      <w:proofErr w:type="spellEnd"/>
      <w:r>
        <w:rPr>
          <w:lang w:val="en-US" w:eastAsia="en-US"/>
        </w:rPr>
        <w:t xml:space="preserve"> relationship is with his sister from his adoptive family. He often stays with her when not in jail, and she emotionally and financially supports him whe</w:t>
      </w:r>
      <w:r w:rsidR="00494F61">
        <w:rPr>
          <w:lang w:val="en-US" w:eastAsia="en-US"/>
        </w:rPr>
        <w:t>n</w:t>
      </w:r>
      <w:r>
        <w:rPr>
          <w:lang w:val="en-US" w:eastAsia="en-US"/>
        </w:rPr>
        <w:t xml:space="preserve"> she can. </w:t>
      </w:r>
    </w:p>
    <w:p w:rsidR="00B74996" w:rsidRDefault="00B74996" w:rsidP="00E972DF">
      <w:pPr>
        <w:pStyle w:val="FelskyNumbering12"/>
        <w:rPr>
          <w:lang w:val="en-US" w:eastAsia="en-US"/>
        </w:rPr>
      </w:pPr>
      <w:r>
        <w:rPr>
          <w:lang w:val="en-US" w:eastAsia="en-US"/>
        </w:rPr>
        <w:t>On noting no history of residential schools</w:t>
      </w:r>
      <w:r w:rsidR="00802DA1">
        <w:rPr>
          <w:lang w:val="en-US" w:eastAsia="en-US"/>
        </w:rPr>
        <w:t xml:space="preserve"> in his adoptive family, </w:t>
      </w:r>
      <w:r w:rsidR="00FA1694">
        <w:rPr>
          <w:lang w:val="en-US" w:eastAsia="en-US"/>
        </w:rPr>
        <w:t xml:space="preserve">the sentencing judge </w:t>
      </w:r>
      <w:r w:rsidR="00802DA1">
        <w:rPr>
          <w:lang w:val="en-US" w:eastAsia="en-US"/>
        </w:rPr>
        <w:t>held that there w</w:t>
      </w:r>
      <w:r w:rsidR="00FA1694">
        <w:rPr>
          <w:lang w:val="en-US" w:eastAsia="en-US"/>
        </w:rPr>
        <w:t xml:space="preserve">as nothing in his background that should lower his “blameworthiness with respect to the predicate offence”. </w:t>
      </w:r>
      <w:r w:rsidR="002C18AE">
        <w:rPr>
          <w:lang w:val="en-US" w:eastAsia="en-US"/>
        </w:rPr>
        <w:t xml:space="preserve">Both parties urged the Court to consider the broader </w:t>
      </w:r>
      <w:r w:rsidR="008B22BD">
        <w:rPr>
          <w:lang w:val="en-US" w:eastAsia="en-US"/>
        </w:rPr>
        <w:t xml:space="preserve">colonial and systematic context, but the sentencing judge declined to do so. </w:t>
      </w:r>
    </w:p>
    <w:p w:rsidR="00FA1694" w:rsidRDefault="00FA1694" w:rsidP="00E972DF">
      <w:pPr>
        <w:pStyle w:val="FelskyNumbering12"/>
        <w:rPr>
          <w:lang w:val="en-US" w:eastAsia="en-US"/>
        </w:rPr>
      </w:pPr>
      <w:r>
        <w:rPr>
          <w:lang w:val="en-US" w:eastAsia="en-US"/>
        </w:rPr>
        <w:t xml:space="preserve">Even based on the evidence in the presentence report, this was an impoverished approach to understanding and applying </w:t>
      </w:r>
      <w:proofErr w:type="spellStart"/>
      <w:r>
        <w:rPr>
          <w:b/>
          <w:i/>
          <w:lang w:val="en-US" w:eastAsia="en-US"/>
        </w:rPr>
        <w:t>Gladue</w:t>
      </w:r>
      <w:proofErr w:type="spellEnd"/>
      <w:r>
        <w:rPr>
          <w:b/>
          <w:i/>
          <w:lang w:val="en-US" w:eastAsia="en-US"/>
        </w:rPr>
        <w:t xml:space="preserve"> </w:t>
      </w:r>
      <w:r>
        <w:rPr>
          <w:lang w:val="en-US" w:eastAsia="en-US"/>
        </w:rPr>
        <w:t xml:space="preserve">factors. </w:t>
      </w:r>
      <w:r w:rsidR="00533958">
        <w:rPr>
          <w:lang w:val="en-US" w:eastAsia="en-US"/>
        </w:rPr>
        <w:t xml:space="preserve">The mandate for sentencing judges to give a robust consideration to </w:t>
      </w:r>
      <w:proofErr w:type="spellStart"/>
      <w:r w:rsidR="00533958">
        <w:rPr>
          <w:b/>
          <w:i/>
          <w:lang w:val="en-US" w:eastAsia="en-US"/>
        </w:rPr>
        <w:t>Gladue</w:t>
      </w:r>
      <w:proofErr w:type="spellEnd"/>
      <w:r w:rsidR="00533958">
        <w:rPr>
          <w:b/>
          <w:i/>
          <w:lang w:val="en-US" w:eastAsia="en-US"/>
        </w:rPr>
        <w:t xml:space="preserve"> </w:t>
      </w:r>
      <w:r w:rsidR="00533958">
        <w:rPr>
          <w:lang w:val="en-US" w:eastAsia="en-US"/>
        </w:rPr>
        <w:t xml:space="preserve">factors in sentencing could not be clearer: </w:t>
      </w:r>
      <w:r w:rsidR="00494F61">
        <w:rPr>
          <w:b/>
          <w:i/>
          <w:lang w:val="en-US" w:eastAsia="en-US"/>
        </w:rPr>
        <w:t xml:space="preserve">R v </w:t>
      </w:r>
      <w:proofErr w:type="spellStart"/>
      <w:r w:rsidR="00494F61">
        <w:rPr>
          <w:b/>
          <w:i/>
          <w:lang w:val="en-US" w:eastAsia="en-US"/>
        </w:rPr>
        <w:t>I</w:t>
      </w:r>
      <w:r w:rsidR="00533958">
        <w:rPr>
          <w:b/>
          <w:i/>
          <w:lang w:val="en-US" w:eastAsia="en-US"/>
        </w:rPr>
        <w:t>pe</w:t>
      </w:r>
      <w:r w:rsidR="00494F61">
        <w:rPr>
          <w:b/>
          <w:i/>
          <w:lang w:val="en-US" w:eastAsia="en-US"/>
        </w:rPr>
        <w:t>e</w:t>
      </w:r>
      <w:r w:rsidR="00533958">
        <w:rPr>
          <w:b/>
          <w:i/>
          <w:lang w:val="en-US" w:eastAsia="en-US"/>
        </w:rPr>
        <w:t>lee</w:t>
      </w:r>
      <w:proofErr w:type="spellEnd"/>
      <w:r w:rsidR="00494F61">
        <w:rPr>
          <w:lang w:val="en-US" w:eastAsia="en-US"/>
        </w:rPr>
        <w:t xml:space="preserve">, 2012 SCC 13; </w:t>
      </w:r>
      <w:r w:rsidR="00494F61">
        <w:rPr>
          <w:b/>
          <w:i/>
          <w:lang w:val="en-US" w:eastAsia="en-US"/>
        </w:rPr>
        <w:t xml:space="preserve">R v </w:t>
      </w:r>
      <w:proofErr w:type="spellStart"/>
      <w:r w:rsidR="00494F61">
        <w:rPr>
          <w:b/>
          <w:i/>
          <w:lang w:val="en-US" w:eastAsia="en-US"/>
        </w:rPr>
        <w:t>L</w:t>
      </w:r>
      <w:r w:rsidR="00533958">
        <w:rPr>
          <w:b/>
          <w:i/>
          <w:lang w:val="en-US" w:eastAsia="en-US"/>
        </w:rPr>
        <w:t>aboucan</w:t>
      </w:r>
      <w:r w:rsidR="00F86BAE">
        <w:rPr>
          <w:b/>
          <w:i/>
          <w:lang w:val="en-US" w:eastAsia="en-US"/>
        </w:rPr>
        <w:t>e</w:t>
      </w:r>
      <w:proofErr w:type="spellEnd"/>
      <w:r w:rsidR="00494F61">
        <w:rPr>
          <w:lang w:val="en-US" w:eastAsia="en-US"/>
        </w:rPr>
        <w:t xml:space="preserve">, 2016 ABCA 176 at </w:t>
      </w:r>
      <w:proofErr w:type="spellStart"/>
      <w:r w:rsidR="00494F61">
        <w:rPr>
          <w:lang w:val="en-US" w:eastAsia="en-US"/>
        </w:rPr>
        <w:t>para</w:t>
      </w:r>
      <w:proofErr w:type="spellEnd"/>
      <w:r w:rsidR="00494F61">
        <w:rPr>
          <w:lang w:val="en-US" w:eastAsia="en-US"/>
        </w:rPr>
        <w:t xml:space="preserve"> 5</w:t>
      </w:r>
      <w:r w:rsidR="00533958">
        <w:rPr>
          <w:lang w:val="en-US" w:eastAsia="en-US"/>
        </w:rPr>
        <w:t xml:space="preserve">; </w:t>
      </w:r>
      <w:proofErr w:type="spellStart"/>
      <w:r w:rsidR="00533958">
        <w:rPr>
          <w:b/>
          <w:i/>
          <w:lang w:val="en-US" w:eastAsia="en-US"/>
        </w:rPr>
        <w:t>Boutilier</w:t>
      </w:r>
      <w:proofErr w:type="spellEnd"/>
      <w:r w:rsidR="00533958">
        <w:rPr>
          <w:lang w:val="en-US" w:eastAsia="en-US"/>
        </w:rPr>
        <w:t xml:space="preserve"> at </w:t>
      </w:r>
      <w:proofErr w:type="spellStart"/>
      <w:r w:rsidR="00533958">
        <w:rPr>
          <w:lang w:val="en-US" w:eastAsia="en-US"/>
        </w:rPr>
        <w:t>para</w:t>
      </w:r>
      <w:proofErr w:type="spellEnd"/>
      <w:r w:rsidR="00533958">
        <w:rPr>
          <w:lang w:val="en-US" w:eastAsia="en-US"/>
        </w:rPr>
        <w:t xml:space="preserve"> 63.</w:t>
      </w:r>
    </w:p>
    <w:p w:rsidR="00802DA1" w:rsidRDefault="00802DA1" w:rsidP="00E972DF">
      <w:pPr>
        <w:pStyle w:val="FelskyNumbering12"/>
        <w:rPr>
          <w:lang w:val="en-US" w:eastAsia="en-US"/>
        </w:rPr>
      </w:pPr>
      <w:r>
        <w:rPr>
          <w:lang w:val="en-US" w:eastAsia="en-US"/>
        </w:rPr>
        <w:t xml:space="preserve">The fresh evidence of the </w:t>
      </w:r>
      <w:proofErr w:type="spellStart"/>
      <w:r>
        <w:rPr>
          <w:b/>
          <w:i/>
          <w:lang w:val="en-US" w:eastAsia="en-US"/>
        </w:rPr>
        <w:t>Gladue</w:t>
      </w:r>
      <w:proofErr w:type="spellEnd"/>
      <w:r>
        <w:rPr>
          <w:b/>
          <w:i/>
          <w:lang w:val="en-US" w:eastAsia="en-US"/>
        </w:rPr>
        <w:t xml:space="preserve"> </w:t>
      </w:r>
      <w:r>
        <w:rPr>
          <w:lang w:val="en-US" w:eastAsia="en-US"/>
        </w:rPr>
        <w:t xml:space="preserve">report provides </w:t>
      </w:r>
      <w:r w:rsidR="00335BC6">
        <w:rPr>
          <w:lang w:val="en-US" w:eastAsia="en-US"/>
        </w:rPr>
        <w:t xml:space="preserve">much </w:t>
      </w:r>
      <w:r>
        <w:rPr>
          <w:lang w:val="en-US" w:eastAsia="en-US"/>
        </w:rPr>
        <w:t>more context</w:t>
      </w:r>
      <w:r w:rsidR="00494F61">
        <w:rPr>
          <w:lang w:val="en-US" w:eastAsia="en-US"/>
        </w:rPr>
        <w:t xml:space="preserve"> to the predicate offence</w:t>
      </w:r>
      <w:r w:rsidR="00F86BAE">
        <w:rPr>
          <w:lang w:val="en-US" w:eastAsia="en-US"/>
        </w:rPr>
        <w:t>s</w:t>
      </w:r>
      <w:r w:rsidR="00494F61">
        <w:rPr>
          <w:lang w:val="en-US" w:eastAsia="en-US"/>
        </w:rPr>
        <w:t xml:space="preserve"> and </w:t>
      </w:r>
      <w:proofErr w:type="spellStart"/>
      <w:r w:rsidR="00494F61">
        <w:rPr>
          <w:lang w:val="en-US" w:eastAsia="en-US"/>
        </w:rPr>
        <w:t>Mr</w:t>
      </w:r>
      <w:proofErr w:type="spellEnd"/>
      <w:r w:rsidR="00494F61">
        <w:rPr>
          <w:lang w:val="en-US" w:eastAsia="en-US"/>
        </w:rPr>
        <w:t xml:space="preserve"> Zoe’s past offences</w:t>
      </w:r>
      <w:r>
        <w:rPr>
          <w:lang w:val="en-US" w:eastAsia="en-US"/>
        </w:rPr>
        <w:t xml:space="preserve">. </w:t>
      </w:r>
      <w:proofErr w:type="spellStart"/>
      <w:r w:rsidR="00494F61">
        <w:rPr>
          <w:lang w:val="en-US" w:eastAsia="en-US"/>
        </w:rPr>
        <w:t>Mr</w:t>
      </w:r>
      <w:proofErr w:type="spellEnd"/>
      <w:r w:rsidR="00494F61">
        <w:rPr>
          <w:lang w:val="en-US" w:eastAsia="en-US"/>
        </w:rPr>
        <w:t xml:space="preserve"> Zoe’s </w:t>
      </w:r>
      <w:r>
        <w:rPr>
          <w:lang w:val="en-US" w:eastAsia="en-US"/>
        </w:rPr>
        <w:t xml:space="preserve">birth parents were young and unmarried and both had residential school experience. He connected with them at age 16 in Rae </w:t>
      </w:r>
      <w:proofErr w:type="spellStart"/>
      <w:r>
        <w:rPr>
          <w:lang w:val="en-US" w:eastAsia="en-US"/>
        </w:rPr>
        <w:t>Edzo</w:t>
      </w:r>
      <w:proofErr w:type="spellEnd"/>
      <w:r>
        <w:rPr>
          <w:lang w:val="en-US" w:eastAsia="en-US"/>
        </w:rPr>
        <w:t xml:space="preserve"> when he started attending school. </w:t>
      </w:r>
      <w:r w:rsidR="008B22BD">
        <w:rPr>
          <w:lang w:val="en-US" w:eastAsia="en-US"/>
        </w:rPr>
        <w:t xml:space="preserve">Unfortunately, while he never developed a meaningful relationship with his biological mother, he did develop </w:t>
      </w:r>
      <w:r w:rsidR="00494F61">
        <w:rPr>
          <w:lang w:val="en-US" w:eastAsia="en-US"/>
        </w:rPr>
        <w:t>a relationship</w:t>
      </w:r>
      <w:r w:rsidR="008B22BD">
        <w:rPr>
          <w:lang w:val="en-US" w:eastAsia="en-US"/>
        </w:rPr>
        <w:t xml:space="preserve"> with his biological father. </w:t>
      </w:r>
      <w:r>
        <w:rPr>
          <w:lang w:val="en-US" w:eastAsia="en-US"/>
        </w:rPr>
        <w:t xml:space="preserve">He was exposed to drinking </w:t>
      </w:r>
      <w:r w:rsidR="00335BC6">
        <w:rPr>
          <w:lang w:val="en-US" w:eastAsia="en-US"/>
        </w:rPr>
        <w:t xml:space="preserve">and cannabis </w:t>
      </w:r>
      <w:r>
        <w:rPr>
          <w:lang w:val="en-US" w:eastAsia="en-US"/>
        </w:rPr>
        <w:t xml:space="preserve">with his biological father and uncle. </w:t>
      </w:r>
    </w:p>
    <w:p w:rsidR="001A0A95" w:rsidRDefault="00802DA1" w:rsidP="00E972DF">
      <w:pPr>
        <w:pStyle w:val="FelskyNumbering12"/>
        <w:rPr>
          <w:lang w:val="en-US" w:eastAsia="en-US"/>
        </w:rPr>
      </w:pPr>
      <w:r>
        <w:rPr>
          <w:lang w:val="en-US" w:eastAsia="en-US"/>
        </w:rPr>
        <w:t xml:space="preserve">We admit the </w:t>
      </w:r>
      <w:proofErr w:type="spellStart"/>
      <w:r>
        <w:rPr>
          <w:b/>
          <w:i/>
          <w:lang w:val="en-US" w:eastAsia="en-US"/>
        </w:rPr>
        <w:t>Gladue</w:t>
      </w:r>
      <w:proofErr w:type="spellEnd"/>
      <w:r>
        <w:rPr>
          <w:b/>
          <w:i/>
          <w:lang w:val="en-US" w:eastAsia="en-US"/>
        </w:rPr>
        <w:t xml:space="preserve"> </w:t>
      </w:r>
      <w:r>
        <w:rPr>
          <w:lang w:val="en-US" w:eastAsia="en-US"/>
        </w:rPr>
        <w:t xml:space="preserve">report </w:t>
      </w:r>
      <w:r w:rsidR="00AA5449">
        <w:rPr>
          <w:lang w:val="en-US" w:eastAsia="en-US"/>
        </w:rPr>
        <w:t xml:space="preserve">as fresh evidence under the relaxed </w:t>
      </w:r>
      <w:r w:rsidR="00AA5449">
        <w:rPr>
          <w:b/>
          <w:i/>
          <w:lang w:val="en-US" w:eastAsia="en-US"/>
        </w:rPr>
        <w:t xml:space="preserve">Palmer </w:t>
      </w:r>
      <w:r w:rsidR="00AA5449">
        <w:rPr>
          <w:lang w:val="en-US" w:eastAsia="en-US"/>
        </w:rPr>
        <w:t xml:space="preserve">test. This evidence gives this Court a more complete picture of </w:t>
      </w:r>
      <w:proofErr w:type="spellStart"/>
      <w:r w:rsidR="00AA5449">
        <w:rPr>
          <w:lang w:val="en-US" w:eastAsia="en-US"/>
        </w:rPr>
        <w:t>Mr</w:t>
      </w:r>
      <w:proofErr w:type="spellEnd"/>
      <w:r w:rsidR="00AA5449">
        <w:rPr>
          <w:lang w:val="en-US" w:eastAsia="en-US"/>
        </w:rPr>
        <w:t xml:space="preserve"> Zoe’s aboriginal upbringing and </w:t>
      </w:r>
      <w:r w:rsidR="00494F61">
        <w:rPr>
          <w:lang w:val="en-US" w:eastAsia="en-US"/>
        </w:rPr>
        <w:t xml:space="preserve">the </w:t>
      </w:r>
      <w:r w:rsidR="00AA5449">
        <w:rPr>
          <w:lang w:val="en-US" w:eastAsia="en-US"/>
        </w:rPr>
        <w:t>factors that may impact on his moral blameworthiness and prospects for future treatment.</w:t>
      </w:r>
      <w:r w:rsidR="00335BC6">
        <w:rPr>
          <w:lang w:val="en-US" w:eastAsia="en-US"/>
        </w:rPr>
        <w:t xml:space="preserve"> </w:t>
      </w:r>
      <w:r w:rsidR="001A0A95">
        <w:rPr>
          <w:lang w:val="en-US" w:eastAsia="en-US"/>
        </w:rPr>
        <w:t xml:space="preserve">The </w:t>
      </w:r>
      <w:r w:rsidR="00335BC6">
        <w:rPr>
          <w:lang w:val="en-US" w:eastAsia="en-US"/>
        </w:rPr>
        <w:t>sentencing judge did not have the benefit of a complete record</w:t>
      </w:r>
      <w:r w:rsidR="001A0A95">
        <w:rPr>
          <w:lang w:val="en-US" w:eastAsia="en-US"/>
        </w:rPr>
        <w:t xml:space="preserve"> on this important issue, and a complete record is necessary for a fair hearing</w:t>
      </w:r>
      <w:r w:rsidR="00335BC6">
        <w:rPr>
          <w:lang w:val="en-US" w:eastAsia="en-US"/>
        </w:rPr>
        <w:t xml:space="preserve">: </w:t>
      </w:r>
      <w:r w:rsidR="00F86BAE">
        <w:rPr>
          <w:b/>
          <w:i/>
          <w:lang w:val="en-US" w:eastAsia="en-US"/>
        </w:rPr>
        <w:t xml:space="preserve">R v </w:t>
      </w:r>
      <w:proofErr w:type="spellStart"/>
      <w:r w:rsidR="00F86BAE">
        <w:rPr>
          <w:b/>
          <w:i/>
          <w:lang w:val="en-US" w:eastAsia="en-US"/>
        </w:rPr>
        <w:t>Wolfleg</w:t>
      </w:r>
      <w:proofErr w:type="spellEnd"/>
      <w:r w:rsidR="00F86BAE">
        <w:rPr>
          <w:lang w:val="en-US" w:eastAsia="en-US"/>
        </w:rPr>
        <w:t>, 2018 ABCA 22</w:t>
      </w:r>
      <w:r w:rsidR="00837194">
        <w:rPr>
          <w:lang w:val="en-US" w:eastAsia="en-US"/>
        </w:rPr>
        <w:t>2</w:t>
      </w:r>
      <w:r w:rsidR="00F86BAE">
        <w:rPr>
          <w:lang w:val="en-US" w:eastAsia="en-US"/>
        </w:rPr>
        <w:t xml:space="preserve"> at </w:t>
      </w:r>
      <w:proofErr w:type="spellStart"/>
      <w:r w:rsidR="00F86BAE">
        <w:rPr>
          <w:lang w:val="en-US" w:eastAsia="en-US"/>
        </w:rPr>
        <w:t>para</w:t>
      </w:r>
      <w:proofErr w:type="spellEnd"/>
      <w:r w:rsidR="00F86BAE">
        <w:rPr>
          <w:lang w:val="en-US" w:eastAsia="en-US"/>
        </w:rPr>
        <w:t xml:space="preserve"> 81; </w:t>
      </w:r>
      <w:proofErr w:type="spellStart"/>
      <w:r w:rsidR="00335BC6">
        <w:rPr>
          <w:b/>
          <w:i/>
          <w:lang w:val="en-US" w:eastAsia="en-US"/>
        </w:rPr>
        <w:t>Kritik</w:t>
      </w:r>
      <w:proofErr w:type="spellEnd"/>
      <w:r w:rsidR="00335BC6">
        <w:rPr>
          <w:b/>
          <w:i/>
          <w:lang w:val="en-US" w:eastAsia="en-US"/>
        </w:rPr>
        <w:t xml:space="preserve"> v R</w:t>
      </w:r>
      <w:r w:rsidR="00335BC6">
        <w:rPr>
          <w:lang w:val="en-US" w:eastAsia="en-US"/>
        </w:rPr>
        <w:t xml:space="preserve">, 2019 QCCA 1336. </w:t>
      </w:r>
    </w:p>
    <w:p w:rsidR="001A0A95" w:rsidRDefault="00335BC6" w:rsidP="00E972DF">
      <w:pPr>
        <w:pStyle w:val="FelskyNumbering12"/>
        <w:rPr>
          <w:lang w:val="en-US" w:eastAsia="en-US"/>
        </w:rPr>
      </w:pPr>
      <w:r>
        <w:rPr>
          <w:lang w:val="en-US" w:eastAsia="en-US"/>
        </w:rPr>
        <w:t xml:space="preserve">We note that in some cases </w:t>
      </w:r>
      <w:proofErr w:type="spellStart"/>
      <w:r>
        <w:rPr>
          <w:b/>
          <w:i/>
          <w:lang w:val="en-US" w:eastAsia="en-US"/>
        </w:rPr>
        <w:t>Gladue</w:t>
      </w:r>
      <w:proofErr w:type="spellEnd"/>
      <w:r>
        <w:rPr>
          <w:lang w:val="en-US" w:eastAsia="en-US"/>
        </w:rPr>
        <w:t xml:space="preserve"> factors may have a limited role in a dangerous offender situation where </w:t>
      </w:r>
      <w:r w:rsidR="005924A7">
        <w:rPr>
          <w:lang w:val="en-US" w:eastAsia="en-US"/>
        </w:rPr>
        <w:t>protection of the public is a primary factor</w:t>
      </w:r>
      <w:r w:rsidR="00494F61">
        <w:rPr>
          <w:lang w:val="en-US" w:eastAsia="en-US"/>
        </w:rPr>
        <w:t>:</w:t>
      </w:r>
      <w:r w:rsidR="005924A7">
        <w:rPr>
          <w:lang w:val="en-US" w:eastAsia="en-US"/>
        </w:rPr>
        <w:t xml:space="preserve"> </w:t>
      </w:r>
      <w:r w:rsidR="005924A7">
        <w:rPr>
          <w:b/>
          <w:i/>
          <w:lang w:val="en-US" w:eastAsia="en-US"/>
        </w:rPr>
        <w:t xml:space="preserve">R v </w:t>
      </w:r>
      <w:proofErr w:type="spellStart"/>
      <w:r w:rsidR="005924A7">
        <w:rPr>
          <w:b/>
          <w:i/>
          <w:lang w:val="en-US" w:eastAsia="en-US"/>
        </w:rPr>
        <w:t>Bonnetrouge</w:t>
      </w:r>
      <w:proofErr w:type="spellEnd"/>
      <w:r w:rsidR="005924A7">
        <w:rPr>
          <w:lang w:val="en-US" w:eastAsia="en-US"/>
        </w:rPr>
        <w:t xml:space="preserve">, 2017 NWTCA 1 at </w:t>
      </w:r>
      <w:proofErr w:type="spellStart"/>
      <w:r w:rsidR="005924A7">
        <w:rPr>
          <w:lang w:val="en-US" w:eastAsia="en-US"/>
        </w:rPr>
        <w:t>para</w:t>
      </w:r>
      <w:proofErr w:type="spellEnd"/>
      <w:r w:rsidR="005924A7">
        <w:rPr>
          <w:lang w:val="en-US" w:eastAsia="en-US"/>
        </w:rPr>
        <w:t xml:space="preserve"> 22</w:t>
      </w:r>
      <w:r w:rsidR="001A0A95">
        <w:rPr>
          <w:lang w:val="en-US" w:eastAsia="en-US"/>
        </w:rPr>
        <w:t>.</w:t>
      </w:r>
      <w:r w:rsidR="005924A7">
        <w:rPr>
          <w:lang w:val="en-US" w:eastAsia="en-US"/>
        </w:rPr>
        <w:t xml:space="preserve"> </w:t>
      </w:r>
      <w:r w:rsidR="00960FC7">
        <w:rPr>
          <w:lang w:val="en-US" w:eastAsia="en-US"/>
        </w:rPr>
        <w:t xml:space="preserve">Significant </w:t>
      </w:r>
      <w:proofErr w:type="spellStart"/>
      <w:r w:rsidR="00960FC7">
        <w:rPr>
          <w:b/>
          <w:i/>
          <w:lang w:val="en-US" w:eastAsia="en-US"/>
        </w:rPr>
        <w:t>Gladue</w:t>
      </w:r>
      <w:proofErr w:type="spellEnd"/>
      <w:r w:rsidR="00960FC7">
        <w:rPr>
          <w:b/>
          <w:i/>
          <w:lang w:val="en-US" w:eastAsia="en-US"/>
        </w:rPr>
        <w:t xml:space="preserve"> </w:t>
      </w:r>
      <w:r w:rsidR="00960FC7">
        <w:rPr>
          <w:lang w:val="en-US" w:eastAsia="en-US"/>
        </w:rPr>
        <w:t>factors may not be enough on their own to avoid a dangerous offender designation or sentence.</w:t>
      </w:r>
    </w:p>
    <w:p w:rsidR="00802DA1" w:rsidRDefault="001A0A95" w:rsidP="00E972DF">
      <w:pPr>
        <w:pStyle w:val="FelskyNumbering12"/>
        <w:rPr>
          <w:lang w:val="en-US" w:eastAsia="en-US"/>
        </w:rPr>
      </w:pPr>
      <w:r>
        <w:rPr>
          <w:lang w:val="en-US" w:eastAsia="en-US"/>
        </w:rPr>
        <w:t>However</w:t>
      </w:r>
      <w:r w:rsidR="00436A6A">
        <w:rPr>
          <w:lang w:val="en-US" w:eastAsia="en-US"/>
        </w:rPr>
        <w:t>,</w:t>
      </w:r>
      <w:r>
        <w:rPr>
          <w:lang w:val="en-US" w:eastAsia="en-US"/>
        </w:rPr>
        <w:t xml:space="preserve"> </w:t>
      </w:r>
      <w:proofErr w:type="spellStart"/>
      <w:r>
        <w:rPr>
          <w:b/>
          <w:i/>
          <w:lang w:val="en-US" w:eastAsia="en-US"/>
        </w:rPr>
        <w:t>Gladue</w:t>
      </w:r>
      <w:proofErr w:type="spellEnd"/>
      <w:r>
        <w:rPr>
          <w:b/>
          <w:i/>
          <w:lang w:val="en-US" w:eastAsia="en-US"/>
        </w:rPr>
        <w:t xml:space="preserve"> </w:t>
      </w:r>
      <w:r>
        <w:rPr>
          <w:lang w:val="en-US" w:eastAsia="en-US"/>
        </w:rPr>
        <w:t>factors</w:t>
      </w:r>
      <w:r w:rsidR="00494F61">
        <w:rPr>
          <w:lang w:val="en-US" w:eastAsia="en-US"/>
        </w:rPr>
        <w:t xml:space="preserve"> </w:t>
      </w:r>
      <w:r w:rsidR="00F86BAE">
        <w:rPr>
          <w:lang w:val="en-US" w:eastAsia="en-US"/>
        </w:rPr>
        <w:t xml:space="preserve">may be more </w:t>
      </w:r>
      <w:r w:rsidR="005924A7">
        <w:rPr>
          <w:lang w:val="en-US" w:eastAsia="en-US"/>
        </w:rPr>
        <w:t>relevant to determining whether culturally sensitive programming m</w:t>
      </w:r>
      <w:r w:rsidR="00F86BAE">
        <w:rPr>
          <w:lang w:val="en-US" w:eastAsia="en-US"/>
        </w:rPr>
        <w:t>ight</w:t>
      </w:r>
      <w:r w:rsidR="005924A7">
        <w:rPr>
          <w:lang w:val="en-US" w:eastAsia="en-US"/>
        </w:rPr>
        <w:t xml:space="preserve"> </w:t>
      </w:r>
      <w:r w:rsidR="00494F61">
        <w:rPr>
          <w:lang w:val="en-US" w:eastAsia="en-US"/>
        </w:rPr>
        <w:t xml:space="preserve">enhance the offender’s prospects of </w:t>
      </w:r>
      <w:r w:rsidR="00B02F9C">
        <w:rPr>
          <w:lang w:val="en-US" w:eastAsia="en-US"/>
        </w:rPr>
        <w:t>rehabilitation and</w:t>
      </w:r>
      <w:r w:rsidR="00494F61">
        <w:rPr>
          <w:lang w:val="en-US" w:eastAsia="en-US"/>
        </w:rPr>
        <w:t xml:space="preserve"> treatability</w:t>
      </w:r>
      <w:r w:rsidR="00B02F9C">
        <w:rPr>
          <w:lang w:val="en-US" w:eastAsia="en-US"/>
        </w:rPr>
        <w:t xml:space="preserve">: </w:t>
      </w:r>
      <w:r w:rsidR="00B02F9C">
        <w:rPr>
          <w:b/>
          <w:i/>
          <w:lang w:val="en-US" w:eastAsia="en-US"/>
        </w:rPr>
        <w:t xml:space="preserve">R v </w:t>
      </w:r>
      <w:proofErr w:type="spellStart"/>
      <w:r w:rsidR="00B02F9C">
        <w:rPr>
          <w:b/>
          <w:i/>
          <w:lang w:val="en-US" w:eastAsia="en-US"/>
        </w:rPr>
        <w:t>Moise</w:t>
      </w:r>
      <w:proofErr w:type="spellEnd"/>
      <w:r w:rsidR="00B02F9C">
        <w:rPr>
          <w:lang w:val="en-US" w:eastAsia="en-US"/>
        </w:rPr>
        <w:t xml:space="preserve">, 2015 SKCA 39 at </w:t>
      </w:r>
      <w:proofErr w:type="spellStart"/>
      <w:r w:rsidR="00B02F9C">
        <w:rPr>
          <w:lang w:val="en-US" w:eastAsia="en-US"/>
        </w:rPr>
        <w:t>para</w:t>
      </w:r>
      <w:proofErr w:type="spellEnd"/>
      <w:r w:rsidR="00B02F9C">
        <w:rPr>
          <w:lang w:val="en-US" w:eastAsia="en-US"/>
        </w:rPr>
        <w:t xml:space="preserve"> 24; </w:t>
      </w:r>
      <w:proofErr w:type="spellStart"/>
      <w:r w:rsidR="00B02F9C">
        <w:rPr>
          <w:b/>
          <w:i/>
          <w:lang w:val="en-US" w:eastAsia="en-US"/>
        </w:rPr>
        <w:t>Bonnetrouge</w:t>
      </w:r>
      <w:proofErr w:type="spellEnd"/>
      <w:r w:rsidR="00B02F9C">
        <w:rPr>
          <w:lang w:val="en-US" w:eastAsia="en-US"/>
        </w:rPr>
        <w:t xml:space="preserve"> at </w:t>
      </w:r>
      <w:proofErr w:type="spellStart"/>
      <w:r w:rsidR="00B02F9C">
        <w:rPr>
          <w:lang w:val="en-US" w:eastAsia="en-US"/>
        </w:rPr>
        <w:t>para</w:t>
      </w:r>
      <w:proofErr w:type="spellEnd"/>
      <w:r w:rsidR="00B02F9C">
        <w:rPr>
          <w:lang w:val="en-US" w:eastAsia="en-US"/>
        </w:rPr>
        <w:t xml:space="preserve"> 23. </w:t>
      </w:r>
      <w:r w:rsidR="00436A6A">
        <w:rPr>
          <w:lang w:val="en-US" w:eastAsia="en-US"/>
        </w:rPr>
        <w:t xml:space="preserve">This is especially relevant to this case. There </w:t>
      </w:r>
      <w:r w:rsidR="00BF4589">
        <w:rPr>
          <w:lang w:val="en-US" w:eastAsia="en-US"/>
        </w:rPr>
        <w:t>i</w:t>
      </w:r>
      <w:r w:rsidR="00436A6A">
        <w:rPr>
          <w:lang w:val="en-US" w:eastAsia="en-US"/>
        </w:rPr>
        <w:t xml:space="preserve">s some evidence that </w:t>
      </w:r>
      <w:proofErr w:type="spellStart"/>
      <w:r w:rsidR="00436A6A">
        <w:rPr>
          <w:lang w:val="en-US" w:eastAsia="en-US"/>
        </w:rPr>
        <w:t>Mr</w:t>
      </w:r>
      <w:proofErr w:type="spellEnd"/>
      <w:r w:rsidR="00436A6A">
        <w:rPr>
          <w:lang w:val="en-US" w:eastAsia="en-US"/>
        </w:rPr>
        <w:t xml:space="preserve"> Zoe had been meeting with a traditional </w:t>
      </w:r>
      <w:proofErr w:type="spellStart"/>
      <w:r w:rsidR="00436A6A">
        <w:rPr>
          <w:lang w:val="en-US" w:eastAsia="en-US"/>
        </w:rPr>
        <w:t>counsellor</w:t>
      </w:r>
      <w:proofErr w:type="spellEnd"/>
      <w:r w:rsidR="00436A6A">
        <w:rPr>
          <w:lang w:val="en-US" w:eastAsia="en-US"/>
        </w:rPr>
        <w:t xml:space="preserve"> for a certain time period and this had been positive. Analyzing future prospects for treatment</w:t>
      </w:r>
      <w:r w:rsidR="00F4669F">
        <w:rPr>
          <w:lang w:val="en-US" w:eastAsia="en-US"/>
        </w:rPr>
        <w:t xml:space="preserve">, intractability, and appropriate sentence cannot be accomplished on the current record. </w:t>
      </w:r>
    </w:p>
    <w:p w:rsidR="00B02F9C" w:rsidRDefault="00494F61" w:rsidP="00E972DF">
      <w:pPr>
        <w:pStyle w:val="FelskyNumbering12"/>
        <w:rPr>
          <w:lang w:val="en-US" w:eastAsia="en-US"/>
        </w:rPr>
      </w:pPr>
      <w:r>
        <w:rPr>
          <w:lang w:val="en-US" w:eastAsia="en-US"/>
        </w:rPr>
        <w:t xml:space="preserve">A full </w:t>
      </w:r>
      <w:proofErr w:type="spellStart"/>
      <w:r w:rsidR="00B02F9C">
        <w:rPr>
          <w:b/>
          <w:i/>
          <w:lang w:val="en-US" w:eastAsia="en-US"/>
        </w:rPr>
        <w:t>Gladue</w:t>
      </w:r>
      <w:proofErr w:type="spellEnd"/>
      <w:r w:rsidR="00B02F9C">
        <w:rPr>
          <w:b/>
          <w:i/>
          <w:lang w:val="en-US" w:eastAsia="en-US"/>
        </w:rPr>
        <w:t xml:space="preserve"> </w:t>
      </w:r>
      <w:r w:rsidR="00B02F9C">
        <w:rPr>
          <w:lang w:val="en-US" w:eastAsia="en-US"/>
        </w:rPr>
        <w:t xml:space="preserve">report on these issues may have an impact on </w:t>
      </w:r>
      <w:r w:rsidR="0068293C">
        <w:rPr>
          <w:lang w:val="en-US" w:eastAsia="en-US"/>
        </w:rPr>
        <w:t>either</w:t>
      </w:r>
      <w:r w:rsidR="0085296C">
        <w:rPr>
          <w:lang w:val="en-US" w:eastAsia="en-US"/>
        </w:rPr>
        <w:t xml:space="preserve"> or</w:t>
      </w:r>
      <w:r w:rsidR="0068293C">
        <w:rPr>
          <w:lang w:val="en-US" w:eastAsia="en-US"/>
        </w:rPr>
        <w:t xml:space="preserve"> both parts</w:t>
      </w:r>
      <w:r>
        <w:rPr>
          <w:lang w:val="en-US" w:eastAsia="en-US"/>
        </w:rPr>
        <w:t xml:space="preserve"> of </w:t>
      </w:r>
      <w:r w:rsidR="0068293C">
        <w:rPr>
          <w:lang w:val="en-US" w:eastAsia="en-US"/>
        </w:rPr>
        <w:t xml:space="preserve">the </w:t>
      </w:r>
      <w:r>
        <w:rPr>
          <w:lang w:val="en-US" w:eastAsia="en-US"/>
        </w:rPr>
        <w:t>dangerous offender analysis.</w:t>
      </w:r>
    </w:p>
    <w:p w:rsidR="00F4669F" w:rsidRDefault="00F4669F" w:rsidP="00E972DF">
      <w:pPr>
        <w:pStyle w:val="FelskyNumbering12"/>
        <w:rPr>
          <w:lang w:val="en-US" w:eastAsia="en-US"/>
        </w:rPr>
      </w:pPr>
      <w:r>
        <w:rPr>
          <w:lang w:val="en-US" w:eastAsia="en-US"/>
        </w:rPr>
        <w:lastRenderedPageBreak/>
        <w:t xml:space="preserve">We caution however, that this decision does not endorse litigation by installment </w:t>
      </w:r>
      <w:r w:rsidR="00742F89">
        <w:rPr>
          <w:lang w:val="en-US" w:eastAsia="en-US"/>
        </w:rPr>
        <w:t xml:space="preserve">of providing “better” </w:t>
      </w:r>
      <w:proofErr w:type="spellStart"/>
      <w:r w:rsidR="00742F89">
        <w:rPr>
          <w:b/>
          <w:i/>
          <w:lang w:val="en-US" w:eastAsia="en-US"/>
        </w:rPr>
        <w:t>Gladue</w:t>
      </w:r>
      <w:proofErr w:type="spellEnd"/>
      <w:r w:rsidR="00742F89">
        <w:t xml:space="preserve"> reports on appeal. Parties are expected to put their best case forward</w:t>
      </w:r>
      <w:r w:rsidR="00837194">
        <w:t xml:space="preserve"> at the sentencing hearing</w:t>
      </w:r>
      <w:r w:rsidR="00742F89">
        <w:t xml:space="preserve">. Part of the difficulty in the presentence report was </w:t>
      </w:r>
      <w:proofErr w:type="spellStart"/>
      <w:r w:rsidR="00742F89">
        <w:t>Mr</w:t>
      </w:r>
      <w:proofErr w:type="spellEnd"/>
      <w:r w:rsidR="00742F89">
        <w:t xml:space="preserve"> Zoe’s failure to cooperate in the writing of the report. Some of that resistance </w:t>
      </w:r>
      <w:r w:rsidR="00494F61">
        <w:t>wa</w:t>
      </w:r>
      <w:r w:rsidR="00742F89">
        <w:t xml:space="preserve">s </w:t>
      </w:r>
      <w:r w:rsidR="0068293C">
        <w:t xml:space="preserve">due to </w:t>
      </w:r>
      <w:r w:rsidR="00742F89">
        <w:t xml:space="preserve">his substance abuse </w:t>
      </w:r>
      <w:r w:rsidR="00494F61">
        <w:t xml:space="preserve">illness </w:t>
      </w:r>
      <w:r w:rsidR="00742F89">
        <w:t xml:space="preserve">and limited cognitive </w:t>
      </w:r>
      <w:r w:rsidR="00677C72">
        <w:t xml:space="preserve">ability. Having reviewed the </w:t>
      </w:r>
      <w:r w:rsidR="00D71E3A">
        <w:t>“better”</w:t>
      </w:r>
      <w:r w:rsidR="00677C72">
        <w:t xml:space="preserve"> </w:t>
      </w:r>
      <w:proofErr w:type="spellStart"/>
      <w:r w:rsidR="00677C72">
        <w:rPr>
          <w:b/>
          <w:i/>
        </w:rPr>
        <w:t>Gladue</w:t>
      </w:r>
      <w:proofErr w:type="spellEnd"/>
      <w:r w:rsidR="00677C72">
        <w:rPr>
          <w:b/>
          <w:i/>
        </w:rPr>
        <w:t xml:space="preserve"> </w:t>
      </w:r>
      <w:r w:rsidR="00677C72">
        <w:t xml:space="preserve">report and </w:t>
      </w:r>
      <w:r w:rsidR="00D71E3A">
        <w:t xml:space="preserve">having </w:t>
      </w:r>
      <w:r w:rsidR="00677C72">
        <w:t>had the benefit of significantly more information than the sentencing judge, combined with the effect of the legal errors, we have determined that</w:t>
      </w:r>
      <w:r w:rsidR="0068293C">
        <w:t>,</w:t>
      </w:r>
      <w:r w:rsidR="00677C72">
        <w:t xml:space="preserve"> in the unusual circumstances of this case, it is appropriate to grant the</w:t>
      </w:r>
      <w:r w:rsidR="00494F61">
        <w:t xml:space="preserve"> sentence</w:t>
      </w:r>
      <w:r w:rsidR="00677C72">
        <w:t xml:space="preserve"> appeal.</w:t>
      </w:r>
    </w:p>
    <w:p w:rsidR="002C43CF" w:rsidRDefault="002C43CF" w:rsidP="002C43CF">
      <w:pPr>
        <w:pStyle w:val="Heading1"/>
        <w:numPr>
          <w:ilvl w:val="0"/>
          <w:numId w:val="19"/>
        </w:numPr>
        <w:jc w:val="left"/>
        <w:rPr>
          <w:lang w:val="en-US"/>
        </w:rPr>
      </w:pPr>
      <w:r>
        <w:rPr>
          <w:lang w:val="en-US"/>
        </w:rPr>
        <w:t>Conclusion</w:t>
      </w:r>
    </w:p>
    <w:p w:rsidR="00B02F9C" w:rsidRDefault="00B02F9C" w:rsidP="00E972DF">
      <w:pPr>
        <w:pStyle w:val="FelskyNumbering12"/>
        <w:rPr>
          <w:lang w:val="en-US" w:eastAsia="en-US"/>
        </w:rPr>
      </w:pPr>
      <w:r>
        <w:rPr>
          <w:lang w:val="en-US" w:eastAsia="en-US"/>
        </w:rPr>
        <w:t xml:space="preserve">In this case, the sentencing judge committed two errors of law: failing to consider </w:t>
      </w:r>
      <w:proofErr w:type="spellStart"/>
      <w:r>
        <w:rPr>
          <w:lang w:val="en-US" w:eastAsia="en-US"/>
        </w:rPr>
        <w:t>Mr</w:t>
      </w:r>
      <w:proofErr w:type="spellEnd"/>
      <w:r>
        <w:rPr>
          <w:lang w:val="en-US" w:eastAsia="en-US"/>
        </w:rPr>
        <w:t xml:space="preserve"> Zoe’s treatment prospects before designating him a dangerous offender, and applying a presumption of an indeterminate sentence at the second stage of the analysis. A court of appeal can dismiss an appeal against a declaration that an offender is dangerous if the error of law has resulted in no substantial wrong or miscarriage of justice. </w:t>
      </w:r>
    </w:p>
    <w:p w:rsidR="002C43CF" w:rsidRDefault="002C43CF" w:rsidP="00E972DF">
      <w:pPr>
        <w:pStyle w:val="FelskyNumbering12"/>
        <w:rPr>
          <w:lang w:val="en-US" w:eastAsia="en-US"/>
        </w:rPr>
      </w:pPr>
      <w:r>
        <w:rPr>
          <w:lang w:val="en-US" w:eastAsia="en-US"/>
        </w:rPr>
        <w:t xml:space="preserve">However, that power should only be exercised in the rarest of circumstances: </w:t>
      </w:r>
      <w:proofErr w:type="spellStart"/>
      <w:r>
        <w:rPr>
          <w:b/>
          <w:i/>
          <w:lang w:val="en-US" w:eastAsia="en-US"/>
        </w:rPr>
        <w:t>Boutilier</w:t>
      </w:r>
      <w:proofErr w:type="spellEnd"/>
      <w:r>
        <w:rPr>
          <w:lang w:val="en-US" w:eastAsia="en-US"/>
        </w:rPr>
        <w:t xml:space="preserve"> </w:t>
      </w:r>
      <w:r w:rsidR="0085296C">
        <w:rPr>
          <w:lang w:val="en-US" w:eastAsia="en-US"/>
        </w:rPr>
        <w:t xml:space="preserve">at </w:t>
      </w:r>
      <w:proofErr w:type="spellStart"/>
      <w:r>
        <w:rPr>
          <w:lang w:val="en-US" w:eastAsia="en-US"/>
        </w:rPr>
        <w:t>para</w:t>
      </w:r>
      <w:proofErr w:type="spellEnd"/>
      <w:r>
        <w:rPr>
          <w:lang w:val="en-US" w:eastAsia="en-US"/>
        </w:rPr>
        <w:t xml:space="preserve"> 82. This is not one of those rare cases. The decision below is quashed and sentencing is remitted to the Territorial Court for a new sentenc</w:t>
      </w:r>
      <w:r w:rsidR="00494F61">
        <w:rPr>
          <w:lang w:val="en-US" w:eastAsia="en-US"/>
        </w:rPr>
        <w:t>ing hearing</w:t>
      </w:r>
      <w:r>
        <w:rPr>
          <w:lang w:val="en-US" w:eastAsia="en-US"/>
        </w:rPr>
        <w:t>.</w:t>
      </w:r>
    </w:p>
    <w:p w:rsidR="00494F61" w:rsidRDefault="00494F61" w:rsidP="00494F61">
      <w:pPr>
        <w:pStyle w:val="Heading1"/>
        <w:numPr>
          <w:ilvl w:val="0"/>
          <w:numId w:val="19"/>
        </w:numPr>
        <w:jc w:val="left"/>
        <w:rPr>
          <w:lang w:val="en-US"/>
        </w:rPr>
      </w:pPr>
      <w:r>
        <w:rPr>
          <w:lang w:val="en-US"/>
        </w:rPr>
        <w:t>Disposition</w:t>
      </w:r>
    </w:p>
    <w:p w:rsidR="00494F61" w:rsidRDefault="00494F61" w:rsidP="00E972DF">
      <w:pPr>
        <w:pStyle w:val="FelskyNumbering12"/>
        <w:rPr>
          <w:lang w:val="en-US" w:eastAsia="en-US"/>
        </w:rPr>
      </w:pPr>
      <w:r>
        <w:rPr>
          <w:lang w:val="en-US" w:eastAsia="en-US"/>
        </w:rPr>
        <w:t xml:space="preserve">The conviction appeal is dismissed. The sentence appeal is granted. </w:t>
      </w:r>
    </w:p>
    <w:p w:rsidR="00E16941" w:rsidRPr="009C2254" w:rsidRDefault="00E16941" w:rsidP="00E16941">
      <w:pPr>
        <w:ind w:left="0"/>
      </w:pPr>
      <w:r>
        <w:t>Appeal heard</w:t>
      </w:r>
      <w:r w:rsidRPr="009C2254">
        <w:t xml:space="preserve"> on </w:t>
      </w:r>
      <w:r>
        <w:t>October 22, 2019</w:t>
      </w:r>
    </w:p>
    <w:p w:rsidR="00E16941" w:rsidRPr="009C2254" w:rsidRDefault="00E16941" w:rsidP="00E16941">
      <w:pPr>
        <w:ind w:left="0"/>
      </w:pPr>
    </w:p>
    <w:p w:rsidR="00E16941" w:rsidRPr="009C2254" w:rsidRDefault="00E16941" w:rsidP="00E16941">
      <w:pPr>
        <w:ind w:left="0"/>
      </w:pPr>
      <w:r>
        <w:t>Memorandum filed</w:t>
      </w:r>
      <w:r w:rsidRPr="009C2254">
        <w:t xml:space="preserve"> at </w:t>
      </w:r>
      <w:r>
        <w:t>Yellowknife, NWT</w:t>
      </w:r>
    </w:p>
    <w:p w:rsidR="00E16941" w:rsidRDefault="00E16941" w:rsidP="00E16941">
      <w:pPr>
        <w:ind w:left="0"/>
      </w:pPr>
      <w:r w:rsidRPr="009C2254">
        <w:t xml:space="preserve">this </w:t>
      </w:r>
      <w:r w:rsidR="000A1968">
        <w:t>31</w:t>
      </w:r>
      <w:r w:rsidR="000A1968" w:rsidRPr="000A1968">
        <w:rPr>
          <w:vertAlign w:val="superscript"/>
        </w:rPr>
        <w:t>st</w:t>
      </w:r>
      <w:r w:rsidR="000A1968">
        <w:t xml:space="preserve"> </w:t>
      </w:r>
      <w:r w:rsidR="00A13770" w:rsidRPr="0012621B">
        <w:t>day of</w:t>
      </w:r>
      <w:r w:rsidR="000A1968">
        <w:t xml:space="preserve"> January, </w:t>
      </w:r>
      <w:bookmarkStart w:id="31" w:name="_GoBack"/>
      <w:bookmarkEnd w:id="31"/>
      <w:r w:rsidR="00467D72">
        <w:t>2</w:t>
      </w:r>
      <w:r w:rsidR="00A13770" w:rsidRPr="0012621B">
        <w:t>020</w:t>
      </w:r>
    </w:p>
    <w:p w:rsidR="00E16941" w:rsidRDefault="00E16941" w:rsidP="00E16941">
      <w:pPr>
        <w:ind w:left="0"/>
        <w:rPr>
          <w:sz w:val="18"/>
        </w:rPr>
      </w:pPr>
    </w:p>
    <w:p w:rsidR="00837194" w:rsidRPr="00BF4589" w:rsidRDefault="00837194" w:rsidP="00E16941">
      <w:pPr>
        <w:ind w:left="0"/>
        <w:rPr>
          <w:sz w:val="18"/>
        </w:rPr>
      </w:pPr>
    </w:p>
    <w:p w:rsidR="00E16941" w:rsidRDefault="000A1968" w:rsidP="00E16941">
      <w:pPr>
        <w:ind w:left="0"/>
        <w:jc w:val="right"/>
      </w:pPr>
      <w:r>
        <w:pict>
          <v:rect id="_x0000_i1025" style="width:3in;height:.7pt" o:hrpct="0" o:hralign="right" o:hrstd="t" o:hrnoshade="t" o:hr="t" fillcolor="black" stroked="f"/>
        </w:pict>
      </w:r>
    </w:p>
    <w:p w:rsidR="00E16941" w:rsidRDefault="006141E3" w:rsidP="00E16941">
      <w:pPr>
        <w:ind w:left="0"/>
        <w:jc w:val="right"/>
      </w:pPr>
      <w:proofErr w:type="gramStart"/>
      <w:r>
        <w:t xml:space="preserve">Authorized to sign for              </w:t>
      </w:r>
      <w:proofErr w:type="spellStart"/>
      <w:r w:rsidR="00E16941">
        <w:t>Bychok</w:t>
      </w:r>
      <w:proofErr w:type="spellEnd"/>
      <w:r w:rsidR="00E16941">
        <w:t xml:space="preserve"> J.A.</w:t>
      </w:r>
      <w:proofErr w:type="gramEnd"/>
    </w:p>
    <w:p w:rsidR="00E16941" w:rsidRDefault="00E16941" w:rsidP="00E16941">
      <w:pPr>
        <w:ind w:left="0"/>
        <w:jc w:val="right"/>
      </w:pPr>
    </w:p>
    <w:p w:rsidR="00E16941" w:rsidRPr="00BF4589" w:rsidRDefault="00E16941" w:rsidP="00E16941">
      <w:pPr>
        <w:ind w:left="0"/>
        <w:jc w:val="right"/>
        <w:rPr>
          <w:sz w:val="20"/>
        </w:rPr>
      </w:pPr>
    </w:p>
    <w:p w:rsidR="00E16941" w:rsidRDefault="000A1968" w:rsidP="00E16941">
      <w:pPr>
        <w:ind w:left="0"/>
        <w:jc w:val="right"/>
      </w:pPr>
      <w:r>
        <w:pict>
          <v:rect id="_x0000_i1026" style="width:3in;height:.7pt" o:hrpct="0" o:hralign="right" o:hrstd="t" o:hrnoshade="t" o:hr="t" fillcolor="black" stroked="f"/>
        </w:pict>
      </w:r>
    </w:p>
    <w:p w:rsidR="00BF4589" w:rsidRDefault="00E16941" w:rsidP="00E16941">
      <w:pPr>
        <w:ind w:left="0"/>
        <w:jc w:val="right"/>
      </w:pPr>
      <w:proofErr w:type="spellStart"/>
      <w:r>
        <w:t>Khullar</w:t>
      </w:r>
      <w:proofErr w:type="spellEnd"/>
      <w:r>
        <w:t xml:space="preserve"> J.A.</w:t>
      </w:r>
    </w:p>
    <w:p w:rsidR="00BF4589" w:rsidRDefault="00BF4589" w:rsidP="00E16941">
      <w:pPr>
        <w:ind w:left="0"/>
        <w:jc w:val="right"/>
        <w:rPr>
          <w:sz w:val="22"/>
        </w:rPr>
      </w:pPr>
    </w:p>
    <w:p w:rsidR="00BF4589" w:rsidRPr="00BF4589" w:rsidRDefault="00BF4589" w:rsidP="00E16941">
      <w:pPr>
        <w:ind w:left="0"/>
        <w:jc w:val="right"/>
        <w:rPr>
          <w:sz w:val="22"/>
        </w:rPr>
      </w:pPr>
    </w:p>
    <w:p w:rsidR="00E16941" w:rsidRDefault="000A1968" w:rsidP="00E16941">
      <w:pPr>
        <w:ind w:left="0"/>
        <w:jc w:val="right"/>
      </w:pPr>
      <w:r>
        <w:pict>
          <v:rect id="_x0000_i1027" style="width:3in;height:.7pt" o:hrpct="0" o:hralign="right" o:hrstd="t" o:hrnoshade="t" o:hr="t" fillcolor="black" stroked="f"/>
        </w:pict>
      </w:r>
    </w:p>
    <w:p w:rsidR="000A20FB" w:rsidRDefault="00E16941" w:rsidP="00AD0DC1">
      <w:pPr>
        <w:ind w:left="0"/>
        <w:jc w:val="right"/>
        <w:rPr>
          <w:b/>
          <w:bCs/>
        </w:rPr>
      </w:pPr>
      <w:proofErr w:type="spellStart"/>
      <w:r>
        <w:t>Pentelechuk</w:t>
      </w:r>
      <w:proofErr w:type="spellEnd"/>
      <w:r>
        <w:t xml:space="preserve"> J.A.</w:t>
      </w:r>
      <w:bookmarkStart w:id="32" w:name="frAppearances"/>
      <w:bookmarkEnd w:id="32"/>
    </w:p>
    <w:p w:rsidR="00283549" w:rsidRPr="009C2254" w:rsidRDefault="00283549" w:rsidP="004B6F64">
      <w:pPr>
        <w:keepNext/>
        <w:keepLines/>
        <w:ind w:left="0"/>
      </w:pPr>
      <w:r w:rsidRPr="009C2254">
        <w:rPr>
          <w:b/>
          <w:bCs/>
        </w:rPr>
        <w:lastRenderedPageBreak/>
        <w:t>Appearances:</w:t>
      </w:r>
    </w:p>
    <w:p w:rsidR="00283549" w:rsidRPr="009C2254" w:rsidRDefault="00283549" w:rsidP="004B6F64">
      <w:pPr>
        <w:keepNext/>
        <w:keepLines/>
        <w:ind w:left="0"/>
      </w:pPr>
    </w:p>
    <w:p w:rsidR="00283549" w:rsidRPr="006A3891" w:rsidRDefault="006A3891" w:rsidP="004B6F64">
      <w:pPr>
        <w:keepNext/>
        <w:keepLines/>
        <w:ind w:left="0"/>
        <w:rPr>
          <w:color w:val="000000" w:themeColor="text1"/>
        </w:rPr>
      </w:pPr>
      <w:r w:rsidRPr="006A3891">
        <w:rPr>
          <w:color w:val="000000" w:themeColor="text1"/>
        </w:rPr>
        <w:t>B. Green</w:t>
      </w:r>
    </w:p>
    <w:p w:rsidR="00283549" w:rsidRPr="00B62368" w:rsidRDefault="00B62368" w:rsidP="004B6F64">
      <w:pPr>
        <w:keepNext/>
        <w:keepLines/>
        <w:ind w:left="0"/>
        <w:rPr>
          <w:color w:val="000000"/>
        </w:rPr>
      </w:pPr>
      <w:r>
        <w:tab/>
      </w:r>
      <w:proofErr w:type="gramStart"/>
      <w:r>
        <w:t>for</w:t>
      </w:r>
      <w:proofErr w:type="gramEnd"/>
      <w:r>
        <w:t xml:space="preserve"> the</w:t>
      </w:r>
      <w:r w:rsidR="006A3891">
        <w:t xml:space="preserve"> Respondent</w:t>
      </w:r>
    </w:p>
    <w:p w:rsidR="00283549" w:rsidRPr="009C2254" w:rsidRDefault="00283549" w:rsidP="004B6F64">
      <w:pPr>
        <w:keepNext/>
        <w:keepLines/>
        <w:ind w:left="0"/>
      </w:pPr>
    </w:p>
    <w:p w:rsidR="00283549" w:rsidRPr="006A3891" w:rsidRDefault="006A3891" w:rsidP="004B6F64">
      <w:pPr>
        <w:keepNext/>
        <w:keepLines/>
        <w:ind w:left="0"/>
        <w:rPr>
          <w:color w:val="000000" w:themeColor="text1"/>
        </w:rPr>
      </w:pPr>
      <w:r>
        <w:rPr>
          <w:color w:val="000000" w:themeColor="text1"/>
        </w:rPr>
        <w:t>J. Cunningham</w:t>
      </w:r>
    </w:p>
    <w:p w:rsidR="00283549" w:rsidRDefault="00B62368" w:rsidP="004B6F64">
      <w:pPr>
        <w:keepNext/>
        <w:keepLines/>
        <w:ind w:left="0"/>
      </w:pPr>
      <w:r>
        <w:tab/>
      </w:r>
      <w:proofErr w:type="gramStart"/>
      <w:r>
        <w:t>for</w:t>
      </w:r>
      <w:proofErr w:type="gramEnd"/>
      <w:r>
        <w:t xml:space="preserve"> the</w:t>
      </w:r>
      <w:r w:rsidR="006A3891">
        <w:t xml:space="preserve"> Appellant</w:t>
      </w:r>
      <w:r w:rsidR="004E741D">
        <w:t xml:space="preserve"> </w:t>
      </w:r>
      <w:r w:rsidR="00173DD8">
        <w:t>(</w:t>
      </w:r>
      <w:r w:rsidR="004E741D">
        <w:t>on the Sentence Appeal</w:t>
      </w:r>
      <w:r w:rsidR="00173DD8">
        <w:t xml:space="preserve"> only)</w:t>
      </w:r>
    </w:p>
    <w:p w:rsidR="004E741D" w:rsidRDefault="004E741D" w:rsidP="004B6F64">
      <w:pPr>
        <w:keepNext/>
        <w:keepLines/>
        <w:ind w:left="0"/>
        <w:rPr>
          <w:color w:val="000000"/>
        </w:rPr>
      </w:pPr>
    </w:p>
    <w:p w:rsidR="004E741D" w:rsidRPr="00B62368" w:rsidRDefault="004E741D" w:rsidP="004B6F64">
      <w:pPr>
        <w:keepNext/>
        <w:keepLines/>
        <w:ind w:left="0"/>
        <w:rPr>
          <w:color w:val="000000"/>
        </w:rPr>
      </w:pPr>
      <w:r>
        <w:rPr>
          <w:color w:val="000000"/>
        </w:rPr>
        <w:t>Appellant, In Person (</w:t>
      </w:r>
      <w:r w:rsidR="00173DD8">
        <w:rPr>
          <w:color w:val="000000"/>
        </w:rPr>
        <w:t>on</w:t>
      </w:r>
      <w:r>
        <w:rPr>
          <w:color w:val="000000"/>
        </w:rPr>
        <w:t xml:space="preserve"> Conviction appeal only)</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283549" w:rsidRPr="009C2254" w:rsidRDefault="00283549" w:rsidP="004B6F64">
      <w:pPr>
        <w:ind w:left="0"/>
      </w:pPr>
      <w:bookmarkStart w:id="33" w:name="Corrigendum"/>
      <w:bookmarkEnd w:id="33"/>
    </w:p>
    <w:p w:rsidR="008442F0" w:rsidRDefault="008442F0" w:rsidP="004B6F64">
      <w:pPr>
        <w:ind w:left="0"/>
        <w:sectPr w:rsidR="008442F0" w:rsidSect="008442F0">
          <w:headerReference w:type="even" r:id="rId14"/>
          <w:headerReference w:type="default" r:id="rId15"/>
          <w:headerReference w:type="first" r:id="rId16"/>
          <w:type w:val="continuous"/>
          <w:pgSz w:w="12240" w:h="15840"/>
          <w:pgMar w:top="1585" w:right="1440" w:bottom="1440" w:left="1440" w:header="1440" w:footer="1440" w:gutter="0"/>
          <w:pgNumType w:start="1"/>
          <w:cols w:space="720"/>
          <w:noEndnote/>
          <w:docGrid w:linePitch="326"/>
        </w:sectPr>
      </w:pPr>
    </w:p>
    <w:p w:rsidR="00FC029F" w:rsidRPr="004D654D" w:rsidRDefault="00FC029F" w:rsidP="00FC029F">
      <w:pPr>
        <w:tabs>
          <w:tab w:val="right" w:pos="9360"/>
        </w:tabs>
        <w:ind w:left="0"/>
        <w:jc w:val="right"/>
        <w:rPr>
          <w:rFonts w:eastAsia="PMingLiU"/>
        </w:rPr>
      </w:pPr>
      <w:r>
        <w:rPr>
          <w:rFonts w:eastAsia="PMingLiU"/>
          <w:bCs/>
        </w:rPr>
        <w:lastRenderedPageBreak/>
        <w:t xml:space="preserve"> A-1-AP-2017-000 016</w:t>
      </w:r>
    </w:p>
    <w:p w:rsidR="00E460DA" w:rsidRPr="007D3FA9" w:rsidRDefault="00E460DA" w:rsidP="00FC029F">
      <w:pPr>
        <w:ind w:left="3600" w:right="558" w:firstLine="720"/>
        <w:jc w:val="right"/>
        <w:rPr>
          <w:rFonts w:eastAsia="PMingLiU"/>
        </w:rPr>
      </w:pPr>
      <w:r>
        <w:rPr>
          <w:noProof/>
          <w:lang w:val="en-US" w:eastAsia="en-US"/>
        </w:rPr>
        <mc:AlternateContent>
          <mc:Choice Requires="wps">
            <w:drawing>
              <wp:anchor distT="0" distB="0" distL="114300" distR="114300" simplePos="0" relativeHeight="251659264" behindDoc="1" locked="1" layoutInCell="0" allowOverlap="1" wp14:anchorId="4FEAF184" wp14:editId="03403338">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58AD4A5"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E460DA" w:rsidRPr="007D3FA9" w:rsidRDefault="00E460DA" w:rsidP="00E460DA">
      <w:pPr>
        <w:ind w:left="3600" w:right="558"/>
        <w:rPr>
          <w:rFonts w:eastAsia="PMingLiU"/>
        </w:rPr>
      </w:pPr>
    </w:p>
    <w:p w:rsidR="00E460DA" w:rsidRPr="007D3FA9" w:rsidRDefault="00E460DA" w:rsidP="00E460DA">
      <w:pPr>
        <w:ind w:left="3600" w:right="558"/>
        <w:jc w:val="center"/>
        <w:rPr>
          <w:rFonts w:eastAsia="PMingLiU"/>
        </w:rPr>
      </w:pPr>
      <w:r>
        <w:rPr>
          <w:rFonts w:eastAsia="PMingLiU"/>
        </w:rPr>
        <w:t>IN THE COURT OF</w:t>
      </w:r>
      <w:r w:rsidRPr="007D3FA9">
        <w:rPr>
          <w:rFonts w:eastAsia="PMingLiU"/>
        </w:rPr>
        <w:t xml:space="preserve"> APPEAL</w:t>
      </w:r>
    </w:p>
    <w:p w:rsidR="00E460DA" w:rsidRPr="007D3FA9" w:rsidRDefault="00E460DA" w:rsidP="00E460DA">
      <w:pPr>
        <w:ind w:left="3600" w:right="558"/>
        <w:jc w:val="center"/>
        <w:rPr>
          <w:rFonts w:eastAsia="PMingLiU"/>
        </w:rPr>
      </w:pPr>
      <w:r>
        <w:rPr>
          <w:rFonts w:eastAsia="PMingLiU"/>
        </w:rPr>
        <w:t>FOR</w:t>
      </w:r>
      <w:r w:rsidRPr="007D3FA9">
        <w:rPr>
          <w:rFonts w:eastAsia="PMingLiU"/>
        </w:rPr>
        <w:t xml:space="preserve"> THE NORTHWEST TERRITORIES</w:t>
      </w:r>
    </w:p>
    <w:p w:rsidR="00E460DA" w:rsidRPr="007D3FA9" w:rsidRDefault="00E460DA" w:rsidP="00E460DA">
      <w:pPr>
        <w:ind w:left="3600" w:right="558"/>
        <w:jc w:val="center"/>
        <w:rPr>
          <w:rFonts w:eastAsia="PMingLiU"/>
        </w:rPr>
      </w:pPr>
    </w:p>
    <w:p w:rsidR="00E460DA" w:rsidRPr="007D3FA9" w:rsidRDefault="00E460DA" w:rsidP="00E460DA">
      <w:pPr>
        <w:ind w:left="3600" w:right="558"/>
        <w:rPr>
          <w:rFonts w:eastAsia="PMingLiU"/>
        </w:rPr>
      </w:pPr>
      <w:r>
        <w:rPr>
          <w:noProof/>
          <w:lang w:val="en-US" w:eastAsia="en-US"/>
        </w:rPr>
        <mc:AlternateContent>
          <mc:Choice Requires="wps">
            <w:drawing>
              <wp:anchor distT="0" distB="0" distL="114300" distR="114300" simplePos="0" relativeHeight="251660288" behindDoc="1" locked="1" layoutInCell="0" allowOverlap="1" wp14:anchorId="50F98BC9" wp14:editId="107490D1">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1BDAC69"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E460DA" w:rsidRPr="007D3FA9" w:rsidRDefault="00E460DA" w:rsidP="00E460DA">
      <w:pPr>
        <w:ind w:left="3600" w:right="558"/>
        <w:rPr>
          <w:rFonts w:eastAsia="PMingLiU"/>
        </w:rPr>
      </w:pPr>
    </w:p>
    <w:p w:rsidR="00FC029F" w:rsidRPr="009C2254" w:rsidRDefault="00FC029F" w:rsidP="00FC029F">
      <w:pPr>
        <w:ind w:left="2880" w:firstLine="720"/>
        <w:rPr>
          <w:rFonts w:eastAsia="PMingLiU"/>
        </w:rPr>
      </w:pPr>
      <w:r w:rsidRPr="009C2254">
        <w:rPr>
          <w:rFonts w:eastAsia="PMingLiU"/>
          <w:b/>
          <w:bCs/>
        </w:rPr>
        <w:t>Between:</w:t>
      </w:r>
    </w:p>
    <w:p w:rsidR="00FC029F" w:rsidRPr="009C2254" w:rsidRDefault="00FC029F" w:rsidP="00FC029F">
      <w:pPr>
        <w:ind w:left="0"/>
        <w:rPr>
          <w:rFonts w:eastAsia="PMingLiU"/>
        </w:rPr>
      </w:pPr>
    </w:p>
    <w:p w:rsidR="00FC029F" w:rsidRPr="00B62368" w:rsidRDefault="00FC029F" w:rsidP="00FC029F">
      <w:pPr>
        <w:ind w:left="2880" w:firstLine="720"/>
        <w:jc w:val="center"/>
        <w:rPr>
          <w:rFonts w:eastAsia="PMingLiU"/>
        </w:rPr>
      </w:pPr>
      <w:r>
        <w:rPr>
          <w:rFonts w:eastAsia="PMingLiU"/>
          <w:b/>
        </w:rPr>
        <w:t>Her Majesty the Queen</w:t>
      </w:r>
    </w:p>
    <w:p w:rsidR="00FC029F" w:rsidRPr="009C2254" w:rsidRDefault="00FC029F" w:rsidP="00FC029F">
      <w:pPr>
        <w:ind w:left="0"/>
        <w:rPr>
          <w:rFonts w:eastAsia="PMingLiU"/>
        </w:rPr>
      </w:pPr>
    </w:p>
    <w:p w:rsidR="00FC029F" w:rsidRPr="009C2254" w:rsidRDefault="00FC029F" w:rsidP="00FC029F">
      <w:pPr>
        <w:tabs>
          <w:tab w:val="right" w:pos="9360"/>
        </w:tabs>
        <w:ind w:left="0"/>
        <w:jc w:val="right"/>
        <w:rPr>
          <w:rFonts w:eastAsia="PMingLiU"/>
        </w:rPr>
      </w:pPr>
      <w:r>
        <w:rPr>
          <w:rFonts w:eastAsia="PMingLiU"/>
        </w:rPr>
        <w:t>Respondent</w:t>
      </w:r>
    </w:p>
    <w:p w:rsidR="00FC029F" w:rsidRPr="009C2254" w:rsidRDefault="00FC029F" w:rsidP="00FC029F">
      <w:pPr>
        <w:ind w:left="0"/>
        <w:rPr>
          <w:rFonts w:eastAsia="PMingLiU"/>
        </w:rPr>
      </w:pPr>
    </w:p>
    <w:p w:rsidR="00FC029F" w:rsidRPr="009C2254" w:rsidRDefault="00FC029F" w:rsidP="00FC029F">
      <w:pPr>
        <w:tabs>
          <w:tab w:val="center" w:pos="4680"/>
        </w:tabs>
        <w:ind w:left="0"/>
        <w:jc w:val="center"/>
        <w:rPr>
          <w:rFonts w:eastAsia="PMingLiU"/>
        </w:rPr>
      </w:pPr>
      <w:r>
        <w:rPr>
          <w:rFonts w:eastAsia="PMingLiU"/>
        </w:rPr>
        <w:t xml:space="preserve">                                                              </w:t>
      </w:r>
      <w:r w:rsidRPr="009C2254">
        <w:rPr>
          <w:rFonts w:eastAsia="PMingLiU"/>
        </w:rPr>
        <w:t xml:space="preserve">- </w:t>
      </w:r>
      <w:proofErr w:type="gramStart"/>
      <w:r w:rsidRPr="009C2254">
        <w:rPr>
          <w:rFonts w:eastAsia="PMingLiU"/>
        </w:rPr>
        <w:t>and</w:t>
      </w:r>
      <w:proofErr w:type="gramEnd"/>
      <w:r w:rsidRPr="009C2254">
        <w:rPr>
          <w:rFonts w:eastAsia="PMingLiU"/>
        </w:rPr>
        <w:t xml:space="preserve"> -</w:t>
      </w:r>
      <w:r>
        <w:rPr>
          <w:rFonts w:eastAsia="PMingLiU"/>
        </w:rPr>
        <w:t xml:space="preserve">  </w:t>
      </w:r>
    </w:p>
    <w:p w:rsidR="00FC029F" w:rsidRPr="009C2254" w:rsidRDefault="00FC029F" w:rsidP="00FC029F">
      <w:pPr>
        <w:ind w:left="0"/>
        <w:rPr>
          <w:rFonts w:eastAsia="PMingLiU"/>
        </w:rPr>
      </w:pPr>
    </w:p>
    <w:p w:rsidR="00FC029F" w:rsidRDefault="00FC029F" w:rsidP="00FC029F">
      <w:pPr>
        <w:ind w:left="2880" w:firstLine="720"/>
        <w:jc w:val="center"/>
        <w:rPr>
          <w:rFonts w:eastAsia="PMingLiU"/>
          <w:b/>
        </w:rPr>
      </w:pPr>
    </w:p>
    <w:p w:rsidR="00FC029F" w:rsidRPr="00B62368" w:rsidRDefault="00FC029F" w:rsidP="00FC029F">
      <w:pPr>
        <w:ind w:left="2880" w:firstLine="720"/>
        <w:jc w:val="center"/>
        <w:rPr>
          <w:rFonts w:eastAsia="PMingLiU"/>
        </w:rPr>
      </w:pPr>
      <w:r>
        <w:rPr>
          <w:rFonts w:eastAsia="PMingLiU"/>
          <w:b/>
        </w:rPr>
        <w:t>Bobby Zoe</w:t>
      </w:r>
    </w:p>
    <w:p w:rsidR="00FC029F" w:rsidRPr="009C2254" w:rsidRDefault="00FC029F" w:rsidP="00FC029F">
      <w:pPr>
        <w:ind w:left="0"/>
        <w:rPr>
          <w:rFonts w:eastAsia="PMingLiU"/>
        </w:rPr>
      </w:pPr>
    </w:p>
    <w:p w:rsidR="00FC029F" w:rsidRPr="009C2254" w:rsidRDefault="00FC029F" w:rsidP="00FC029F">
      <w:pPr>
        <w:tabs>
          <w:tab w:val="right" w:pos="9360"/>
        </w:tabs>
        <w:ind w:left="0"/>
        <w:jc w:val="right"/>
        <w:rPr>
          <w:rFonts w:eastAsia="PMingLiU"/>
        </w:rPr>
      </w:pPr>
      <w:r>
        <w:rPr>
          <w:rFonts w:eastAsia="PMingLiU"/>
        </w:rPr>
        <w:t>Appellant</w:t>
      </w:r>
    </w:p>
    <w:p w:rsidR="00E460DA" w:rsidRDefault="00E460DA" w:rsidP="00E460DA">
      <w:pPr>
        <w:ind w:left="3600" w:right="558"/>
        <w:rPr>
          <w:rFonts w:eastAsia="PMingLiU"/>
          <w:b/>
        </w:rPr>
      </w:pPr>
    </w:p>
    <w:p w:rsidR="00E460DA" w:rsidRPr="00274DA4" w:rsidRDefault="00E460DA" w:rsidP="00E460DA">
      <w:pPr>
        <w:ind w:left="3600" w:right="558"/>
        <w:rPr>
          <w:rFonts w:eastAsia="PMingLiU"/>
          <w:b/>
        </w:rPr>
      </w:pPr>
    </w:p>
    <w:tbl>
      <w:tblPr>
        <w:tblW w:w="0" w:type="auto"/>
        <w:tblInd w:w="3167"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CellMar>
          <w:top w:w="144" w:type="dxa"/>
          <w:left w:w="264" w:type="dxa"/>
          <w:bottom w:w="144" w:type="dxa"/>
          <w:right w:w="264" w:type="dxa"/>
        </w:tblCellMar>
        <w:tblLook w:val="0000" w:firstRow="0" w:lastRow="0" w:firstColumn="0" w:lastColumn="0" w:noHBand="0" w:noVBand="0"/>
      </w:tblPr>
      <w:tblGrid>
        <w:gridCol w:w="6030"/>
      </w:tblGrid>
      <w:tr w:rsidR="00FC029F" w:rsidRPr="009C2254" w:rsidTr="00FC029F">
        <w:tc>
          <w:tcPr>
            <w:tcW w:w="6030" w:type="dxa"/>
          </w:tcPr>
          <w:p w:rsidR="00FC029F" w:rsidRPr="009C2254" w:rsidRDefault="00FC029F" w:rsidP="00735C43">
            <w:pPr>
              <w:spacing w:line="187" w:lineRule="exact"/>
              <w:ind w:left="0"/>
              <w:rPr>
                <w:rFonts w:eastAsia="PMingLiU"/>
              </w:rPr>
            </w:pPr>
          </w:p>
          <w:p w:rsidR="00FC029F" w:rsidRPr="00B24F8F" w:rsidRDefault="00FC029F" w:rsidP="00735C43">
            <w:pPr>
              <w:spacing w:after="120"/>
              <w:ind w:left="0"/>
              <w:jc w:val="center"/>
              <w:rPr>
                <w:rFonts w:eastAsia="PMingLiU"/>
                <w:sz w:val="28"/>
                <w:szCs w:val="28"/>
              </w:rPr>
            </w:pPr>
            <w:r w:rsidRPr="00B24F8F">
              <w:rPr>
                <w:b/>
                <w:bCs/>
                <w:sz w:val="28"/>
                <w:szCs w:val="28"/>
              </w:rPr>
              <w:t>Restriction on Publication</w:t>
            </w:r>
          </w:p>
          <w:p w:rsidR="00FC029F" w:rsidRDefault="00FC029F" w:rsidP="00735C43">
            <w:pPr>
              <w:spacing w:before="120" w:after="120"/>
              <w:ind w:left="0"/>
              <w:rPr>
                <w:rFonts w:eastAsia="PMingLiU"/>
                <w:sz w:val="22"/>
                <w:szCs w:val="22"/>
              </w:rPr>
            </w:pPr>
            <w:r>
              <w:rPr>
                <w:rFonts w:eastAsia="PMingLiU"/>
                <w:b/>
                <w:sz w:val="22"/>
                <w:szCs w:val="22"/>
              </w:rPr>
              <w:t>Identification Ban</w:t>
            </w:r>
            <w:r>
              <w:rPr>
                <w:rFonts w:eastAsia="PMingLiU"/>
                <w:sz w:val="22"/>
                <w:szCs w:val="22"/>
              </w:rPr>
              <w:t xml:space="preserve"> – See the </w:t>
            </w:r>
            <w:r>
              <w:rPr>
                <w:rFonts w:eastAsia="PMingLiU"/>
                <w:i/>
                <w:sz w:val="22"/>
                <w:szCs w:val="22"/>
              </w:rPr>
              <w:t>Criminal Code</w:t>
            </w:r>
            <w:r>
              <w:rPr>
                <w:rFonts w:eastAsia="PMingLiU"/>
                <w:sz w:val="22"/>
                <w:szCs w:val="22"/>
              </w:rPr>
              <w:t>, section 486.4.</w:t>
            </w:r>
          </w:p>
          <w:p w:rsidR="00FC029F" w:rsidRDefault="00FC029F" w:rsidP="00735C43">
            <w:pPr>
              <w:spacing w:before="120" w:after="120"/>
              <w:ind w:left="0"/>
              <w:rPr>
                <w:rFonts w:eastAsia="PMingLiU"/>
                <w:sz w:val="22"/>
                <w:szCs w:val="22"/>
              </w:rPr>
            </w:pPr>
            <w:r>
              <w:rPr>
                <w:rFonts w:eastAsia="PMingLiU"/>
                <w:sz w:val="22"/>
                <w:szCs w:val="22"/>
              </w:rPr>
              <w:t>By Court Order, information that may identify the victims must not be published, broadcast, or transmitted in any way.</w:t>
            </w:r>
          </w:p>
          <w:p w:rsidR="00FC029F" w:rsidRPr="00B62368" w:rsidRDefault="00FC029F" w:rsidP="00735C43">
            <w:pPr>
              <w:spacing w:before="120" w:after="120"/>
              <w:ind w:left="0"/>
              <w:rPr>
                <w:rFonts w:eastAsia="PMingLiU"/>
                <w:sz w:val="22"/>
                <w:szCs w:val="22"/>
              </w:rPr>
            </w:pPr>
            <w:r>
              <w:rPr>
                <w:rFonts w:eastAsia="PMingLiU"/>
                <w:b/>
                <w:sz w:val="22"/>
                <w:szCs w:val="22"/>
              </w:rPr>
              <w:t>NOTE:</w:t>
            </w:r>
            <w:r>
              <w:rPr>
                <w:rFonts w:eastAsia="PMingLiU"/>
                <w:sz w:val="22"/>
                <w:szCs w:val="22"/>
              </w:rPr>
              <w:t xml:space="preserve"> This judgment is intended to comply with the identification ban.</w:t>
            </w:r>
          </w:p>
        </w:tc>
      </w:tr>
    </w:tbl>
    <w:p w:rsidR="00E460DA" w:rsidRPr="009C2254" w:rsidRDefault="00E460DA" w:rsidP="00E460DA">
      <w:pPr>
        <w:ind w:left="3600" w:right="558"/>
        <w:jc w:val="center"/>
        <w:rPr>
          <w:rFonts w:eastAsia="PMingLiU"/>
        </w:rPr>
      </w:pPr>
    </w:p>
    <w:p w:rsidR="00E460DA" w:rsidRPr="007D3FA9" w:rsidRDefault="00E460DA" w:rsidP="00E460DA">
      <w:pPr>
        <w:ind w:left="3600" w:right="558"/>
      </w:pPr>
      <w:r>
        <w:rPr>
          <w:noProof/>
          <w:lang w:val="en-US" w:eastAsia="en-US"/>
        </w:rPr>
        <mc:AlternateContent>
          <mc:Choice Requires="wps">
            <w:drawing>
              <wp:anchor distT="0" distB="0" distL="114300" distR="114300" simplePos="0" relativeHeight="251661312" behindDoc="1" locked="1" layoutInCell="0" allowOverlap="1" wp14:anchorId="62E45088" wp14:editId="6BF24A7E">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653363B"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E460DA" w:rsidRPr="007D3FA9" w:rsidRDefault="00E460DA" w:rsidP="00E460DA">
      <w:pPr>
        <w:ind w:left="3600" w:right="558"/>
        <w:jc w:val="center"/>
      </w:pPr>
      <w:r>
        <w:t>MEMORANDUM OF JUDGMENT</w:t>
      </w:r>
    </w:p>
    <w:p w:rsidR="00E460DA" w:rsidRPr="005D0388" w:rsidRDefault="00E460DA" w:rsidP="00E460DA">
      <w:pPr>
        <w:rPr>
          <w:b/>
        </w:rPr>
      </w:pPr>
      <w:r>
        <w:rPr>
          <w:b/>
        </w:rPr>
        <w:t xml:space="preserve">                   </w:t>
      </w:r>
      <w:r w:rsidR="00FC029F">
        <w:rPr>
          <w:b/>
        </w:rPr>
        <w:t xml:space="preserve">                    </w:t>
      </w:r>
      <w:r>
        <w:rPr>
          <w:b/>
        </w:rPr>
        <w:t xml:space="preserve"> </w:t>
      </w:r>
      <w:r w:rsidRPr="005D0388">
        <w:rPr>
          <w:b/>
          <w:noProof/>
          <w:lang w:val="en-US" w:eastAsia="en-US"/>
        </w:rPr>
        <w:drawing>
          <wp:inline distT="0" distB="0" distL="0" distR="0" wp14:anchorId="4920C2DA" wp14:editId="08E00170">
            <wp:extent cx="3932555" cy="12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2555" cy="12065"/>
                    </a:xfrm>
                    <a:prstGeom prst="rect">
                      <a:avLst/>
                    </a:prstGeom>
                    <a:noFill/>
                  </pic:spPr>
                </pic:pic>
              </a:graphicData>
            </a:graphic>
          </wp:inline>
        </w:drawing>
      </w:r>
    </w:p>
    <w:p w:rsidR="00E460DA" w:rsidRDefault="00E460DA" w:rsidP="00E460DA"/>
    <w:p w:rsidR="00E460DA" w:rsidRPr="006D12D2" w:rsidRDefault="00E460DA" w:rsidP="00E460DA"/>
    <w:p w:rsidR="00E460DA" w:rsidRPr="006D12D2" w:rsidRDefault="00E460DA" w:rsidP="00E460DA"/>
    <w:p w:rsidR="00E460DA" w:rsidRPr="006D12D2" w:rsidRDefault="00E460DA" w:rsidP="00E460DA"/>
    <w:p w:rsidR="00E460DA" w:rsidRPr="006D12D2" w:rsidRDefault="00E460DA" w:rsidP="00E460DA"/>
    <w:p w:rsidR="00E460DA" w:rsidRPr="006D12D2" w:rsidRDefault="00E460DA" w:rsidP="00E460DA">
      <w:pPr>
        <w:tabs>
          <w:tab w:val="left" w:pos="1824"/>
        </w:tabs>
      </w:pPr>
      <w:r>
        <w:tab/>
      </w:r>
    </w:p>
    <w:p w:rsidR="00283549" w:rsidRPr="009C2254" w:rsidRDefault="00283549" w:rsidP="004B6F64">
      <w:pPr>
        <w:ind w:left="0"/>
      </w:pPr>
    </w:p>
    <w:sectPr w:rsidR="00283549" w:rsidRPr="009C2254" w:rsidSect="008818AA">
      <w:headerReference w:type="default" r:id="rId18"/>
      <w:footerReference w:type="default" r:id="rId19"/>
      <w:pgSz w:w="12240" w:h="15840"/>
      <w:pgMar w:top="1585"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DD" w:rsidRDefault="00FD22DD" w:rsidP="00283549">
      <w:r>
        <w:separator/>
      </w:r>
    </w:p>
  </w:endnote>
  <w:endnote w:type="continuationSeparator" w:id="0">
    <w:p w:rsidR="00FD22DD" w:rsidRDefault="00FD22DD"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13" w:rsidRDefault="00165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D2" w:rsidRDefault="000A1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DD" w:rsidRDefault="00FD22DD" w:rsidP="0046579D">
      <w:pPr>
        <w:ind w:left="0"/>
      </w:pPr>
      <w:r>
        <w:separator/>
      </w:r>
    </w:p>
  </w:footnote>
  <w:footnote w:type="continuationSeparator" w:id="0">
    <w:p w:rsidR="00FD22DD" w:rsidRDefault="00FD22DD"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0A19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2" w:rsidRDefault="000A19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49" w:rsidRPr="00ED4A08" w:rsidRDefault="00283549"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2" w:rsidRDefault="008940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0A19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5C" w:rsidRDefault="0099595C">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1968">
          <w:rPr>
            <w:noProof/>
          </w:rPr>
          <w:t>12</w:t>
        </w:r>
        <w:r>
          <w:rPr>
            <w:noProof/>
          </w:rPr>
          <w:fldChar w:fldCharType="end"/>
        </w:r>
      </w:sdtContent>
    </w:sdt>
  </w:p>
  <w:p w:rsidR="009423C5" w:rsidRDefault="009423C5">
    <w:pPr>
      <w:spacing w:line="240" w:lineRule="exact"/>
      <w:rPr>
        <w:rFonts w:eastAsia="PMingLiU"/>
        <w:lang w:val="en-GB"/>
      </w:rPr>
    </w:pPr>
  </w:p>
  <w:p w:rsidR="009423C5" w:rsidRDefault="009423C5">
    <w:pPr>
      <w:spacing w:line="240" w:lineRule="exact"/>
      <w:rPr>
        <w:rFonts w:eastAsia="PMingLiU"/>
        <w:lang w:val="en-GB"/>
      </w:rPr>
    </w:pPr>
  </w:p>
  <w:p w:rsidR="0099595C" w:rsidRDefault="0099595C">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A603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AA" w:rsidRPr="006D12D2" w:rsidRDefault="000A1968" w:rsidP="006D1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784C14"/>
    <w:lvl w:ilvl="0">
      <w:start w:val="1"/>
      <w:numFmt w:val="decimal"/>
      <w:lvlText w:val="%1."/>
      <w:lvlJc w:val="left"/>
      <w:pPr>
        <w:tabs>
          <w:tab w:val="num" w:pos="1492"/>
        </w:tabs>
        <w:ind w:left="1492" w:hanging="360"/>
      </w:pPr>
    </w:lvl>
  </w:abstractNum>
  <w:abstractNum w:abstractNumId="1">
    <w:nsid w:val="FFFFFF7D"/>
    <w:multiLevelType w:val="singleLevel"/>
    <w:tmpl w:val="25EE71E4"/>
    <w:lvl w:ilvl="0">
      <w:start w:val="1"/>
      <w:numFmt w:val="decimal"/>
      <w:lvlText w:val="%1."/>
      <w:lvlJc w:val="left"/>
      <w:pPr>
        <w:tabs>
          <w:tab w:val="num" w:pos="1209"/>
        </w:tabs>
        <w:ind w:left="1209" w:hanging="360"/>
      </w:pPr>
    </w:lvl>
  </w:abstractNum>
  <w:abstractNum w:abstractNumId="2">
    <w:nsid w:val="FFFFFF7E"/>
    <w:multiLevelType w:val="singleLevel"/>
    <w:tmpl w:val="3A66CEE8"/>
    <w:lvl w:ilvl="0">
      <w:start w:val="1"/>
      <w:numFmt w:val="decimal"/>
      <w:lvlText w:val="%1."/>
      <w:lvlJc w:val="left"/>
      <w:pPr>
        <w:tabs>
          <w:tab w:val="num" w:pos="926"/>
        </w:tabs>
        <w:ind w:left="926" w:hanging="360"/>
      </w:pPr>
    </w:lvl>
  </w:abstractNum>
  <w:abstractNum w:abstractNumId="3">
    <w:nsid w:val="FFFFFF7F"/>
    <w:multiLevelType w:val="singleLevel"/>
    <w:tmpl w:val="C234FA86"/>
    <w:lvl w:ilvl="0">
      <w:start w:val="1"/>
      <w:numFmt w:val="decimal"/>
      <w:lvlText w:val="%1."/>
      <w:lvlJc w:val="left"/>
      <w:pPr>
        <w:tabs>
          <w:tab w:val="num" w:pos="643"/>
        </w:tabs>
        <w:ind w:left="643" w:hanging="360"/>
      </w:pPr>
    </w:lvl>
  </w:abstractNum>
  <w:abstractNum w:abstractNumId="4">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109D52"/>
    <w:lvl w:ilvl="0">
      <w:start w:val="1"/>
      <w:numFmt w:val="decimal"/>
      <w:lvlText w:val="%1."/>
      <w:lvlJc w:val="left"/>
      <w:pPr>
        <w:tabs>
          <w:tab w:val="num" w:pos="360"/>
        </w:tabs>
        <w:ind w:left="360" w:hanging="360"/>
      </w:pPr>
    </w:lvl>
  </w:abstractNum>
  <w:abstractNum w:abstractNumId="9">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6A5B59"/>
    <w:multiLevelType w:val="hybridMultilevel"/>
    <w:tmpl w:val="579693D0"/>
    <w:lvl w:ilvl="0" w:tplc="87AAEB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07770BD5"/>
    <w:multiLevelType w:val="hybridMultilevel"/>
    <w:tmpl w:val="23584F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0C18146B"/>
    <w:multiLevelType w:val="hybridMultilevel"/>
    <w:tmpl w:val="F0B640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15545D29"/>
    <w:multiLevelType w:val="hybridMultilevel"/>
    <w:tmpl w:val="5392706E"/>
    <w:lvl w:ilvl="0" w:tplc="0D829C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2A4015E8"/>
    <w:multiLevelType w:val="hybridMultilevel"/>
    <w:tmpl w:val="661CA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2CFF5D2A"/>
    <w:multiLevelType w:val="hybridMultilevel"/>
    <w:tmpl w:val="A96AD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3BBB2DB6"/>
    <w:multiLevelType w:val="hybridMultilevel"/>
    <w:tmpl w:val="469634C6"/>
    <w:lvl w:ilvl="0" w:tplc="1D582C4A">
      <w:start w:val="1"/>
      <w:numFmt w:val="lowerRoman"/>
      <w:lvlText w:val="%1)"/>
      <w:lvlJc w:val="left"/>
      <w:pPr>
        <w:ind w:left="720" w:hanging="720"/>
      </w:pPr>
      <w:rPr>
        <w:rFonts w:hint="default"/>
        <w:b/>
        <w:i w:val="0"/>
      </w:r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19">
    <w:nsid w:val="466C678F"/>
    <w:multiLevelType w:val="multilevel"/>
    <w:tmpl w:val="63C0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666EAB"/>
    <w:multiLevelType w:val="hybridMultilevel"/>
    <w:tmpl w:val="7598E79A"/>
    <w:lvl w:ilvl="0" w:tplc="7E1444CA">
      <w:start w:val="1"/>
      <w:numFmt w:val="lowerRoman"/>
      <w:lvlText w:val="%1)"/>
      <w:lvlJc w:val="left"/>
      <w:pPr>
        <w:ind w:left="1080" w:hanging="720"/>
      </w:pPr>
      <w:rPr>
        <w:rFonts w:eastAsiaTheme="majorEastAsia" w:cstheme="majorBidi"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57450D5"/>
    <w:multiLevelType w:val="hybridMultilevel"/>
    <w:tmpl w:val="9AF406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E463DC6"/>
    <w:multiLevelType w:val="hybridMultilevel"/>
    <w:tmpl w:val="42DC5E0C"/>
    <w:lvl w:ilvl="0" w:tplc="5818EFC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486109B"/>
    <w:multiLevelType w:val="hybridMultilevel"/>
    <w:tmpl w:val="46D27814"/>
    <w:lvl w:ilvl="0" w:tplc="389888B2">
      <w:start w:val="1"/>
      <w:numFmt w:val="upperRoman"/>
      <w:lvlText w:val="%1."/>
      <w:lvlJc w:val="left"/>
      <w:pPr>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5"/>
  </w:num>
  <w:num w:numId="18">
    <w:abstractNumId w:val="15"/>
  </w:num>
  <w:num w:numId="19">
    <w:abstractNumId w:val="23"/>
  </w:num>
  <w:num w:numId="20">
    <w:abstractNumId w:val="22"/>
  </w:num>
  <w:num w:numId="21">
    <w:abstractNumId w:val="14"/>
  </w:num>
  <w:num w:numId="22">
    <w:abstractNumId w:val="11"/>
  </w:num>
  <w:num w:numId="23">
    <w:abstractNumId w:val="12"/>
  </w:num>
  <w:num w:numId="24">
    <w:abstractNumId w:val="17"/>
  </w:num>
  <w:num w:numId="25">
    <w:abstractNumId w:val="18"/>
  </w:num>
  <w:num w:numId="26">
    <w:abstractNumId w:val="20"/>
  </w:num>
  <w:num w:numId="27">
    <w:abstractNumId w:val="19"/>
  </w:num>
  <w:num w:numId="28">
    <w:abstractNumId w:val="13"/>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79ECD1-4BBA-417D-BC8E-4B76ACBA5487}"/>
    <w:docVar w:name="dgnword-eventsink" w:val="139909208"/>
  </w:docVars>
  <w:rsids>
    <w:rsidRoot w:val="00B62368"/>
    <w:rsid w:val="00013C34"/>
    <w:rsid w:val="00017051"/>
    <w:rsid w:val="00020F5E"/>
    <w:rsid w:val="000309C2"/>
    <w:rsid w:val="00032ECF"/>
    <w:rsid w:val="00036500"/>
    <w:rsid w:val="00040FD3"/>
    <w:rsid w:val="00043217"/>
    <w:rsid w:val="00051064"/>
    <w:rsid w:val="00056E70"/>
    <w:rsid w:val="00057009"/>
    <w:rsid w:val="00061C48"/>
    <w:rsid w:val="0006691E"/>
    <w:rsid w:val="00081857"/>
    <w:rsid w:val="00081CE2"/>
    <w:rsid w:val="00085467"/>
    <w:rsid w:val="000913C2"/>
    <w:rsid w:val="000A1968"/>
    <w:rsid w:val="000A20FB"/>
    <w:rsid w:val="000A5E37"/>
    <w:rsid w:val="000A6F59"/>
    <w:rsid w:val="000B1459"/>
    <w:rsid w:val="000B3F65"/>
    <w:rsid w:val="000B53A1"/>
    <w:rsid w:val="000B5573"/>
    <w:rsid w:val="000C0919"/>
    <w:rsid w:val="000C3829"/>
    <w:rsid w:val="000C709A"/>
    <w:rsid w:val="000D0186"/>
    <w:rsid w:val="000D2C6F"/>
    <w:rsid w:val="000D78DD"/>
    <w:rsid w:val="000E0197"/>
    <w:rsid w:val="000F3FE0"/>
    <w:rsid w:val="000F791A"/>
    <w:rsid w:val="0010021E"/>
    <w:rsid w:val="00105389"/>
    <w:rsid w:val="001056E1"/>
    <w:rsid w:val="00116764"/>
    <w:rsid w:val="0011708D"/>
    <w:rsid w:val="0012621B"/>
    <w:rsid w:val="00132B2B"/>
    <w:rsid w:val="0013641E"/>
    <w:rsid w:val="00136663"/>
    <w:rsid w:val="00144CA8"/>
    <w:rsid w:val="00146623"/>
    <w:rsid w:val="00147343"/>
    <w:rsid w:val="00156FB1"/>
    <w:rsid w:val="001601D2"/>
    <w:rsid w:val="00165313"/>
    <w:rsid w:val="00165E04"/>
    <w:rsid w:val="00173DD8"/>
    <w:rsid w:val="00174E9E"/>
    <w:rsid w:val="00183170"/>
    <w:rsid w:val="00187CF6"/>
    <w:rsid w:val="00194D2F"/>
    <w:rsid w:val="00195561"/>
    <w:rsid w:val="001A0A95"/>
    <w:rsid w:val="001C26B6"/>
    <w:rsid w:val="001C2845"/>
    <w:rsid w:val="001C5284"/>
    <w:rsid w:val="001D5E55"/>
    <w:rsid w:val="001E0671"/>
    <w:rsid w:val="001E51AF"/>
    <w:rsid w:val="001E53E3"/>
    <w:rsid w:val="001E63AD"/>
    <w:rsid w:val="001F1B76"/>
    <w:rsid w:val="001F2EF2"/>
    <w:rsid w:val="001F3FB1"/>
    <w:rsid w:val="002121B5"/>
    <w:rsid w:val="00222C3B"/>
    <w:rsid w:val="002232F3"/>
    <w:rsid w:val="00231E11"/>
    <w:rsid w:val="00235C6C"/>
    <w:rsid w:val="00235D76"/>
    <w:rsid w:val="00237638"/>
    <w:rsid w:val="0024025E"/>
    <w:rsid w:val="0025055D"/>
    <w:rsid w:val="002600AC"/>
    <w:rsid w:val="00261652"/>
    <w:rsid w:val="002672B1"/>
    <w:rsid w:val="00272630"/>
    <w:rsid w:val="00272F13"/>
    <w:rsid w:val="00276DC5"/>
    <w:rsid w:val="00281769"/>
    <w:rsid w:val="00283158"/>
    <w:rsid w:val="00283549"/>
    <w:rsid w:val="002867AE"/>
    <w:rsid w:val="002A1325"/>
    <w:rsid w:val="002A520F"/>
    <w:rsid w:val="002B1377"/>
    <w:rsid w:val="002C18AE"/>
    <w:rsid w:val="002C253B"/>
    <w:rsid w:val="002C43CF"/>
    <w:rsid w:val="002C5D0F"/>
    <w:rsid w:val="002E3474"/>
    <w:rsid w:val="002F0773"/>
    <w:rsid w:val="00303366"/>
    <w:rsid w:val="0030375E"/>
    <w:rsid w:val="00305C1C"/>
    <w:rsid w:val="00316FE5"/>
    <w:rsid w:val="00321AF8"/>
    <w:rsid w:val="00322626"/>
    <w:rsid w:val="003278B7"/>
    <w:rsid w:val="00335BC6"/>
    <w:rsid w:val="0034371D"/>
    <w:rsid w:val="00344BD6"/>
    <w:rsid w:val="0034528C"/>
    <w:rsid w:val="003463FF"/>
    <w:rsid w:val="0035183B"/>
    <w:rsid w:val="00351CBE"/>
    <w:rsid w:val="00354F42"/>
    <w:rsid w:val="003558F6"/>
    <w:rsid w:val="003633DF"/>
    <w:rsid w:val="00364FBF"/>
    <w:rsid w:val="00366E25"/>
    <w:rsid w:val="00367C62"/>
    <w:rsid w:val="003719B8"/>
    <w:rsid w:val="00371A50"/>
    <w:rsid w:val="00382592"/>
    <w:rsid w:val="0039337C"/>
    <w:rsid w:val="00397AC2"/>
    <w:rsid w:val="003A718C"/>
    <w:rsid w:val="003B1993"/>
    <w:rsid w:val="003B457E"/>
    <w:rsid w:val="003C040A"/>
    <w:rsid w:val="003C118C"/>
    <w:rsid w:val="003C13B9"/>
    <w:rsid w:val="003C6097"/>
    <w:rsid w:val="003D3DF0"/>
    <w:rsid w:val="003D72B2"/>
    <w:rsid w:val="003E0901"/>
    <w:rsid w:val="003F0216"/>
    <w:rsid w:val="00412262"/>
    <w:rsid w:val="00415204"/>
    <w:rsid w:val="004208E4"/>
    <w:rsid w:val="00423CDC"/>
    <w:rsid w:val="00425AB6"/>
    <w:rsid w:val="004312B0"/>
    <w:rsid w:val="00436A6A"/>
    <w:rsid w:val="00446886"/>
    <w:rsid w:val="00450FB1"/>
    <w:rsid w:val="0045227D"/>
    <w:rsid w:val="00453717"/>
    <w:rsid w:val="00461AFD"/>
    <w:rsid w:val="00462D82"/>
    <w:rsid w:val="0046579D"/>
    <w:rsid w:val="00467D72"/>
    <w:rsid w:val="0047448D"/>
    <w:rsid w:val="00476459"/>
    <w:rsid w:val="00477584"/>
    <w:rsid w:val="00481104"/>
    <w:rsid w:val="00483AB1"/>
    <w:rsid w:val="004857E7"/>
    <w:rsid w:val="0049446D"/>
    <w:rsid w:val="00494F61"/>
    <w:rsid w:val="00496ADB"/>
    <w:rsid w:val="004A2D3C"/>
    <w:rsid w:val="004A68C2"/>
    <w:rsid w:val="004B0DB2"/>
    <w:rsid w:val="004B369D"/>
    <w:rsid w:val="004B38AF"/>
    <w:rsid w:val="004B6F64"/>
    <w:rsid w:val="004C0B65"/>
    <w:rsid w:val="004C4F36"/>
    <w:rsid w:val="004D0EBE"/>
    <w:rsid w:val="004D654D"/>
    <w:rsid w:val="004E5F1A"/>
    <w:rsid w:val="004E741D"/>
    <w:rsid w:val="004F0788"/>
    <w:rsid w:val="004F41FC"/>
    <w:rsid w:val="00502C82"/>
    <w:rsid w:val="00505275"/>
    <w:rsid w:val="005142FF"/>
    <w:rsid w:val="0051621C"/>
    <w:rsid w:val="00516CAF"/>
    <w:rsid w:val="005207F5"/>
    <w:rsid w:val="00521604"/>
    <w:rsid w:val="00533958"/>
    <w:rsid w:val="00533FBE"/>
    <w:rsid w:val="005348EA"/>
    <w:rsid w:val="005354E7"/>
    <w:rsid w:val="00546ACB"/>
    <w:rsid w:val="00552889"/>
    <w:rsid w:val="00556C18"/>
    <w:rsid w:val="00560BBA"/>
    <w:rsid w:val="005748CD"/>
    <w:rsid w:val="00574B53"/>
    <w:rsid w:val="00575090"/>
    <w:rsid w:val="0059162A"/>
    <w:rsid w:val="005924A7"/>
    <w:rsid w:val="005B3B8A"/>
    <w:rsid w:val="005B5719"/>
    <w:rsid w:val="005B66A3"/>
    <w:rsid w:val="005B75C5"/>
    <w:rsid w:val="005C1375"/>
    <w:rsid w:val="005C18AA"/>
    <w:rsid w:val="005C3D7F"/>
    <w:rsid w:val="005D506E"/>
    <w:rsid w:val="005D6E2B"/>
    <w:rsid w:val="005E0B0C"/>
    <w:rsid w:val="005E4298"/>
    <w:rsid w:val="00601AD4"/>
    <w:rsid w:val="006141E3"/>
    <w:rsid w:val="00616071"/>
    <w:rsid w:val="006243FE"/>
    <w:rsid w:val="00635178"/>
    <w:rsid w:val="00646CC4"/>
    <w:rsid w:val="00650849"/>
    <w:rsid w:val="00652C32"/>
    <w:rsid w:val="00657A16"/>
    <w:rsid w:val="00665273"/>
    <w:rsid w:val="00665F46"/>
    <w:rsid w:val="00673B4F"/>
    <w:rsid w:val="00677C72"/>
    <w:rsid w:val="0068293C"/>
    <w:rsid w:val="006879DF"/>
    <w:rsid w:val="00690C12"/>
    <w:rsid w:val="006943A4"/>
    <w:rsid w:val="006A3891"/>
    <w:rsid w:val="006A6C2D"/>
    <w:rsid w:val="006C044D"/>
    <w:rsid w:val="006C0F9C"/>
    <w:rsid w:val="006D5590"/>
    <w:rsid w:val="006D5B01"/>
    <w:rsid w:val="006E0677"/>
    <w:rsid w:val="006E5921"/>
    <w:rsid w:val="006E7789"/>
    <w:rsid w:val="006E7AE1"/>
    <w:rsid w:val="006F0654"/>
    <w:rsid w:val="00700DC0"/>
    <w:rsid w:val="0070155A"/>
    <w:rsid w:val="00721043"/>
    <w:rsid w:val="00723CD1"/>
    <w:rsid w:val="007273C2"/>
    <w:rsid w:val="00742F89"/>
    <w:rsid w:val="00747E92"/>
    <w:rsid w:val="007514E8"/>
    <w:rsid w:val="00754639"/>
    <w:rsid w:val="007565AD"/>
    <w:rsid w:val="00757630"/>
    <w:rsid w:val="00767652"/>
    <w:rsid w:val="007727FA"/>
    <w:rsid w:val="007769FF"/>
    <w:rsid w:val="00777EBE"/>
    <w:rsid w:val="007803CC"/>
    <w:rsid w:val="00784F2A"/>
    <w:rsid w:val="007901F1"/>
    <w:rsid w:val="00797087"/>
    <w:rsid w:val="007A131A"/>
    <w:rsid w:val="007B50EE"/>
    <w:rsid w:val="007B5F16"/>
    <w:rsid w:val="007B5F98"/>
    <w:rsid w:val="007C1930"/>
    <w:rsid w:val="007C2746"/>
    <w:rsid w:val="007C3ACF"/>
    <w:rsid w:val="007C5D54"/>
    <w:rsid w:val="007D5DD7"/>
    <w:rsid w:val="007E3D0B"/>
    <w:rsid w:val="007E3EB9"/>
    <w:rsid w:val="007F73F9"/>
    <w:rsid w:val="00802DA1"/>
    <w:rsid w:val="00820759"/>
    <w:rsid w:val="00823B6A"/>
    <w:rsid w:val="00824BFF"/>
    <w:rsid w:val="00825ED7"/>
    <w:rsid w:val="00827E5E"/>
    <w:rsid w:val="008368D3"/>
    <w:rsid w:val="00837194"/>
    <w:rsid w:val="00842ACE"/>
    <w:rsid w:val="008442F0"/>
    <w:rsid w:val="00844D69"/>
    <w:rsid w:val="008455AC"/>
    <w:rsid w:val="00850449"/>
    <w:rsid w:val="0085296C"/>
    <w:rsid w:val="008533A5"/>
    <w:rsid w:val="008534A6"/>
    <w:rsid w:val="0085542B"/>
    <w:rsid w:val="00856282"/>
    <w:rsid w:val="00861881"/>
    <w:rsid w:val="00867F88"/>
    <w:rsid w:val="008703E4"/>
    <w:rsid w:val="00880F94"/>
    <w:rsid w:val="008830F5"/>
    <w:rsid w:val="00887ACD"/>
    <w:rsid w:val="00891556"/>
    <w:rsid w:val="008940F2"/>
    <w:rsid w:val="008A0109"/>
    <w:rsid w:val="008A5397"/>
    <w:rsid w:val="008B22BD"/>
    <w:rsid w:val="008C353B"/>
    <w:rsid w:val="008C6517"/>
    <w:rsid w:val="008C765E"/>
    <w:rsid w:val="008D29B8"/>
    <w:rsid w:val="008D5D78"/>
    <w:rsid w:val="008E0AB8"/>
    <w:rsid w:val="008E1D29"/>
    <w:rsid w:val="008F6A6C"/>
    <w:rsid w:val="00903F5D"/>
    <w:rsid w:val="009101DA"/>
    <w:rsid w:val="0091083F"/>
    <w:rsid w:val="00911247"/>
    <w:rsid w:val="00914D58"/>
    <w:rsid w:val="00917F2E"/>
    <w:rsid w:val="00923033"/>
    <w:rsid w:val="00933666"/>
    <w:rsid w:val="00935271"/>
    <w:rsid w:val="009423C5"/>
    <w:rsid w:val="00942DE8"/>
    <w:rsid w:val="009456BD"/>
    <w:rsid w:val="009467DA"/>
    <w:rsid w:val="00952FF4"/>
    <w:rsid w:val="009533DA"/>
    <w:rsid w:val="00954CD4"/>
    <w:rsid w:val="009557B4"/>
    <w:rsid w:val="0095755B"/>
    <w:rsid w:val="00960FC7"/>
    <w:rsid w:val="00962B4D"/>
    <w:rsid w:val="00971C56"/>
    <w:rsid w:val="009727C6"/>
    <w:rsid w:val="00973735"/>
    <w:rsid w:val="009808C6"/>
    <w:rsid w:val="00983F10"/>
    <w:rsid w:val="00991A09"/>
    <w:rsid w:val="009957A2"/>
    <w:rsid w:val="0099595C"/>
    <w:rsid w:val="00996972"/>
    <w:rsid w:val="009A09EB"/>
    <w:rsid w:val="009A316D"/>
    <w:rsid w:val="009C0849"/>
    <w:rsid w:val="009C1585"/>
    <w:rsid w:val="009C2254"/>
    <w:rsid w:val="009C603C"/>
    <w:rsid w:val="009D6527"/>
    <w:rsid w:val="009E35CD"/>
    <w:rsid w:val="009E4184"/>
    <w:rsid w:val="009F5438"/>
    <w:rsid w:val="00A01024"/>
    <w:rsid w:val="00A03526"/>
    <w:rsid w:val="00A10DFD"/>
    <w:rsid w:val="00A120A5"/>
    <w:rsid w:val="00A13770"/>
    <w:rsid w:val="00A23CE8"/>
    <w:rsid w:val="00A31916"/>
    <w:rsid w:val="00A50F64"/>
    <w:rsid w:val="00A5375A"/>
    <w:rsid w:val="00A603CF"/>
    <w:rsid w:val="00A63299"/>
    <w:rsid w:val="00A7148A"/>
    <w:rsid w:val="00A7683F"/>
    <w:rsid w:val="00A909EC"/>
    <w:rsid w:val="00AA07F3"/>
    <w:rsid w:val="00AA2B33"/>
    <w:rsid w:val="00AA5449"/>
    <w:rsid w:val="00AA76C7"/>
    <w:rsid w:val="00AB0EFF"/>
    <w:rsid w:val="00AB4B91"/>
    <w:rsid w:val="00AC40BD"/>
    <w:rsid w:val="00AD0DC1"/>
    <w:rsid w:val="00AE0A64"/>
    <w:rsid w:val="00AE1BF2"/>
    <w:rsid w:val="00AE240F"/>
    <w:rsid w:val="00AE60D0"/>
    <w:rsid w:val="00AF11B8"/>
    <w:rsid w:val="00AF39D1"/>
    <w:rsid w:val="00AF5E13"/>
    <w:rsid w:val="00B011A8"/>
    <w:rsid w:val="00B026BE"/>
    <w:rsid w:val="00B02F9C"/>
    <w:rsid w:val="00B037FD"/>
    <w:rsid w:val="00B046DD"/>
    <w:rsid w:val="00B066F4"/>
    <w:rsid w:val="00B1323A"/>
    <w:rsid w:val="00B166D1"/>
    <w:rsid w:val="00B16B6B"/>
    <w:rsid w:val="00B2264B"/>
    <w:rsid w:val="00B23CC3"/>
    <w:rsid w:val="00B24F8F"/>
    <w:rsid w:val="00B306CE"/>
    <w:rsid w:val="00B40B43"/>
    <w:rsid w:val="00B51454"/>
    <w:rsid w:val="00B62368"/>
    <w:rsid w:val="00B666C2"/>
    <w:rsid w:val="00B7093D"/>
    <w:rsid w:val="00B74996"/>
    <w:rsid w:val="00B74D1B"/>
    <w:rsid w:val="00B77E59"/>
    <w:rsid w:val="00B842B8"/>
    <w:rsid w:val="00B96A64"/>
    <w:rsid w:val="00BA3462"/>
    <w:rsid w:val="00BA387D"/>
    <w:rsid w:val="00BA3FE6"/>
    <w:rsid w:val="00BA5EF6"/>
    <w:rsid w:val="00BA7199"/>
    <w:rsid w:val="00BB3843"/>
    <w:rsid w:val="00BB3D90"/>
    <w:rsid w:val="00BB7178"/>
    <w:rsid w:val="00BC6B04"/>
    <w:rsid w:val="00BD2EDA"/>
    <w:rsid w:val="00BD3E32"/>
    <w:rsid w:val="00BE2F2B"/>
    <w:rsid w:val="00BE6260"/>
    <w:rsid w:val="00BF4589"/>
    <w:rsid w:val="00C126F4"/>
    <w:rsid w:val="00C141DC"/>
    <w:rsid w:val="00C17B61"/>
    <w:rsid w:val="00C267F6"/>
    <w:rsid w:val="00C27358"/>
    <w:rsid w:val="00C31429"/>
    <w:rsid w:val="00C34414"/>
    <w:rsid w:val="00C36A5D"/>
    <w:rsid w:val="00C404EC"/>
    <w:rsid w:val="00C41BE2"/>
    <w:rsid w:val="00C6140D"/>
    <w:rsid w:val="00C63676"/>
    <w:rsid w:val="00C66EA9"/>
    <w:rsid w:val="00C67090"/>
    <w:rsid w:val="00C73249"/>
    <w:rsid w:val="00C758F4"/>
    <w:rsid w:val="00C7596B"/>
    <w:rsid w:val="00C8134C"/>
    <w:rsid w:val="00C82D5F"/>
    <w:rsid w:val="00C9370F"/>
    <w:rsid w:val="00C93736"/>
    <w:rsid w:val="00CA2DE5"/>
    <w:rsid w:val="00CA4DBE"/>
    <w:rsid w:val="00CA65B4"/>
    <w:rsid w:val="00CA6D90"/>
    <w:rsid w:val="00CB3650"/>
    <w:rsid w:val="00CB4DA0"/>
    <w:rsid w:val="00CB51D4"/>
    <w:rsid w:val="00CC3FA0"/>
    <w:rsid w:val="00CC401E"/>
    <w:rsid w:val="00CC6934"/>
    <w:rsid w:val="00CD3742"/>
    <w:rsid w:val="00CD5503"/>
    <w:rsid w:val="00CD77E5"/>
    <w:rsid w:val="00CE3110"/>
    <w:rsid w:val="00CF6DA8"/>
    <w:rsid w:val="00D032C5"/>
    <w:rsid w:val="00D17AD5"/>
    <w:rsid w:val="00D215AF"/>
    <w:rsid w:val="00D2192C"/>
    <w:rsid w:val="00D22337"/>
    <w:rsid w:val="00D231B6"/>
    <w:rsid w:val="00D23480"/>
    <w:rsid w:val="00D24E83"/>
    <w:rsid w:val="00D25F59"/>
    <w:rsid w:val="00D34FA5"/>
    <w:rsid w:val="00D36498"/>
    <w:rsid w:val="00D36D68"/>
    <w:rsid w:val="00D412E4"/>
    <w:rsid w:val="00D42E8A"/>
    <w:rsid w:val="00D44C1E"/>
    <w:rsid w:val="00D453FE"/>
    <w:rsid w:val="00D60F0A"/>
    <w:rsid w:val="00D62019"/>
    <w:rsid w:val="00D71E3A"/>
    <w:rsid w:val="00D725DF"/>
    <w:rsid w:val="00D73CCC"/>
    <w:rsid w:val="00D74984"/>
    <w:rsid w:val="00D8331C"/>
    <w:rsid w:val="00D856E4"/>
    <w:rsid w:val="00D975B2"/>
    <w:rsid w:val="00DA6C05"/>
    <w:rsid w:val="00DA79CB"/>
    <w:rsid w:val="00DC0554"/>
    <w:rsid w:val="00DD07BA"/>
    <w:rsid w:val="00DD295B"/>
    <w:rsid w:val="00DD302D"/>
    <w:rsid w:val="00DE4CC0"/>
    <w:rsid w:val="00DE5927"/>
    <w:rsid w:val="00DF009C"/>
    <w:rsid w:val="00DF066A"/>
    <w:rsid w:val="00DF4E30"/>
    <w:rsid w:val="00DF5A97"/>
    <w:rsid w:val="00E043F8"/>
    <w:rsid w:val="00E04FF1"/>
    <w:rsid w:val="00E11681"/>
    <w:rsid w:val="00E16544"/>
    <w:rsid w:val="00E16717"/>
    <w:rsid w:val="00E16941"/>
    <w:rsid w:val="00E16955"/>
    <w:rsid w:val="00E45A00"/>
    <w:rsid w:val="00E460DA"/>
    <w:rsid w:val="00E478B3"/>
    <w:rsid w:val="00E501DB"/>
    <w:rsid w:val="00E50B4C"/>
    <w:rsid w:val="00E55314"/>
    <w:rsid w:val="00E56C5C"/>
    <w:rsid w:val="00E61646"/>
    <w:rsid w:val="00E72806"/>
    <w:rsid w:val="00E7310C"/>
    <w:rsid w:val="00E774C0"/>
    <w:rsid w:val="00E9267D"/>
    <w:rsid w:val="00E93BE8"/>
    <w:rsid w:val="00E972DF"/>
    <w:rsid w:val="00EA361F"/>
    <w:rsid w:val="00EA48EA"/>
    <w:rsid w:val="00ED4A08"/>
    <w:rsid w:val="00EE1AB8"/>
    <w:rsid w:val="00EE68EE"/>
    <w:rsid w:val="00EF2E17"/>
    <w:rsid w:val="00EF642E"/>
    <w:rsid w:val="00EF7E8A"/>
    <w:rsid w:val="00F1463A"/>
    <w:rsid w:val="00F16004"/>
    <w:rsid w:val="00F16B3F"/>
    <w:rsid w:val="00F177E5"/>
    <w:rsid w:val="00F17911"/>
    <w:rsid w:val="00F268DD"/>
    <w:rsid w:val="00F31CFE"/>
    <w:rsid w:val="00F32CF5"/>
    <w:rsid w:val="00F339A3"/>
    <w:rsid w:val="00F4669F"/>
    <w:rsid w:val="00F5039E"/>
    <w:rsid w:val="00F52FEC"/>
    <w:rsid w:val="00F57952"/>
    <w:rsid w:val="00F57B1E"/>
    <w:rsid w:val="00F602BE"/>
    <w:rsid w:val="00F674FD"/>
    <w:rsid w:val="00F704C5"/>
    <w:rsid w:val="00F7290B"/>
    <w:rsid w:val="00F758E0"/>
    <w:rsid w:val="00F77BF4"/>
    <w:rsid w:val="00F862C8"/>
    <w:rsid w:val="00F86BAE"/>
    <w:rsid w:val="00F86E6E"/>
    <w:rsid w:val="00F874D1"/>
    <w:rsid w:val="00F909DD"/>
    <w:rsid w:val="00FA1694"/>
    <w:rsid w:val="00FA35A3"/>
    <w:rsid w:val="00FB15B9"/>
    <w:rsid w:val="00FC029F"/>
    <w:rsid w:val="00FC1D26"/>
    <w:rsid w:val="00FD0172"/>
    <w:rsid w:val="00FD22DD"/>
    <w:rsid w:val="00FD2C84"/>
    <w:rsid w:val="00FE0ED1"/>
    <w:rsid w:val="00FE19F4"/>
    <w:rsid w:val="00FE2783"/>
    <w:rsid w:val="00FE300A"/>
    <w:rsid w:val="00FF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List Number" w:uiPriority="41"/>
    <w:lsdException w:name="List Number 2" w:uiPriority="43"/>
    <w:lsdException w:name="Title" w:semiHidden="0" w:unhideWhenUsed="0" w:qFormat="1"/>
    <w:lsdException w:name="Default Paragraph Font" w:uiPriority="1"/>
    <w:lsdException w:name="Subtitle" w:semiHidden="0" w:uiPriority="79" w:unhideWhenUsed="0" w:qFormat="1"/>
    <w:lsdException w:name="FollowedHyperlink" w:semiHidden="0" w:unhideWhenUsed="0"/>
    <w:lsdException w:name="Strong" w:semiHidden="0" w:uiPriority="83" w:unhideWhenUsed="0" w:qFormat="1"/>
    <w:lsdException w:name="Emphasis" w:semiHidden="0" w:uiPriority="8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0" w:unhideWhenUsed="0" w:qFormat="1"/>
    <w:lsdException w:name="Intense Emphasis" w:semiHidden="0" w:uiPriority="82" w:unhideWhenUsed="0" w:qFormat="1"/>
    <w:lsdException w:name="Subtle Reference" w:semiHidden="0" w:uiPriority="85" w:unhideWhenUsed="0" w:qFormat="1"/>
    <w:lsdException w:name="Intense Reference" w:uiPriority="74" w:unhideWhenUsed="0" w:qFormat="1"/>
    <w:lsdException w:name="Book Title" w:uiPriority="85" w:qFormat="1"/>
    <w:lsdException w:name="Bibliography" w:uiPriority="37"/>
    <w:lsdException w:name="TOC Heading" w:uiPriority="39" w:qFormat="1"/>
  </w:latentStyles>
  <w:style w:type="paragraph" w:default="1" w:styleId="Normal">
    <w:name w:val="Normal"/>
    <w:qFormat/>
    <w:rsid w:val="00FC029F"/>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6E7AE1"/>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jc w:val="left"/>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E7AE1"/>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3278B7"/>
    <w:pPr>
      <w:spacing w:before="0" w:after="240"/>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3278B7"/>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 w:type="paragraph" w:customStyle="1" w:styleId="subsection">
    <w:name w:val="subsection"/>
    <w:basedOn w:val="Normal"/>
    <w:rsid w:val="00E56C5C"/>
    <w:pPr>
      <w:spacing w:before="100" w:beforeAutospacing="1" w:after="100" w:afterAutospacing="1"/>
      <w:ind w:left="0"/>
      <w:jc w:val="left"/>
    </w:pPr>
    <w:rPr>
      <w:rFonts w:eastAsia="Times New Roman" w:cs="Times New Roman"/>
    </w:rPr>
  </w:style>
  <w:style w:type="character" w:customStyle="1" w:styleId="sectionlabel">
    <w:name w:val="sectionlabel"/>
    <w:basedOn w:val="DefaultParagraphFont"/>
    <w:rsid w:val="00E56C5C"/>
  </w:style>
  <w:style w:type="character" w:customStyle="1" w:styleId="lawlabel">
    <w:name w:val="lawlabel"/>
    <w:basedOn w:val="DefaultParagraphFont"/>
    <w:rsid w:val="00E56C5C"/>
  </w:style>
  <w:style w:type="paragraph" w:customStyle="1" w:styleId="paragraph">
    <w:name w:val="paragraph"/>
    <w:basedOn w:val="Normal"/>
    <w:rsid w:val="00E56C5C"/>
    <w:pPr>
      <w:spacing w:before="100" w:beforeAutospacing="1" w:after="100" w:afterAutospacing="1"/>
      <w:ind w:left="0"/>
      <w:jc w:val="left"/>
    </w:pPr>
    <w:rPr>
      <w:rFonts w:eastAsia="Times New Roman" w:cs="Times New Roman"/>
    </w:rPr>
  </w:style>
  <w:style w:type="paragraph" w:customStyle="1" w:styleId="subparagraph">
    <w:name w:val="subparagraph"/>
    <w:basedOn w:val="Normal"/>
    <w:rsid w:val="00E56C5C"/>
    <w:pPr>
      <w:spacing w:before="100" w:beforeAutospacing="1" w:after="100" w:afterAutospacing="1"/>
      <w:ind w:left="0"/>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List Number" w:uiPriority="41"/>
    <w:lsdException w:name="List Number 2" w:uiPriority="43"/>
    <w:lsdException w:name="Title" w:semiHidden="0" w:unhideWhenUsed="0" w:qFormat="1"/>
    <w:lsdException w:name="Default Paragraph Font" w:uiPriority="1"/>
    <w:lsdException w:name="Subtitle" w:semiHidden="0" w:uiPriority="79" w:unhideWhenUsed="0" w:qFormat="1"/>
    <w:lsdException w:name="FollowedHyperlink" w:semiHidden="0" w:unhideWhenUsed="0"/>
    <w:lsdException w:name="Strong" w:semiHidden="0" w:uiPriority="83" w:unhideWhenUsed="0" w:qFormat="1"/>
    <w:lsdException w:name="Emphasis" w:semiHidden="0" w:uiPriority="8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0" w:unhideWhenUsed="0" w:qFormat="1"/>
    <w:lsdException w:name="Intense Emphasis" w:semiHidden="0" w:uiPriority="82" w:unhideWhenUsed="0" w:qFormat="1"/>
    <w:lsdException w:name="Subtle Reference" w:semiHidden="0" w:uiPriority="85" w:unhideWhenUsed="0" w:qFormat="1"/>
    <w:lsdException w:name="Intense Reference" w:uiPriority="74" w:unhideWhenUsed="0" w:qFormat="1"/>
    <w:lsdException w:name="Book Title" w:uiPriority="85" w:qFormat="1"/>
    <w:lsdException w:name="Bibliography" w:uiPriority="37"/>
    <w:lsdException w:name="TOC Heading" w:uiPriority="39" w:qFormat="1"/>
  </w:latentStyles>
  <w:style w:type="paragraph" w:default="1" w:styleId="Normal">
    <w:name w:val="Normal"/>
    <w:qFormat/>
    <w:rsid w:val="00FC029F"/>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6E7AE1"/>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jc w:val="left"/>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E7AE1"/>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3278B7"/>
    <w:pPr>
      <w:spacing w:before="0" w:after="240"/>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3278B7"/>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 w:type="paragraph" w:customStyle="1" w:styleId="subsection">
    <w:name w:val="subsection"/>
    <w:basedOn w:val="Normal"/>
    <w:rsid w:val="00E56C5C"/>
    <w:pPr>
      <w:spacing w:before="100" w:beforeAutospacing="1" w:after="100" w:afterAutospacing="1"/>
      <w:ind w:left="0"/>
      <w:jc w:val="left"/>
    </w:pPr>
    <w:rPr>
      <w:rFonts w:eastAsia="Times New Roman" w:cs="Times New Roman"/>
    </w:rPr>
  </w:style>
  <w:style w:type="character" w:customStyle="1" w:styleId="sectionlabel">
    <w:name w:val="sectionlabel"/>
    <w:basedOn w:val="DefaultParagraphFont"/>
    <w:rsid w:val="00E56C5C"/>
  </w:style>
  <w:style w:type="character" w:customStyle="1" w:styleId="lawlabel">
    <w:name w:val="lawlabel"/>
    <w:basedOn w:val="DefaultParagraphFont"/>
    <w:rsid w:val="00E56C5C"/>
  </w:style>
  <w:style w:type="paragraph" w:customStyle="1" w:styleId="paragraph">
    <w:name w:val="paragraph"/>
    <w:basedOn w:val="Normal"/>
    <w:rsid w:val="00E56C5C"/>
    <w:pPr>
      <w:spacing w:before="100" w:beforeAutospacing="1" w:after="100" w:afterAutospacing="1"/>
      <w:ind w:left="0"/>
      <w:jc w:val="left"/>
    </w:pPr>
    <w:rPr>
      <w:rFonts w:eastAsia="Times New Roman" w:cs="Times New Roman"/>
    </w:rPr>
  </w:style>
  <w:style w:type="paragraph" w:customStyle="1" w:styleId="subparagraph">
    <w:name w:val="subparagraph"/>
    <w:basedOn w:val="Normal"/>
    <w:rsid w:val="00E56C5C"/>
    <w:pPr>
      <w:spacing w:before="100" w:beforeAutospacing="1" w:after="100" w:afterAutospacing="1"/>
      <w:ind w:left="0"/>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295F-04AB-4B9F-8D70-77160C5E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6</TotalTime>
  <Pages>15</Pages>
  <Words>5344</Words>
  <Characters>26828</Characters>
  <Application>Microsoft Office Word</Application>
  <DocSecurity>0</DocSecurity>
  <Lines>223</Lines>
  <Paragraphs>64</Paragraphs>
  <ScaleCrop>false</ScaleCrop>
  <HeadingPairs>
    <vt:vector size="2" baseType="variant">
      <vt:variant>
        <vt:lpstr>Title</vt:lpstr>
      </vt:variant>
      <vt:variant>
        <vt:i4>1</vt:i4>
      </vt:variant>
    </vt:vector>
  </HeadingPairs>
  <TitlesOfParts>
    <vt:vector size="1" baseType="lpstr">
      <vt:lpstr>R v Zoe</vt:lpstr>
    </vt:vector>
  </TitlesOfParts>
  <Company>Alberta Court of Appeal</Company>
  <LinksUpToDate>false</LinksUpToDate>
  <CharactersWithSpaces>32108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v Zoe</dc:title>
  <dc:subject/>
  <dc:creator>The Honourable Madam Justice Ritu Khullar, The Honourable Madam Justice Dawn Pentelechuk, The Honourable Mr. Justice Paul Bychok</dc:creator>
  <cp:keywords>Docket:A-1-AP-2017-000016, Registry:Edmonton, Court:CA, JudgmentYear:2019, JudgmentDate:201910</cp:keywords>
  <dc:description/>
  <cp:lastModifiedBy>Jeff Round</cp:lastModifiedBy>
  <cp:revision>3</cp:revision>
  <cp:lastPrinted>2020-01-17T18:53:00Z</cp:lastPrinted>
  <dcterms:created xsi:type="dcterms:W3CDTF">2020-01-31T18:36:00Z</dcterms:created>
  <dcterms:modified xsi:type="dcterms:W3CDTF">2020-02-03T15:51:00Z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A-1-AP-2017-000016</vt:lpwstr>
  </property>
  <property fmtid="{D5CDD505-2E9C-101B-9397-08002B2CF9AE}" pid="3" name="Justice(s)">
    <vt:lpwstr>The Honourable Madam Justice Ritu Khullar, The Honourable Madam Justice Dawn Pentelechuk, The Honourable Mr. Justice Paul Bychok</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2019</vt:lpwstr>
  </property>
  <property fmtid="{D5CDD505-2E9C-101B-9397-08002B2CF9AE}" pid="7" name="JudgmentDate">
    <vt:lpwstr>201910</vt:lpwstr>
  </property>
</Properties>
</file>