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549" w:rsidRPr="00D24E83" w:rsidRDefault="00283549" w:rsidP="007F73F9">
      <w:pPr>
        <w:pStyle w:val="Title1"/>
      </w:pPr>
      <w:bookmarkStart w:id="0" w:name="frTitle"/>
      <w:bookmarkEnd w:id="0"/>
      <w:r w:rsidRPr="00D24E83">
        <w:t xml:space="preserve">In the Court of Appeal </w:t>
      </w:r>
      <w:r w:rsidR="00FA2CF5">
        <w:t>for the Northwest Territories</w:t>
      </w:r>
    </w:p>
    <w:p w:rsidR="00283549" w:rsidRPr="00971C56" w:rsidRDefault="00283549" w:rsidP="00E11681">
      <w:pPr>
        <w:ind w:left="0"/>
        <w:rPr>
          <w:rFonts w:eastAsia="PMingLiU"/>
          <w:b/>
        </w:rPr>
      </w:pPr>
      <w:bookmarkStart w:id="1" w:name="frCitation"/>
      <w:bookmarkEnd w:id="1"/>
      <w:r w:rsidRPr="00971C56">
        <w:rPr>
          <w:rFonts w:eastAsia="PMingLiU"/>
          <w:b/>
        </w:rPr>
        <w:t xml:space="preserve">Citation: </w:t>
      </w:r>
      <w:r w:rsidR="007B33F9" w:rsidRPr="00A269B4">
        <w:rPr>
          <w:rFonts w:eastAsia="PMingLiU"/>
          <w:b/>
          <w:i/>
        </w:rPr>
        <w:t xml:space="preserve">Goodzeck Estate </w:t>
      </w:r>
      <w:r w:rsidR="00F97083" w:rsidRPr="00A269B4">
        <w:rPr>
          <w:rFonts w:eastAsia="PMingLiU"/>
          <w:b/>
          <w:i/>
        </w:rPr>
        <w:t>v</w:t>
      </w:r>
      <w:r w:rsidR="007B33F9" w:rsidRPr="00A269B4">
        <w:rPr>
          <w:rFonts w:eastAsia="PMingLiU"/>
          <w:b/>
          <w:i/>
        </w:rPr>
        <w:t xml:space="preserve"> Goodzeck</w:t>
      </w:r>
      <w:r w:rsidRPr="003C4146">
        <w:rPr>
          <w:rFonts w:eastAsia="PMingLiU"/>
          <w:b/>
        </w:rPr>
        <w:t>,</w:t>
      </w:r>
      <w:r w:rsidRPr="00971C56">
        <w:rPr>
          <w:rFonts w:eastAsia="PMingLiU"/>
          <w:b/>
        </w:rPr>
        <w:t xml:space="preserve"> </w:t>
      </w:r>
      <w:r w:rsidR="007B33F9" w:rsidRPr="00F97083">
        <w:rPr>
          <w:rFonts w:eastAsia="PMingLiU"/>
          <w:b/>
        </w:rPr>
        <w:t>2019</w:t>
      </w:r>
      <w:r w:rsidRPr="00F97083">
        <w:rPr>
          <w:rFonts w:eastAsia="PMingLiU"/>
          <w:b/>
        </w:rPr>
        <w:t xml:space="preserve"> </w:t>
      </w:r>
      <w:r w:rsidR="00FA2CF5">
        <w:rPr>
          <w:rFonts w:eastAsia="PMingLiU"/>
          <w:b/>
        </w:rPr>
        <w:t>NWTCA</w:t>
      </w:r>
      <w:r w:rsidR="00FA2CF5" w:rsidRPr="00971C56">
        <w:rPr>
          <w:rFonts w:eastAsia="PMingLiU"/>
          <w:b/>
        </w:rPr>
        <w:t xml:space="preserve"> </w:t>
      </w:r>
      <w:r w:rsidR="002200ED">
        <w:rPr>
          <w:rFonts w:eastAsia="PMingLiU"/>
          <w:b/>
        </w:rPr>
        <w:t>4</w:t>
      </w:r>
    </w:p>
    <w:p w:rsidR="00935271" w:rsidRDefault="00935271" w:rsidP="00E11681">
      <w:pPr>
        <w:tabs>
          <w:tab w:val="right" w:pos="9360"/>
        </w:tabs>
        <w:ind w:left="0"/>
        <w:rPr>
          <w:rFonts w:eastAsia="PMingLiU"/>
          <w:b/>
        </w:rPr>
      </w:pPr>
    </w:p>
    <w:p w:rsidR="00283549" w:rsidRPr="007B33F9" w:rsidRDefault="00283549" w:rsidP="008368D3">
      <w:pPr>
        <w:tabs>
          <w:tab w:val="right" w:pos="9360"/>
        </w:tabs>
        <w:ind w:left="0"/>
        <w:jc w:val="right"/>
        <w:rPr>
          <w:rFonts w:eastAsia="PMingLiU"/>
          <w:color w:val="000000"/>
        </w:rPr>
      </w:pPr>
      <w:r w:rsidRPr="009C2254">
        <w:rPr>
          <w:rFonts w:eastAsia="PMingLiU"/>
          <w:b/>
          <w:bCs/>
        </w:rPr>
        <w:t>Date:</w:t>
      </w:r>
      <w:r w:rsidRPr="00973735">
        <w:rPr>
          <w:rFonts w:eastAsia="PMingLiU"/>
        </w:rPr>
        <w:t xml:space="preserve"> </w:t>
      </w:r>
      <w:r w:rsidR="00F97083">
        <w:rPr>
          <w:rFonts w:eastAsia="PMingLiU"/>
        </w:rPr>
        <w:t>2019</w:t>
      </w:r>
      <w:r w:rsidR="00FA2CF5">
        <w:rPr>
          <w:rFonts w:eastAsia="PMingLiU"/>
        </w:rPr>
        <w:t xml:space="preserve"> </w:t>
      </w:r>
      <w:r w:rsidR="00F97083">
        <w:rPr>
          <w:rFonts w:eastAsia="PMingLiU"/>
        </w:rPr>
        <w:t>04</w:t>
      </w:r>
      <w:r w:rsidR="00FA2CF5">
        <w:rPr>
          <w:rFonts w:eastAsia="PMingLiU"/>
        </w:rPr>
        <w:t xml:space="preserve"> </w:t>
      </w:r>
      <w:r w:rsidR="00FD48EF">
        <w:rPr>
          <w:rFonts w:eastAsia="PMingLiU"/>
        </w:rPr>
        <w:t>24</w:t>
      </w:r>
      <w:bookmarkStart w:id="2" w:name="_GoBack"/>
      <w:bookmarkEnd w:id="2"/>
    </w:p>
    <w:p w:rsidR="00283549" w:rsidRPr="004D654D" w:rsidRDefault="00283549" w:rsidP="008368D3">
      <w:pPr>
        <w:tabs>
          <w:tab w:val="right" w:pos="9360"/>
        </w:tabs>
        <w:ind w:left="0"/>
        <w:jc w:val="right"/>
        <w:rPr>
          <w:rFonts w:eastAsia="PMingLiU"/>
        </w:rPr>
      </w:pPr>
      <w:bookmarkStart w:id="3" w:name="frDocket"/>
      <w:bookmarkEnd w:id="3"/>
      <w:r w:rsidRPr="004D654D">
        <w:rPr>
          <w:rFonts w:eastAsia="PMingLiU"/>
          <w:b/>
          <w:bCs/>
        </w:rPr>
        <w:t>Docket:</w:t>
      </w:r>
      <w:r w:rsidR="004D654D" w:rsidRPr="004D654D">
        <w:rPr>
          <w:rFonts w:eastAsia="PMingLiU"/>
          <w:bCs/>
        </w:rPr>
        <w:t xml:space="preserve"> </w:t>
      </w:r>
      <w:r w:rsidR="00FA2CF5">
        <w:rPr>
          <w:rFonts w:eastAsia="PMingLiU"/>
          <w:bCs/>
        </w:rPr>
        <w:t>A</w:t>
      </w:r>
      <w:r w:rsidR="007B33F9">
        <w:rPr>
          <w:rFonts w:eastAsia="PMingLiU"/>
          <w:bCs/>
        </w:rPr>
        <w:t>1-AP</w:t>
      </w:r>
      <w:r w:rsidR="00FA2CF5">
        <w:rPr>
          <w:rFonts w:eastAsia="PMingLiU"/>
          <w:bCs/>
        </w:rPr>
        <w:t>-2019-000</w:t>
      </w:r>
      <w:r w:rsidR="002200ED">
        <w:rPr>
          <w:rFonts w:eastAsia="PMingLiU"/>
          <w:bCs/>
        </w:rPr>
        <w:t xml:space="preserve"> </w:t>
      </w:r>
      <w:r w:rsidR="007B33F9">
        <w:rPr>
          <w:rFonts w:eastAsia="PMingLiU"/>
          <w:bCs/>
        </w:rPr>
        <w:t>002</w:t>
      </w:r>
    </w:p>
    <w:p w:rsidR="00283549" w:rsidRPr="00973735" w:rsidRDefault="00283549" w:rsidP="008368D3">
      <w:pPr>
        <w:tabs>
          <w:tab w:val="right" w:pos="9360"/>
        </w:tabs>
        <w:ind w:left="0"/>
        <w:jc w:val="right"/>
        <w:rPr>
          <w:rFonts w:eastAsia="PMingLiU"/>
        </w:rPr>
      </w:pPr>
      <w:bookmarkStart w:id="4" w:name="frRegistry"/>
      <w:bookmarkEnd w:id="4"/>
      <w:r w:rsidRPr="009C2254">
        <w:rPr>
          <w:rFonts w:eastAsia="PMingLiU"/>
          <w:b/>
          <w:bCs/>
        </w:rPr>
        <w:t>Registry:</w:t>
      </w:r>
      <w:r w:rsidRPr="00973735">
        <w:rPr>
          <w:rFonts w:eastAsia="PMingLiU"/>
        </w:rPr>
        <w:t xml:space="preserve"> </w:t>
      </w:r>
      <w:r w:rsidR="00FA2CF5">
        <w:rPr>
          <w:rFonts w:eastAsia="PMingLiU"/>
        </w:rPr>
        <w:t>Yellowknife, N.W.T.</w:t>
      </w:r>
    </w:p>
    <w:p w:rsidR="00283549" w:rsidRPr="009C2254" w:rsidRDefault="00283549" w:rsidP="00E11681">
      <w:pPr>
        <w:ind w:left="0"/>
        <w:rPr>
          <w:rFonts w:eastAsia="PMingLiU"/>
        </w:rPr>
      </w:pPr>
    </w:p>
    <w:p w:rsidR="00283549" w:rsidRPr="009C2254" w:rsidRDefault="00283549" w:rsidP="00E11681">
      <w:pPr>
        <w:ind w:left="0"/>
        <w:rPr>
          <w:rFonts w:eastAsia="PMingLiU"/>
        </w:rPr>
      </w:pPr>
    </w:p>
    <w:p w:rsidR="00283549" w:rsidRPr="009C2254" w:rsidRDefault="00283549" w:rsidP="00E11681">
      <w:pPr>
        <w:ind w:left="0"/>
        <w:rPr>
          <w:rFonts w:eastAsia="PMingLiU"/>
        </w:rPr>
      </w:pPr>
      <w:bookmarkStart w:id="5" w:name="frBetween"/>
      <w:bookmarkEnd w:id="5"/>
      <w:r w:rsidRPr="009C2254">
        <w:rPr>
          <w:rFonts w:eastAsia="PMingLiU"/>
          <w:b/>
          <w:bCs/>
        </w:rPr>
        <w:t>Between:</w:t>
      </w:r>
    </w:p>
    <w:p w:rsidR="00283549" w:rsidRPr="009C2254" w:rsidRDefault="00283549" w:rsidP="00E11681">
      <w:pPr>
        <w:ind w:left="0"/>
        <w:rPr>
          <w:rFonts w:eastAsia="PMingLiU"/>
        </w:rPr>
      </w:pPr>
    </w:p>
    <w:p w:rsidR="00283549" w:rsidRPr="007B33F9" w:rsidRDefault="007B33F9" w:rsidP="00E11681">
      <w:pPr>
        <w:ind w:left="0"/>
        <w:jc w:val="center"/>
        <w:rPr>
          <w:rFonts w:eastAsia="PMingLiU"/>
        </w:rPr>
      </w:pPr>
      <w:r>
        <w:rPr>
          <w:rFonts w:eastAsia="PMingLiU"/>
          <w:b/>
        </w:rPr>
        <w:t>The Estate of Alec Goodzeck</w:t>
      </w:r>
    </w:p>
    <w:p w:rsidR="00283549" w:rsidRPr="009C2254" w:rsidRDefault="00283549" w:rsidP="00E11681">
      <w:pPr>
        <w:ind w:left="0"/>
        <w:rPr>
          <w:rFonts w:eastAsia="PMingLiU"/>
        </w:rPr>
      </w:pPr>
    </w:p>
    <w:p w:rsidR="00283549" w:rsidRDefault="007B33F9" w:rsidP="008368D3">
      <w:pPr>
        <w:tabs>
          <w:tab w:val="right" w:pos="9360"/>
        </w:tabs>
        <w:ind w:left="0"/>
        <w:jc w:val="right"/>
        <w:rPr>
          <w:rFonts w:eastAsia="PMingLiU"/>
        </w:rPr>
      </w:pPr>
      <w:r>
        <w:rPr>
          <w:rFonts w:eastAsia="PMingLiU"/>
        </w:rPr>
        <w:t>Applicant</w:t>
      </w:r>
    </w:p>
    <w:p w:rsidR="00556998" w:rsidRPr="009C2254" w:rsidRDefault="00556998" w:rsidP="008368D3">
      <w:pPr>
        <w:tabs>
          <w:tab w:val="right" w:pos="9360"/>
        </w:tabs>
        <w:ind w:left="0"/>
        <w:jc w:val="right"/>
        <w:rPr>
          <w:rFonts w:eastAsia="PMingLiU"/>
        </w:rPr>
      </w:pPr>
      <w:r>
        <w:rPr>
          <w:rFonts w:eastAsia="PMingLiU"/>
        </w:rPr>
        <w:t>(Respondent)</w:t>
      </w:r>
    </w:p>
    <w:p w:rsidR="00283549" w:rsidRPr="009C2254" w:rsidRDefault="00283549" w:rsidP="00E11681">
      <w:pPr>
        <w:ind w:left="0"/>
        <w:rPr>
          <w:rFonts w:eastAsia="PMingLiU"/>
        </w:rPr>
      </w:pPr>
    </w:p>
    <w:p w:rsidR="00283549" w:rsidRPr="009C2254" w:rsidRDefault="00283549" w:rsidP="008368D3">
      <w:pPr>
        <w:tabs>
          <w:tab w:val="center" w:pos="4680"/>
        </w:tabs>
        <w:ind w:left="0"/>
        <w:jc w:val="center"/>
        <w:rPr>
          <w:rFonts w:eastAsia="PMingLiU"/>
        </w:rPr>
      </w:pPr>
      <w:r w:rsidRPr="009C2254">
        <w:rPr>
          <w:rFonts w:eastAsia="PMingLiU"/>
        </w:rPr>
        <w:t xml:space="preserve">- </w:t>
      </w:r>
      <w:bookmarkStart w:id="6" w:name="frAnd"/>
      <w:bookmarkEnd w:id="6"/>
      <w:r w:rsidRPr="009C2254">
        <w:rPr>
          <w:rFonts w:eastAsia="PMingLiU"/>
        </w:rPr>
        <w:t>and -</w:t>
      </w:r>
    </w:p>
    <w:p w:rsidR="00283549" w:rsidRPr="009C2254" w:rsidRDefault="00283549" w:rsidP="00E11681">
      <w:pPr>
        <w:ind w:left="0"/>
        <w:rPr>
          <w:rFonts w:eastAsia="PMingLiU"/>
        </w:rPr>
      </w:pPr>
    </w:p>
    <w:p w:rsidR="00283549" w:rsidRPr="007B33F9" w:rsidRDefault="007B33F9" w:rsidP="00E11681">
      <w:pPr>
        <w:ind w:left="0"/>
        <w:jc w:val="center"/>
        <w:rPr>
          <w:rFonts w:eastAsia="PMingLiU"/>
        </w:rPr>
      </w:pPr>
      <w:r>
        <w:rPr>
          <w:rFonts w:eastAsia="PMingLiU"/>
          <w:b/>
        </w:rPr>
        <w:t>Jonathan D. Goodzeck</w:t>
      </w:r>
    </w:p>
    <w:p w:rsidR="00283549" w:rsidRPr="009C2254" w:rsidRDefault="00283549" w:rsidP="00E11681">
      <w:pPr>
        <w:ind w:left="0"/>
        <w:rPr>
          <w:rFonts w:eastAsia="PMingLiU"/>
        </w:rPr>
      </w:pPr>
    </w:p>
    <w:p w:rsidR="00283549" w:rsidRDefault="007B33F9" w:rsidP="008368D3">
      <w:pPr>
        <w:tabs>
          <w:tab w:val="right" w:pos="9360"/>
        </w:tabs>
        <w:ind w:left="0"/>
        <w:jc w:val="right"/>
        <w:rPr>
          <w:rFonts w:eastAsia="PMingLiU"/>
        </w:rPr>
      </w:pPr>
      <w:r>
        <w:rPr>
          <w:rFonts w:eastAsia="PMingLiU"/>
        </w:rPr>
        <w:t>Respondent</w:t>
      </w:r>
    </w:p>
    <w:p w:rsidR="00556998" w:rsidRPr="009C2254" w:rsidRDefault="00556998" w:rsidP="008368D3">
      <w:pPr>
        <w:tabs>
          <w:tab w:val="right" w:pos="9360"/>
        </w:tabs>
        <w:ind w:left="0"/>
        <w:jc w:val="right"/>
        <w:rPr>
          <w:rFonts w:eastAsia="PMingLiU"/>
        </w:rPr>
      </w:pPr>
      <w:r>
        <w:rPr>
          <w:rFonts w:eastAsia="PMingLiU"/>
        </w:rPr>
        <w:t>(Appellant)</w:t>
      </w:r>
    </w:p>
    <w:p w:rsidR="00283549" w:rsidRPr="009C2254" w:rsidRDefault="00283549" w:rsidP="00E11681">
      <w:pPr>
        <w:ind w:left="0"/>
        <w:rPr>
          <w:rFonts w:eastAsia="PMingLiU"/>
        </w:rPr>
      </w:pPr>
    </w:p>
    <w:p w:rsidR="00283549" w:rsidRPr="009C2254" w:rsidRDefault="00283549" w:rsidP="00E11681">
      <w:pPr>
        <w:ind w:left="0"/>
        <w:rPr>
          <w:rFonts w:eastAsia="PMingLiU"/>
        </w:rPr>
      </w:pPr>
    </w:p>
    <w:p w:rsidR="00283549" w:rsidRPr="009C2254" w:rsidRDefault="00283549" w:rsidP="00E11681">
      <w:pPr>
        <w:ind w:left="0"/>
        <w:rPr>
          <w:rFonts w:eastAsia="PMingLiU"/>
        </w:rPr>
      </w:pPr>
      <w:bookmarkStart w:id="7" w:name="CorrectedJudgment"/>
      <w:bookmarkEnd w:id="7"/>
    </w:p>
    <w:p w:rsidR="007B33F9" w:rsidRDefault="007B33F9" w:rsidP="007B33F9">
      <w:pPr>
        <w:keepNext/>
        <w:keepLines/>
        <w:ind w:left="0"/>
        <w:jc w:val="center"/>
        <w:rPr>
          <w:rFonts w:eastAsia="PMingLiU"/>
          <w:b/>
        </w:rPr>
      </w:pPr>
      <w:bookmarkStart w:id="8" w:name="TheCourt"/>
      <w:bookmarkEnd w:id="8"/>
      <w:r>
        <w:rPr>
          <w:rFonts w:eastAsia="PMingLiU"/>
          <w:b/>
        </w:rPr>
        <w:t>_______________________________________________________</w:t>
      </w:r>
    </w:p>
    <w:p w:rsidR="007B33F9" w:rsidRDefault="007B33F9" w:rsidP="007B33F9">
      <w:pPr>
        <w:keepNext/>
        <w:keepLines/>
        <w:ind w:left="0"/>
        <w:jc w:val="center"/>
        <w:rPr>
          <w:rFonts w:eastAsia="PMingLiU"/>
          <w:b/>
        </w:rPr>
      </w:pPr>
    </w:p>
    <w:p w:rsidR="007B33F9" w:rsidRPr="007B33F9" w:rsidRDefault="007B33F9" w:rsidP="007B33F9">
      <w:pPr>
        <w:keepNext/>
        <w:keepLines/>
        <w:ind w:left="0"/>
        <w:jc w:val="center"/>
        <w:rPr>
          <w:rFonts w:eastAsia="PMingLiU"/>
          <w:b/>
        </w:rPr>
      </w:pPr>
      <w:bookmarkStart w:id="9" w:name="JudgmentType"/>
      <w:bookmarkStart w:id="10" w:name="JusticeName"/>
      <w:r w:rsidRPr="007B33F9">
        <w:rPr>
          <w:rFonts w:eastAsia="PMingLiU"/>
          <w:b/>
        </w:rPr>
        <w:t>Reasons for Decision of</w:t>
      </w:r>
      <w:bookmarkEnd w:id="9"/>
    </w:p>
    <w:p w:rsidR="007B33F9" w:rsidRDefault="007B33F9" w:rsidP="007B33F9">
      <w:pPr>
        <w:keepNext/>
        <w:keepLines/>
        <w:ind w:left="0"/>
        <w:jc w:val="center"/>
        <w:rPr>
          <w:rFonts w:eastAsia="PMingLiU"/>
        </w:rPr>
      </w:pPr>
      <w:bookmarkStart w:id="11" w:name="JudgmentTypeCover"/>
      <w:bookmarkEnd w:id="11"/>
      <w:r w:rsidRPr="007B33F9">
        <w:rPr>
          <w:rFonts w:eastAsia="PMingLiU"/>
          <w:b/>
        </w:rPr>
        <w:t>The Honourable Mr. Justice Frans Slatter</w:t>
      </w:r>
      <w:bookmarkEnd w:id="10"/>
    </w:p>
    <w:p w:rsidR="007B33F9" w:rsidRDefault="007B33F9" w:rsidP="007B33F9">
      <w:pPr>
        <w:keepNext/>
        <w:keepLines/>
        <w:ind w:left="0"/>
        <w:jc w:val="center"/>
        <w:rPr>
          <w:rFonts w:eastAsia="PMingLiU"/>
        </w:rPr>
      </w:pPr>
      <w:r>
        <w:rPr>
          <w:rFonts w:eastAsia="PMingLiU"/>
        </w:rPr>
        <w:t>_______________________________________________________</w:t>
      </w:r>
    </w:p>
    <w:p w:rsidR="00283549" w:rsidRPr="007B33F9" w:rsidRDefault="00283549" w:rsidP="007B33F9">
      <w:pPr>
        <w:ind w:left="0"/>
        <w:jc w:val="center"/>
        <w:rPr>
          <w:rFonts w:eastAsia="PMingLiU"/>
        </w:rPr>
      </w:pPr>
    </w:p>
    <w:p w:rsidR="00283549" w:rsidRPr="0006691E" w:rsidRDefault="00283549" w:rsidP="004B6F64">
      <w:pPr>
        <w:ind w:left="0"/>
        <w:rPr>
          <w:rFonts w:eastAsia="PMingLiU"/>
          <w:b/>
        </w:rPr>
      </w:pPr>
    </w:p>
    <w:p w:rsidR="00283549" w:rsidRDefault="007B33F9" w:rsidP="008368D3">
      <w:pPr>
        <w:tabs>
          <w:tab w:val="center" w:pos="4680"/>
        </w:tabs>
        <w:ind w:left="0"/>
        <w:jc w:val="center"/>
        <w:rPr>
          <w:rFonts w:eastAsia="PMingLiU"/>
        </w:rPr>
      </w:pPr>
      <w:bookmarkStart w:id="12" w:name="TrialJudgmentType"/>
      <w:bookmarkEnd w:id="12"/>
      <w:r>
        <w:rPr>
          <w:rFonts w:eastAsia="PMingLiU"/>
        </w:rPr>
        <w:t>Appli</w:t>
      </w:r>
      <w:r w:rsidR="00474113">
        <w:rPr>
          <w:rFonts w:eastAsia="PMingLiU"/>
        </w:rPr>
        <w:t xml:space="preserve">cation </w:t>
      </w:r>
      <w:r w:rsidR="00994053">
        <w:rPr>
          <w:rFonts w:eastAsia="PMingLiU"/>
        </w:rPr>
        <w:t xml:space="preserve">to Strike </w:t>
      </w:r>
      <w:r w:rsidR="00474113">
        <w:rPr>
          <w:rFonts w:eastAsia="PMingLiU"/>
        </w:rPr>
        <w:t>Appeal</w:t>
      </w:r>
    </w:p>
    <w:p w:rsidR="00994053" w:rsidRDefault="00994053" w:rsidP="008368D3">
      <w:pPr>
        <w:tabs>
          <w:tab w:val="center" w:pos="4680"/>
        </w:tabs>
        <w:ind w:left="0"/>
        <w:jc w:val="center"/>
        <w:rPr>
          <w:rFonts w:eastAsia="PMingLiU"/>
        </w:rPr>
      </w:pPr>
      <w:r>
        <w:rPr>
          <w:rFonts w:eastAsia="PMingLiU"/>
        </w:rPr>
        <w:t>Application for Security of Costs</w:t>
      </w:r>
    </w:p>
    <w:p w:rsidR="00BD13CB" w:rsidRPr="009C2254" w:rsidRDefault="00BD13CB" w:rsidP="008368D3">
      <w:pPr>
        <w:tabs>
          <w:tab w:val="center" w:pos="4680"/>
        </w:tabs>
        <w:ind w:left="0"/>
        <w:jc w:val="center"/>
        <w:rPr>
          <w:rFonts w:eastAsia="PMingLiU"/>
        </w:rPr>
      </w:pPr>
    </w:p>
    <w:p w:rsidR="00283549" w:rsidRPr="007B33F9" w:rsidRDefault="00283549" w:rsidP="00474113">
      <w:pPr>
        <w:tabs>
          <w:tab w:val="center" w:pos="4680"/>
        </w:tabs>
        <w:ind w:left="0"/>
        <w:jc w:val="center"/>
        <w:rPr>
          <w:rFonts w:eastAsia="PMingLiU"/>
          <w:color w:val="000000"/>
        </w:rPr>
      </w:pPr>
    </w:p>
    <w:p w:rsidR="00283549" w:rsidRPr="009C2254" w:rsidRDefault="00283549" w:rsidP="004B6F64">
      <w:pPr>
        <w:ind w:left="0"/>
        <w:rPr>
          <w:rFonts w:eastAsia="PMingLiU"/>
        </w:rPr>
        <w:sectPr w:rsidR="00283549" w:rsidRPr="009C2254" w:rsidSect="00AB0EFF">
          <w:headerReference w:type="even" r:id="rId8"/>
          <w:pgSz w:w="12240" w:h="15840"/>
          <w:pgMar w:top="1440" w:right="1440" w:bottom="1440" w:left="1440" w:header="1152" w:footer="1440" w:gutter="0"/>
          <w:cols w:space="720"/>
          <w:noEndnote/>
          <w:docGrid w:linePitch="326"/>
        </w:sectPr>
      </w:pPr>
    </w:p>
    <w:p w:rsidR="009456BD" w:rsidRDefault="009456BD" w:rsidP="004B6F64">
      <w:pPr>
        <w:tabs>
          <w:tab w:val="center" w:pos="4680"/>
        </w:tabs>
        <w:ind w:left="0"/>
        <w:rPr>
          <w:rFonts w:eastAsia="PMingLiU"/>
        </w:rPr>
      </w:pPr>
      <w:bookmarkStart w:id="13" w:name="TOC_Here"/>
      <w:bookmarkEnd w:id="13"/>
    </w:p>
    <w:p w:rsidR="00283549" w:rsidRPr="00A120A5" w:rsidRDefault="00283549" w:rsidP="00CD77E5">
      <w:pPr>
        <w:ind w:left="0"/>
        <w:jc w:val="center"/>
        <w:rPr>
          <w:rFonts w:eastAsia="PMingLiU"/>
          <w:b/>
        </w:rPr>
      </w:pPr>
      <w:r w:rsidRPr="00A120A5">
        <w:rPr>
          <w:rFonts w:eastAsia="PMingLiU"/>
          <w:b/>
        </w:rPr>
        <w:t>_______________________________________________________</w:t>
      </w:r>
    </w:p>
    <w:p w:rsidR="00283549" w:rsidRPr="00A120A5" w:rsidRDefault="00283549" w:rsidP="0024025E">
      <w:pPr>
        <w:ind w:left="0"/>
        <w:jc w:val="center"/>
        <w:rPr>
          <w:rFonts w:eastAsia="PMingLiU"/>
          <w:b/>
        </w:rPr>
      </w:pPr>
    </w:p>
    <w:p w:rsidR="007B33F9" w:rsidRPr="007B33F9" w:rsidRDefault="007B33F9" w:rsidP="007B33F9">
      <w:pPr>
        <w:ind w:left="0"/>
        <w:jc w:val="center"/>
        <w:rPr>
          <w:rFonts w:eastAsia="PMingLiU"/>
        </w:rPr>
      </w:pPr>
      <w:bookmarkStart w:id="14" w:name="JudgmentTypeStart"/>
      <w:bookmarkStart w:id="15" w:name="JudgmentTypeEnd"/>
      <w:bookmarkStart w:id="16" w:name="JusticeTitleStart"/>
      <w:bookmarkEnd w:id="14"/>
      <w:bookmarkEnd w:id="15"/>
      <w:bookmarkEnd w:id="16"/>
      <w:r>
        <w:rPr>
          <w:rFonts w:eastAsia="PMingLiU"/>
          <w:b/>
        </w:rPr>
        <w:t>Reasons for Decision of</w:t>
      </w:r>
      <w:bookmarkStart w:id="17" w:name="JudgmentTypeDocument"/>
      <w:bookmarkEnd w:id="17"/>
    </w:p>
    <w:p w:rsidR="00283549" w:rsidRPr="007B33F9" w:rsidRDefault="007B33F9" w:rsidP="007B33F9">
      <w:pPr>
        <w:ind w:left="0"/>
        <w:jc w:val="center"/>
        <w:rPr>
          <w:rFonts w:eastAsia="PMingLiU"/>
        </w:rPr>
      </w:pPr>
      <w:r>
        <w:rPr>
          <w:rFonts w:eastAsia="PMingLiU"/>
          <w:b/>
        </w:rPr>
        <w:t>The Honourable Mr. Justice Frans Slatter</w:t>
      </w:r>
      <w:bookmarkStart w:id="18" w:name="JusticeTitleEnd"/>
      <w:bookmarkEnd w:id="18"/>
    </w:p>
    <w:p w:rsidR="00283549" w:rsidRPr="00A120A5" w:rsidRDefault="00283549" w:rsidP="00CD77E5">
      <w:pPr>
        <w:ind w:left="0"/>
        <w:jc w:val="center"/>
        <w:rPr>
          <w:rFonts w:eastAsia="PMingLiU"/>
          <w:b/>
        </w:rPr>
      </w:pPr>
      <w:r w:rsidRPr="00A120A5">
        <w:rPr>
          <w:rFonts w:eastAsia="PMingLiU"/>
          <w:b/>
        </w:rPr>
        <w:t>_______________________________________________________</w:t>
      </w:r>
    </w:p>
    <w:p w:rsidR="0099595C" w:rsidRDefault="0099595C" w:rsidP="004B6F64">
      <w:pPr>
        <w:ind w:left="0"/>
        <w:rPr>
          <w:rFonts w:eastAsia="PMingLiU"/>
        </w:rPr>
        <w:sectPr w:rsidR="0099595C" w:rsidSect="009456BD">
          <w:headerReference w:type="even" r:id="rId9"/>
          <w:headerReference w:type="default" r:id="rId10"/>
          <w:footerReference w:type="default" r:id="rId11"/>
          <w:headerReference w:type="first" r:id="rId12"/>
          <w:pgSz w:w="12240" w:h="15840"/>
          <w:pgMar w:top="1255" w:right="1440" w:bottom="1440" w:left="1440" w:header="1152" w:footer="1440" w:gutter="0"/>
          <w:pgNumType w:fmt="upperRoman" w:start="1"/>
          <w:cols w:space="720"/>
          <w:noEndnote/>
          <w:docGrid w:linePitch="326"/>
        </w:sectPr>
      </w:pPr>
    </w:p>
    <w:p w:rsidR="00283549" w:rsidRPr="009C2254" w:rsidRDefault="00283549" w:rsidP="006C044D">
      <w:pPr>
        <w:pStyle w:val="FelskyNumbering12"/>
        <w:numPr>
          <w:ilvl w:val="0"/>
          <w:numId w:val="0"/>
        </w:numPr>
        <w:rPr>
          <w:rFonts w:eastAsia="PMingLiU"/>
        </w:rPr>
      </w:pPr>
    </w:p>
    <w:p w:rsidR="00F97083" w:rsidRDefault="00556998" w:rsidP="00F97083">
      <w:pPr>
        <w:pStyle w:val="FelskyNumbering12"/>
      </w:pPr>
      <w:bookmarkStart w:id="19" w:name="FelskyStart"/>
      <w:bookmarkStart w:id="20" w:name="Paragraph1"/>
      <w:bookmarkEnd w:id="19"/>
      <w:bookmarkEnd w:id="20"/>
      <w:r>
        <w:t>The late Alec</w:t>
      </w:r>
      <w:r w:rsidR="00F97083">
        <w:t xml:space="preserve"> Goodzeck made a valid will, in which he appointed his widow as his executrix and sole beneficiary of his modest estate. The appellant Jonathan Goodzeck is his son, and wants to displace his mother as executrix. The trial judge assumed that the appellant was motivated by a sincere concern about his mother’s ability to manage her affairs, and about possible influence of his sisters, but </w:t>
      </w:r>
      <w:r>
        <w:t xml:space="preserve">found </w:t>
      </w:r>
      <w:r w:rsidR="00F97083">
        <w:t xml:space="preserve">that the appellant had no standing to seek a replacement of the executrix: </w:t>
      </w:r>
      <w:r w:rsidR="00F97083" w:rsidRPr="00F97083">
        <w:rPr>
          <w:b/>
          <w:i/>
        </w:rPr>
        <w:t>Estate of Goodzeck</w:t>
      </w:r>
      <w:r w:rsidR="00F97083">
        <w:t xml:space="preserve">, 2018 NWTSC 68. As a result of the finding on standing, the Court did not have to deal with the cross application for summary dismissal of the claim. </w:t>
      </w:r>
    </w:p>
    <w:p w:rsidR="00F97083" w:rsidRDefault="00F97083" w:rsidP="00F97083">
      <w:pPr>
        <w:pStyle w:val="FelskyNumbering12"/>
      </w:pPr>
      <w:r>
        <w:t>The Notice of Appeal from that decision was filed about five days late, and the respondent executrix has now brought an application to strike out the appeal, or alternatively for security for costs.</w:t>
      </w:r>
    </w:p>
    <w:p w:rsidR="00F97083" w:rsidRDefault="00F97083" w:rsidP="00F97083">
      <w:pPr>
        <w:pStyle w:val="FelskyNumbering12"/>
      </w:pPr>
      <w:r>
        <w:t xml:space="preserve">The lateness of the appeal is explained by a miscalculation of time over the Christmas holidays. The judgment under appeal was served on November 26, 2018, meaning that the 30 day appeal period expired on December 26, 2018. The Registry was closed from December 21, 2018 </w:t>
      </w:r>
      <w:r w:rsidR="00556998">
        <w:t>to</w:t>
      </w:r>
      <w:r>
        <w:t xml:space="preserve"> January 1, 2019, bringing into play s. 22 of the</w:t>
      </w:r>
      <w:r w:rsidRPr="00F97083">
        <w:rPr>
          <w:i/>
        </w:rPr>
        <w:t xml:space="preserve"> Interpretation Act</w:t>
      </w:r>
      <w:r w:rsidR="00556998">
        <w:t xml:space="preserve">, </w:t>
      </w:r>
      <w:r>
        <w:t xml:space="preserve">SNWT </w:t>
      </w:r>
      <w:r w:rsidR="00FB747A">
        <w:t>2017, c. 19</w:t>
      </w:r>
      <w:r>
        <w:t>:</w:t>
      </w:r>
    </w:p>
    <w:p w:rsidR="00F97083" w:rsidRDefault="00474113" w:rsidP="00474113">
      <w:pPr>
        <w:pStyle w:val="Quote1st"/>
      </w:pPr>
      <w:r>
        <w:t>22(10)</w:t>
      </w:r>
      <w:r>
        <w:tab/>
      </w:r>
      <w:r w:rsidR="00F97083">
        <w:t xml:space="preserve">When the time limit for doing an act expires or falls on a holiday, the time limit is extended to </w:t>
      </w:r>
      <w:r w:rsidR="00F97083" w:rsidRPr="00F97083">
        <w:rPr>
          <w:u w:val="single"/>
        </w:rPr>
        <w:t>the next day that is not a holiday</w:t>
      </w:r>
      <w:r w:rsidR="00F97083">
        <w:t>.</w:t>
      </w:r>
    </w:p>
    <w:p w:rsidR="00F97083" w:rsidRDefault="00474113" w:rsidP="00474113">
      <w:pPr>
        <w:pStyle w:val="Quote1st"/>
      </w:pPr>
      <w:r>
        <w:t>(11)</w:t>
      </w:r>
      <w:r>
        <w:tab/>
      </w:r>
      <w:r w:rsidR="00F97083">
        <w:t xml:space="preserve">When the time limit for registering, filing or submitting a document or doing any other act in an office expires or falls on a day the office is not open during its regular operating hours, the time limit is extended to include </w:t>
      </w:r>
      <w:r w:rsidR="00F97083" w:rsidRPr="00F97083">
        <w:rPr>
          <w:u w:val="single"/>
        </w:rPr>
        <w:t>the next day the office is open</w:t>
      </w:r>
      <w:r w:rsidR="00F97083">
        <w:t>.</w:t>
      </w:r>
    </w:p>
    <w:p w:rsidR="00F97083" w:rsidRDefault="00F97083" w:rsidP="00474113">
      <w:pPr>
        <w:pStyle w:val="FelskyNumbering12"/>
        <w:numPr>
          <w:ilvl w:val="0"/>
          <w:numId w:val="0"/>
        </w:numPr>
      </w:pPr>
      <w:r>
        <w:t>Under these provisions the appellant had until the “next day” to file and serve the notice of appeal. That next day the Registry was open was Wednesday, January 2, 2019. The appeal was filed five days late, on January 7, 2019.</w:t>
      </w:r>
    </w:p>
    <w:p w:rsidR="00F97083" w:rsidRDefault="00F97083" w:rsidP="00F97083">
      <w:pPr>
        <w:pStyle w:val="FelskyNumbering12"/>
      </w:pPr>
      <w:r>
        <w:t xml:space="preserve">The appellant assumed that the </w:t>
      </w:r>
      <w:r w:rsidRPr="00F97083">
        <w:rPr>
          <w:i/>
        </w:rPr>
        <w:t>Interpretation Act</w:t>
      </w:r>
      <w:r>
        <w:t xml:space="preserve"> “suspended” the running of time while the Registry was closed. On this interpretation, the 11 days </w:t>
      </w:r>
      <w:r w:rsidR="00E14BCD">
        <w:t>that</w:t>
      </w:r>
      <w:r>
        <w:t xml:space="preserve"> the Registry was closed over Christmas would be added to the 30 days allowed for filing and service of the Notice of Appeal, giving the appellant until January 7, 2019 to file and serve. The </w:t>
      </w:r>
      <w:r w:rsidRPr="00F97083">
        <w:rPr>
          <w:i/>
        </w:rPr>
        <w:t>Act</w:t>
      </w:r>
      <w:r>
        <w:t>, however, is clear. It does not “suspend” any running of time, but rather provides that the time continues to run, and merely gives until the “next day that the office is open” to file and serve. The appeal was accordingly filed out of time.</w:t>
      </w:r>
    </w:p>
    <w:p w:rsidR="00F97083" w:rsidRDefault="00F97083" w:rsidP="00F97083">
      <w:pPr>
        <w:pStyle w:val="FelskyNumbering12"/>
      </w:pPr>
      <w:r>
        <w:t>The fact that the Registry accepted the Notice of Appeal for filing is not conclusive,</w:t>
      </w:r>
      <w:r w:rsidR="00E14BCD">
        <w:t xml:space="preserve"> or even particularly important</w:t>
      </w:r>
      <w:r>
        <w:t>. The Registrar will not always be sure when the judgment was served, and would not be aware of any potential agreements between the parties about filing. Further, an appellant may knowingly file an appeal late, with the intention of immediately applying for an extension of the time.</w:t>
      </w:r>
      <w:r w:rsidRPr="00FF187A">
        <w:t xml:space="preserve"> </w:t>
      </w:r>
      <w:r w:rsidR="00E14BCD">
        <w:t xml:space="preserve">The role of the Registry is to file tendered documents. </w:t>
      </w:r>
      <w:r>
        <w:t>The Registry should always err on the side of accepting a document, leaving it up to the Court or the parties to deal with any potential or contested irregularities later.</w:t>
      </w:r>
    </w:p>
    <w:p w:rsidR="00F97083" w:rsidRDefault="00F97083" w:rsidP="00F97083">
      <w:pPr>
        <w:pStyle w:val="FelskyNumbering12"/>
      </w:pPr>
      <w:r w:rsidRPr="00EE3E9C">
        <w:t>There</w:t>
      </w:r>
      <w:r>
        <w:t xml:space="preserve"> was </w:t>
      </w:r>
      <w:r w:rsidRPr="00EE3E9C">
        <w:t xml:space="preserve">no </w:t>
      </w:r>
      <w:r>
        <w:t xml:space="preserve">formal </w:t>
      </w:r>
      <w:r w:rsidRPr="00EE3E9C">
        <w:t>cross-application to extend the time to appeal</w:t>
      </w:r>
      <w:r>
        <w:t>, but the issue was argued</w:t>
      </w:r>
      <w:r w:rsidRPr="00EE3E9C">
        <w:t>.</w:t>
      </w:r>
      <w:r>
        <w:t xml:space="preserve"> The test for permitting late appeals is generally taken from the decision in</w:t>
      </w:r>
      <w:r w:rsidRPr="00F52B59">
        <w:t xml:space="preserve"> </w:t>
      </w:r>
      <w:r w:rsidRPr="00F97083">
        <w:rPr>
          <w:b/>
          <w:i/>
        </w:rPr>
        <w:t>Cairns v Cairns</w:t>
      </w:r>
      <w:r>
        <w:t>, [1931] 4 DLR 819 at pp. 826-7, [1931] 3 WWR 335 (Alta SCAD), which lists a number of relevant factors:</w:t>
      </w:r>
    </w:p>
    <w:p w:rsidR="00F97083" w:rsidRDefault="00F97083" w:rsidP="00994053">
      <w:pPr>
        <w:pStyle w:val="ListNumber"/>
      </w:pPr>
      <w:r>
        <w:t xml:space="preserve">a </w:t>
      </w:r>
      <w:r w:rsidRPr="00D81EA5">
        <w:rPr>
          <w:i/>
        </w:rPr>
        <w:t>bona fide</w:t>
      </w:r>
      <w:r>
        <w:t xml:space="preserve"> intention to appeal held while the right to appeal existed;</w:t>
      </w:r>
    </w:p>
    <w:p w:rsidR="00F97083" w:rsidRDefault="00F97083" w:rsidP="00994053">
      <w:pPr>
        <w:pStyle w:val="ListNumber"/>
      </w:pPr>
      <w:r>
        <w:t>an explanation for the failure to appeal in time that serves to excuse or justify the lateness;</w:t>
      </w:r>
    </w:p>
    <w:p w:rsidR="00F97083" w:rsidRDefault="00F97083" w:rsidP="00994053">
      <w:pPr>
        <w:pStyle w:val="ListNumber"/>
      </w:pPr>
      <w:r>
        <w:t>an absence of serious prejudice such that it would not be unjust to disturb the judgment;</w:t>
      </w:r>
    </w:p>
    <w:p w:rsidR="00F97083" w:rsidRDefault="00F97083" w:rsidP="00994053">
      <w:pPr>
        <w:pStyle w:val="ListNumber"/>
      </w:pPr>
      <w:r>
        <w:t>the applicant must not have taken the benefits of the judgment under appeal; and</w:t>
      </w:r>
    </w:p>
    <w:p w:rsidR="00F97083" w:rsidRDefault="00F97083" w:rsidP="00994053">
      <w:pPr>
        <w:pStyle w:val="ListNumber"/>
      </w:pPr>
      <w:r>
        <w:t>there must be a reasonably arguable appeal.</w:t>
      </w:r>
    </w:p>
    <w:p w:rsidR="00F97083" w:rsidRDefault="00F97083" w:rsidP="00994053">
      <w:pPr>
        <w:pStyle w:val="FelskyNumbering12"/>
        <w:numPr>
          <w:ilvl w:val="0"/>
          <w:numId w:val="0"/>
        </w:numPr>
      </w:pPr>
      <w:r>
        <w:t xml:space="preserve">Absent prejudice, the test can often be met for appeals that are only late by a few days: </w:t>
      </w:r>
      <w:r w:rsidR="00D81EA5">
        <w:rPr>
          <w:b/>
          <w:i/>
        </w:rPr>
        <w:t>Paquin v</w:t>
      </w:r>
      <w:r w:rsidRPr="00F97083">
        <w:rPr>
          <w:b/>
          <w:i/>
        </w:rPr>
        <w:t xml:space="preserve"> Lucki (Guardians ad litem of)</w:t>
      </w:r>
      <w:r w:rsidRPr="004E5AFC">
        <w:t>, 2017 ABCA 79</w:t>
      </w:r>
      <w:r>
        <w:t xml:space="preserve"> at para. 4. </w:t>
      </w:r>
    </w:p>
    <w:p w:rsidR="00F97083" w:rsidRDefault="00F97083" w:rsidP="00F97083">
      <w:pPr>
        <w:pStyle w:val="FelskyNumbering12"/>
      </w:pPr>
      <w:r>
        <w:t xml:space="preserve">In this case, however, the appellant has failed to identify any basis on which he might have a reasonable chance of success. The appellant may have a viable argument that he has standing under R. 74(b) or (f) of the </w:t>
      </w:r>
      <w:r w:rsidRPr="00F97083">
        <w:rPr>
          <w:i/>
        </w:rPr>
        <w:t>Estate Administration Rules</w:t>
      </w:r>
      <w:r>
        <w:t>,</w:t>
      </w:r>
      <w:r w:rsidRPr="00F97083">
        <w:rPr>
          <w:i/>
        </w:rPr>
        <w:t xml:space="preserve"> </w:t>
      </w:r>
      <w:r>
        <w:t xml:space="preserve">NWT Reg 123-2016. However, the appellant’s mother is both the named executrix in the will, and the sole beneficiary. In his affidavit, the appellant acknowledges that his father did not want to replace his mother as the executrix for fear of hurting her feelings. The appellant is seeking to contradict the clear words of the will with hearsay oral expressions of intention by the deceased. No arguable legal basis has been shown by which the appellant can take over the management of his mother’s affairs in this way. The estate has been probated, the debts paid, </w:t>
      </w:r>
      <w:r w:rsidR="00D81EA5">
        <w:t xml:space="preserve">and </w:t>
      </w:r>
      <w:r>
        <w:t>the net estate</w:t>
      </w:r>
      <w:r w:rsidR="00D81EA5">
        <w:t xml:space="preserve"> distributed to the beneficiary;</w:t>
      </w:r>
      <w:r>
        <w:t xml:space="preserve"> the issue of administration is moot.</w:t>
      </w:r>
    </w:p>
    <w:p w:rsidR="00F97083" w:rsidRDefault="00F97083" w:rsidP="00F97083">
      <w:pPr>
        <w:pStyle w:val="FelskyNumbering12"/>
      </w:pPr>
      <w:r>
        <w:t>There is also insufficient merit to the appeal as to costs. The appellant’s counsel had a fair opportunity to address costs at the time that the decision was rendered. Costs are highly discretionary, and the chambers judge merely applied the default presumption that the successful party is entitled to costs. Even if the appellant had standing, there was no merit to the underlying application to replace the executrix. Any issue about the way costs were taxed are to be taken before the Supreme Court: R. 693.</w:t>
      </w:r>
    </w:p>
    <w:p w:rsidR="00F97083" w:rsidRDefault="00F97083" w:rsidP="00F97083">
      <w:pPr>
        <w:pStyle w:val="FelskyNumbering12"/>
      </w:pPr>
      <w:r>
        <w:t>The appellant’s ultimate application to replace the executrix is hopeless, and the only effect of this litigation will be to run up costs. The law on standing in estate litigation can be clarified in a case where the issue is not moot. The</w:t>
      </w:r>
      <w:r w:rsidR="00D81EA5">
        <w:t xml:space="preserve"> executrix’s</w:t>
      </w:r>
      <w:r>
        <w:t xml:space="preserve"> application to strike the appeal due to its late filing is granted. Alternatively, if the appeal had been allowed to proceed, it would only have been upon the posting of significant security for costs.</w:t>
      </w:r>
    </w:p>
    <w:p w:rsidR="0011708D" w:rsidRPr="009C2254" w:rsidRDefault="00F97083" w:rsidP="00FF1109">
      <w:pPr>
        <w:pStyle w:val="FelskyNumbering12"/>
      </w:pPr>
      <w:r>
        <w:t>The appeal is struck. The executrix is entitled to costs of this application fixed at $2,000 for</w:t>
      </w:r>
      <w:r w:rsidR="00D81EA5">
        <w:t xml:space="preserve"> fees and</w:t>
      </w:r>
      <w:r>
        <w:t xml:space="preserve"> $200 for disbursements, plus GST. </w:t>
      </w:r>
      <w:r w:rsidR="00D81EA5">
        <w:t>The</w:t>
      </w:r>
      <w:r>
        <w:t xml:space="preserve"> formal offer to abandon the proceedings without costs </w:t>
      </w:r>
      <w:r w:rsidR="00D81EA5">
        <w:t>was</w:t>
      </w:r>
      <w:r>
        <w:t xml:space="preserve"> not a realistic invitation to resolution, and does not justify an award of solicitor and client costs. Disbursements for counsel to travel to Yellowknife are not warranted. Both counsel have offices in Yellowknife, and appearances could have been </w:t>
      </w:r>
      <w:r w:rsidR="00D81EA5">
        <w:t xml:space="preserve">made </w:t>
      </w:r>
      <w:r>
        <w:t>by video.</w:t>
      </w:r>
    </w:p>
    <w:p w:rsidR="00283549" w:rsidRPr="009C2254" w:rsidRDefault="007B33F9" w:rsidP="004B6F64">
      <w:pPr>
        <w:ind w:left="0"/>
      </w:pPr>
      <w:bookmarkStart w:id="21" w:name="JudgmentHeard"/>
      <w:bookmarkEnd w:id="21"/>
      <w:r>
        <w:t>Application heard</w:t>
      </w:r>
      <w:r w:rsidR="00283549" w:rsidRPr="009C2254">
        <w:t xml:space="preserve"> on </w:t>
      </w:r>
      <w:r>
        <w:t>April 16, 2019</w:t>
      </w:r>
    </w:p>
    <w:p w:rsidR="00283549" w:rsidRPr="009C2254" w:rsidRDefault="00283549" w:rsidP="004B6F64">
      <w:pPr>
        <w:ind w:left="0"/>
      </w:pPr>
    </w:p>
    <w:p w:rsidR="00283549" w:rsidRPr="009C2254" w:rsidRDefault="007B33F9" w:rsidP="004B6F64">
      <w:pPr>
        <w:ind w:left="0"/>
      </w:pPr>
      <w:bookmarkStart w:id="22" w:name="JudgmentFiled"/>
      <w:bookmarkEnd w:id="22"/>
      <w:r>
        <w:t>Reasons filed</w:t>
      </w:r>
      <w:r w:rsidR="00283549" w:rsidRPr="009C2254">
        <w:t xml:space="preserve"> at </w:t>
      </w:r>
      <w:bookmarkStart w:id="23" w:name="FilingJudicialDistrict"/>
      <w:bookmarkEnd w:id="23"/>
      <w:r w:rsidR="00FA2CF5">
        <w:t>Yellowknife, NWT</w:t>
      </w:r>
    </w:p>
    <w:p w:rsidR="00283549" w:rsidRPr="007B33F9" w:rsidRDefault="00283549" w:rsidP="004B6F64">
      <w:pPr>
        <w:ind w:left="0"/>
        <w:rPr>
          <w:color w:val="000000"/>
        </w:rPr>
      </w:pPr>
      <w:r w:rsidRPr="009C2254">
        <w:t xml:space="preserve">this </w:t>
      </w:r>
      <w:bookmarkStart w:id="24" w:name="FilingDate"/>
      <w:bookmarkEnd w:id="24"/>
      <w:r w:rsidR="00E87483">
        <w:t xml:space="preserve">         </w:t>
      </w:r>
      <w:r w:rsidR="007B33F9" w:rsidRPr="00E87483">
        <w:t xml:space="preserve"> day of April, 2019</w:t>
      </w:r>
    </w:p>
    <w:p w:rsidR="00283549" w:rsidRPr="009C2254" w:rsidRDefault="00283549" w:rsidP="004B6F64">
      <w:pPr>
        <w:ind w:left="0"/>
      </w:pPr>
    </w:p>
    <w:p w:rsidR="00283549" w:rsidRPr="009C2254" w:rsidRDefault="00283549" w:rsidP="004B6F64">
      <w:pPr>
        <w:ind w:left="0"/>
      </w:pPr>
    </w:p>
    <w:p w:rsidR="00283549" w:rsidRPr="009C2254" w:rsidRDefault="00283549" w:rsidP="004B6F64">
      <w:pPr>
        <w:ind w:left="0"/>
      </w:pPr>
    </w:p>
    <w:p w:rsidR="007B33F9" w:rsidRDefault="00FD48EF" w:rsidP="007B33F9">
      <w:pPr>
        <w:ind w:left="0"/>
        <w:jc w:val="right"/>
      </w:pPr>
      <w:bookmarkStart w:id="25" w:name="Signature"/>
      <w:bookmarkEnd w:id="25"/>
      <w:r>
        <w:pict>
          <v:rect id="_x0000_i1025" style="width:3in;height:.7pt" o:hrpct="0" o:hralign="right" o:hrstd="t" o:hrnoshade="t" o:hr="t" fillcolor="black" stroked="f"/>
        </w:pict>
      </w:r>
    </w:p>
    <w:p w:rsidR="00283549" w:rsidRPr="009C2254" w:rsidRDefault="007B33F9" w:rsidP="007B33F9">
      <w:pPr>
        <w:ind w:left="0"/>
        <w:jc w:val="right"/>
      </w:pPr>
      <w:r>
        <w:t>Slatter J.A.</w:t>
      </w:r>
    </w:p>
    <w:p w:rsidR="007E3EB9" w:rsidRDefault="007E3EB9">
      <w:pPr>
        <w:spacing w:after="200" w:line="276" w:lineRule="auto"/>
        <w:ind w:left="0"/>
        <w:jc w:val="left"/>
      </w:pPr>
      <w:r>
        <w:br w:type="page"/>
      </w:r>
    </w:p>
    <w:p w:rsidR="00283549" w:rsidRPr="009C2254" w:rsidRDefault="00283549" w:rsidP="004B6F64">
      <w:pPr>
        <w:keepNext/>
        <w:keepLines/>
        <w:ind w:left="0"/>
      </w:pPr>
      <w:bookmarkStart w:id="26" w:name="frAppearances"/>
      <w:bookmarkEnd w:id="26"/>
      <w:r w:rsidRPr="009C2254">
        <w:rPr>
          <w:b/>
          <w:bCs/>
        </w:rPr>
        <w:t>Appearances:</w:t>
      </w:r>
    </w:p>
    <w:p w:rsidR="00283549" w:rsidRPr="009C2254" w:rsidRDefault="00283549" w:rsidP="004B6F64">
      <w:pPr>
        <w:keepNext/>
        <w:keepLines/>
        <w:ind w:left="0"/>
      </w:pPr>
    </w:p>
    <w:p w:rsidR="00283549" w:rsidRPr="009C2254" w:rsidRDefault="00D81EA5" w:rsidP="004B6F64">
      <w:pPr>
        <w:keepNext/>
        <w:keepLines/>
        <w:ind w:left="0"/>
      </w:pPr>
      <w:r>
        <w:t>P</w:t>
      </w:r>
      <w:r w:rsidR="007B33F9">
        <w:t>. Tomic</w:t>
      </w:r>
    </w:p>
    <w:p w:rsidR="00283549" w:rsidRPr="009C2254" w:rsidRDefault="007B33F9" w:rsidP="004B6F64">
      <w:pPr>
        <w:keepNext/>
        <w:keepLines/>
        <w:ind w:left="0"/>
      </w:pPr>
      <w:r>
        <w:tab/>
        <w:t xml:space="preserve">for the </w:t>
      </w:r>
      <w:r w:rsidR="00FA2CF5">
        <w:t>Applicant</w:t>
      </w:r>
    </w:p>
    <w:p w:rsidR="00283549" w:rsidRPr="009C2254" w:rsidRDefault="00283549" w:rsidP="004B6F64">
      <w:pPr>
        <w:keepNext/>
        <w:keepLines/>
        <w:ind w:left="0"/>
      </w:pPr>
    </w:p>
    <w:p w:rsidR="00283549" w:rsidRPr="009C2254" w:rsidRDefault="00335FBD" w:rsidP="004B6F64">
      <w:pPr>
        <w:keepNext/>
        <w:keepLines/>
        <w:ind w:left="0"/>
      </w:pPr>
      <w:r>
        <w:t>D. McN</w:t>
      </w:r>
      <w:r w:rsidR="00D81EA5">
        <w:t>ive</w:t>
      </w:r>
      <w:r w:rsidR="007B33F9">
        <w:t>n</w:t>
      </w:r>
    </w:p>
    <w:p w:rsidR="00283549" w:rsidRPr="00FA2CF5" w:rsidRDefault="007B33F9" w:rsidP="004B6F64">
      <w:pPr>
        <w:keepNext/>
        <w:keepLines/>
        <w:ind w:left="0"/>
      </w:pPr>
      <w:r>
        <w:tab/>
        <w:t xml:space="preserve">for the </w:t>
      </w:r>
      <w:r w:rsidR="00FA2CF5">
        <w:t>Respondent</w:t>
      </w:r>
    </w:p>
    <w:p w:rsidR="00283549" w:rsidRPr="009C2254" w:rsidRDefault="00560BBA" w:rsidP="004B6F64">
      <w:pPr>
        <w:keepNext/>
        <w:keepLines/>
        <w:ind w:left="0"/>
      </w:pPr>
      <w:r>
        <w:t xml:space="preserve"> </w:t>
      </w:r>
    </w:p>
    <w:p w:rsidR="00283549" w:rsidRPr="009C2254" w:rsidRDefault="00560BBA" w:rsidP="004B6F64">
      <w:pPr>
        <w:keepLines/>
        <w:ind w:left="0"/>
      </w:pPr>
      <w:r>
        <w:t xml:space="preserve"> </w:t>
      </w:r>
    </w:p>
    <w:p w:rsidR="00283549" w:rsidRPr="009C2254" w:rsidRDefault="00283549" w:rsidP="004B6F64">
      <w:pPr>
        <w:ind w:left="0"/>
      </w:pPr>
      <w:bookmarkStart w:id="27" w:name="Corrigendum"/>
      <w:bookmarkEnd w:id="27"/>
    </w:p>
    <w:p w:rsidR="002508CA" w:rsidRDefault="002508CA" w:rsidP="004B6F64">
      <w:pPr>
        <w:ind w:left="0"/>
        <w:sectPr w:rsidR="002508CA" w:rsidSect="001E53E3">
          <w:headerReference w:type="even" r:id="rId13"/>
          <w:headerReference w:type="default" r:id="rId14"/>
          <w:headerReference w:type="first" r:id="rId15"/>
          <w:type w:val="continuous"/>
          <w:pgSz w:w="12240" w:h="15840"/>
          <w:pgMar w:top="1585" w:right="1440" w:bottom="1440" w:left="1440" w:header="1440" w:footer="1440" w:gutter="0"/>
          <w:pgNumType w:start="1"/>
          <w:cols w:space="720"/>
          <w:noEndnote/>
          <w:docGrid w:linePitch="326"/>
        </w:sectPr>
      </w:pPr>
    </w:p>
    <w:p w:rsidR="002508CA" w:rsidRDefault="002508CA" w:rsidP="002508CA">
      <w:pPr>
        <w:ind w:left="3168"/>
        <w:jc w:val="right"/>
        <w:rPr>
          <w:rFonts w:eastAsia="PMingLiU"/>
          <w:bCs/>
        </w:rPr>
      </w:pPr>
      <w:r>
        <w:rPr>
          <w:rFonts w:eastAsia="PMingLiU"/>
          <w:bCs/>
        </w:rPr>
        <w:t>A-1-AP-2019-000 002</w:t>
      </w:r>
    </w:p>
    <w:p w:rsidR="002508CA" w:rsidRPr="007D3FA9" w:rsidRDefault="002508CA" w:rsidP="002508CA">
      <w:pPr>
        <w:ind w:left="3168"/>
        <w:rPr>
          <w:rFonts w:eastAsia="PMingLiU"/>
        </w:rPr>
      </w:pPr>
    </w:p>
    <w:p w:rsidR="002508CA" w:rsidRPr="007D3FA9" w:rsidRDefault="002508CA" w:rsidP="002508CA">
      <w:pPr>
        <w:spacing w:line="19" w:lineRule="exact"/>
        <w:ind w:left="3168"/>
        <w:rPr>
          <w:rFonts w:eastAsia="PMingLiU"/>
        </w:rPr>
      </w:pPr>
      <w:r>
        <w:rPr>
          <w:noProof/>
          <w:lang w:val="en-US" w:eastAsia="en-US"/>
        </w:rPr>
        <mc:AlternateContent>
          <mc:Choice Requires="wps">
            <w:drawing>
              <wp:anchor distT="0" distB="0" distL="114300" distR="114300" simplePos="0" relativeHeight="251659264" behindDoc="1" locked="1" layoutInCell="0" allowOverlap="1" wp14:anchorId="7B99FC3A" wp14:editId="5D6E3CAC">
                <wp:simplePos x="0" y="0"/>
                <wp:positionH relativeFrom="page">
                  <wp:posOffset>2926080</wp:posOffset>
                </wp:positionH>
                <wp:positionV relativeFrom="paragraph">
                  <wp:posOffset>0</wp:posOffset>
                </wp:positionV>
                <wp:extent cx="3931920" cy="1206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F13B2" id="Rectangle 4" o:spid="_x0000_s1026" style="position:absolute;margin-left:230.4pt;margin-top:0;width:309.6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Dr7AIAADs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" o:allowincell="f" fillcolor="black" stroked="f" strokeweight="0">
                <w10:wrap anchorx="page"/>
                <w10:anchorlock/>
              </v:rect>
            </w:pict>
          </mc:Fallback>
        </mc:AlternateContent>
      </w:r>
    </w:p>
    <w:p w:rsidR="002508CA" w:rsidRPr="007D3FA9" w:rsidRDefault="002508CA" w:rsidP="002508CA">
      <w:pPr>
        <w:ind w:left="3168"/>
        <w:rPr>
          <w:rFonts w:eastAsia="PMingLiU"/>
        </w:rPr>
      </w:pPr>
    </w:p>
    <w:p w:rsidR="002508CA" w:rsidRPr="007D3FA9" w:rsidRDefault="002508CA" w:rsidP="002508CA">
      <w:pPr>
        <w:ind w:left="3168"/>
        <w:jc w:val="center"/>
        <w:rPr>
          <w:rFonts w:eastAsia="PMingLiU"/>
        </w:rPr>
      </w:pPr>
      <w:r w:rsidRPr="007D3FA9">
        <w:rPr>
          <w:rFonts w:eastAsia="PMingLiU"/>
        </w:rPr>
        <w:t>IN THE COURT OF APPEAL</w:t>
      </w:r>
    </w:p>
    <w:p w:rsidR="002508CA" w:rsidRPr="007D3FA9" w:rsidRDefault="002508CA" w:rsidP="002508CA">
      <w:pPr>
        <w:ind w:left="3168"/>
        <w:jc w:val="center"/>
        <w:rPr>
          <w:rFonts w:eastAsia="PMingLiU"/>
        </w:rPr>
      </w:pPr>
      <w:r w:rsidRPr="007D3FA9">
        <w:rPr>
          <w:rFonts w:eastAsia="PMingLiU"/>
        </w:rPr>
        <w:t>OF THE NORTHWEST TERRITORIES</w:t>
      </w:r>
    </w:p>
    <w:p w:rsidR="002508CA" w:rsidRPr="007D3FA9" w:rsidRDefault="002508CA" w:rsidP="002508CA">
      <w:pPr>
        <w:ind w:left="3168"/>
        <w:jc w:val="center"/>
        <w:rPr>
          <w:rFonts w:eastAsia="PMingLiU"/>
        </w:rPr>
      </w:pPr>
    </w:p>
    <w:p w:rsidR="002508CA" w:rsidRPr="007D3FA9" w:rsidRDefault="002508CA" w:rsidP="002508CA">
      <w:pPr>
        <w:spacing w:line="19" w:lineRule="exact"/>
        <w:ind w:left="3168"/>
        <w:rPr>
          <w:rFonts w:eastAsia="PMingLiU"/>
        </w:rPr>
      </w:pPr>
      <w:r>
        <w:rPr>
          <w:noProof/>
          <w:lang w:val="en-US" w:eastAsia="en-US"/>
        </w:rPr>
        <mc:AlternateContent>
          <mc:Choice Requires="wps">
            <w:drawing>
              <wp:anchor distT="0" distB="0" distL="114300" distR="114300" simplePos="0" relativeHeight="251660288" behindDoc="1" locked="1" layoutInCell="0" allowOverlap="1" wp14:anchorId="691A7935" wp14:editId="37A8E795">
                <wp:simplePos x="0" y="0"/>
                <wp:positionH relativeFrom="page">
                  <wp:posOffset>2926080</wp:posOffset>
                </wp:positionH>
                <wp:positionV relativeFrom="paragraph">
                  <wp:posOffset>0</wp:posOffset>
                </wp:positionV>
                <wp:extent cx="3931920" cy="12065"/>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7BD5E" id="Rectangle 5" o:spid="_x0000_s1026" style="position:absolute;margin-left:230.4pt;margin-top:0;width:309.6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" o:allowincell="f" fillcolor="black" stroked="f" strokeweight="0">
                <w10:wrap anchorx="page"/>
                <w10:anchorlock/>
              </v:rect>
            </w:pict>
          </mc:Fallback>
        </mc:AlternateContent>
      </w:r>
    </w:p>
    <w:p w:rsidR="002508CA" w:rsidRPr="007D3FA9" w:rsidRDefault="002508CA" w:rsidP="002508CA">
      <w:pPr>
        <w:ind w:left="3168"/>
        <w:rPr>
          <w:rFonts w:eastAsia="PMingLiU"/>
        </w:rPr>
      </w:pPr>
    </w:p>
    <w:p w:rsidR="002508CA" w:rsidRPr="009C2254" w:rsidRDefault="002508CA" w:rsidP="002508CA">
      <w:pPr>
        <w:ind w:left="3150"/>
        <w:rPr>
          <w:rFonts w:eastAsia="PMingLiU"/>
        </w:rPr>
      </w:pPr>
      <w:r w:rsidRPr="009C2254">
        <w:rPr>
          <w:rFonts w:eastAsia="PMingLiU"/>
          <w:b/>
          <w:bCs/>
        </w:rPr>
        <w:t>Between:</w:t>
      </w:r>
    </w:p>
    <w:p w:rsidR="002508CA" w:rsidRPr="009C2254" w:rsidRDefault="002508CA" w:rsidP="002508CA">
      <w:pPr>
        <w:ind w:left="3150"/>
        <w:rPr>
          <w:rFonts w:eastAsia="PMingLiU"/>
        </w:rPr>
      </w:pPr>
    </w:p>
    <w:p w:rsidR="002508CA" w:rsidRPr="007B33F9" w:rsidRDefault="002508CA" w:rsidP="002508CA">
      <w:pPr>
        <w:ind w:left="0"/>
        <w:jc w:val="center"/>
        <w:rPr>
          <w:rFonts w:eastAsia="PMingLiU"/>
        </w:rPr>
      </w:pPr>
      <w:r>
        <w:rPr>
          <w:rFonts w:eastAsia="PMingLiU"/>
        </w:rPr>
        <w:t xml:space="preserve">                                                       </w:t>
      </w:r>
      <w:r>
        <w:rPr>
          <w:rFonts w:eastAsia="PMingLiU"/>
          <w:b/>
        </w:rPr>
        <w:t>The Estate of Alec Goodzeck</w:t>
      </w:r>
    </w:p>
    <w:p w:rsidR="002508CA" w:rsidRPr="009C2254" w:rsidRDefault="002508CA" w:rsidP="002508CA">
      <w:pPr>
        <w:ind w:left="0"/>
        <w:rPr>
          <w:rFonts w:eastAsia="PMingLiU"/>
        </w:rPr>
      </w:pPr>
    </w:p>
    <w:p w:rsidR="002508CA" w:rsidRDefault="002508CA" w:rsidP="002508CA">
      <w:pPr>
        <w:tabs>
          <w:tab w:val="right" w:pos="9360"/>
        </w:tabs>
        <w:ind w:left="0"/>
        <w:jc w:val="right"/>
        <w:rPr>
          <w:rFonts w:eastAsia="PMingLiU"/>
        </w:rPr>
      </w:pPr>
      <w:r>
        <w:rPr>
          <w:rFonts w:eastAsia="PMingLiU"/>
        </w:rPr>
        <w:t>Applicant</w:t>
      </w:r>
    </w:p>
    <w:p w:rsidR="002508CA" w:rsidRPr="009C2254" w:rsidRDefault="002508CA" w:rsidP="002508CA">
      <w:pPr>
        <w:tabs>
          <w:tab w:val="right" w:pos="9360"/>
        </w:tabs>
        <w:ind w:left="0"/>
        <w:jc w:val="right"/>
        <w:rPr>
          <w:rFonts w:eastAsia="PMingLiU"/>
        </w:rPr>
      </w:pPr>
      <w:r>
        <w:rPr>
          <w:rFonts w:eastAsia="PMingLiU"/>
        </w:rPr>
        <w:t>(Respondent)</w:t>
      </w:r>
    </w:p>
    <w:p w:rsidR="002508CA" w:rsidRPr="009C2254" w:rsidRDefault="002508CA" w:rsidP="002508CA">
      <w:pPr>
        <w:ind w:left="0"/>
        <w:rPr>
          <w:rFonts w:eastAsia="PMingLiU"/>
        </w:rPr>
      </w:pPr>
    </w:p>
    <w:p w:rsidR="002508CA" w:rsidRPr="009C2254" w:rsidRDefault="002508CA" w:rsidP="002508CA">
      <w:pPr>
        <w:tabs>
          <w:tab w:val="center" w:pos="4680"/>
        </w:tabs>
        <w:ind w:left="0"/>
        <w:jc w:val="center"/>
        <w:rPr>
          <w:rFonts w:eastAsia="PMingLiU"/>
        </w:rPr>
      </w:pPr>
      <w:r>
        <w:rPr>
          <w:rFonts w:eastAsia="PMingLiU"/>
        </w:rPr>
        <w:t xml:space="preserve">                                                       </w:t>
      </w:r>
      <w:r w:rsidR="00C11E20">
        <w:rPr>
          <w:rFonts w:eastAsia="PMingLiU"/>
        </w:rPr>
        <w:t>-</w:t>
      </w:r>
      <w:r w:rsidRPr="009C2254">
        <w:rPr>
          <w:rFonts w:eastAsia="PMingLiU"/>
        </w:rPr>
        <w:t xml:space="preserve"> </w:t>
      </w:r>
      <w:proofErr w:type="gramStart"/>
      <w:r w:rsidRPr="009C2254">
        <w:rPr>
          <w:rFonts w:eastAsia="PMingLiU"/>
        </w:rPr>
        <w:t>and</w:t>
      </w:r>
      <w:proofErr w:type="gramEnd"/>
      <w:r w:rsidRPr="009C2254">
        <w:rPr>
          <w:rFonts w:eastAsia="PMingLiU"/>
        </w:rPr>
        <w:t xml:space="preserve"> -</w:t>
      </w:r>
    </w:p>
    <w:p w:rsidR="002508CA" w:rsidRPr="009C2254" w:rsidRDefault="002508CA" w:rsidP="002508CA">
      <w:pPr>
        <w:ind w:left="0"/>
        <w:rPr>
          <w:rFonts w:eastAsia="PMingLiU"/>
        </w:rPr>
      </w:pPr>
    </w:p>
    <w:p w:rsidR="002508CA" w:rsidRPr="007B33F9" w:rsidRDefault="002508CA" w:rsidP="002508CA">
      <w:pPr>
        <w:ind w:left="0"/>
        <w:jc w:val="center"/>
        <w:rPr>
          <w:rFonts w:eastAsia="PMingLiU"/>
        </w:rPr>
      </w:pPr>
      <w:r>
        <w:rPr>
          <w:rFonts w:eastAsia="PMingLiU"/>
          <w:b/>
        </w:rPr>
        <w:t xml:space="preserve">                                             </w:t>
      </w:r>
      <w:r w:rsidR="00042300">
        <w:rPr>
          <w:rFonts w:eastAsia="PMingLiU"/>
          <w:b/>
        </w:rPr>
        <w:t xml:space="preserve">    </w:t>
      </w:r>
      <w:r>
        <w:rPr>
          <w:rFonts w:eastAsia="PMingLiU"/>
          <w:b/>
        </w:rPr>
        <w:t xml:space="preserve">     Jonathan D. Goodzeck</w:t>
      </w:r>
    </w:p>
    <w:p w:rsidR="002508CA" w:rsidRPr="009C2254" w:rsidRDefault="002508CA" w:rsidP="002508CA">
      <w:pPr>
        <w:ind w:left="0"/>
        <w:rPr>
          <w:rFonts w:eastAsia="PMingLiU"/>
        </w:rPr>
      </w:pPr>
    </w:p>
    <w:p w:rsidR="002508CA" w:rsidRDefault="002508CA" w:rsidP="002508CA">
      <w:pPr>
        <w:tabs>
          <w:tab w:val="right" w:pos="9360"/>
        </w:tabs>
        <w:ind w:left="0"/>
        <w:jc w:val="right"/>
        <w:rPr>
          <w:rFonts w:eastAsia="PMingLiU"/>
        </w:rPr>
      </w:pPr>
      <w:r>
        <w:rPr>
          <w:rFonts w:eastAsia="PMingLiU"/>
        </w:rPr>
        <w:t>Respondent</w:t>
      </w:r>
    </w:p>
    <w:p w:rsidR="002508CA" w:rsidRPr="009C2254" w:rsidRDefault="002508CA" w:rsidP="002508CA">
      <w:pPr>
        <w:tabs>
          <w:tab w:val="right" w:pos="9360"/>
        </w:tabs>
        <w:ind w:left="0"/>
        <w:jc w:val="right"/>
        <w:rPr>
          <w:rFonts w:eastAsia="PMingLiU"/>
        </w:rPr>
      </w:pPr>
      <w:r>
        <w:rPr>
          <w:rFonts w:eastAsia="PMingLiU"/>
        </w:rPr>
        <w:t>(Appellant)</w:t>
      </w:r>
    </w:p>
    <w:p w:rsidR="002508CA" w:rsidRPr="009C2254" w:rsidRDefault="002508CA" w:rsidP="002508CA">
      <w:pPr>
        <w:ind w:left="0"/>
        <w:rPr>
          <w:rFonts w:eastAsia="PMingLiU"/>
        </w:rPr>
      </w:pPr>
    </w:p>
    <w:p w:rsidR="002508CA" w:rsidRPr="007D3FA9" w:rsidRDefault="002508CA" w:rsidP="002508CA">
      <w:pPr>
        <w:ind w:left="0"/>
        <w:jc w:val="center"/>
      </w:pPr>
    </w:p>
    <w:p w:rsidR="002508CA" w:rsidRPr="007D3FA9" w:rsidRDefault="002508CA" w:rsidP="002508CA">
      <w:pPr>
        <w:spacing w:line="19" w:lineRule="exact"/>
        <w:ind w:left="3168"/>
      </w:pPr>
      <w:r>
        <w:rPr>
          <w:noProof/>
          <w:lang w:val="en-US" w:eastAsia="en-US"/>
        </w:rPr>
        <mc:AlternateContent>
          <mc:Choice Requires="wps">
            <w:drawing>
              <wp:anchor distT="0" distB="0" distL="114300" distR="114300" simplePos="0" relativeHeight="251661312" behindDoc="1" locked="1" layoutInCell="0" allowOverlap="1" wp14:anchorId="65C9063C" wp14:editId="6C011418">
                <wp:simplePos x="0" y="0"/>
                <wp:positionH relativeFrom="page">
                  <wp:posOffset>2926080</wp:posOffset>
                </wp:positionH>
                <wp:positionV relativeFrom="paragraph">
                  <wp:posOffset>0</wp:posOffset>
                </wp:positionV>
                <wp:extent cx="3931920" cy="12065"/>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5959F" id="Rectangle 6" o:spid="_x0000_s1026" style="position:absolute;margin-left:230.4pt;margin-top:0;width:309.6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ef77AIAADs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" o:allowincell="f" fillcolor="black" stroked="f" strokeweight="0">
                <w10:wrap anchorx="page"/>
                <w10:anchorlock/>
              </v:rect>
            </w:pict>
          </mc:Fallback>
        </mc:AlternateContent>
      </w:r>
    </w:p>
    <w:p w:rsidR="002508CA" w:rsidRPr="007D3FA9" w:rsidRDefault="002508CA" w:rsidP="002508CA">
      <w:pPr>
        <w:ind w:left="3168"/>
      </w:pPr>
    </w:p>
    <w:p w:rsidR="002508CA" w:rsidRDefault="002508CA" w:rsidP="002508CA">
      <w:pPr>
        <w:ind w:left="3168"/>
        <w:jc w:val="center"/>
      </w:pPr>
      <w:r>
        <w:t xml:space="preserve">REASONS FOR </w:t>
      </w:r>
      <w:r w:rsidR="00BD13CB">
        <w:t>DECISION</w:t>
      </w:r>
    </w:p>
    <w:p w:rsidR="002200ED" w:rsidRDefault="002200ED" w:rsidP="002508CA">
      <w:pPr>
        <w:ind w:left="3168"/>
        <w:jc w:val="center"/>
      </w:pPr>
    </w:p>
    <w:p w:rsidR="002508CA" w:rsidRPr="009C2254" w:rsidRDefault="002508CA" w:rsidP="002200ED">
      <w:pPr>
        <w:spacing w:line="19" w:lineRule="exact"/>
      </w:pPr>
      <w:r>
        <w:rPr>
          <w:noProof/>
          <w:lang w:val="en-US" w:eastAsia="en-US"/>
        </w:rPr>
        <mc:AlternateContent>
          <mc:Choice Requires="wps">
            <w:drawing>
              <wp:anchor distT="0" distB="0" distL="114300" distR="114300" simplePos="0" relativeHeight="251662336" behindDoc="1" locked="1" layoutInCell="0" allowOverlap="1" wp14:anchorId="006CD6EE" wp14:editId="6A7E25D3">
                <wp:simplePos x="0" y="0"/>
                <wp:positionH relativeFrom="page">
                  <wp:posOffset>2926080</wp:posOffset>
                </wp:positionH>
                <wp:positionV relativeFrom="paragraph">
                  <wp:posOffset>0</wp:posOffset>
                </wp:positionV>
                <wp:extent cx="3931920" cy="12065"/>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E26EC" id="Rectangle 7" o:spid="_x0000_s1026" style="position:absolute;margin-left:230.4pt;margin-top:0;width:309.6pt;height:.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uTz7QIAADs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" o:allowincell="f" fillcolor="black" stroked="f" strokeweight="0">
                <w10:wrap anchorx="page"/>
                <w10:anchorlock/>
              </v:rect>
            </w:pict>
          </mc:Fallback>
        </mc:AlternateContent>
      </w:r>
    </w:p>
    <w:p w:rsidR="002508CA" w:rsidRPr="009C2254" w:rsidRDefault="002508CA" w:rsidP="002508CA">
      <w:pPr>
        <w:ind w:left="0"/>
      </w:pPr>
    </w:p>
    <w:p w:rsidR="00283549" w:rsidRPr="009C2254" w:rsidRDefault="00283549" w:rsidP="004B6F64">
      <w:pPr>
        <w:ind w:left="0"/>
      </w:pPr>
    </w:p>
    <w:sectPr w:rsidR="00283549" w:rsidRPr="009C2254" w:rsidSect="00A41AB9">
      <w:headerReference w:type="even" r:id="rId16"/>
      <w:headerReference w:type="default" r:id="rId17"/>
      <w:headerReference w:type="first" r:id="rId18"/>
      <w:pgSz w:w="12240" w:h="15840"/>
      <w:pgMar w:top="1440" w:right="1728" w:bottom="1440" w:left="1728" w:header="1440" w:footer="144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3F9" w:rsidRDefault="007B33F9" w:rsidP="00283549">
      <w:r>
        <w:separator/>
      </w:r>
    </w:p>
  </w:endnote>
  <w:endnote w:type="continuationSeparator" w:id="0">
    <w:p w:rsidR="007B33F9" w:rsidRDefault="007B33F9" w:rsidP="00283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313" w:rsidRDefault="001653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3F9" w:rsidRDefault="007B33F9" w:rsidP="0046579D">
      <w:pPr>
        <w:ind w:left="0"/>
      </w:pPr>
      <w:r>
        <w:separator/>
      </w:r>
    </w:p>
  </w:footnote>
  <w:footnote w:type="continuationSeparator" w:id="0">
    <w:p w:rsidR="007B33F9" w:rsidRDefault="007B33F9" w:rsidP="00283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3CF" w:rsidRDefault="00FD48E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90829" o:spid="_x0000_s2067" type="#_x0000_t136" style="position:absolute;left:0;text-align:left;margin-left:0;margin-top:0;width:471.3pt;height:188.5pt;rotation:315;z-index:-251655168;mso-position-horizontal:center;mso-position-horizontal-relative:margin;mso-position-vertical:center;mso-position-vertical-relative:margin" o:allowincell="f" fillcolor="#d8d8d8 [2732]" stroked="f">
          <v:textpath style="font-family:&quot;Arial&quot;;font-size:1pt" string="DRAF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3CF" w:rsidRDefault="00A603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0F2" w:rsidRDefault="00FD48E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90832" o:spid="_x0000_s2070" type="#_x0000_t136" style="position:absolute;left:0;text-align:left;margin-left:0;margin-top:0;width:471.3pt;height:188.5pt;rotation:315;z-index:-251649024;mso-position-horizontal:center;mso-position-horizontal-relative:margin;mso-position-vertical:center;mso-position-vertical-relative:margin" o:allowincell="f" fillcolor="#d8d8d8 [2732]" stroked="f">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549" w:rsidRPr="00ED4A08" w:rsidRDefault="00283549" w:rsidP="00ED4A0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0F2" w:rsidRDefault="008940F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3CF" w:rsidRDefault="00FD48E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90835" o:spid="_x0000_s2073" type="#_x0000_t136" style="position:absolute;left:0;text-align:left;margin-left:0;margin-top:0;width:471.3pt;height:188.5pt;rotation:315;z-index:-251642880;mso-position-horizontal:center;mso-position-horizontal-relative:margin;mso-position-vertical:center;mso-position-vertical-relative:margin" o:allowincell="f" fillcolor="#d8d8d8 [2732]" stroked="f">
          <v:textpath style="font-family:&quot;Arial&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95C" w:rsidRDefault="0099595C">
    <w:pPr>
      <w:pStyle w:val="Header"/>
      <w:jc w:val="right"/>
    </w:pPr>
    <w:r>
      <w:t xml:space="preserve">Page: </w:t>
    </w:r>
    <w:sdt>
      <w:sdtPr>
        <w:id w:val="185715048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D48EF">
          <w:rPr>
            <w:noProof/>
          </w:rPr>
          <w:t>4</w:t>
        </w:r>
        <w:r>
          <w:rPr>
            <w:noProof/>
          </w:rPr>
          <w:fldChar w:fldCharType="end"/>
        </w:r>
      </w:sdtContent>
    </w:sdt>
  </w:p>
  <w:p w:rsidR="009423C5" w:rsidRDefault="009423C5">
    <w:pPr>
      <w:spacing w:line="240" w:lineRule="exact"/>
      <w:rPr>
        <w:rFonts w:eastAsia="PMingLiU"/>
        <w:lang w:val="en-GB"/>
      </w:rPr>
    </w:pPr>
  </w:p>
  <w:p w:rsidR="009423C5" w:rsidRDefault="009423C5">
    <w:pPr>
      <w:spacing w:line="240" w:lineRule="exact"/>
      <w:rPr>
        <w:rFonts w:eastAsia="PMingLiU"/>
        <w:lang w:val="en-GB"/>
      </w:rPr>
    </w:pPr>
  </w:p>
  <w:p w:rsidR="0099595C" w:rsidRDefault="0099595C">
    <w:pPr>
      <w:spacing w:line="240" w:lineRule="exact"/>
      <w:rPr>
        <w:rFonts w:eastAsia="PMingLiU"/>
        <w:lang w:val="en-G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3CF" w:rsidRDefault="00A603C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3CF" w:rsidRDefault="00FD48E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44757" o:spid="_x0000_s2074" type="#_x0000_t136" style="position:absolute;left:0;text-align:left;margin-left:0;margin-top:0;width:471.3pt;height:188.5pt;rotation:315;z-index:-25164083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3E3" w:rsidRDefault="001E53E3">
    <w:pPr>
      <w:spacing w:line="240" w:lineRule="exact"/>
      <w:rPr>
        <w:rFonts w:eastAsia="PMingLiU"/>
        <w:lang w:val="en-GB"/>
      </w:rPr>
    </w:pPr>
  </w:p>
  <w:p w:rsidR="001E53E3" w:rsidRDefault="001E53E3">
    <w:pPr>
      <w:spacing w:line="240" w:lineRule="exact"/>
      <w:rPr>
        <w:rFonts w:eastAsia="PMingLiU"/>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3784C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EE71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A66CE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34FA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C6D4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9C51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28D4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DA28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109D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0075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C0FE6FE0"/>
    <w:lvl w:ilvl="0">
      <w:start w:val="1"/>
      <w:numFmt w:val="decimal"/>
      <w:pStyle w:val="FelskyNumbering12"/>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224F58C3"/>
    <w:multiLevelType w:val="multilevel"/>
    <w:tmpl w:val="4112CB6A"/>
    <w:lvl w:ilvl="0">
      <w:start w:val="1"/>
      <w:numFmt w:val="lowerLetter"/>
      <w:pStyle w:val="ListNumber"/>
      <w:lvlText w:val="(%1)"/>
      <w:lvlJc w:val="left"/>
      <w:pPr>
        <w:ind w:left="1440" w:hanging="720"/>
      </w:pPr>
      <w:rPr>
        <w:rFonts w:hint="default"/>
      </w:rPr>
    </w:lvl>
    <w:lvl w:ilvl="1">
      <w:start w:val="1"/>
      <w:numFmt w:val="lowerRoman"/>
      <w:pStyle w:val="ListNumber2"/>
      <w:lvlText w:val="(%2)"/>
      <w:lvlJc w:val="left"/>
      <w:pPr>
        <w:ind w:left="2160" w:hanging="720"/>
      </w:pPr>
      <w:rPr>
        <w:rFonts w:hint="default"/>
      </w:rPr>
    </w:lvl>
    <w:lvl w:ilvl="2">
      <w:start w:val="1"/>
      <w:numFmt w:val="upperLetter"/>
      <w:lvlText w:val="(%3)"/>
      <w:lvlJc w:val="left"/>
      <w:pPr>
        <w:ind w:left="2160" w:firstLine="0"/>
      </w:pPr>
      <w:rPr>
        <w:rFonts w:hint="default"/>
      </w:rPr>
    </w:lvl>
    <w:lvl w:ilvl="3">
      <w:start w:val="1"/>
      <w:numFmt w:val="decimal"/>
      <w:lvlText w:val="(%4)"/>
      <w:lvlJc w:val="left"/>
      <w:pPr>
        <w:ind w:left="2880" w:firstLine="0"/>
      </w:pPr>
      <w:rPr>
        <w:rFonts w:hint="default"/>
      </w:rPr>
    </w:lvl>
    <w:lvl w:ilvl="4">
      <w:start w:val="1"/>
      <w:numFmt w:val="lowerLetter"/>
      <w:lvlText w:val="(%5)"/>
      <w:lvlJc w:val="left"/>
      <w:pPr>
        <w:ind w:left="3600" w:firstLine="0"/>
      </w:pPr>
      <w:rPr>
        <w:rFonts w:hint="default"/>
      </w:rPr>
    </w:lvl>
    <w:lvl w:ilvl="5">
      <w:start w:val="1"/>
      <w:numFmt w:val="lowerRoman"/>
      <w:lvlText w:val="(%6)"/>
      <w:lvlJc w:val="left"/>
      <w:pPr>
        <w:ind w:left="4320" w:firstLine="0"/>
      </w:pPr>
      <w:rPr>
        <w:rFonts w:hint="default"/>
      </w:rPr>
    </w:lvl>
    <w:lvl w:ilvl="6">
      <w:start w:val="1"/>
      <w:numFmt w:val="decimal"/>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num w:numId="1">
    <w:abstractNumId w:val="10"/>
    <w:lvlOverride w:ilvl="0">
      <w:startOverride w:val="1"/>
      <w:lvl w:ilvl="0">
        <w:start w:val="1"/>
        <w:numFmt w:val="decimal"/>
        <w:pStyle w:val="FelskyNumbering12"/>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abstractNumId w:val="1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4">
    <w:abstractNumId w:val="1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17">
    <w:abstractNumId w:val="1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Formatting/>
  <w:styleLockTheme/>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75"/>
    <o:shapelayout v:ext="edit">
      <o:idmap v:ext="edit" data="2"/>
    </o:shapelayout>
  </w:hdrShapeDefaults>
  <w:footnotePr>
    <w:footnote w:id="-1"/>
    <w:footnote w:id="0"/>
  </w:footnotePr>
  <w:endnotePr>
    <w:endnote w:id="-1"/>
    <w:endnote w:id="0"/>
  </w:endnotePr>
  <w:compat>
    <w:spaceForUL/>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279ECD1-4BBA-417D-BC8E-4B76ACBA5487}"/>
    <w:docVar w:name="dgnword-eventsink" w:val="139909208"/>
  </w:docVars>
  <w:rsids>
    <w:rsidRoot w:val="007B33F9"/>
    <w:rsid w:val="00017051"/>
    <w:rsid w:val="00040FD3"/>
    <w:rsid w:val="00042300"/>
    <w:rsid w:val="00051064"/>
    <w:rsid w:val="0006691E"/>
    <w:rsid w:val="00081857"/>
    <w:rsid w:val="000A5E37"/>
    <w:rsid w:val="000B1459"/>
    <w:rsid w:val="000B3F65"/>
    <w:rsid w:val="000C3829"/>
    <w:rsid w:val="000C709A"/>
    <w:rsid w:val="000D2C6F"/>
    <w:rsid w:val="001056E1"/>
    <w:rsid w:val="0011708D"/>
    <w:rsid w:val="00143280"/>
    <w:rsid w:val="00147343"/>
    <w:rsid w:val="00156FB1"/>
    <w:rsid w:val="00165313"/>
    <w:rsid w:val="00183170"/>
    <w:rsid w:val="00187CF6"/>
    <w:rsid w:val="00194D2F"/>
    <w:rsid w:val="001D5E55"/>
    <w:rsid w:val="001E53E3"/>
    <w:rsid w:val="002121B5"/>
    <w:rsid w:val="002200ED"/>
    <w:rsid w:val="00222C3B"/>
    <w:rsid w:val="00235D76"/>
    <w:rsid w:val="0024025E"/>
    <w:rsid w:val="002508CA"/>
    <w:rsid w:val="00261652"/>
    <w:rsid w:val="002672B1"/>
    <w:rsid w:val="00272F13"/>
    <w:rsid w:val="00275E9E"/>
    <w:rsid w:val="00281769"/>
    <w:rsid w:val="00283549"/>
    <w:rsid w:val="002C5D0F"/>
    <w:rsid w:val="002E3474"/>
    <w:rsid w:val="0030375E"/>
    <w:rsid w:val="00335FBD"/>
    <w:rsid w:val="0034528C"/>
    <w:rsid w:val="0035183B"/>
    <w:rsid w:val="00364FBF"/>
    <w:rsid w:val="00367C62"/>
    <w:rsid w:val="003719B8"/>
    <w:rsid w:val="00382592"/>
    <w:rsid w:val="0039337C"/>
    <w:rsid w:val="00397A61"/>
    <w:rsid w:val="00397AC2"/>
    <w:rsid w:val="003B457E"/>
    <w:rsid w:val="003C040A"/>
    <w:rsid w:val="003C4146"/>
    <w:rsid w:val="003C6097"/>
    <w:rsid w:val="003D3DF0"/>
    <w:rsid w:val="003E0901"/>
    <w:rsid w:val="00446886"/>
    <w:rsid w:val="00461AFD"/>
    <w:rsid w:val="0046579D"/>
    <w:rsid w:val="00474113"/>
    <w:rsid w:val="00474E99"/>
    <w:rsid w:val="00483AB1"/>
    <w:rsid w:val="004857E7"/>
    <w:rsid w:val="004A2D3C"/>
    <w:rsid w:val="004A68C2"/>
    <w:rsid w:val="004B6F64"/>
    <w:rsid w:val="004C4F36"/>
    <w:rsid w:val="004D654D"/>
    <w:rsid w:val="004F0788"/>
    <w:rsid w:val="00502C82"/>
    <w:rsid w:val="00516CAF"/>
    <w:rsid w:val="005207F5"/>
    <w:rsid w:val="00521604"/>
    <w:rsid w:val="00552889"/>
    <w:rsid w:val="00556998"/>
    <w:rsid w:val="00556C18"/>
    <w:rsid w:val="00560BBA"/>
    <w:rsid w:val="00574B53"/>
    <w:rsid w:val="005B3B8A"/>
    <w:rsid w:val="005B75C5"/>
    <w:rsid w:val="005C3D7F"/>
    <w:rsid w:val="006243FE"/>
    <w:rsid w:val="00635178"/>
    <w:rsid w:val="00665273"/>
    <w:rsid w:val="00665F46"/>
    <w:rsid w:val="00690C12"/>
    <w:rsid w:val="006943A4"/>
    <w:rsid w:val="006A6C2D"/>
    <w:rsid w:val="006C044D"/>
    <w:rsid w:val="006D5590"/>
    <w:rsid w:val="006E7AE1"/>
    <w:rsid w:val="00723CD1"/>
    <w:rsid w:val="007273C2"/>
    <w:rsid w:val="007514E8"/>
    <w:rsid w:val="00754639"/>
    <w:rsid w:val="007565AD"/>
    <w:rsid w:val="007769FF"/>
    <w:rsid w:val="00777EBE"/>
    <w:rsid w:val="007803CC"/>
    <w:rsid w:val="00784F2A"/>
    <w:rsid w:val="007B33F9"/>
    <w:rsid w:val="007B50EE"/>
    <w:rsid w:val="007B5F98"/>
    <w:rsid w:val="007D5DD7"/>
    <w:rsid w:val="007E3D0B"/>
    <w:rsid w:val="007E3EB9"/>
    <w:rsid w:val="007F73F9"/>
    <w:rsid w:val="00820759"/>
    <w:rsid w:val="00823B6A"/>
    <w:rsid w:val="008368D3"/>
    <w:rsid w:val="00842ACE"/>
    <w:rsid w:val="00844D69"/>
    <w:rsid w:val="0085542B"/>
    <w:rsid w:val="00861881"/>
    <w:rsid w:val="008830F5"/>
    <w:rsid w:val="00887ACD"/>
    <w:rsid w:val="00891556"/>
    <w:rsid w:val="008940F2"/>
    <w:rsid w:val="008C6517"/>
    <w:rsid w:val="008E0AB8"/>
    <w:rsid w:val="00903F5D"/>
    <w:rsid w:val="00914D58"/>
    <w:rsid w:val="00923033"/>
    <w:rsid w:val="00933666"/>
    <w:rsid w:val="009349FA"/>
    <w:rsid w:val="00935271"/>
    <w:rsid w:val="009423C5"/>
    <w:rsid w:val="00942DE8"/>
    <w:rsid w:val="009456BD"/>
    <w:rsid w:val="009467DA"/>
    <w:rsid w:val="009533DA"/>
    <w:rsid w:val="00954CD4"/>
    <w:rsid w:val="0095755B"/>
    <w:rsid w:val="00962B4D"/>
    <w:rsid w:val="00971C56"/>
    <w:rsid w:val="009727C6"/>
    <w:rsid w:val="00973735"/>
    <w:rsid w:val="009808C6"/>
    <w:rsid w:val="00994053"/>
    <w:rsid w:val="0099595C"/>
    <w:rsid w:val="009A09EB"/>
    <w:rsid w:val="009C0849"/>
    <w:rsid w:val="009C1585"/>
    <w:rsid w:val="009C2254"/>
    <w:rsid w:val="009F5438"/>
    <w:rsid w:val="00A10DFD"/>
    <w:rsid w:val="00A120A5"/>
    <w:rsid w:val="00A269B4"/>
    <w:rsid w:val="00A449EE"/>
    <w:rsid w:val="00A603CF"/>
    <w:rsid w:val="00AA07F3"/>
    <w:rsid w:val="00AA2B33"/>
    <w:rsid w:val="00AB0EFF"/>
    <w:rsid w:val="00AE1BF2"/>
    <w:rsid w:val="00AF11B8"/>
    <w:rsid w:val="00AF39D1"/>
    <w:rsid w:val="00B037FD"/>
    <w:rsid w:val="00B1323A"/>
    <w:rsid w:val="00B16B6B"/>
    <w:rsid w:val="00B24F8F"/>
    <w:rsid w:val="00B51454"/>
    <w:rsid w:val="00B7093D"/>
    <w:rsid w:val="00B74D1B"/>
    <w:rsid w:val="00B96A64"/>
    <w:rsid w:val="00BA3462"/>
    <w:rsid w:val="00BA5EF6"/>
    <w:rsid w:val="00BB3843"/>
    <w:rsid w:val="00BC6B04"/>
    <w:rsid w:val="00BD13CB"/>
    <w:rsid w:val="00C11E20"/>
    <w:rsid w:val="00C17B61"/>
    <w:rsid w:val="00C31429"/>
    <w:rsid w:val="00C41BE2"/>
    <w:rsid w:val="00C66EA9"/>
    <w:rsid w:val="00C67090"/>
    <w:rsid w:val="00C73249"/>
    <w:rsid w:val="00C758F4"/>
    <w:rsid w:val="00C8134C"/>
    <w:rsid w:val="00C82D5F"/>
    <w:rsid w:val="00C93736"/>
    <w:rsid w:val="00CA2DE5"/>
    <w:rsid w:val="00CA4DBE"/>
    <w:rsid w:val="00CB7F30"/>
    <w:rsid w:val="00CC3FA0"/>
    <w:rsid w:val="00CC401E"/>
    <w:rsid w:val="00CD77E5"/>
    <w:rsid w:val="00D24E83"/>
    <w:rsid w:val="00D34FA5"/>
    <w:rsid w:val="00D36D68"/>
    <w:rsid w:val="00D44C1E"/>
    <w:rsid w:val="00D725DF"/>
    <w:rsid w:val="00D73CCC"/>
    <w:rsid w:val="00D77781"/>
    <w:rsid w:val="00D81EA5"/>
    <w:rsid w:val="00DA6C05"/>
    <w:rsid w:val="00DA79CB"/>
    <w:rsid w:val="00DD295B"/>
    <w:rsid w:val="00DE5927"/>
    <w:rsid w:val="00E04FF1"/>
    <w:rsid w:val="00E11681"/>
    <w:rsid w:val="00E14BCD"/>
    <w:rsid w:val="00E16717"/>
    <w:rsid w:val="00E501DB"/>
    <w:rsid w:val="00E61646"/>
    <w:rsid w:val="00E774C0"/>
    <w:rsid w:val="00E87483"/>
    <w:rsid w:val="00E9267D"/>
    <w:rsid w:val="00E93BE8"/>
    <w:rsid w:val="00EA361F"/>
    <w:rsid w:val="00EA48EA"/>
    <w:rsid w:val="00ED4A08"/>
    <w:rsid w:val="00EF2E17"/>
    <w:rsid w:val="00F1463A"/>
    <w:rsid w:val="00F177E5"/>
    <w:rsid w:val="00F32CF5"/>
    <w:rsid w:val="00F57952"/>
    <w:rsid w:val="00F7290B"/>
    <w:rsid w:val="00F758E0"/>
    <w:rsid w:val="00F97083"/>
    <w:rsid w:val="00FA2CF5"/>
    <w:rsid w:val="00FB747A"/>
    <w:rsid w:val="00FC1D26"/>
    <w:rsid w:val="00FD48EF"/>
    <w:rsid w:val="00FE0ED1"/>
    <w:rsid w:val="00FE2783"/>
    <w:rsid w:val="00FF11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5"/>
    <o:shapelayout v:ext="edit">
      <o:idmap v:ext="edit" data="1"/>
    </o:shapelayout>
  </w:shapeDefaults>
  <w:decimalSymbol w:val="."/>
  <w:listSeparator w:val=","/>
  <w14:defaultImageDpi w14:val="96"/>
  <w15:docId w15:val="{ED0AD8CA-6EA2-43B3-805B-B470F112B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37" w:unhideWhenUsed="1" w:qFormat="1"/>
    <w:lsdException w:name="heading 8" w:semiHidden="1" w:uiPriority="3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4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43"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7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83" w:qFormat="1"/>
    <w:lsdException w:name="Emphasis" w:uiPriority="8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8" w:qFormat="1"/>
    <w:lsdException w:name="Quote" w:uiPriority="3" w:qFormat="1"/>
    <w:lsdException w:name="Intense Quote" w:uiPriority="8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0" w:qFormat="1"/>
    <w:lsdException w:name="Intense Emphasis" w:uiPriority="82" w:qFormat="1"/>
    <w:lsdException w:name="Subtle Reference" w:uiPriority="85" w:qFormat="1"/>
    <w:lsdException w:name="Intense Reference" w:uiPriority="74" w:qFormat="1"/>
    <w:lsdException w:name="Book Title" w:uiPriority="85"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8CA"/>
    <w:pPr>
      <w:spacing w:after="0" w:line="240" w:lineRule="auto"/>
      <w:ind w:left="720"/>
      <w:jc w:val="both"/>
    </w:pPr>
    <w:rPr>
      <w:rFonts w:ascii="Times New Roman" w:hAnsi="Times New Roman"/>
    </w:rPr>
  </w:style>
  <w:style w:type="paragraph" w:styleId="Heading1">
    <w:name w:val="heading 1"/>
    <w:basedOn w:val="Spacingadjust"/>
    <w:next w:val="FelskyNumbering12"/>
    <w:link w:val="Heading1Char"/>
    <w:uiPriority w:val="9"/>
    <w:qFormat/>
    <w:rsid w:val="006E7AE1"/>
    <w:pPr>
      <w:keepNext/>
      <w:jc w:val="center"/>
      <w:outlineLvl w:val="0"/>
    </w:pPr>
    <w:rPr>
      <w:rFonts w:eastAsiaTheme="majorEastAsia" w:cstheme="majorBidi"/>
      <w:b/>
      <w:bCs/>
      <w:szCs w:val="28"/>
      <w:lang w:eastAsia="en-US"/>
    </w:rPr>
  </w:style>
  <w:style w:type="paragraph" w:styleId="Heading2">
    <w:name w:val="heading 2"/>
    <w:basedOn w:val="Heading1"/>
    <w:next w:val="FelskyNumbering12"/>
    <w:link w:val="Heading2Char"/>
    <w:uiPriority w:val="10"/>
    <w:qFormat/>
    <w:rsid w:val="006E7AE1"/>
    <w:pPr>
      <w:jc w:val="left"/>
      <w:outlineLvl w:val="1"/>
    </w:pPr>
    <w:rPr>
      <w:bCs w:val="0"/>
      <w:szCs w:val="26"/>
    </w:rPr>
  </w:style>
  <w:style w:type="paragraph" w:styleId="Heading3">
    <w:name w:val="heading 3"/>
    <w:basedOn w:val="Heading2"/>
    <w:next w:val="FelskyNumbering12"/>
    <w:link w:val="Heading3Char"/>
    <w:uiPriority w:val="11"/>
    <w:rsid w:val="00EF2E17"/>
    <w:pPr>
      <w:outlineLvl w:val="2"/>
    </w:pPr>
    <w:rPr>
      <w:szCs w:val="28"/>
      <w:lang w:eastAsia="en-CA"/>
    </w:rPr>
  </w:style>
  <w:style w:type="paragraph" w:styleId="Heading4">
    <w:name w:val="heading 4"/>
    <w:basedOn w:val="Heading3"/>
    <w:next w:val="FelskyNumbering12"/>
    <w:link w:val="Heading4Char"/>
    <w:uiPriority w:val="12"/>
    <w:rsid w:val="00EF2E17"/>
    <w:pPr>
      <w:outlineLvl w:val="3"/>
    </w:pPr>
  </w:style>
  <w:style w:type="paragraph" w:styleId="Heading5">
    <w:name w:val="heading 5"/>
    <w:basedOn w:val="Heading4"/>
    <w:next w:val="FelskyNumbering12"/>
    <w:link w:val="Heading5Char"/>
    <w:uiPriority w:val="13"/>
    <w:rsid w:val="00EF2E17"/>
    <w:pPr>
      <w:outlineLvl w:val="4"/>
    </w:pPr>
  </w:style>
  <w:style w:type="paragraph" w:styleId="Heading6">
    <w:name w:val="heading 6"/>
    <w:basedOn w:val="Heading5"/>
    <w:next w:val="FelskyNumbering12"/>
    <w:link w:val="Heading6Char"/>
    <w:uiPriority w:val="14"/>
    <w:rsid w:val="00EF2E17"/>
    <w:pPr>
      <w:outlineLvl w:val="5"/>
    </w:pPr>
    <w:rPr>
      <w:iCs/>
    </w:rPr>
  </w:style>
  <w:style w:type="paragraph" w:styleId="Heading7">
    <w:name w:val="heading 7"/>
    <w:basedOn w:val="Heading6"/>
    <w:next w:val="FelskyNumbering12"/>
    <w:link w:val="Heading7Char"/>
    <w:uiPriority w:val="37"/>
    <w:semiHidden/>
    <w:rsid w:val="00E501DB"/>
    <w:pPr>
      <w:outlineLvl w:val="6"/>
    </w:pPr>
    <w:rPr>
      <w:iCs w:val="0"/>
    </w:rPr>
  </w:style>
  <w:style w:type="paragraph" w:styleId="Heading8">
    <w:name w:val="heading 8"/>
    <w:basedOn w:val="Heading7"/>
    <w:next w:val="Normal"/>
    <w:link w:val="Heading8Char"/>
    <w:uiPriority w:val="39"/>
    <w:semiHidden/>
    <w:unhideWhenUsed/>
    <w:qFormat/>
    <w:rsid w:val="00E501DB"/>
    <w:pPr>
      <w:outlineLvl w:val="7"/>
    </w:pPr>
    <w:rPr>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784F2A"/>
    <w:rPr>
      <w:rFonts w:ascii="Times New Roman" w:hAnsi="Times New Roman"/>
      <w:caps w:val="0"/>
      <w:smallCaps w:val="0"/>
      <w:strike w:val="0"/>
      <w:dstrike w:val="0"/>
      <w:vanish w:val="0"/>
      <w:sz w:val="20"/>
      <w:vertAlign w:val="superscript"/>
    </w:rPr>
  </w:style>
  <w:style w:type="paragraph" w:styleId="BalloonText">
    <w:name w:val="Balloon Text"/>
    <w:basedOn w:val="Normal"/>
    <w:link w:val="BalloonTextChar"/>
    <w:uiPriority w:val="99"/>
    <w:semiHidden/>
    <w:unhideWhenUsed/>
    <w:rsid w:val="00FE2783"/>
    <w:rPr>
      <w:rFonts w:ascii="Tahoma" w:hAnsi="Tahoma" w:cs="Tahoma"/>
      <w:sz w:val="16"/>
      <w:szCs w:val="16"/>
    </w:rPr>
  </w:style>
  <w:style w:type="character" w:customStyle="1" w:styleId="BalloonTextChar">
    <w:name w:val="Balloon Text Char"/>
    <w:basedOn w:val="DefaultParagraphFont"/>
    <w:link w:val="BalloonText"/>
    <w:uiPriority w:val="99"/>
    <w:semiHidden/>
    <w:rsid w:val="00FE2783"/>
    <w:rPr>
      <w:rFonts w:ascii="Tahoma" w:eastAsia="Times New Roman" w:hAnsi="Tahoma" w:cs="Tahoma"/>
      <w:sz w:val="16"/>
      <w:szCs w:val="16"/>
    </w:rPr>
  </w:style>
  <w:style w:type="paragraph" w:styleId="Header">
    <w:name w:val="header"/>
    <w:basedOn w:val="Normal"/>
    <w:link w:val="HeaderChar"/>
    <w:uiPriority w:val="99"/>
    <w:rsid w:val="00FE2783"/>
    <w:pPr>
      <w:tabs>
        <w:tab w:val="center" w:pos="4680"/>
        <w:tab w:val="right" w:pos="9360"/>
      </w:tabs>
    </w:pPr>
  </w:style>
  <w:style w:type="character" w:customStyle="1" w:styleId="HeaderChar">
    <w:name w:val="Header Char"/>
    <w:basedOn w:val="DefaultParagraphFont"/>
    <w:link w:val="Header"/>
    <w:uiPriority w:val="99"/>
    <w:rsid w:val="00935271"/>
    <w:rPr>
      <w:rFonts w:ascii="Times New Roman" w:hAnsi="Times New Roman"/>
    </w:rPr>
  </w:style>
  <w:style w:type="paragraph" w:styleId="Footer">
    <w:name w:val="footer"/>
    <w:basedOn w:val="Normal"/>
    <w:link w:val="FooterChar"/>
    <w:uiPriority w:val="99"/>
    <w:semiHidden/>
    <w:rsid w:val="00FE2783"/>
    <w:pPr>
      <w:tabs>
        <w:tab w:val="center" w:pos="4680"/>
        <w:tab w:val="right" w:pos="9360"/>
      </w:tabs>
    </w:pPr>
  </w:style>
  <w:style w:type="character" w:customStyle="1" w:styleId="FooterChar">
    <w:name w:val="Footer Char"/>
    <w:link w:val="Footer"/>
    <w:uiPriority w:val="99"/>
    <w:semiHidden/>
    <w:rsid w:val="00935271"/>
    <w:rPr>
      <w:rFonts w:ascii="Times New Roman" w:hAnsi="Times New Roman"/>
    </w:rPr>
  </w:style>
  <w:style w:type="paragraph" w:styleId="Quote">
    <w:name w:val="Quote"/>
    <w:basedOn w:val="FelskyNumbering12"/>
    <w:next w:val="FelskyNumbering12"/>
    <w:link w:val="QuoteChar"/>
    <w:uiPriority w:val="3"/>
    <w:semiHidden/>
    <w:qFormat/>
    <w:rsid w:val="00CA2DE5"/>
    <w:pPr>
      <w:numPr>
        <w:numId w:val="0"/>
      </w:numPr>
      <w:ind w:left="720" w:right="720"/>
    </w:pPr>
  </w:style>
  <w:style w:type="character" w:customStyle="1" w:styleId="QuoteChar">
    <w:name w:val="Quote Char"/>
    <w:basedOn w:val="DefaultParagraphFont"/>
    <w:link w:val="Quote"/>
    <w:uiPriority w:val="3"/>
    <w:semiHidden/>
    <w:rsid w:val="008C6517"/>
    <w:rPr>
      <w:rFonts w:ascii="Times New Roman" w:hAnsi="Times New Roman"/>
    </w:rPr>
  </w:style>
  <w:style w:type="paragraph" w:customStyle="1" w:styleId="Quote2nd">
    <w:name w:val="Quote 2nd"/>
    <w:basedOn w:val="Quote1st"/>
    <w:next w:val="FelskyNumbering12"/>
    <w:link w:val="Quote2ndChar"/>
    <w:uiPriority w:val="5"/>
    <w:rsid w:val="001056E1"/>
    <w:pPr>
      <w:ind w:left="1440" w:right="1440"/>
      <w:mirrorIndents/>
      <w:jc w:val="left"/>
    </w:pPr>
    <w:rPr>
      <w:rFonts w:eastAsiaTheme="minorHAnsi"/>
      <w:lang w:eastAsia="en-US"/>
    </w:rPr>
  </w:style>
  <w:style w:type="character" w:customStyle="1" w:styleId="Quote2ndChar">
    <w:name w:val="Quote 2nd Char"/>
    <w:basedOn w:val="QuoteChar"/>
    <w:link w:val="Quote2nd"/>
    <w:uiPriority w:val="5"/>
    <w:rsid w:val="001056E1"/>
    <w:rPr>
      <w:rFonts w:ascii="Times New Roman" w:eastAsiaTheme="minorHAnsi" w:hAnsi="Times New Roman"/>
      <w:lang w:val="en-US" w:eastAsia="en-US"/>
    </w:rPr>
  </w:style>
  <w:style w:type="paragraph" w:customStyle="1" w:styleId="Quote3rd">
    <w:name w:val="Quote 3rd"/>
    <w:basedOn w:val="Quote2nd"/>
    <w:next w:val="FelskyNumbering12"/>
    <w:link w:val="Quote3rdChar"/>
    <w:uiPriority w:val="7"/>
    <w:rsid w:val="001056E1"/>
    <w:pPr>
      <w:ind w:left="2160" w:right="2160"/>
      <w:mirrorIndents w:val="0"/>
    </w:pPr>
    <w:rPr>
      <w:rFonts w:eastAsia="PMingLiU"/>
    </w:rPr>
  </w:style>
  <w:style w:type="character" w:customStyle="1" w:styleId="Quote3rdChar">
    <w:name w:val="Quote 3rd Char"/>
    <w:basedOn w:val="Quote2ndChar"/>
    <w:link w:val="Quote3rd"/>
    <w:uiPriority w:val="7"/>
    <w:rsid w:val="001056E1"/>
    <w:rPr>
      <w:rFonts w:ascii="Times New Roman" w:eastAsia="PMingLiU" w:hAnsi="Times New Roman"/>
      <w:lang w:val="en-US" w:eastAsia="en-US"/>
    </w:rPr>
  </w:style>
  <w:style w:type="paragraph" w:customStyle="1" w:styleId="Quote4th">
    <w:name w:val="Quote 4th"/>
    <w:basedOn w:val="Quote3rd"/>
    <w:next w:val="FelskyNumbering12"/>
    <w:link w:val="Quote4thChar"/>
    <w:uiPriority w:val="8"/>
    <w:rsid w:val="001056E1"/>
    <w:pPr>
      <w:ind w:left="2880" w:right="2880"/>
    </w:pPr>
  </w:style>
  <w:style w:type="character" w:customStyle="1" w:styleId="Quote4thChar">
    <w:name w:val="Quote 4th Char"/>
    <w:basedOn w:val="Quote3rdChar"/>
    <w:link w:val="Quote4th"/>
    <w:uiPriority w:val="8"/>
    <w:rsid w:val="001056E1"/>
    <w:rPr>
      <w:rFonts w:ascii="Times New Roman" w:eastAsia="PMingLiU" w:hAnsi="Times New Roman"/>
      <w:lang w:val="en-US" w:eastAsia="en-US"/>
    </w:rPr>
  </w:style>
  <w:style w:type="paragraph" w:customStyle="1" w:styleId="citation">
    <w:name w:val="citation"/>
    <w:basedOn w:val="Normal"/>
    <w:next w:val="Normal"/>
    <w:link w:val="citationChar"/>
    <w:uiPriority w:val="23"/>
    <w:semiHidden/>
    <w:qFormat/>
    <w:rsid w:val="00FE2783"/>
    <w:rPr>
      <w:noProof/>
    </w:rPr>
  </w:style>
  <w:style w:type="character" w:customStyle="1" w:styleId="citationChar">
    <w:name w:val="citation Char"/>
    <w:basedOn w:val="DefaultParagraphFont"/>
    <w:link w:val="citation"/>
    <w:uiPriority w:val="23"/>
    <w:semiHidden/>
    <w:rsid w:val="003B457E"/>
    <w:rPr>
      <w:rFonts w:ascii="Times New Roman" w:eastAsia="Times New Roman" w:hAnsi="Times New Roman" w:cs="Times New Roman"/>
      <w:noProof/>
      <w:sz w:val="24"/>
      <w:szCs w:val="24"/>
    </w:rPr>
  </w:style>
  <w:style w:type="character" w:customStyle="1" w:styleId="Heading1Char">
    <w:name w:val="Heading 1 Char"/>
    <w:basedOn w:val="DefaultParagraphFont"/>
    <w:link w:val="Heading1"/>
    <w:uiPriority w:val="9"/>
    <w:rsid w:val="006E7AE1"/>
    <w:rPr>
      <w:rFonts w:ascii="Times New Roman" w:eastAsiaTheme="majorEastAsia" w:hAnsi="Times New Roman" w:cstheme="majorBidi"/>
      <w:b/>
      <w:bCs/>
      <w:szCs w:val="28"/>
      <w:lang w:eastAsia="en-US"/>
    </w:rPr>
  </w:style>
  <w:style w:type="character" w:customStyle="1" w:styleId="Heading2Char">
    <w:name w:val="Heading 2 Char"/>
    <w:basedOn w:val="DefaultParagraphFont"/>
    <w:link w:val="Heading2"/>
    <w:uiPriority w:val="10"/>
    <w:rsid w:val="006E7AE1"/>
    <w:rPr>
      <w:rFonts w:ascii="Times New Roman" w:eastAsiaTheme="majorEastAsia" w:hAnsi="Times New Roman" w:cstheme="majorBidi"/>
      <w:b/>
      <w:szCs w:val="26"/>
      <w:lang w:eastAsia="en-US"/>
    </w:rPr>
  </w:style>
  <w:style w:type="character" w:customStyle="1" w:styleId="Heading3Char">
    <w:name w:val="Heading 3 Char"/>
    <w:basedOn w:val="DefaultParagraphFont"/>
    <w:link w:val="Heading3"/>
    <w:uiPriority w:val="11"/>
    <w:rsid w:val="00EF2E17"/>
    <w:rPr>
      <w:rFonts w:ascii="Times New Roman" w:eastAsiaTheme="majorEastAsia" w:hAnsi="Times New Roman" w:cstheme="majorBidi"/>
      <w:b/>
      <w:szCs w:val="28"/>
    </w:rPr>
  </w:style>
  <w:style w:type="character" w:customStyle="1" w:styleId="Heading4Char">
    <w:name w:val="Heading 4 Char"/>
    <w:basedOn w:val="DefaultParagraphFont"/>
    <w:link w:val="Heading4"/>
    <w:uiPriority w:val="12"/>
    <w:rsid w:val="00EF2E17"/>
    <w:rPr>
      <w:rFonts w:ascii="Times New Roman" w:eastAsiaTheme="majorEastAsia" w:hAnsi="Times New Roman" w:cstheme="majorBidi"/>
      <w:b/>
      <w:szCs w:val="28"/>
    </w:rPr>
  </w:style>
  <w:style w:type="character" w:customStyle="1" w:styleId="Heading5Char">
    <w:name w:val="Heading 5 Char"/>
    <w:basedOn w:val="DefaultParagraphFont"/>
    <w:link w:val="Heading5"/>
    <w:uiPriority w:val="13"/>
    <w:rsid w:val="00EF2E17"/>
    <w:rPr>
      <w:rFonts w:ascii="Times New Roman" w:eastAsiaTheme="majorEastAsia" w:hAnsi="Times New Roman" w:cstheme="majorBidi"/>
      <w:b/>
      <w:szCs w:val="28"/>
    </w:rPr>
  </w:style>
  <w:style w:type="character" w:customStyle="1" w:styleId="Heading6Char">
    <w:name w:val="Heading 6 Char"/>
    <w:basedOn w:val="DefaultParagraphFont"/>
    <w:link w:val="Heading6"/>
    <w:uiPriority w:val="14"/>
    <w:rsid w:val="00EF2E17"/>
    <w:rPr>
      <w:rFonts w:ascii="Times New Roman" w:eastAsiaTheme="majorEastAsia" w:hAnsi="Times New Roman" w:cstheme="majorBidi"/>
      <w:b/>
      <w:iCs/>
      <w:szCs w:val="28"/>
    </w:rPr>
  </w:style>
  <w:style w:type="character" w:customStyle="1" w:styleId="Heading7Char">
    <w:name w:val="Heading 7 Char"/>
    <w:basedOn w:val="DefaultParagraphFont"/>
    <w:link w:val="Heading7"/>
    <w:uiPriority w:val="37"/>
    <w:semiHidden/>
    <w:rsid w:val="00E501DB"/>
    <w:rPr>
      <w:rFonts w:ascii="Times New Roman" w:eastAsiaTheme="majorEastAsia" w:hAnsi="Times New Roman" w:cstheme="majorBidi"/>
      <w:b/>
      <w:bCs/>
      <w:szCs w:val="28"/>
    </w:rPr>
  </w:style>
  <w:style w:type="character" w:customStyle="1" w:styleId="Heading8Char">
    <w:name w:val="Heading 8 Char"/>
    <w:basedOn w:val="DefaultParagraphFont"/>
    <w:link w:val="Heading8"/>
    <w:uiPriority w:val="39"/>
    <w:semiHidden/>
    <w:rsid w:val="00E501DB"/>
    <w:rPr>
      <w:rFonts w:ascii="Times New Roman" w:eastAsiaTheme="majorEastAsia" w:hAnsi="Times New Roman" w:cstheme="majorBidi"/>
      <w:b/>
      <w:bCs/>
      <w:color w:val="404040" w:themeColor="text1" w:themeTint="BF"/>
      <w:szCs w:val="20"/>
    </w:rPr>
  </w:style>
  <w:style w:type="character" w:styleId="Hyperlink">
    <w:name w:val="Hyperlink"/>
    <w:basedOn w:val="DefaultParagraphFont"/>
    <w:uiPriority w:val="99"/>
    <w:unhideWhenUsed/>
    <w:rsid w:val="003E0901"/>
    <w:rPr>
      <w:rFonts w:ascii="Times New Roman" w:hAnsi="Times New Roman"/>
      <w:color w:val="000000" w:themeColor="text1"/>
      <w:sz w:val="24"/>
      <w:u w:val="none"/>
    </w:rPr>
  </w:style>
  <w:style w:type="paragraph" w:styleId="TOC1">
    <w:name w:val="toc 1"/>
    <w:basedOn w:val="Normal"/>
    <w:next w:val="Normal"/>
    <w:uiPriority w:val="46"/>
    <w:qFormat/>
    <w:rsid w:val="0011708D"/>
    <w:pPr>
      <w:spacing w:before="240" w:after="240"/>
      <w:ind w:left="0"/>
      <w:jc w:val="left"/>
    </w:pPr>
  </w:style>
  <w:style w:type="paragraph" w:styleId="TOC2">
    <w:name w:val="toc 2"/>
    <w:basedOn w:val="Normal"/>
    <w:next w:val="Normal"/>
    <w:uiPriority w:val="46"/>
    <w:rsid w:val="00842ACE"/>
    <w:pPr>
      <w:spacing w:before="120" w:after="120"/>
      <w:ind w:left="245"/>
    </w:pPr>
  </w:style>
  <w:style w:type="paragraph" w:styleId="TOC3">
    <w:name w:val="toc 3"/>
    <w:basedOn w:val="Normal"/>
    <w:next w:val="Normal"/>
    <w:uiPriority w:val="46"/>
    <w:rsid w:val="002E3474"/>
    <w:pPr>
      <w:spacing w:before="120" w:after="120"/>
      <w:ind w:left="475"/>
    </w:pPr>
    <w:rPr>
      <w:bCs/>
    </w:rPr>
  </w:style>
  <w:style w:type="paragraph" w:customStyle="1" w:styleId="FelskyNumbering12">
    <w:name w:val="Felsky Numbering 1.2"/>
    <w:basedOn w:val="Spacingadjust"/>
    <w:link w:val="FelskyNumbering12Char"/>
    <w:uiPriority w:val="2"/>
    <w:qFormat/>
    <w:rsid w:val="00397A61"/>
    <w:pPr>
      <w:numPr>
        <w:numId w:val="16"/>
      </w:numPr>
      <w:spacing w:line="240" w:lineRule="auto"/>
    </w:pPr>
    <w:rPr>
      <w:rFonts w:eastAsiaTheme="minorEastAsia" w:cstheme="minorBidi"/>
    </w:rPr>
  </w:style>
  <w:style w:type="character" w:customStyle="1" w:styleId="FelskyNumbering12Char">
    <w:name w:val="Felsky Numbering 1.2 Char"/>
    <w:basedOn w:val="DefaultParagraphFont"/>
    <w:link w:val="FelskyNumbering12"/>
    <w:uiPriority w:val="2"/>
    <w:rsid w:val="00397A61"/>
    <w:rPr>
      <w:rFonts w:ascii="Times New Roman" w:hAnsi="Times New Roman"/>
    </w:rPr>
  </w:style>
  <w:style w:type="paragraph" w:styleId="FootnoteText">
    <w:name w:val="footnote text"/>
    <w:basedOn w:val="ChangeFont"/>
    <w:link w:val="FootnoteTextChar"/>
    <w:uiPriority w:val="99"/>
    <w:unhideWhenUsed/>
    <w:rsid w:val="00051064"/>
    <w:pPr>
      <w:spacing w:after="0"/>
      <w:ind w:left="720"/>
      <w:jc w:val="both"/>
    </w:pPr>
    <w:rPr>
      <w:rFonts w:eastAsiaTheme="minorEastAsia"/>
      <w:sz w:val="20"/>
      <w:szCs w:val="20"/>
      <w:lang w:eastAsia="en-CA"/>
    </w:rPr>
  </w:style>
  <w:style w:type="character" w:customStyle="1" w:styleId="FootnoteTextChar">
    <w:name w:val="Footnote Text Char"/>
    <w:basedOn w:val="DefaultParagraphFont"/>
    <w:link w:val="FootnoteText"/>
    <w:uiPriority w:val="99"/>
    <w:rsid w:val="00051064"/>
    <w:rPr>
      <w:rFonts w:ascii="Times New Roman" w:hAnsi="Times New Roman"/>
      <w:sz w:val="20"/>
      <w:szCs w:val="20"/>
    </w:rPr>
  </w:style>
  <w:style w:type="paragraph" w:styleId="TOC4">
    <w:name w:val="toc 4"/>
    <w:basedOn w:val="Normal"/>
    <w:next w:val="Normal"/>
    <w:uiPriority w:val="46"/>
    <w:unhideWhenUsed/>
    <w:rsid w:val="002E3474"/>
    <w:pPr>
      <w:spacing w:before="120" w:after="120"/>
    </w:pPr>
    <w:rPr>
      <w:bCs/>
    </w:rPr>
  </w:style>
  <w:style w:type="paragraph" w:styleId="TOC5">
    <w:name w:val="toc 5"/>
    <w:basedOn w:val="Normal"/>
    <w:next w:val="Normal"/>
    <w:uiPriority w:val="46"/>
    <w:unhideWhenUsed/>
    <w:rsid w:val="002E3474"/>
    <w:pPr>
      <w:spacing w:before="120" w:after="120"/>
      <w:ind w:left="965"/>
    </w:pPr>
    <w:rPr>
      <w:bCs/>
    </w:rPr>
  </w:style>
  <w:style w:type="paragraph" w:styleId="TOC6">
    <w:name w:val="toc 6"/>
    <w:basedOn w:val="Normal"/>
    <w:next w:val="Normal"/>
    <w:uiPriority w:val="46"/>
    <w:unhideWhenUsed/>
    <w:rsid w:val="0095755B"/>
    <w:pPr>
      <w:spacing w:before="120" w:after="120"/>
      <w:ind w:left="1195"/>
    </w:pPr>
    <w:rPr>
      <w:bCs/>
    </w:rPr>
  </w:style>
  <w:style w:type="paragraph" w:styleId="TOCHeading">
    <w:name w:val="TOC Heading"/>
    <w:basedOn w:val="Normal"/>
    <w:next w:val="Normal"/>
    <w:uiPriority w:val="39"/>
    <w:semiHidden/>
    <w:unhideWhenUsed/>
    <w:qFormat/>
    <w:rsid w:val="00FE2783"/>
    <w:pPr>
      <w:keepNext/>
      <w:spacing w:before="480" w:line="276" w:lineRule="auto"/>
      <w:jc w:val="center"/>
    </w:pPr>
    <w:rPr>
      <w:rFonts w:asciiTheme="majorHAnsi" w:hAnsiTheme="majorHAnsi"/>
      <w:b/>
      <w:sz w:val="28"/>
      <w:lang w:eastAsia="ja-JP"/>
    </w:rPr>
  </w:style>
  <w:style w:type="paragraph" w:styleId="ListParagraph">
    <w:name w:val="List Paragraph"/>
    <w:basedOn w:val="Spacingadjust"/>
    <w:link w:val="ListParagraphChar"/>
    <w:uiPriority w:val="38"/>
    <w:qFormat/>
    <w:rsid w:val="00EF2E17"/>
    <w:pPr>
      <w:ind w:left="1440" w:hanging="720"/>
      <w:contextualSpacing/>
    </w:pPr>
    <w:rPr>
      <w:rFonts w:eastAsiaTheme="minorEastAsia" w:cstheme="minorBidi"/>
    </w:rPr>
  </w:style>
  <w:style w:type="paragraph" w:styleId="NoSpacing">
    <w:name w:val="No Spacing"/>
    <w:basedOn w:val="ChangeFont"/>
    <w:link w:val="NoSpacingChar"/>
    <w:uiPriority w:val="1"/>
    <w:qFormat/>
    <w:rsid w:val="00397AC2"/>
    <w:pPr>
      <w:spacing w:after="0"/>
      <w:jc w:val="both"/>
    </w:pPr>
  </w:style>
  <w:style w:type="paragraph" w:customStyle="1" w:styleId="TableText">
    <w:name w:val="Table Text"/>
    <w:basedOn w:val="Spacingadjust"/>
    <w:link w:val="TableTextChar"/>
    <w:uiPriority w:val="44"/>
    <w:rsid w:val="00EF2E17"/>
    <w:pPr>
      <w:spacing w:after="0"/>
      <w:ind w:left="288"/>
    </w:pPr>
    <w:rPr>
      <w:rFonts w:eastAsia="PMingLiU" w:cstheme="minorBidi"/>
      <w:bCs/>
      <w:szCs w:val="28"/>
    </w:rPr>
  </w:style>
  <w:style w:type="paragraph" w:customStyle="1" w:styleId="Quote1st">
    <w:name w:val="Quote 1st"/>
    <w:basedOn w:val="Normal"/>
    <w:next w:val="FelskyNumbering12"/>
    <w:link w:val="Quote1stChar"/>
    <w:uiPriority w:val="3"/>
    <w:qFormat/>
    <w:rsid w:val="006E7AE1"/>
    <w:pPr>
      <w:spacing w:after="240"/>
      <w:ind w:right="720"/>
    </w:pPr>
    <w:rPr>
      <w:lang w:val="en-US"/>
    </w:rPr>
  </w:style>
  <w:style w:type="character" w:customStyle="1" w:styleId="Quote1stChar">
    <w:name w:val="Quote 1st Char"/>
    <w:basedOn w:val="DefaultParagraphFont"/>
    <w:link w:val="Quote1st"/>
    <w:uiPriority w:val="3"/>
    <w:rsid w:val="006E7AE1"/>
    <w:rPr>
      <w:rFonts w:ascii="Times New Roman" w:hAnsi="Times New Roman"/>
      <w:lang w:val="en-US"/>
    </w:rPr>
  </w:style>
  <w:style w:type="character" w:customStyle="1" w:styleId="ListParagraphChar">
    <w:name w:val="List Paragraph Char"/>
    <w:basedOn w:val="DefaultParagraphFont"/>
    <w:link w:val="ListParagraph"/>
    <w:uiPriority w:val="38"/>
    <w:rsid w:val="00F32CF5"/>
    <w:rPr>
      <w:rFonts w:ascii="Times New Roman" w:hAnsi="Times New Roman"/>
    </w:rPr>
  </w:style>
  <w:style w:type="character" w:customStyle="1" w:styleId="TableTextChar">
    <w:name w:val="Table Text Char"/>
    <w:basedOn w:val="DefaultParagraphFont"/>
    <w:link w:val="TableText"/>
    <w:uiPriority w:val="44"/>
    <w:rsid w:val="00903F5D"/>
    <w:rPr>
      <w:rFonts w:ascii="Times New Roman" w:eastAsia="PMingLiU" w:hAnsi="Times New Roman"/>
      <w:bCs/>
      <w:szCs w:val="28"/>
    </w:rPr>
  </w:style>
  <w:style w:type="paragraph" w:customStyle="1" w:styleId="Spacingadjust">
    <w:name w:val="Spacing adjust"/>
    <w:basedOn w:val="ChangeFont"/>
    <w:link w:val="SpacingadjustChar"/>
    <w:qFormat/>
    <w:rsid w:val="00EF2E17"/>
    <w:pPr>
      <w:spacing w:before="0" w:after="240" w:line="480" w:lineRule="auto"/>
      <w:jc w:val="both"/>
    </w:pPr>
    <w:rPr>
      <w:rFonts w:eastAsia="Times New Roman" w:cs="Times New Roman"/>
      <w:lang w:eastAsia="en-CA"/>
    </w:rPr>
  </w:style>
  <w:style w:type="paragraph" w:customStyle="1" w:styleId="ChangeFont">
    <w:name w:val="Change Font"/>
    <w:basedOn w:val="Normal"/>
    <w:link w:val="ChangeFontChar"/>
    <w:uiPriority w:val="47"/>
    <w:qFormat/>
    <w:rsid w:val="00EF2E17"/>
    <w:pPr>
      <w:spacing w:before="120" w:after="120"/>
      <w:ind w:left="0"/>
      <w:jc w:val="left"/>
    </w:pPr>
    <w:rPr>
      <w:rFonts w:eastAsiaTheme="minorHAnsi"/>
      <w:lang w:eastAsia="en-US"/>
    </w:rPr>
  </w:style>
  <w:style w:type="character" w:customStyle="1" w:styleId="SpacingadjustChar">
    <w:name w:val="Spacing adjust Char"/>
    <w:basedOn w:val="DefaultParagraphFont"/>
    <w:link w:val="Spacingadjust"/>
    <w:rsid w:val="00EF2E17"/>
    <w:rPr>
      <w:rFonts w:ascii="Times New Roman" w:eastAsia="Times New Roman" w:hAnsi="Times New Roman" w:cs="Times New Roman"/>
    </w:rPr>
  </w:style>
  <w:style w:type="paragraph" w:styleId="ListNumber">
    <w:name w:val="List Number"/>
    <w:basedOn w:val="Spacingadjust"/>
    <w:link w:val="ListNumberChar"/>
    <w:uiPriority w:val="41"/>
    <w:rsid w:val="00994053"/>
    <w:pPr>
      <w:numPr>
        <w:numId w:val="18"/>
      </w:numPr>
      <w:spacing w:before="240" w:line="240" w:lineRule="auto"/>
      <w:ind w:right="720"/>
    </w:pPr>
  </w:style>
  <w:style w:type="paragraph" w:styleId="ListNumber2">
    <w:name w:val="List Number 2"/>
    <w:basedOn w:val="Spacingadjust"/>
    <w:link w:val="ListNumber2Char"/>
    <w:uiPriority w:val="43"/>
    <w:rsid w:val="00183170"/>
    <w:pPr>
      <w:numPr>
        <w:ilvl w:val="1"/>
        <w:numId w:val="18"/>
      </w:numPr>
      <w:spacing w:before="240"/>
      <w:contextualSpacing/>
    </w:pPr>
  </w:style>
  <w:style w:type="character" w:styleId="FollowedHyperlink">
    <w:name w:val="FollowedHyperlink"/>
    <w:basedOn w:val="DefaultParagraphFont"/>
    <w:uiPriority w:val="99"/>
    <w:semiHidden/>
    <w:rsid w:val="003E0901"/>
    <w:rPr>
      <w:rFonts w:ascii="Times New Roman" w:hAnsi="Times New Roman"/>
      <w:color w:val="000000" w:themeColor="text1"/>
      <w:sz w:val="24"/>
      <w:u w:val="none"/>
    </w:rPr>
  </w:style>
  <w:style w:type="paragraph" w:customStyle="1" w:styleId="Title1">
    <w:name w:val="Title1"/>
    <w:basedOn w:val="Quote1st"/>
    <w:semiHidden/>
    <w:qFormat/>
    <w:rsid w:val="007F73F9"/>
    <w:pPr>
      <w:spacing w:after="360"/>
      <w:jc w:val="center"/>
    </w:pPr>
    <w:rPr>
      <w:b/>
      <w:sz w:val="32"/>
      <w:szCs w:val="32"/>
    </w:rPr>
  </w:style>
  <w:style w:type="character" w:customStyle="1" w:styleId="ChangeFontChar">
    <w:name w:val="Change Font Char"/>
    <w:basedOn w:val="DefaultParagraphFont"/>
    <w:link w:val="ChangeFont"/>
    <w:uiPriority w:val="47"/>
    <w:rsid w:val="00903F5D"/>
    <w:rPr>
      <w:rFonts w:ascii="Times New Roman" w:eastAsiaTheme="minorHAnsi" w:hAnsi="Times New Roman"/>
      <w:lang w:eastAsia="en-US"/>
    </w:rPr>
  </w:style>
  <w:style w:type="character" w:customStyle="1" w:styleId="NoSpacingChar">
    <w:name w:val="No Spacing Char"/>
    <w:basedOn w:val="ChangeFontChar"/>
    <w:link w:val="NoSpacing"/>
    <w:uiPriority w:val="1"/>
    <w:rsid w:val="00903F5D"/>
    <w:rPr>
      <w:rFonts w:ascii="Times New Roman" w:eastAsiaTheme="minorHAnsi" w:hAnsi="Times New Roman"/>
      <w:lang w:eastAsia="en-US"/>
    </w:rPr>
  </w:style>
  <w:style w:type="character" w:customStyle="1" w:styleId="ListNumberChar">
    <w:name w:val="List Number Char"/>
    <w:basedOn w:val="SpacingadjustChar"/>
    <w:link w:val="ListNumber"/>
    <w:uiPriority w:val="41"/>
    <w:rsid w:val="00994053"/>
    <w:rPr>
      <w:rFonts w:ascii="Times New Roman" w:eastAsia="Times New Roman" w:hAnsi="Times New Roman" w:cs="Times New Roman"/>
    </w:rPr>
  </w:style>
  <w:style w:type="character" w:customStyle="1" w:styleId="ListNumber2Char">
    <w:name w:val="List Number 2 Char"/>
    <w:basedOn w:val="SpacingadjustChar"/>
    <w:link w:val="ListNumber2"/>
    <w:uiPriority w:val="43"/>
    <w:rsid w:val="00903F5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Judgment%20Templates\CA%20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360E8-4BE0-489D-9FC1-98693CD30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 Judgment Template.dotx</Template>
  <TotalTime>68</TotalTime>
  <Pages>6</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Goodzeck Estate v Goodzeck</vt:lpstr>
    </vt:vector>
  </TitlesOfParts>
  <Company>Alberta Court of Appeal</Company>
  <LinksUpToDate>false</LinksUpToDate>
  <CharactersWithSpaces>7536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Goodzeck Estate v Goodzeck</dc:title>
  <dc:creator>The Honourable Mr. Justice Frans Slatter</dc:creator>
  <cp:keywords>Docket:A-1-AP2019-000-002, Registry:Edmonton, Court:CA, JudgmentYear:2019, JudgmentDate:201904</cp:keywords>
  <cp:lastModifiedBy>Shirley Mair</cp:lastModifiedBy>
  <cp:revision>10</cp:revision>
  <cp:lastPrinted>2019-04-25T15:27:00Z</cp:lastPrinted>
  <dcterms:created xsi:type="dcterms:W3CDTF">2019-04-17T17:18:00Z</dcterms:created>
  <dcterms:modified xsi:type="dcterms:W3CDTF">2019-04-25T15:27:00Z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
    <vt:lpwstr>A-1-AP2019-000-002</vt:lpwstr>
  </property>
  <property fmtid="{D5CDD505-2E9C-101B-9397-08002B2CF9AE}" pid="3" name="Justice(s)">
    <vt:lpwstr>The Honourable Mr. Justice Frans Slatter</vt:lpwstr>
  </property>
  <property fmtid="{D5CDD505-2E9C-101B-9397-08002B2CF9AE}" pid="4" name="Registry">
    <vt:lpwstr>Edmonton</vt:lpwstr>
  </property>
  <property fmtid="{D5CDD505-2E9C-101B-9397-08002B2CF9AE}" pid="5" name="Court">
    <vt:lpwstr>CA</vt:lpwstr>
  </property>
  <property fmtid="{D5CDD505-2E9C-101B-9397-08002B2CF9AE}" pid="6" name="JudgmentYear">
    <vt:lpwstr>2019</vt:lpwstr>
  </property>
  <property fmtid="{D5CDD505-2E9C-101B-9397-08002B2CF9AE}" pid="7" name="JudgmentDate">
    <vt:lpwstr>201904</vt:lpwstr>
  </property>
</Properties>
</file>