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9" w:rsidRPr="00D24E83" w:rsidRDefault="00283549" w:rsidP="007F73F9">
      <w:pPr>
        <w:pStyle w:val="Title1"/>
      </w:pPr>
      <w:bookmarkStart w:id="0" w:name="frTitle"/>
      <w:bookmarkStart w:id="1" w:name="_GoBack"/>
      <w:bookmarkEnd w:id="0"/>
      <w:bookmarkEnd w:id="1"/>
      <w:r w:rsidRPr="00D24E83">
        <w:t>I</w:t>
      </w:r>
      <w:r w:rsidR="005C42EE">
        <w:t>n the Court of Appeal for the Northwest Territories</w:t>
      </w:r>
    </w:p>
    <w:p w:rsidR="00895C50" w:rsidRDefault="00283549" w:rsidP="00E11681">
      <w:pPr>
        <w:ind w:left="0"/>
        <w:rPr>
          <w:rFonts w:eastAsia="PMingLiU"/>
          <w:b/>
          <w:u w:val="single"/>
        </w:rPr>
      </w:pPr>
      <w:bookmarkStart w:id="2" w:name="frCitation"/>
      <w:bookmarkEnd w:id="2"/>
      <w:r w:rsidRPr="00971C56">
        <w:rPr>
          <w:rFonts w:eastAsia="PMingLiU"/>
          <w:b/>
        </w:rPr>
        <w:t xml:space="preserve">Citation: </w:t>
      </w:r>
      <w:r w:rsidR="000B5490" w:rsidRPr="000C5F5E">
        <w:rPr>
          <w:rFonts w:eastAsia="PMingLiU"/>
          <w:b/>
          <w:i/>
        </w:rPr>
        <w:t xml:space="preserve">R </w:t>
      </w:r>
      <w:r w:rsidR="004011F7" w:rsidRPr="000C5F5E">
        <w:rPr>
          <w:rFonts w:eastAsia="PMingLiU"/>
          <w:b/>
          <w:i/>
        </w:rPr>
        <w:t>v</w:t>
      </w:r>
      <w:r w:rsidR="000B5490" w:rsidRPr="000C5F5E">
        <w:rPr>
          <w:rFonts w:eastAsia="PMingLiU"/>
          <w:b/>
          <w:i/>
        </w:rPr>
        <w:t xml:space="preserve"> </w:t>
      </w:r>
      <w:proofErr w:type="spellStart"/>
      <w:r w:rsidR="000B5490" w:rsidRPr="000C5F5E">
        <w:rPr>
          <w:rFonts w:eastAsia="PMingLiU"/>
          <w:b/>
          <w:i/>
        </w:rPr>
        <w:t>Bernarde</w:t>
      </w:r>
      <w:proofErr w:type="spellEnd"/>
      <w:r w:rsidRPr="00971C56">
        <w:rPr>
          <w:rFonts w:eastAsia="PMingLiU"/>
          <w:b/>
        </w:rPr>
        <w:t xml:space="preserve">, </w:t>
      </w:r>
      <w:r w:rsidR="000B5490">
        <w:rPr>
          <w:rFonts w:eastAsia="PMingLiU"/>
          <w:b/>
        </w:rPr>
        <w:t>2018</w:t>
      </w:r>
      <w:r w:rsidRPr="00971C56">
        <w:rPr>
          <w:rFonts w:eastAsia="PMingLiU"/>
          <w:b/>
        </w:rPr>
        <w:t xml:space="preserve"> </w:t>
      </w:r>
      <w:r w:rsidR="00895C50">
        <w:rPr>
          <w:rFonts w:eastAsia="PMingLiU"/>
          <w:b/>
        </w:rPr>
        <w:t xml:space="preserve">NWTCA </w:t>
      </w:r>
      <w:r w:rsidR="00F71FE0">
        <w:rPr>
          <w:rFonts w:eastAsia="PMingLiU"/>
          <w:b/>
        </w:rPr>
        <w:t>7</w:t>
      </w:r>
    </w:p>
    <w:p w:rsidR="00283549" w:rsidRPr="00973735" w:rsidRDefault="00283549" w:rsidP="008368D3">
      <w:pPr>
        <w:tabs>
          <w:tab w:val="right" w:pos="9360"/>
        </w:tabs>
        <w:ind w:left="0"/>
        <w:jc w:val="right"/>
        <w:rPr>
          <w:rFonts w:eastAsia="PMingLiU"/>
        </w:rPr>
      </w:pPr>
      <w:r w:rsidRPr="009C2254">
        <w:rPr>
          <w:rFonts w:eastAsia="PMingLiU"/>
          <w:b/>
          <w:bCs/>
        </w:rPr>
        <w:t>Date:</w:t>
      </w:r>
      <w:r w:rsidRPr="00973735">
        <w:rPr>
          <w:rFonts w:eastAsia="PMingLiU"/>
        </w:rPr>
        <w:t xml:space="preserve"> </w:t>
      </w:r>
      <w:r w:rsidR="000B5490">
        <w:rPr>
          <w:rFonts w:eastAsia="PMingLiU"/>
        </w:rPr>
        <w:t>2018</w:t>
      </w:r>
      <w:r w:rsidR="00DB7311">
        <w:rPr>
          <w:rFonts w:eastAsia="PMingLiU"/>
        </w:rPr>
        <w:t>1105</w:t>
      </w:r>
    </w:p>
    <w:p w:rsidR="00283549" w:rsidRPr="004D654D" w:rsidRDefault="00283549" w:rsidP="008368D3">
      <w:pPr>
        <w:tabs>
          <w:tab w:val="right" w:pos="9360"/>
        </w:tabs>
        <w:ind w:left="0"/>
        <w:jc w:val="right"/>
        <w:rPr>
          <w:rFonts w:eastAsia="PMingLiU"/>
        </w:rPr>
      </w:pPr>
      <w:bookmarkStart w:id="3" w:name="frDocket"/>
      <w:bookmarkEnd w:id="3"/>
      <w:r w:rsidRPr="004D654D">
        <w:rPr>
          <w:rFonts w:eastAsia="PMingLiU"/>
          <w:b/>
          <w:bCs/>
        </w:rPr>
        <w:t>Docket:</w:t>
      </w:r>
      <w:r w:rsidR="004D654D" w:rsidRPr="004D654D">
        <w:rPr>
          <w:rFonts w:eastAsia="PMingLiU"/>
          <w:bCs/>
        </w:rPr>
        <w:t xml:space="preserve"> </w:t>
      </w:r>
      <w:r w:rsidR="000B5490">
        <w:rPr>
          <w:rFonts w:eastAsia="PMingLiU"/>
          <w:bCs/>
        </w:rPr>
        <w:t>A1-AP-2018-000006</w:t>
      </w:r>
    </w:p>
    <w:p w:rsidR="00283549" w:rsidRPr="00973735"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DC2352">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0B5490" w:rsidRDefault="00895C50"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0B5490" w:rsidP="008368D3">
      <w:pPr>
        <w:tabs>
          <w:tab w:val="right" w:pos="9360"/>
        </w:tabs>
        <w:ind w:left="0"/>
        <w:jc w:val="right"/>
        <w:rPr>
          <w:rFonts w:eastAsia="PMingLiU"/>
        </w:rPr>
      </w:pPr>
      <w:r>
        <w:rPr>
          <w:rFonts w:eastAsia="PMingLiU"/>
        </w:rPr>
        <w:t>R</w:t>
      </w:r>
      <w:r w:rsidR="00895C50">
        <w:rPr>
          <w:rFonts w:eastAsia="PMingLiU"/>
        </w:rPr>
        <w:t>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r w:rsidRPr="009C2254">
        <w:rPr>
          <w:rFonts w:eastAsia="PMingLiU"/>
        </w:rPr>
        <w:t>and -</w:t>
      </w:r>
    </w:p>
    <w:p w:rsidR="00283549" w:rsidRPr="009C2254" w:rsidRDefault="00283549" w:rsidP="00E11681">
      <w:pPr>
        <w:ind w:left="0"/>
        <w:rPr>
          <w:rFonts w:eastAsia="PMingLiU"/>
        </w:rPr>
      </w:pPr>
    </w:p>
    <w:p w:rsidR="00283549" w:rsidRPr="000B5490" w:rsidRDefault="00895C50" w:rsidP="00E11681">
      <w:pPr>
        <w:ind w:left="0"/>
        <w:jc w:val="center"/>
        <w:rPr>
          <w:rFonts w:eastAsia="PMingLiU"/>
        </w:rPr>
      </w:pPr>
      <w:r>
        <w:rPr>
          <w:rFonts w:eastAsia="PMingLiU"/>
          <w:b/>
        </w:rPr>
        <w:t>Cameron Bernarde</w:t>
      </w:r>
    </w:p>
    <w:p w:rsidR="00283549" w:rsidRPr="009C2254" w:rsidRDefault="00283549" w:rsidP="00E11681">
      <w:pPr>
        <w:ind w:left="0"/>
        <w:rPr>
          <w:rFonts w:eastAsia="PMingLiU"/>
        </w:rPr>
      </w:pPr>
    </w:p>
    <w:p w:rsidR="00283549" w:rsidRPr="009C2254" w:rsidRDefault="000B5490" w:rsidP="008368D3">
      <w:pPr>
        <w:tabs>
          <w:tab w:val="right" w:pos="9360"/>
        </w:tabs>
        <w:ind w:left="0"/>
        <w:jc w:val="right"/>
        <w:rPr>
          <w:rFonts w:eastAsia="PMingLiU"/>
        </w:rPr>
      </w:pPr>
      <w:r>
        <w:rPr>
          <w:rFonts w:eastAsia="PMingLiU"/>
        </w:rPr>
        <w:t>A</w:t>
      </w:r>
      <w:r w:rsidR="00895C50">
        <w:rPr>
          <w:rFonts w:eastAsia="PMingLiU"/>
        </w:rPr>
        <w:t>ppellant</w:t>
      </w: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7" w:name="PubBanTableStart"/>
      <w:bookmarkStart w:id="8" w:name="PubBanTableEnd"/>
      <w:bookmarkStart w:id="9" w:name="CorrectedJudgment"/>
      <w:bookmarkEnd w:id="7"/>
      <w:bookmarkEnd w:id="8"/>
      <w:bookmarkEnd w:id="9"/>
    </w:p>
    <w:p w:rsidR="000B5490" w:rsidRDefault="000B5490" w:rsidP="000B5490">
      <w:pPr>
        <w:ind w:left="0"/>
        <w:jc w:val="center"/>
        <w:rPr>
          <w:rFonts w:eastAsia="PMingLiU"/>
          <w:b/>
        </w:rPr>
      </w:pPr>
      <w:bookmarkStart w:id="10" w:name="TheCourt"/>
      <w:bookmarkEnd w:id="10"/>
      <w:r>
        <w:rPr>
          <w:rFonts w:eastAsia="PMingLiU"/>
          <w:b/>
        </w:rPr>
        <w:t>_______________________________________________________</w:t>
      </w:r>
    </w:p>
    <w:p w:rsidR="000B5490" w:rsidRDefault="000B5490" w:rsidP="000B5490">
      <w:pPr>
        <w:ind w:left="0"/>
        <w:jc w:val="center"/>
        <w:rPr>
          <w:rFonts w:eastAsia="PMingLiU"/>
          <w:b/>
        </w:rPr>
      </w:pPr>
    </w:p>
    <w:p w:rsidR="000B5490" w:rsidRDefault="000B5490" w:rsidP="000B5490">
      <w:pPr>
        <w:ind w:left="0"/>
        <w:jc w:val="left"/>
        <w:rPr>
          <w:rFonts w:eastAsia="PMingLiU"/>
          <w:b/>
        </w:rPr>
      </w:pPr>
      <w:r>
        <w:rPr>
          <w:rFonts w:eastAsia="PMingLiU"/>
          <w:b/>
        </w:rPr>
        <w:t>The Court:</w:t>
      </w:r>
    </w:p>
    <w:p w:rsidR="000B5490" w:rsidRDefault="000B5490" w:rsidP="000B5490">
      <w:pPr>
        <w:ind w:left="0"/>
        <w:jc w:val="center"/>
        <w:rPr>
          <w:rFonts w:eastAsia="PMingLiU"/>
          <w:b/>
        </w:rPr>
      </w:pPr>
      <w:bookmarkStart w:id="11" w:name="JusticeTitleStart"/>
      <w:bookmarkStart w:id="12" w:name="JusticeName"/>
      <w:bookmarkEnd w:id="11"/>
      <w:r>
        <w:rPr>
          <w:rFonts w:eastAsia="PMingLiU"/>
          <w:b/>
        </w:rPr>
        <w:t>The Honourable Mr. Justice Peter Costigan</w:t>
      </w:r>
      <w:bookmarkEnd w:id="12"/>
    </w:p>
    <w:p w:rsidR="000B5490" w:rsidRDefault="000B5490" w:rsidP="000B5490">
      <w:pPr>
        <w:ind w:left="0"/>
        <w:jc w:val="center"/>
        <w:rPr>
          <w:rFonts w:eastAsia="PMingLiU"/>
          <w:b/>
        </w:rPr>
      </w:pPr>
      <w:bookmarkStart w:id="13" w:name="JusticeName2"/>
      <w:r>
        <w:rPr>
          <w:rFonts w:eastAsia="PMingLiU"/>
          <w:b/>
        </w:rPr>
        <w:t>The Honourable Madam Justice Barbara Lea Veldhuis</w:t>
      </w:r>
      <w:bookmarkEnd w:id="13"/>
    </w:p>
    <w:p w:rsidR="000B5490" w:rsidRDefault="000B5490" w:rsidP="000B5490">
      <w:pPr>
        <w:ind w:left="0"/>
        <w:jc w:val="center"/>
        <w:rPr>
          <w:rFonts w:eastAsia="PMingLiU"/>
          <w:b/>
        </w:rPr>
      </w:pPr>
      <w:bookmarkStart w:id="14" w:name="JusticeName3"/>
      <w:r>
        <w:rPr>
          <w:rFonts w:eastAsia="PMingLiU"/>
          <w:b/>
        </w:rPr>
        <w:t>The Honourable Mr. Justice Thomas W. Wakeling</w:t>
      </w:r>
      <w:bookmarkStart w:id="15" w:name="JusticeTitleEnd"/>
      <w:bookmarkEnd w:id="14"/>
      <w:bookmarkEnd w:id="15"/>
    </w:p>
    <w:p w:rsidR="00283549" w:rsidRPr="000B5490" w:rsidRDefault="000B5490" w:rsidP="000B5490">
      <w:pPr>
        <w:ind w:left="0"/>
        <w:jc w:val="center"/>
        <w:rPr>
          <w:rFonts w:eastAsia="PMingLiU"/>
          <w:b/>
        </w:rPr>
      </w:pPr>
      <w:r>
        <w:rPr>
          <w:rFonts w:eastAsia="PMingLiU"/>
          <w:b/>
        </w:rPr>
        <w:t>_______________________________________________________</w:t>
      </w:r>
    </w:p>
    <w:p w:rsidR="000B5490" w:rsidRDefault="000B5490" w:rsidP="000B5490">
      <w:pPr>
        <w:keepNext/>
        <w:keepLines/>
        <w:ind w:left="0"/>
        <w:rPr>
          <w:rFonts w:eastAsia="PMingLiU"/>
          <w:b/>
        </w:rPr>
      </w:pPr>
    </w:p>
    <w:p w:rsidR="000B5490" w:rsidRDefault="000B5490" w:rsidP="000B5490">
      <w:pPr>
        <w:keepNext/>
        <w:keepLines/>
        <w:ind w:left="0"/>
        <w:rPr>
          <w:rFonts w:eastAsia="PMingLiU"/>
          <w:b/>
        </w:rPr>
      </w:pPr>
    </w:p>
    <w:p w:rsidR="000B5490" w:rsidRDefault="000B5490" w:rsidP="000B5490">
      <w:pPr>
        <w:keepNext/>
        <w:keepLines/>
        <w:ind w:left="0"/>
        <w:jc w:val="center"/>
        <w:rPr>
          <w:rFonts w:eastAsia="PMingLiU"/>
        </w:rPr>
      </w:pPr>
      <w:bookmarkStart w:id="16" w:name="JudgmentType"/>
      <w:r w:rsidRPr="000B5490">
        <w:rPr>
          <w:rFonts w:eastAsia="PMingLiU"/>
          <w:b/>
        </w:rPr>
        <w:t>Memorandum of Judgment</w:t>
      </w:r>
      <w:bookmarkEnd w:id="16"/>
    </w:p>
    <w:p w:rsidR="000B5490" w:rsidRDefault="000B5490" w:rsidP="000B5490">
      <w:pPr>
        <w:keepNext/>
        <w:keepLines/>
        <w:ind w:left="0"/>
        <w:jc w:val="center"/>
        <w:rPr>
          <w:rFonts w:eastAsia="PMingLiU"/>
        </w:rPr>
      </w:pPr>
      <w:bookmarkStart w:id="17" w:name="JudgmentTypeCover"/>
      <w:bookmarkEnd w:id="17"/>
    </w:p>
    <w:p w:rsidR="00283549" w:rsidRPr="000B5490" w:rsidRDefault="00283549" w:rsidP="000B5490">
      <w:pPr>
        <w:ind w:left="0"/>
        <w:jc w:val="center"/>
        <w:rPr>
          <w:rFonts w:eastAsia="PMingLiU"/>
        </w:rPr>
      </w:pPr>
    </w:p>
    <w:p w:rsidR="00283549" w:rsidRPr="009C2254" w:rsidRDefault="000B5490" w:rsidP="008368D3">
      <w:pPr>
        <w:tabs>
          <w:tab w:val="center" w:pos="4680"/>
        </w:tabs>
        <w:ind w:left="0"/>
        <w:jc w:val="center"/>
        <w:rPr>
          <w:rFonts w:eastAsia="PMingLiU"/>
        </w:rPr>
      </w:pPr>
      <w:bookmarkStart w:id="18" w:name="TrialJudgmentType"/>
      <w:bookmarkEnd w:id="18"/>
      <w:r>
        <w:rPr>
          <w:rFonts w:eastAsia="PMingLiU"/>
        </w:rPr>
        <w:t>Appeal from the Sentence by</w:t>
      </w:r>
    </w:p>
    <w:p w:rsidR="00283549" w:rsidRPr="009C2254" w:rsidRDefault="000B5490" w:rsidP="008368D3">
      <w:pPr>
        <w:tabs>
          <w:tab w:val="center" w:pos="4680"/>
        </w:tabs>
        <w:ind w:left="0"/>
        <w:jc w:val="center"/>
        <w:rPr>
          <w:rFonts w:eastAsia="PMingLiU"/>
        </w:rPr>
      </w:pPr>
      <w:bookmarkStart w:id="19" w:name="TrialJudgeSalutation"/>
      <w:r>
        <w:rPr>
          <w:rFonts w:eastAsia="PMingLiU"/>
        </w:rPr>
        <w:t>The Honourable Madam Justice</w:t>
      </w:r>
      <w:bookmarkEnd w:id="19"/>
      <w:r>
        <w:rPr>
          <w:rFonts w:eastAsia="PMingLiU"/>
        </w:rPr>
        <w:t xml:space="preserve"> </w:t>
      </w:r>
      <w:bookmarkStart w:id="20" w:name="TrialJudgeName"/>
      <w:r>
        <w:rPr>
          <w:rFonts w:eastAsia="PMingLiU"/>
        </w:rPr>
        <w:t>L.A. Charbonneau</w:t>
      </w:r>
      <w:bookmarkEnd w:id="20"/>
    </w:p>
    <w:p w:rsidR="00283549" w:rsidRDefault="000B5490" w:rsidP="008368D3">
      <w:pPr>
        <w:tabs>
          <w:tab w:val="center" w:pos="4680"/>
        </w:tabs>
        <w:ind w:left="0"/>
        <w:jc w:val="center"/>
        <w:rPr>
          <w:rFonts w:eastAsia="PMingLiU"/>
        </w:rPr>
      </w:pPr>
      <w:bookmarkStart w:id="21" w:name="TrialConvictionDate"/>
      <w:bookmarkStart w:id="22" w:name="TrialJudgmentDate"/>
      <w:bookmarkStart w:id="23" w:name="TrialFiledDate"/>
      <w:bookmarkEnd w:id="21"/>
      <w:bookmarkEnd w:id="22"/>
      <w:bookmarkEnd w:id="23"/>
      <w:r>
        <w:rPr>
          <w:rFonts w:eastAsia="PMingLiU"/>
        </w:rPr>
        <w:t xml:space="preserve">Dated the </w:t>
      </w:r>
      <w:r w:rsidR="00895C50">
        <w:rPr>
          <w:rFonts w:eastAsia="PMingLiU"/>
        </w:rPr>
        <w:t>26th</w:t>
      </w:r>
      <w:r>
        <w:rPr>
          <w:rFonts w:eastAsia="PMingLiU"/>
        </w:rPr>
        <w:t xml:space="preserve"> day of </w:t>
      </w:r>
      <w:r w:rsidR="00895C50">
        <w:rPr>
          <w:rFonts w:eastAsia="PMingLiU"/>
        </w:rPr>
        <w:t>March, 2018</w:t>
      </w:r>
    </w:p>
    <w:p w:rsidR="000B5490" w:rsidRPr="009C2254" w:rsidRDefault="00895C50" w:rsidP="008368D3">
      <w:pPr>
        <w:tabs>
          <w:tab w:val="center" w:pos="4680"/>
        </w:tabs>
        <w:ind w:left="0"/>
        <w:jc w:val="center"/>
        <w:rPr>
          <w:rFonts w:eastAsia="PMingLiU"/>
        </w:rPr>
      </w:pPr>
      <w:r>
        <w:rPr>
          <w:rFonts w:eastAsia="PMingLiU"/>
        </w:rPr>
        <w:t>(2018 NWTSC 22</w:t>
      </w:r>
      <w:r w:rsidR="005C42EE">
        <w:rPr>
          <w:rFonts w:eastAsia="PMingLiU"/>
        </w:rPr>
        <w:t>,</w:t>
      </w:r>
      <w:r w:rsidR="008959FC">
        <w:rPr>
          <w:rFonts w:eastAsia="PMingLiU"/>
        </w:rPr>
        <w:t xml:space="preserve"> 2018 NWTSC 27;</w:t>
      </w:r>
      <w:r w:rsidR="000B5490">
        <w:rPr>
          <w:rFonts w:eastAsia="PMingLiU"/>
        </w:rPr>
        <w:t xml:space="preserve"> Docket </w:t>
      </w:r>
      <w:r>
        <w:rPr>
          <w:rFonts w:eastAsia="PMingLiU"/>
        </w:rPr>
        <w:t>S-1-CR-2017-000029</w:t>
      </w:r>
      <w:r w:rsidR="000B5490">
        <w:rPr>
          <w:rFonts w:eastAsia="PMingLiU"/>
        </w:rPr>
        <w:t>)</w:t>
      </w:r>
    </w:p>
    <w:p w:rsidR="00283549" w:rsidRPr="009C2254" w:rsidRDefault="00283549" w:rsidP="008368D3">
      <w:pPr>
        <w:tabs>
          <w:tab w:val="center" w:pos="4680"/>
        </w:tabs>
        <w:ind w:left="0"/>
        <w:jc w:val="center"/>
        <w:rPr>
          <w:rFonts w:eastAsia="PMingLiU"/>
        </w:rPr>
      </w:pPr>
      <w:bookmarkStart w:id="24" w:name="JudgmentDetails"/>
      <w:bookmarkEnd w:id="24"/>
    </w:p>
    <w:p w:rsidR="00283549" w:rsidRPr="009C2254" w:rsidRDefault="00283549" w:rsidP="004B6F64">
      <w:pPr>
        <w:ind w:left="0"/>
        <w:rPr>
          <w:rFonts w:eastAsia="PMingLiU"/>
        </w:rPr>
        <w:sectPr w:rsidR="00283549" w:rsidRPr="009C2254" w:rsidSect="00AB0EFF">
          <w:headerReference w:type="even" r:id="rId9"/>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5" w:name="TOC_Here"/>
      <w:bookmarkEnd w:id="25"/>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0B5490" w:rsidRDefault="000B5490" w:rsidP="00B1323A">
      <w:pPr>
        <w:ind w:left="0"/>
        <w:jc w:val="center"/>
        <w:rPr>
          <w:rFonts w:eastAsia="PMingLiU"/>
        </w:rPr>
      </w:pPr>
      <w:bookmarkStart w:id="26" w:name="JudgmentTypeStart"/>
      <w:bookmarkStart w:id="27" w:name="JudgmentTypeEnd"/>
      <w:bookmarkEnd w:id="26"/>
      <w:bookmarkEnd w:id="27"/>
      <w:r>
        <w:rPr>
          <w:rFonts w:eastAsia="PMingLiU"/>
          <w:b/>
        </w:rPr>
        <w:t>Memorandum of Judgment</w:t>
      </w:r>
      <w:bookmarkStart w:id="28" w:name="JudgmentTypeDocument"/>
      <w:bookmarkEnd w:id="28"/>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10"/>
          <w:headerReference w:type="default" r:id="rId11"/>
          <w:footerReference w:type="default" r:id="rId12"/>
          <w:headerReference w:type="first" r:id="rId13"/>
          <w:pgSz w:w="12240" w:h="15840"/>
          <w:pgMar w:top="1255" w:right="1440" w:bottom="1440" w:left="1440" w:header="1152" w:footer="1440" w:gutter="0"/>
          <w:pgNumType w:fmt="upperRoman" w:start="1"/>
          <w:cols w:space="720"/>
          <w:noEndnote/>
          <w:docGrid w:linePitch="326"/>
        </w:sectPr>
      </w:pPr>
    </w:p>
    <w:p w:rsidR="000B5490" w:rsidRDefault="000B5490" w:rsidP="006C044D">
      <w:pPr>
        <w:pStyle w:val="FelskyNumbering12"/>
        <w:numPr>
          <w:ilvl w:val="0"/>
          <w:numId w:val="0"/>
        </w:numPr>
        <w:rPr>
          <w:rFonts w:eastAsia="PMingLiU"/>
        </w:rPr>
      </w:pPr>
    </w:p>
    <w:p w:rsidR="00283549" w:rsidRPr="000B5490" w:rsidRDefault="000B5490" w:rsidP="006C044D">
      <w:pPr>
        <w:pStyle w:val="FelskyNumbering12"/>
        <w:numPr>
          <w:ilvl w:val="0"/>
          <w:numId w:val="0"/>
        </w:numPr>
        <w:rPr>
          <w:rFonts w:eastAsia="PMingLiU"/>
        </w:rPr>
      </w:pPr>
      <w:r>
        <w:rPr>
          <w:rFonts w:eastAsia="PMingLiU"/>
          <w:b/>
        </w:rPr>
        <w:t>The Court:</w:t>
      </w:r>
    </w:p>
    <w:p w:rsidR="00283549" w:rsidRPr="009C2254" w:rsidRDefault="00A92E75" w:rsidP="00A92E75">
      <w:pPr>
        <w:pStyle w:val="FelskyNumbering12"/>
      </w:pPr>
      <w:bookmarkStart w:id="29" w:name="FelskyStart"/>
      <w:bookmarkStart w:id="30" w:name="Paragraph1"/>
      <w:bookmarkEnd w:id="29"/>
      <w:bookmarkEnd w:id="30"/>
      <w:r w:rsidRPr="00A92E75">
        <w:t xml:space="preserve">The appellant pled guilty to a charge of robbery. Section 344(1)(a.1) of the </w:t>
      </w:r>
      <w:r w:rsidRPr="00A92E75">
        <w:rPr>
          <w:i/>
        </w:rPr>
        <w:t>Criminal Code</w:t>
      </w:r>
      <w:r w:rsidRPr="00A92E75">
        <w:t xml:space="preserve"> </w:t>
      </w:r>
      <w:r w:rsidR="00D840B8">
        <w:t>mandates a</w:t>
      </w:r>
      <w:r w:rsidRPr="00A92E75">
        <w:t xml:space="preserve"> minimum sentence of four years given a firearm </w:t>
      </w:r>
      <w:r w:rsidR="00D840B8">
        <w:t xml:space="preserve">was used </w:t>
      </w:r>
      <w:r w:rsidRPr="00A92E75">
        <w:t>in the commission of the offence. He challenged the constitutionality of this sentence</w:t>
      </w:r>
      <w:r w:rsidR="00D840B8">
        <w:t xml:space="preserve"> before the sentencing judge</w:t>
      </w:r>
      <w:r w:rsidRPr="00A92E75">
        <w:t>, which application was dismissed. He now appeals to this Court alleging a number of errors in the sentencing judge’s assessment of the fit sentence and her conclusion on whether the mandatory minimum sentence was grossly disproportionate. For the reasons that follow, we dismiss the appeal.</w:t>
      </w:r>
    </w:p>
    <w:p w:rsidR="00A92E75" w:rsidRDefault="00A92E75" w:rsidP="00A92E75">
      <w:pPr>
        <w:pStyle w:val="Heading2"/>
      </w:pPr>
      <w:r>
        <w:t>Background</w:t>
      </w:r>
    </w:p>
    <w:p w:rsidR="00A92E75" w:rsidRDefault="00A92E75" w:rsidP="00A92E75">
      <w:pPr>
        <w:pStyle w:val="FelskyNumbering12"/>
      </w:pPr>
      <w:r>
        <w:t xml:space="preserve">On the evening before the offence was committed, the appellant </w:t>
      </w:r>
      <w:r w:rsidR="00D840B8">
        <w:t>had been</w:t>
      </w:r>
      <w:r>
        <w:t xml:space="preserve"> drinking with his friends. In the early morning hours, he left his friend’s house, retrieved a firearm from his house and went to a gas bar. He entered the g</w:t>
      </w:r>
      <w:r w:rsidR="007C3EDE">
        <w:t xml:space="preserve">as bar carrying the firearm, </w:t>
      </w:r>
      <w:r>
        <w:t xml:space="preserve">wearing a hoodie over his head and something covering his face. He pointed the firearm at the cashier and demanded money from the till and a nearby ATM. The cashier gave him approximately $200. The offence was captured on security cameras and the appellant was quickly identified and arrested the same day. He gave a warned statement to the police admitting to the robbery. </w:t>
      </w:r>
    </w:p>
    <w:p w:rsidR="00A92E75" w:rsidRDefault="00A92E75" w:rsidP="00A92E75">
      <w:pPr>
        <w:pStyle w:val="FelskyNumbering12"/>
      </w:pPr>
      <w:r>
        <w:t>At sentencing, the judge was provided with a significant amount of information about the appellant’s circumstances, including</w:t>
      </w:r>
      <w:r w:rsidR="00AB0E74">
        <w:t>:</w:t>
      </w:r>
      <w:r>
        <w:t xml:space="preserve"> two pre-sentence reports detailing his dysfunctional home environment growing up, which was plagued by substance abuse and assault; medical and other documents describing his Fetal Alcohol Spectrum Disorder (FASD) diagnosis and associated global development</w:t>
      </w:r>
      <w:r w:rsidR="00D840B8">
        <w:t>al</w:t>
      </w:r>
      <w:r>
        <w:t xml:space="preserve"> delays</w:t>
      </w:r>
      <w:r w:rsidR="00D925F5">
        <w:t>,</w:t>
      </w:r>
      <w:r>
        <w:t xml:space="preserve"> which suggest that the appellant has the cognitive capabilities of a</w:t>
      </w:r>
      <w:r w:rsidR="00A92C38">
        <w:t xml:space="preserve"> nine-year </w:t>
      </w:r>
      <w:r>
        <w:t>old; his employment history and family situation; and his criminal record dating back to 2008, which included a number of convictions for property-related offences, breaches of court orders and his most recent conviction for sexual assault. The appellant was still on probation when he committed the robbery.</w:t>
      </w:r>
    </w:p>
    <w:p w:rsidR="007C3EDE" w:rsidRDefault="00A92E75" w:rsidP="007C3EDE">
      <w:pPr>
        <w:pStyle w:val="FelskyNumbering12"/>
      </w:pPr>
      <w:r>
        <w:t xml:space="preserve">The sentencing judge issued an oral </w:t>
      </w:r>
      <w:r w:rsidR="00D840B8">
        <w:t xml:space="preserve">decision as well as </w:t>
      </w:r>
      <w:r>
        <w:t xml:space="preserve">detailed written </w:t>
      </w:r>
      <w:r w:rsidR="00D840B8">
        <w:t>reasons</w:t>
      </w:r>
      <w:r>
        <w:t xml:space="preserve"> on the constit</w:t>
      </w:r>
      <w:r w:rsidR="00D840B8">
        <w:t>utional challenge.</w:t>
      </w:r>
      <w:r>
        <w:t xml:space="preserve"> Within the written decision, she set out the framework for </w:t>
      </w:r>
      <w:r w:rsidR="007C3EDE">
        <w:t>a</w:t>
      </w:r>
      <w:r w:rsidR="00DF6A0A">
        <w:t xml:space="preserve"> challenge to</w:t>
      </w:r>
      <w:r>
        <w:t xml:space="preserve"> s. 12</w:t>
      </w:r>
      <w:r w:rsidR="00DF6A0A">
        <w:t xml:space="preserve"> of the </w:t>
      </w:r>
      <w:r w:rsidR="00DF6A0A" w:rsidRPr="00DF6A0A">
        <w:rPr>
          <w:i/>
        </w:rPr>
        <w:t>Charter</w:t>
      </w:r>
      <w:r>
        <w:t>, which included assessing the fit sentence, having regard to the sentencing principles and objectives, and then considering whether the mandatory minimum was grossly disproportionate to that fit and proportionate sentence.</w:t>
      </w:r>
    </w:p>
    <w:p w:rsidR="00A92E75" w:rsidRDefault="00A92E75" w:rsidP="00A92E75">
      <w:pPr>
        <w:pStyle w:val="Heading2"/>
      </w:pPr>
      <w:r>
        <w:t>Standard of Review</w:t>
      </w:r>
    </w:p>
    <w:p w:rsidR="00A92E75" w:rsidRDefault="00A92E75" w:rsidP="00A92E75">
      <w:pPr>
        <w:pStyle w:val="FelskyNumbering12"/>
      </w:pPr>
      <w:r>
        <w:t xml:space="preserve">The parties agree on the applicable standards of review. The sentencing judge’s determination of the fit and proportionate sentence is reviewable on a deferential standard of </w:t>
      </w:r>
      <w:r>
        <w:lastRenderedPageBreak/>
        <w:t xml:space="preserve">review, while the question of whether the mandatory minimum penalty was grossly disproportionate is reviewable on the standard of correctness.  </w:t>
      </w:r>
    </w:p>
    <w:p w:rsidR="00A92E75" w:rsidRDefault="00A92E75" w:rsidP="00A92E75">
      <w:pPr>
        <w:pStyle w:val="Heading2"/>
      </w:pPr>
      <w:r>
        <w:t>Analysis</w:t>
      </w:r>
    </w:p>
    <w:p w:rsidR="007C3EDE" w:rsidRDefault="00A92E75" w:rsidP="007C3EDE">
      <w:pPr>
        <w:pStyle w:val="FelskyNumbering12"/>
      </w:pPr>
      <w:r>
        <w:t xml:space="preserve">The appellant has not identified any error in the sentencing judge’s reasons or </w:t>
      </w:r>
      <w:r w:rsidR="00D840B8">
        <w:t>in</w:t>
      </w:r>
      <w:r>
        <w:t xml:space="preserve"> the result she reached. She correctly set out the test</w:t>
      </w:r>
      <w:r w:rsidR="00625A80">
        <w:t>s</w:t>
      </w:r>
      <w:r>
        <w:t>, considered the applicable authorities, sentencing principles and objectives</w:t>
      </w:r>
      <w:r w:rsidR="00625A80">
        <w:t>,</w:t>
      </w:r>
      <w:r>
        <w:t xml:space="preserve"> and thoroughly assessed an</w:t>
      </w:r>
      <w:r w:rsidR="00D840B8">
        <w:t>d weighed the numerous factors in</w:t>
      </w:r>
      <w:r w:rsidR="00625A80">
        <w:t xml:space="preserve"> arriving at the f</w:t>
      </w:r>
      <w:r w:rsidR="00D840B8">
        <w:t>it and proportionate sentence. S</w:t>
      </w:r>
      <w:r w:rsidR="007C3EDE">
        <w:t xml:space="preserve">he analyzed the appellant’s FASD diagnosis through the framework established by the Alberta Court of Appeal in </w:t>
      </w:r>
      <w:r w:rsidR="007C3EDE" w:rsidRPr="007C3EDE">
        <w:rPr>
          <w:i/>
        </w:rPr>
        <w:t>R v Ramsay</w:t>
      </w:r>
      <w:r w:rsidR="007C3EDE">
        <w:t>, 2012 ABCA 257</w:t>
      </w:r>
      <w:r w:rsidR="00DF6A0A">
        <w:t>, 536 AR 174</w:t>
      </w:r>
      <w:r w:rsidR="007C3EDE">
        <w:t xml:space="preserve">. She noted the reduced moral culpability of such offenders and the reduced weight to be accorded to general deterrence and denunciation. She also balanced the objective seriousness of the offence. Next, she considered other similar cases and the starting point for unsophisticated robberies of vulnerable people such as unprotected commercial outlets </w:t>
      </w:r>
      <w:r w:rsidR="00D840B8">
        <w:t xml:space="preserve">as </w:t>
      </w:r>
      <w:r w:rsidR="007C3EDE">
        <w:t xml:space="preserve">developed </w:t>
      </w:r>
      <w:r w:rsidR="007C3EDE" w:rsidRPr="00C54548">
        <w:t xml:space="preserve">in </w:t>
      </w:r>
      <w:r w:rsidR="007C3EDE" w:rsidRPr="00C54548">
        <w:rPr>
          <w:i/>
        </w:rPr>
        <w:t>R v Jo</w:t>
      </w:r>
      <w:r w:rsidR="00C54548" w:rsidRPr="00C54548">
        <w:rPr>
          <w:i/>
        </w:rPr>
        <w:t>h</w:t>
      </w:r>
      <w:r w:rsidR="007C3EDE" w:rsidRPr="00C54548">
        <w:rPr>
          <w:i/>
        </w:rPr>
        <w:t>nas</w:t>
      </w:r>
      <w:r w:rsidR="007C3EDE" w:rsidRPr="00C54548">
        <w:t>, 1982</w:t>
      </w:r>
      <w:r w:rsidR="007C3EDE">
        <w:t xml:space="preserve"> ABCA 331</w:t>
      </w:r>
      <w:r w:rsidR="00C54548">
        <w:t>, 41 AR 183</w:t>
      </w:r>
      <w:r w:rsidR="007C3EDE">
        <w:t xml:space="preserve"> and </w:t>
      </w:r>
      <w:r w:rsidR="007C3EDE" w:rsidRPr="007C3EDE">
        <w:rPr>
          <w:i/>
        </w:rPr>
        <w:t>R v Welsh</w:t>
      </w:r>
      <w:r w:rsidR="00C54548">
        <w:t xml:space="preserve">, [1991] 110 AR 219, [1991] </w:t>
      </w:r>
      <w:r w:rsidR="007C3EDE">
        <w:t xml:space="preserve">AJ No 44 </w:t>
      </w:r>
      <w:r w:rsidR="00C54548">
        <w:t xml:space="preserve">(QL) </w:t>
      </w:r>
      <w:r w:rsidR="007C3EDE">
        <w:t xml:space="preserve">(CA). </w:t>
      </w:r>
      <w:r w:rsidR="00D840B8">
        <w:t>Reviewing</w:t>
      </w:r>
      <w:r w:rsidR="007C3EDE">
        <w:t xml:space="preserve"> aggravating factors, she noted that the appellant </w:t>
      </w:r>
      <w:r w:rsidR="00D840B8">
        <w:t>had used</w:t>
      </w:r>
      <w:r w:rsidR="007C3EDE">
        <w:t xml:space="preserve"> a firearm</w:t>
      </w:r>
      <w:r w:rsidR="00DF6A0A">
        <w:t>,</w:t>
      </w:r>
      <w:r w:rsidR="00D840B8">
        <w:t xml:space="preserve"> covered his face</w:t>
      </w:r>
      <w:r w:rsidR="007C3EDE">
        <w:t>,</w:t>
      </w:r>
      <w:r w:rsidR="00DF6A0A">
        <w:t xml:space="preserve"> and</w:t>
      </w:r>
      <w:r w:rsidR="007C3EDE">
        <w:t xml:space="preserve"> pointed the firearm at the </w:t>
      </w:r>
      <w:r w:rsidR="00D840B8">
        <w:t>cashier</w:t>
      </w:r>
      <w:r w:rsidR="007C3EDE">
        <w:t>, which demonstrated a level of planning. He also had a criminal record, although she acknowledged that his FASD diagnosis made the record less aggravating. Under mitigating factors</w:t>
      </w:r>
      <w:r w:rsidR="00D840B8">
        <w:t xml:space="preserve">, she noted his guilty plea, his </w:t>
      </w:r>
      <w:r w:rsidR="007C3EDE">
        <w:t xml:space="preserve">remorse, his </w:t>
      </w:r>
      <w:r w:rsidR="00D840B8">
        <w:t xml:space="preserve">FASD diagnosis, his </w:t>
      </w:r>
      <w:r w:rsidR="007C3EDE">
        <w:t xml:space="preserve">background as an Aboriginal offender and </w:t>
      </w:r>
      <w:r w:rsidR="00D840B8">
        <w:t xml:space="preserve">the </w:t>
      </w:r>
      <w:r w:rsidR="007C3EDE">
        <w:t xml:space="preserve">principles from </w:t>
      </w:r>
      <w:r w:rsidR="007C3EDE" w:rsidRPr="007C3EDE">
        <w:rPr>
          <w:i/>
        </w:rPr>
        <w:t>R v Gladue</w:t>
      </w:r>
      <w:r w:rsidR="007C3EDE">
        <w:t>, [1999] 1 SCR 688</w:t>
      </w:r>
      <w:r w:rsidR="00C54548">
        <w:t>, 171 DLR (4th) 385</w:t>
      </w:r>
      <w:r w:rsidR="007C3EDE">
        <w:t xml:space="preserve"> and </w:t>
      </w:r>
      <w:r w:rsidR="007C3EDE" w:rsidRPr="007C3EDE">
        <w:rPr>
          <w:i/>
        </w:rPr>
        <w:t>R v Ipeelee</w:t>
      </w:r>
      <w:r w:rsidR="007C3EDE">
        <w:t xml:space="preserve">, 2012 SCC </w:t>
      </w:r>
      <w:r w:rsidR="00D840B8">
        <w:t>13</w:t>
      </w:r>
      <w:r w:rsidR="00C54548">
        <w:t>, [2012] 1 SCR 433</w:t>
      </w:r>
      <w:r w:rsidR="007C3EDE">
        <w:t>. She concluded that a fit sentence was three years.</w:t>
      </w:r>
    </w:p>
    <w:p w:rsidR="007C3EDE" w:rsidRDefault="007C3EDE" w:rsidP="007C3EDE">
      <w:pPr>
        <w:pStyle w:val="FelskyNumbering12"/>
      </w:pPr>
      <w:r>
        <w:t xml:space="preserve">In determining whether the mandatory minimum was grossly disproportionate, the sentencing judge reviewed the factors in </w:t>
      </w:r>
      <w:r w:rsidRPr="00A92E75">
        <w:rPr>
          <w:i/>
        </w:rPr>
        <w:t>R v Morrisey</w:t>
      </w:r>
      <w:r w:rsidR="00C54548">
        <w:t>, 2000 SCC 39</w:t>
      </w:r>
      <w:r>
        <w:t>,</w:t>
      </w:r>
      <w:r w:rsidR="00C54548">
        <w:t xml:space="preserve"> [2000] 2 SCR 90</w:t>
      </w:r>
      <w:r>
        <w:t xml:space="preserve"> including the gravity of the offence, circumstances of the offender, actual effects of the punishment on the offender, penological goals and sentencing principles that und</w:t>
      </w:r>
      <w:r w:rsidR="00D840B8">
        <w:t>erlie the mandatory minimum,</w:t>
      </w:r>
      <w:r>
        <w:t xml:space="preserve"> a comparison of punishments fo</w:t>
      </w:r>
      <w:r w:rsidR="00D840B8">
        <w:t>r similar crimes, as well as</w:t>
      </w:r>
      <w:r>
        <w:t xml:space="preserve"> guidance </w:t>
      </w:r>
      <w:r w:rsidR="00D840B8">
        <w:t xml:space="preserve">set out </w:t>
      </w:r>
      <w:r>
        <w:t xml:space="preserve">in </w:t>
      </w:r>
      <w:r w:rsidRPr="00A92E75">
        <w:rPr>
          <w:i/>
        </w:rPr>
        <w:t>R v Lloyd</w:t>
      </w:r>
      <w:r>
        <w:t>, 2016 SCC 13</w:t>
      </w:r>
      <w:r w:rsidR="00C54548">
        <w:t>, [2016] 1 SCR 130</w:t>
      </w:r>
      <w:r>
        <w:t xml:space="preserve"> and </w:t>
      </w:r>
      <w:r w:rsidRPr="00A92E75">
        <w:rPr>
          <w:i/>
        </w:rPr>
        <w:t>R v Nur</w:t>
      </w:r>
      <w:r>
        <w:t>, 2015 SCC 15</w:t>
      </w:r>
      <w:r w:rsidR="00C54548">
        <w:t>, [2015] 1 SCR 773</w:t>
      </w:r>
      <w:r>
        <w:t xml:space="preserve">. She was aware that none of the previous cases upholding the mandatory minimum penalty had considered the situation of offenders living with FASD or of Aboriginal offenders where the principles in </w:t>
      </w:r>
      <w:r w:rsidRPr="00A92E75">
        <w:rPr>
          <w:i/>
        </w:rPr>
        <w:t>Gladue</w:t>
      </w:r>
      <w:r>
        <w:t xml:space="preserve"> and </w:t>
      </w:r>
      <w:r w:rsidRPr="00A92E75">
        <w:rPr>
          <w:i/>
        </w:rPr>
        <w:t>Ipeelee</w:t>
      </w:r>
      <w:r>
        <w:t xml:space="preserve"> applied. After weighing all the factors, she found the </w:t>
      </w:r>
      <w:r w:rsidR="00DF6A0A">
        <w:t>mandatory minimum of four years’</w:t>
      </w:r>
      <w:r>
        <w:t xml:space="preserve"> incarceration to be very harsh in these circumstances, but it did not reach the threshold of grossly disproportionate. She dismissed the application and sentenced the appellant to four y</w:t>
      </w:r>
      <w:r w:rsidR="00D840B8">
        <w:t xml:space="preserve">ears in </w:t>
      </w:r>
      <w:r>
        <w:t xml:space="preserve">jail. </w:t>
      </w:r>
    </w:p>
    <w:p w:rsidR="00A92E75" w:rsidRDefault="00625A80" w:rsidP="00A92E75">
      <w:pPr>
        <w:pStyle w:val="FelskyNumbering12"/>
      </w:pPr>
      <w:r>
        <w:t xml:space="preserve">Contrary to the appellant’s submissions, the </w:t>
      </w:r>
      <w:r w:rsidR="007C3EDE">
        <w:t>sentencing judge</w:t>
      </w:r>
      <w:r w:rsidR="00A92E75">
        <w:t xml:space="preserve"> did not over</w:t>
      </w:r>
      <w:r w:rsidR="00D840B8">
        <w:t>emphasize</w:t>
      </w:r>
      <w:r w:rsidR="00A92E75">
        <w:t xml:space="preserve"> or underemphasize any one factor, objective or principle. The appellant’s FASD diagnosis and sentencing principles specific to Aboriginal offenders factored appropriately into her assessment of the appellant’s moral blameworthiness and the fit sentence. So too did the firearm and the appellant’s criminal record. </w:t>
      </w:r>
    </w:p>
    <w:p w:rsidR="00A92E75" w:rsidRDefault="00A92E75" w:rsidP="00A92E75">
      <w:pPr>
        <w:pStyle w:val="FelskyNumbering12"/>
      </w:pPr>
      <w:r>
        <w:lastRenderedPageBreak/>
        <w:t xml:space="preserve">There is also no issue with the parity of the three-year sentence. The comparator cases that the appellant relies upon to suggest that a fit sentence was two years of jail or less are distinguishable as very few involve robbery with a firearm. </w:t>
      </w:r>
    </w:p>
    <w:p w:rsidR="00A92E75" w:rsidRDefault="00625A80" w:rsidP="00A92E75">
      <w:pPr>
        <w:pStyle w:val="FelskyNumbering12"/>
      </w:pPr>
      <w:r>
        <w:t>Finally, t</w:t>
      </w:r>
      <w:r w:rsidR="00A92E75">
        <w:t xml:space="preserve">he appellant did not raise a hypothetical situation before the sentencing judge and it was not an error for her to fail to pose and consider one herself. We decline to consider a hypothetical for the first time on appeal. </w:t>
      </w:r>
    </w:p>
    <w:p w:rsidR="0011708D" w:rsidRPr="009C2254" w:rsidRDefault="00A92E75" w:rsidP="00A92E75">
      <w:pPr>
        <w:pStyle w:val="FelskyNumbering12"/>
      </w:pPr>
      <w:r>
        <w:t>Leave to appeal the sentence is granted and the appeal is dismissed.</w:t>
      </w:r>
    </w:p>
    <w:p w:rsidR="00283549" w:rsidRPr="009C2254" w:rsidRDefault="00895C50" w:rsidP="004B6F64">
      <w:pPr>
        <w:ind w:left="0"/>
      </w:pPr>
      <w:bookmarkStart w:id="31" w:name="JudgmentHeard"/>
      <w:bookmarkEnd w:id="31"/>
      <w:r>
        <w:t>Appeal heard on October 23, 2018</w:t>
      </w:r>
      <w:bookmarkStart w:id="32" w:name="HearingDate"/>
      <w:bookmarkEnd w:id="32"/>
    </w:p>
    <w:p w:rsidR="00283549" w:rsidRPr="009C2254" w:rsidRDefault="00283549" w:rsidP="004B6F64">
      <w:pPr>
        <w:ind w:left="0"/>
      </w:pPr>
    </w:p>
    <w:p w:rsidR="00283549" w:rsidRPr="009C2254" w:rsidRDefault="00895C50" w:rsidP="004B6F64">
      <w:pPr>
        <w:ind w:left="0"/>
      </w:pPr>
      <w:bookmarkStart w:id="33" w:name="JudgmentFiled"/>
      <w:bookmarkEnd w:id="33"/>
      <w:r>
        <w:t>Memo</w:t>
      </w:r>
      <w:r w:rsidR="00DC2352">
        <w:t>randum filed at Yellowknife, Northwest Territories</w:t>
      </w:r>
    </w:p>
    <w:p w:rsidR="00283549" w:rsidRPr="005C42EE" w:rsidRDefault="00283549" w:rsidP="004B6F64">
      <w:pPr>
        <w:ind w:left="0"/>
      </w:pPr>
      <w:proofErr w:type="gramStart"/>
      <w:r w:rsidRPr="005C42EE">
        <w:t>this</w:t>
      </w:r>
      <w:proofErr w:type="gramEnd"/>
      <w:r w:rsidRPr="005C42EE">
        <w:t xml:space="preserve"> </w:t>
      </w:r>
      <w:bookmarkStart w:id="34" w:name="FilingDate"/>
      <w:bookmarkEnd w:id="34"/>
      <w:r w:rsidR="005C42EE" w:rsidRPr="005C42EE">
        <w:t xml:space="preserve">        </w:t>
      </w:r>
      <w:r w:rsidR="00895C50" w:rsidRPr="005C42EE">
        <w:t xml:space="preserve"> day of</w:t>
      </w:r>
      <w:r w:rsidR="005C42EE" w:rsidRPr="005C42EE">
        <w:t xml:space="preserve">                        </w:t>
      </w:r>
      <w:r w:rsidR="00895C50" w:rsidRPr="005C42EE">
        <w:t>, 2018</w:t>
      </w:r>
    </w:p>
    <w:p w:rsidR="00283549" w:rsidRPr="009C2254" w:rsidRDefault="00283549" w:rsidP="004B6F64">
      <w:pPr>
        <w:ind w:left="0"/>
      </w:pPr>
    </w:p>
    <w:p w:rsidR="00895C50" w:rsidRDefault="00895C50" w:rsidP="00895C50">
      <w:pPr>
        <w:ind w:left="0"/>
      </w:pPr>
    </w:p>
    <w:p w:rsidR="00895C50" w:rsidRPr="009C2254" w:rsidRDefault="00895C50" w:rsidP="00895C50">
      <w:pPr>
        <w:ind w:left="0"/>
      </w:pPr>
    </w:p>
    <w:p w:rsidR="00895C50" w:rsidRDefault="00EB5013" w:rsidP="00895C50">
      <w:pPr>
        <w:ind w:left="0"/>
        <w:jc w:val="right"/>
      </w:pPr>
      <w:r>
        <w:pict>
          <v:rect id="_x0000_i1025" style="width:3in;height:.7pt" o:hrpct="0" o:hralign="right" o:hrstd="t" o:hrnoshade="t" o:hr="t" fillcolor="black" stroked="f"/>
        </w:pict>
      </w:r>
    </w:p>
    <w:p w:rsidR="00895C50" w:rsidRDefault="00895C50" w:rsidP="00895C50">
      <w:pPr>
        <w:ind w:left="0"/>
        <w:jc w:val="right"/>
      </w:pPr>
      <w:r>
        <w:t>Costigan J.A.</w:t>
      </w:r>
    </w:p>
    <w:p w:rsidR="00895C50" w:rsidRDefault="00895C50" w:rsidP="00895C50">
      <w:pPr>
        <w:ind w:left="0"/>
        <w:jc w:val="right"/>
      </w:pPr>
    </w:p>
    <w:p w:rsidR="00895C50" w:rsidRDefault="00895C50" w:rsidP="00895C50">
      <w:pPr>
        <w:ind w:left="0"/>
        <w:jc w:val="right"/>
      </w:pPr>
    </w:p>
    <w:p w:rsidR="00895C50" w:rsidRDefault="00EB5013" w:rsidP="00895C50">
      <w:pPr>
        <w:ind w:left="0"/>
        <w:jc w:val="right"/>
      </w:pPr>
      <w:r>
        <w:pict>
          <v:rect id="_x0000_i1026" style="width:3in;height:.7pt" o:hrpct="0" o:hralign="right" o:hrstd="t" o:hrnoshade="t" o:hr="t" fillcolor="black" stroked="f"/>
        </w:pict>
      </w:r>
    </w:p>
    <w:p w:rsidR="00895C50" w:rsidRDefault="00895C50" w:rsidP="00895C50">
      <w:pPr>
        <w:ind w:left="0"/>
        <w:jc w:val="right"/>
      </w:pPr>
      <w:r>
        <w:t>Veldhuis J.A.</w:t>
      </w:r>
    </w:p>
    <w:p w:rsidR="00895C50" w:rsidRDefault="00895C50" w:rsidP="00895C50">
      <w:pPr>
        <w:ind w:left="0"/>
        <w:jc w:val="right"/>
      </w:pPr>
    </w:p>
    <w:p w:rsidR="00895C50" w:rsidRDefault="00895C50" w:rsidP="00895C50">
      <w:pPr>
        <w:ind w:left="0"/>
        <w:jc w:val="right"/>
      </w:pPr>
    </w:p>
    <w:p w:rsidR="00895C50" w:rsidRDefault="00EB5013" w:rsidP="00895C50">
      <w:pPr>
        <w:ind w:left="0"/>
        <w:jc w:val="right"/>
      </w:pPr>
      <w:r>
        <w:pict>
          <v:rect id="_x0000_i1027" style="width:3in;height:.7pt" o:hrpct="0" o:hralign="right" o:hrstd="t" o:hrnoshade="t" o:hr="t" fillcolor="black" stroked="f"/>
        </w:pict>
      </w:r>
    </w:p>
    <w:p w:rsidR="00283549" w:rsidRPr="009C2254" w:rsidRDefault="00895C50" w:rsidP="00895C50">
      <w:pPr>
        <w:ind w:left="0"/>
        <w:jc w:val="right"/>
      </w:pPr>
      <w:r>
        <w:t>Wakeling J.A.</w:t>
      </w:r>
    </w:p>
    <w:p w:rsidR="00283549" w:rsidRPr="009C2254" w:rsidRDefault="00283549" w:rsidP="004B6F64">
      <w:pPr>
        <w:ind w:left="0"/>
      </w:pPr>
      <w:bookmarkStart w:id="35" w:name="Signature"/>
      <w:bookmarkEnd w:id="35"/>
    </w:p>
    <w:p w:rsidR="007E3EB9" w:rsidRDefault="007E3EB9">
      <w:pPr>
        <w:spacing w:after="200" w:line="276" w:lineRule="auto"/>
        <w:ind w:left="0"/>
        <w:jc w:val="left"/>
      </w:pPr>
      <w:r>
        <w:br w:type="page"/>
      </w:r>
    </w:p>
    <w:p w:rsidR="00283549" w:rsidRPr="009C2254" w:rsidRDefault="00283549" w:rsidP="004B6F64">
      <w:pPr>
        <w:keepNext/>
        <w:keepLines/>
        <w:ind w:left="0"/>
      </w:pPr>
      <w:bookmarkStart w:id="36" w:name="frAppearances"/>
      <w:bookmarkEnd w:id="36"/>
      <w:r w:rsidRPr="009C2254">
        <w:rPr>
          <w:b/>
          <w:bCs/>
        </w:rPr>
        <w:lastRenderedPageBreak/>
        <w:t>Appearances:</w:t>
      </w:r>
    </w:p>
    <w:p w:rsidR="00283549" w:rsidRPr="009C2254" w:rsidRDefault="00283549" w:rsidP="004B6F64">
      <w:pPr>
        <w:keepNext/>
        <w:keepLines/>
        <w:ind w:left="0"/>
      </w:pPr>
    </w:p>
    <w:p w:rsidR="00283549" w:rsidRDefault="00A12FA5" w:rsidP="004B6F64">
      <w:pPr>
        <w:keepNext/>
        <w:keepLines/>
        <w:ind w:left="0"/>
      </w:pPr>
      <w:bookmarkStart w:id="37" w:name="Appearance1"/>
      <w:bookmarkEnd w:id="37"/>
      <w:r>
        <w:t>B.W. Green</w:t>
      </w:r>
    </w:p>
    <w:p w:rsidR="00D840B8" w:rsidRPr="009C2254" w:rsidRDefault="00D840B8" w:rsidP="004B6F64">
      <w:pPr>
        <w:keepNext/>
        <w:keepLines/>
        <w:ind w:left="0"/>
      </w:pPr>
      <w:r>
        <w:tab/>
        <w:t>for the Respondent</w:t>
      </w:r>
    </w:p>
    <w:p w:rsidR="00283549" w:rsidRPr="009C2254" w:rsidRDefault="00283549" w:rsidP="004B6F64">
      <w:pPr>
        <w:keepNext/>
        <w:keepLines/>
        <w:ind w:left="0"/>
      </w:pPr>
      <w:bookmarkStart w:id="38" w:name="Appearance1Type"/>
      <w:bookmarkEnd w:id="38"/>
    </w:p>
    <w:p w:rsidR="00283549" w:rsidRDefault="00A12FA5" w:rsidP="004B6F64">
      <w:pPr>
        <w:keepNext/>
        <w:keepLines/>
        <w:ind w:left="0"/>
      </w:pPr>
      <w:r>
        <w:t>R.H. Clements</w:t>
      </w:r>
    </w:p>
    <w:p w:rsidR="00D840B8" w:rsidRPr="009C2254" w:rsidRDefault="00D840B8" w:rsidP="004B6F64">
      <w:pPr>
        <w:keepNext/>
        <w:keepLines/>
        <w:ind w:left="0"/>
      </w:pPr>
      <w:r>
        <w:tab/>
        <w:t>for the Appellant</w:t>
      </w:r>
    </w:p>
    <w:p w:rsidR="00283549" w:rsidRPr="009C2254" w:rsidRDefault="00283549" w:rsidP="004B6F64">
      <w:pPr>
        <w:keepNext/>
        <w:keepLines/>
        <w:ind w:left="0"/>
      </w:pPr>
      <w:bookmarkStart w:id="39" w:name="Appearance2"/>
      <w:bookmarkEnd w:id="39"/>
    </w:p>
    <w:p w:rsidR="00D7559F" w:rsidRDefault="00D7559F" w:rsidP="00A12FA5">
      <w:pPr>
        <w:keepNext/>
        <w:keepLines/>
        <w:ind w:left="0"/>
        <w:sectPr w:rsidR="00D7559F" w:rsidSect="001E53E3">
          <w:headerReference w:type="even" r:id="rId14"/>
          <w:headerReference w:type="default" r:id="rId15"/>
          <w:headerReference w:type="first" r:id="rId16"/>
          <w:type w:val="continuous"/>
          <w:pgSz w:w="12240" w:h="15840"/>
          <w:pgMar w:top="1585" w:right="1440" w:bottom="1440" w:left="1440" w:header="1440" w:footer="1440" w:gutter="0"/>
          <w:pgNumType w:start="1"/>
          <w:cols w:space="720"/>
          <w:noEndnote/>
          <w:docGrid w:linePitch="326"/>
        </w:sectPr>
      </w:pPr>
      <w:bookmarkStart w:id="40" w:name="Appearance2Type"/>
      <w:bookmarkStart w:id="41" w:name="Appearance3"/>
      <w:bookmarkStart w:id="42" w:name="Appearance3Type"/>
      <w:bookmarkStart w:id="43" w:name="Appearance4"/>
      <w:bookmarkStart w:id="44" w:name="Appearance4Type"/>
      <w:bookmarkStart w:id="45" w:name="Corrigendum"/>
      <w:bookmarkEnd w:id="40"/>
      <w:bookmarkEnd w:id="41"/>
      <w:bookmarkEnd w:id="42"/>
      <w:bookmarkEnd w:id="43"/>
      <w:bookmarkEnd w:id="44"/>
      <w:bookmarkEnd w:id="45"/>
    </w:p>
    <w:p w:rsidR="00D7559F" w:rsidRPr="007D3FA9" w:rsidRDefault="00A45FC6" w:rsidP="00D7559F">
      <w:pPr>
        <w:ind w:left="3600" w:right="558"/>
        <w:jc w:val="right"/>
        <w:rPr>
          <w:rFonts w:eastAsia="PMingLiU"/>
        </w:rPr>
      </w:pPr>
      <w:r>
        <w:rPr>
          <w:rFonts w:eastAsia="PMingLiU"/>
          <w:bCs/>
        </w:rPr>
        <w:lastRenderedPageBreak/>
        <w:t>A1-AP-2018</w:t>
      </w:r>
      <w:r w:rsidR="00D7559F">
        <w:rPr>
          <w:rFonts w:eastAsia="PMingLiU"/>
          <w:bCs/>
        </w:rPr>
        <w:t>-000 0</w:t>
      </w:r>
      <w:r w:rsidR="005C7D40">
        <w:rPr>
          <w:rFonts w:eastAsia="PMingLiU"/>
          <w:bCs/>
        </w:rPr>
        <w:t>06</w:t>
      </w:r>
    </w:p>
    <w:p w:rsidR="00D7559F" w:rsidRPr="007D3FA9" w:rsidRDefault="00D7559F" w:rsidP="00D7559F">
      <w:pPr>
        <w:ind w:left="3600" w:right="558"/>
        <w:rPr>
          <w:rFonts w:eastAsia="PMingLiU"/>
        </w:rPr>
      </w:pPr>
      <w:r>
        <w:rPr>
          <w:noProof/>
          <w:lang w:val="en-US" w:eastAsia="en-US"/>
        </w:rPr>
        <mc:AlternateContent>
          <mc:Choice Requires="wps">
            <w:drawing>
              <wp:anchor distT="0" distB="0" distL="114300" distR="114300" simplePos="0" relativeHeight="251659264" behindDoc="1" locked="1" layoutInCell="0" allowOverlap="1" wp14:anchorId="7F8CA4EE" wp14:editId="51A0410F">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D93229"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D7559F" w:rsidRPr="007D3FA9" w:rsidRDefault="00D7559F" w:rsidP="00D7559F">
      <w:pPr>
        <w:ind w:left="3600" w:right="558"/>
        <w:rPr>
          <w:rFonts w:eastAsia="PMingLiU"/>
        </w:rPr>
      </w:pPr>
    </w:p>
    <w:p w:rsidR="00D7559F" w:rsidRPr="007D3FA9" w:rsidRDefault="00D7559F" w:rsidP="00D7559F">
      <w:pPr>
        <w:ind w:left="3600" w:right="558"/>
        <w:jc w:val="center"/>
        <w:rPr>
          <w:rFonts w:eastAsia="PMingLiU"/>
        </w:rPr>
      </w:pPr>
      <w:r>
        <w:rPr>
          <w:rFonts w:eastAsia="PMingLiU"/>
        </w:rPr>
        <w:t>IN THE COURT OF</w:t>
      </w:r>
      <w:r w:rsidRPr="007D3FA9">
        <w:rPr>
          <w:rFonts w:eastAsia="PMingLiU"/>
        </w:rPr>
        <w:t xml:space="preserve"> APPEAL</w:t>
      </w:r>
    </w:p>
    <w:p w:rsidR="00D7559F" w:rsidRPr="007D3FA9" w:rsidRDefault="00D7559F" w:rsidP="00D7559F">
      <w:pPr>
        <w:ind w:left="3600" w:right="558"/>
        <w:jc w:val="center"/>
        <w:rPr>
          <w:rFonts w:eastAsia="PMingLiU"/>
        </w:rPr>
      </w:pPr>
      <w:r>
        <w:rPr>
          <w:rFonts w:eastAsia="PMingLiU"/>
        </w:rPr>
        <w:t>FOR</w:t>
      </w:r>
      <w:r w:rsidRPr="007D3FA9">
        <w:rPr>
          <w:rFonts w:eastAsia="PMingLiU"/>
        </w:rPr>
        <w:t xml:space="preserve"> THE NORTHWEST TERRITORIES</w:t>
      </w:r>
    </w:p>
    <w:p w:rsidR="00D7559F" w:rsidRPr="007D3FA9" w:rsidRDefault="00D7559F" w:rsidP="00D7559F">
      <w:pPr>
        <w:ind w:left="3600" w:right="558"/>
        <w:jc w:val="center"/>
        <w:rPr>
          <w:rFonts w:eastAsia="PMingLiU"/>
        </w:rPr>
      </w:pPr>
    </w:p>
    <w:p w:rsidR="00D7559F" w:rsidRPr="007D3FA9" w:rsidRDefault="00D7559F" w:rsidP="00D7559F">
      <w:pPr>
        <w:ind w:left="3600" w:right="558"/>
        <w:rPr>
          <w:rFonts w:eastAsia="PMingLiU"/>
        </w:rPr>
      </w:pPr>
      <w:r>
        <w:rPr>
          <w:noProof/>
          <w:lang w:val="en-US" w:eastAsia="en-US"/>
        </w:rPr>
        <mc:AlternateContent>
          <mc:Choice Requires="wps">
            <w:drawing>
              <wp:anchor distT="0" distB="0" distL="114300" distR="114300" simplePos="0" relativeHeight="251660288" behindDoc="1" locked="1" layoutInCell="0" allowOverlap="1" wp14:anchorId="0BECCD5F" wp14:editId="168F5EBA">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804AE6"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D7559F" w:rsidRPr="007D3FA9" w:rsidRDefault="00D7559F" w:rsidP="00D7559F">
      <w:pPr>
        <w:ind w:left="3600" w:right="558"/>
        <w:rPr>
          <w:rFonts w:eastAsia="PMingLiU"/>
        </w:rPr>
      </w:pPr>
    </w:p>
    <w:p w:rsidR="00D7559F" w:rsidRDefault="00D7559F" w:rsidP="00D7559F">
      <w:pPr>
        <w:ind w:left="3600" w:right="558"/>
        <w:rPr>
          <w:rFonts w:eastAsia="PMingLiU"/>
          <w:b/>
          <w:bCs/>
        </w:rPr>
      </w:pPr>
      <w:r w:rsidRPr="009C2254">
        <w:rPr>
          <w:rFonts w:eastAsia="PMingLiU"/>
          <w:b/>
          <w:bCs/>
        </w:rPr>
        <w:t>Between:</w:t>
      </w:r>
    </w:p>
    <w:p w:rsidR="00D7559F" w:rsidRPr="009C2254" w:rsidRDefault="00D7559F" w:rsidP="00D7559F">
      <w:pPr>
        <w:ind w:left="3600" w:right="558"/>
        <w:rPr>
          <w:rFonts w:eastAsia="PMingLiU"/>
        </w:rPr>
      </w:pPr>
    </w:p>
    <w:p w:rsidR="00D7559F" w:rsidRPr="00274DA4" w:rsidRDefault="00D7559F" w:rsidP="00D7559F">
      <w:pPr>
        <w:ind w:left="3600" w:right="558"/>
        <w:jc w:val="center"/>
        <w:rPr>
          <w:rFonts w:eastAsia="PMingLiU"/>
          <w:b/>
        </w:rPr>
      </w:pPr>
      <w:r>
        <w:rPr>
          <w:rFonts w:eastAsia="PMingLiU"/>
          <w:b/>
        </w:rPr>
        <w:t>Her Majesty the Queen</w:t>
      </w:r>
    </w:p>
    <w:p w:rsidR="00D7559F" w:rsidRPr="00274DA4" w:rsidRDefault="00D7559F" w:rsidP="00D7559F">
      <w:pPr>
        <w:ind w:left="3600" w:right="558"/>
        <w:jc w:val="center"/>
        <w:rPr>
          <w:rFonts w:eastAsia="PMingLiU"/>
          <w:b/>
        </w:rPr>
      </w:pPr>
    </w:p>
    <w:p w:rsidR="00D7559F" w:rsidRPr="000355FF" w:rsidRDefault="00D7559F" w:rsidP="00D7559F">
      <w:pPr>
        <w:ind w:left="3600" w:right="558"/>
        <w:jc w:val="right"/>
        <w:rPr>
          <w:rFonts w:eastAsia="PMingLiU"/>
        </w:rPr>
      </w:pPr>
      <w:r>
        <w:rPr>
          <w:rFonts w:eastAsia="PMingLiU"/>
        </w:rPr>
        <w:t>Respondent</w:t>
      </w:r>
    </w:p>
    <w:p w:rsidR="00D7559F" w:rsidRDefault="00D7559F" w:rsidP="00D7559F">
      <w:pPr>
        <w:ind w:left="3600" w:right="558"/>
        <w:jc w:val="center"/>
        <w:rPr>
          <w:rFonts w:eastAsia="PMingLiU"/>
          <w:b/>
        </w:rPr>
      </w:pPr>
    </w:p>
    <w:p w:rsidR="00D7559F" w:rsidRPr="00274DA4" w:rsidRDefault="00D7559F" w:rsidP="00D7559F">
      <w:pPr>
        <w:ind w:left="3600" w:right="558"/>
        <w:jc w:val="center"/>
        <w:rPr>
          <w:rFonts w:eastAsia="PMingLiU"/>
          <w:b/>
        </w:rPr>
      </w:pPr>
    </w:p>
    <w:p w:rsidR="00D7559F" w:rsidRPr="00274DA4" w:rsidRDefault="00D7559F" w:rsidP="00D7559F">
      <w:pPr>
        <w:ind w:left="3600" w:right="558"/>
        <w:jc w:val="center"/>
        <w:rPr>
          <w:rFonts w:eastAsia="PMingLiU"/>
          <w:b/>
        </w:rPr>
      </w:pPr>
      <w:r w:rsidRPr="00274DA4">
        <w:rPr>
          <w:rFonts w:eastAsia="PMingLiU"/>
          <w:b/>
        </w:rPr>
        <w:t xml:space="preserve">- </w:t>
      </w:r>
      <w:proofErr w:type="gramStart"/>
      <w:r w:rsidRPr="00274DA4">
        <w:rPr>
          <w:rFonts w:eastAsia="PMingLiU"/>
          <w:b/>
        </w:rPr>
        <w:t>and</w:t>
      </w:r>
      <w:proofErr w:type="gramEnd"/>
      <w:r w:rsidRPr="00274DA4">
        <w:rPr>
          <w:rFonts w:eastAsia="PMingLiU"/>
          <w:b/>
        </w:rPr>
        <w:t xml:space="preserve"> </w:t>
      </w:r>
      <w:r>
        <w:rPr>
          <w:rFonts w:eastAsia="PMingLiU"/>
          <w:b/>
        </w:rPr>
        <w:t>-</w:t>
      </w:r>
    </w:p>
    <w:p w:rsidR="00D7559F" w:rsidRPr="00274DA4" w:rsidRDefault="00D7559F" w:rsidP="00D7559F">
      <w:pPr>
        <w:ind w:left="3600" w:right="558"/>
        <w:jc w:val="center"/>
        <w:rPr>
          <w:rFonts w:eastAsia="PMingLiU"/>
          <w:b/>
        </w:rPr>
      </w:pPr>
    </w:p>
    <w:p w:rsidR="00D7559F" w:rsidRPr="00274DA4" w:rsidRDefault="00D7559F" w:rsidP="00D7559F">
      <w:pPr>
        <w:ind w:left="3600" w:right="558"/>
        <w:jc w:val="center"/>
        <w:rPr>
          <w:rFonts w:eastAsia="PMingLiU"/>
          <w:b/>
        </w:rPr>
      </w:pPr>
    </w:p>
    <w:p w:rsidR="00D7559F" w:rsidRPr="00274DA4" w:rsidRDefault="00A45FC6" w:rsidP="00D7559F">
      <w:pPr>
        <w:ind w:left="3600" w:right="558"/>
        <w:jc w:val="center"/>
        <w:rPr>
          <w:rFonts w:eastAsia="PMingLiU"/>
          <w:b/>
        </w:rPr>
      </w:pPr>
      <w:r>
        <w:rPr>
          <w:rFonts w:eastAsia="PMingLiU"/>
          <w:b/>
        </w:rPr>
        <w:t>Cameron Bernarde</w:t>
      </w:r>
    </w:p>
    <w:p w:rsidR="00D7559F" w:rsidRPr="00274DA4" w:rsidRDefault="00D7559F" w:rsidP="00D7559F">
      <w:pPr>
        <w:ind w:left="3600" w:right="558"/>
        <w:jc w:val="center"/>
        <w:rPr>
          <w:rFonts w:eastAsia="PMingLiU"/>
          <w:b/>
        </w:rPr>
      </w:pPr>
    </w:p>
    <w:p w:rsidR="00D7559F" w:rsidRPr="000355FF" w:rsidRDefault="00D7559F" w:rsidP="00D7559F">
      <w:pPr>
        <w:ind w:left="3600" w:right="558"/>
        <w:jc w:val="right"/>
        <w:rPr>
          <w:rFonts w:eastAsia="PMingLiU"/>
        </w:rPr>
      </w:pPr>
      <w:r>
        <w:rPr>
          <w:rFonts w:eastAsia="PMingLiU"/>
        </w:rPr>
        <w:t>Appellant</w:t>
      </w:r>
    </w:p>
    <w:p w:rsidR="00D7559F" w:rsidRPr="00274DA4" w:rsidRDefault="00D7559F" w:rsidP="00D7559F">
      <w:pPr>
        <w:ind w:left="3600" w:right="558"/>
        <w:jc w:val="center"/>
        <w:rPr>
          <w:rFonts w:eastAsia="PMingLiU"/>
          <w:b/>
        </w:rPr>
      </w:pPr>
    </w:p>
    <w:p w:rsidR="00D7559F" w:rsidRPr="00274DA4" w:rsidRDefault="00D7559F" w:rsidP="00D7559F">
      <w:pPr>
        <w:ind w:left="3600" w:right="558"/>
        <w:rPr>
          <w:rFonts w:eastAsia="PMingLiU"/>
          <w:b/>
        </w:rPr>
      </w:pPr>
    </w:p>
    <w:p w:rsidR="00D7559F" w:rsidRPr="009C2254" w:rsidRDefault="00D7559F" w:rsidP="00D7559F">
      <w:pPr>
        <w:ind w:left="3600" w:right="558"/>
        <w:jc w:val="center"/>
        <w:rPr>
          <w:rFonts w:eastAsia="PMingLiU"/>
        </w:rPr>
      </w:pPr>
    </w:p>
    <w:p w:rsidR="00D7559F" w:rsidRPr="007D3FA9" w:rsidRDefault="00D7559F" w:rsidP="00D7559F">
      <w:pPr>
        <w:ind w:left="3600" w:right="558"/>
      </w:pPr>
    </w:p>
    <w:p w:rsidR="00D7559F" w:rsidRPr="007D3FA9" w:rsidRDefault="00D7559F" w:rsidP="00D7559F">
      <w:pPr>
        <w:ind w:left="3600" w:right="558"/>
      </w:pPr>
    </w:p>
    <w:p w:rsidR="00D7559F" w:rsidRPr="007D3FA9" w:rsidRDefault="00D7559F" w:rsidP="00D7559F">
      <w:pPr>
        <w:ind w:left="3600" w:right="558"/>
      </w:pPr>
      <w:r>
        <w:rPr>
          <w:noProof/>
          <w:lang w:val="en-US" w:eastAsia="en-US"/>
        </w:rPr>
        <mc:AlternateContent>
          <mc:Choice Requires="wps">
            <w:drawing>
              <wp:anchor distT="0" distB="0" distL="114300" distR="114300" simplePos="0" relativeHeight="251661312" behindDoc="1" locked="1" layoutInCell="0" allowOverlap="1" wp14:anchorId="1531B54D" wp14:editId="2F051980">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A448F"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D7559F" w:rsidRPr="007D3FA9" w:rsidRDefault="00A45FC6" w:rsidP="00A45FC6">
      <w:pPr>
        <w:ind w:left="3600" w:right="558"/>
        <w:jc w:val="center"/>
      </w:pPr>
      <w:r>
        <w:t>MEMORANDUM OF JUDGMENT</w:t>
      </w:r>
    </w:p>
    <w:p w:rsidR="00283549" w:rsidRPr="009C2254" w:rsidRDefault="00A45FC6" w:rsidP="00A12FA5">
      <w:pPr>
        <w:keepNext/>
        <w:keepLines/>
        <w:ind w:left="0"/>
      </w:pPr>
      <w:r>
        <w:tab/>
      </w:r>
      <w:r>
        <w:tab/>
      </w:r>
      <w:r>
        <w:tab/>
      </w:r>
      <w:r>
        <w:tab/>
        <w:t xml:space="preserve">      ___________________________________________________</w:t>
      </w:r>
      <w:r>
        <w:tab/>
      </w:r>
    </w:p>
    <w:sectPr w:rsidR="00283549" w:rsidRPr="009C2254" w:rsidSect="00D7559F">
      <w:headerReference w:type="default" r:id="rId17"/>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13" w:rsidRDefault="00EB5013" w:rsidP="00283549">
      <w:r>
        <w:separator/>
      </w:r>
    </w:p>
  </w:endnote>
  <w:endnote w:type="continuationSeparator" w:id="0">
    <w:p w:rsidR="00EB5013" w:rsidRDefault="00EB5013"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3" w:rsidRPr="00AE7414" w:rsidRDefault="00165313" w:rsidP="00895C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13" w:rsidRDefault="00EB5013" w:rsidP="0046579D">
      <w:pPr>
        <w:ind w:left="0"/>
      </w:pPr>
      <w:r>
        <w:separator/>
      </w:r>
    </w:p>
  </w:footnote>
  <w:footnote w:type="continuationSeparator" w:id="0">
    <w:p w:rsidR="00EB5013" w:rsidRDefault="00EB5013"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EB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EB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EB5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5D8C">
          <w:rPr>
            <w:noProof/>
          </w:rPr>
          <w:t>4</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9F" w:rsidRDefault="00D7559F">
    <w:pPr>
      <w:spacing w:line="240" w:lineRule="exact"/>
      <w:rPr>
        <w:rFonts w:eastAsia="PMingLiU"/>
        <w:lang w:val="en-GB"/>
      </w:rPr>
    </w:pPr>
  </w:p>
  <w:p w:rsidR="00D7559F" w:rsidRDefault="00D7559F">
    <w:pPr>
      <w:spacing w:line="240" w:lineRule="exact"/>
      <w:rPr>
        <w:rFonts w:eastAsia="PMingLiU"/>
        <w:lang w:val="en-GB"/>
      </w:rPr>
    </w:pPr>
  </w:p>
  <w:p w:rsidR="00D7559F" w:rsidRDefault="00D7559F">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C234FA86"/>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09D52"/>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 w:numId="19">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0">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1">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5">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7">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0B5490"/>
    <w:rsid w:val="00017051"/>
    <w:rsid w:val="00040FD3"/>
    <w:rsid w:val="00051064"/>
    <w:rsid w:val="0006691E"/>
    <w:rsid w:val="00081857"/>
    <w:rsid w:val="000A5E37"/>
    <w:rsid w:val="000B1459"/>
    <w:rsid w:val="000B3F65"/>
    <w:rsid w:val="000B5490"/>
    <w:rsid w:val="000C3829"/>
    <w:rsid w:val="000C5F5E"/>
    <w:rsid w:val="000C709A"/>
    <w:rsid w:val="000D2C6F"/>
    <w:rsid w:val="001056E1"/>
    <w:rsid w:val="0011708D"/>
    <w:rsid w:val="00147343"/>
    <w:rsid w:val="00156FB1"/>
    <w:rsid w:val="00165313"/>
    <w:rsid w:val="00165D8C"/>
    <w:rsid w:val="00183170"/>
    <w:rsid w:val="00187CF6"/>
    <w:rsid w:val="00194D2F"/>
    <w:rsid w:val="001D5E55"/>
    <w:rsid w:val="001E53E3"/>
    <w:rsid w:val="002121B5"/>
    <w:rsid w:val="00222C3B"/>
    <w:rsid w:val="00235D76"/>
    <w:rsid w:val="0024025E"/>
    <w:rsid w:val="00261652"/>
    <w:rsid w:val="002672B1"/>
    <w:rsid w:val="00272F13"/>
    <w:rsid w:val="00281769"/>
    <w:rsid w:val="00283549"/>
    <w:rsid w:val="002C5D0F"/>
    <w:rsid w:val="002E3474"/>
    <w:rsid w:val="0030375E"/>
    <w:rsid w:val="0034528C"/>
    <w:rsid w:val="0035183B"/>
    <w:rsid w:val="00364FBF"/>
    <w:rsid w:val="00367C62"/>
    <w:rsid w:val="003719B8"/>
    <w:rsid w:val="00382592"/>
    <w:rsid w:val="0039337C"/>
    <w:rsid w:val="00397AC2"/>
    <w:rsid w:val="003B457E"/>
    <w:rsid w:val="003C040A"/>
    <w:rsid w:val="003C6097"/>
    <w:rsid w:val="003D3DF0"/>
    <w:rsid w:val="003E0901"/>
    <w:rsid w:val="004011F7"/>
    <w:rsid w:val="00446886"/>
    <w:rsid w:val="00461AFD"/>
    <w:rsid w:val="0046579D"/>
    <w:rsid w:val="00483AB1"/>
    <w:rsid w:val="004857E7"/>
    <w:rsid w:val="004A2D3C"/>
    <w:rsid w:val="004A68C2"/>
    <w:rsid w:val="004B6F64"/>
    <w:rsid w:val="004C4F36"/>
    <w:rsid w:val="004D654D"/>
    <w:rsid w:val="004F0788"/>
    <w:rsid w:val="00502C82"/>
    <w:rsid w:val="00516CAF"/>
    <w:rsid w:val="005207F5"/>
    <w:rsid w:val="00521604"/>
    <w:rsid w:val="00552889"/>
    <w:rsid w:val="00556C18"/>
    <w:rsid w:val="00560BBA"/>
    <w:rsid w:val="00574B53"/>
    <w:rsid w:val="005B3B8A"/>
    <w:rsid w:val="005B75C5"/>
    <w:rsid w:val="005C3D7F"/>
    <w:rsid w:val="005C42EE"/>
    <w:rsid w:val="005C7D40"/>
    <w:rsid w:val="006243FE"/>
    <w:rsid w:val="00625A80"/>
    <w:rsid w:val="00635178"/>
    <w:rsid w:val="0066499D"/>
    <w:rsid w:val="00665273"/>
    <w:rsid w:val="00665F46"/>
    <w:rsid w:val="00690C12"/>
    <w:rsid w:val="006943A4"/>
    <w:rsid w:val="006A6C2D"/>
    <w:rsid w:val="006C044D"/>
    <w:rsid w:val="006D5590"/>
    <w:rsid w:val="006E7AE1"/>
    <w:rsid w:val="00723CD1"/>
    <w:rsid w:val="007273C2"/>
    <w:rsid w:val="007514E8"/>
    <w:rsid w:val="00754639"/>
    <w:rsid w:val="007565AD"/>
    <w:rsid w:val="007769FF"/>
    <w:rsid w:val="00777EBE"/>
    <w:rsid w:val="007803CC"/>
    <w:rsid w:val="00784F2A"/>
    <w:rsid w:val="007B50EE"/>
    <w:rsid w:val="007B5F98"/>
    <w:rsid w:val="007C3EDE"/>
    <w:rsid w:val="007D5DD7"/>
    <w:rsid w:val="007E3D0B"/>
    <w:rsid w:val="007E3EB9"/>
    <w:rsid w:val="007F73F9"/>
    <w:rsid w:val="00815359"/>
    <w:rsid w:val="00820759"/>
    <w:rsid w:val="00823B6A"/>
    <w:rsid w:val="008368D3"/>
    <w:rsid w:val="00842ACE"/>
    <w:rsid w:val="00844D69"/>
    <w:rsid w:val="0085542B"/>
    <w:rsid w:val="00861881"/>
    <w:rsid w:val="00862020"/>
    <w:rsid w:val="008830F5"/>
    <w:rsid w:val="00887ACD"/>
    <w:rsid w:val="00891556"/>
    <w:rsid w:val="008940F2"/>
    <w:rsid w:val="008959FC"/>
    <w:rsid w:val="00895C50"/>
    <w:rsid w:val="008C6517"/>
    <w:rsid w:val="008E0AB8"/>
    <w:rsid w:val="00903F5D"/>
    <w:rsid w:val="00914D58"/>
    <w:rsid w:val="00923033"/>
    <w:rsid w:val="00933666"/>
    <w:rsid w:val="00935271"/>
    <w:rsid w:val="009423C5"/>
    <w:rsid w:val="00942DE8"/>
    <w:rsid w:val="009456BD"/>
    <w:rsid w:val="009467DA"/>
    <w:rsid w:val="009533DA"/>
    <w:rsid w:val="00954CD4"/>
    <w:rsid w:val="0095755B"/>
    <w:rsid w:val="00962B4D"/>
    <w:rsid w:val="00971C56"/>
    <w:rsid w:val="009727C6"/>
    <w:rsid w:val="00973735"/>
    <w:rsid w:val="009808C6"/>
    <w:rsid w:val="00980F3C"/>
    <w:rsid w:val="0099595C"/>
    <w:rsid w:val="009A09EB"/>
    <w:rsid w:val="009C0849"/>
    <w:rsid w:val="009C1585"/>
    <w:rsid w:val="009C2254"/>
    <w:rsid w:val="009F5438"/>
    <w:rsid w:val="00A10DFD"/>
    <w:rsid w:val="00A120A5"/>
    <w:rsid w:val="00A12FA5"/>
    <w:rsid w:val="00A45FC6"/>
    <w:rsid w:val="00A603CF"/>
    <w:rsid w:val="00A92C38"/>
    <w:rsid w:val="00A92E75"/>
    <w:rsid w:val="00AA07F3"/>
    <w:rsid w:val="00AA2B33"/>
    <w:rsid w:val="00AB0E74"/>
    <w:rsid w:val="00AB0EFF"/>
    <w:rsid w:val="00AE1BF2"/>
    <w:rsid w:val="00AE7414"/>
    <w:rsid w:val="00AF11B8"/>
    <w:rsid w:val="00AF39D1"/>
    <w:rsid w:val="00B037FD"/>
    <w:rsid w:val="00B1323A"/>
    <w:rsid w:val="00B16B6B"/>
    <w:rsid w:val="00B24F8F"/>
    <w:rsid w:val="00B51454"/>
    <w:rsid w:val="00B7093D"/>
    <w:rsid w:val="00B74D1B"/>
    <w:rsid w:val="00B96A64"/>
    <w:rsid w:val="00BA3462"/>
    <w:rsid w:val="00BA5EF6"/>
    <w:rsid w:val="00BB3843"/>
    <w:rsid w:val="00BC6B04"/>
    <w:rsid w:val="00C17B61"/>
    <w:rsid w:val="00C31429"/>
    <w:rsid w:val="00C41BE2"/>
    <w:rsid w:val="00C54548"/>
    <w:rsid w:val="00C66EA9"/>
    <w:rsid w:val="00C67090"/>
    <w:rsid w:val="00C73249"/>
    <w:rsid w:val="00C758F4"/>
    <w:rsid w:val="00C8134C"/>
    <w:rsid w:val="00C82D5F"/>
    <w:rsid w:val="00C93736"/>
    <w:rsid w:val="00CA2DE5"/>
    <w:rsid w:val="00CA4DBE"/>
    <w:rsid w:val="00CC3FA0"/>
    <w:rsid w:val="00CC401E"/>
    <w:rsid w:val="00CD77E5"/>
    <w:rsid w:val="00D24E83"/>
    <w:rsid w:val="00D34FA5"/>
    <w:rsid w:val="00D36D68"/>
    <w:rsid w:val="00D44C1E"/>
    <w:rsid w:val="00D725DF"/>
    <w:rsid w:val="00D73CCC"/>
    <w:rsid w:val="00D7559F"/>
    <w:rsid w:val="00D840B8"/>
    <w:rsid w:val="00D925F5"/>
    <w:rsid w:val="00DA6C05"/>
    <w:rsid w:val="00DA79CB"/>
    <w:rsid w:val="00DB7311"/>
    <w:rsid w:val="00DC2352"/>
    <w:rsid w:val="00DD295B"/>
    <w:rsid w:val="00DE5927"/>
    <w:rsid w:val="00DF6A0A"/>
    <w:rsid w:val="00E04FF1"/>
    <w:rsid w:val="00E11681"/>
    <w:rsid w:val="00E16717"/>
    <w:rsid w:val="00E501DB"/>
    <w:rsid w:val="00E61646"/>
    <w:rsid w:val="00E774C0"/>
    <w:rsid w:val="00E87A67"/>
    <w:rsid w:val="00E9267D"/>
    <w:rsid w:val="00E93BE8"/>
    <w:rsid w:val="00EA361F"/>
    <w:rsid w:val="00EA48EA"/>
    <w:rsid w:val="00EB5013"/>
    <w:rsid w:val="00ED4A08"/>
    <w:rsid w:val="00EF2E17"/>
    <w:rsid w:val="00F1463A"/>
    <w:rsid w:val="00F177E5"/>
    <w:rsid w:val="00F32CF5"/>
    <w:rsid w:val="00F57952"/>
    <w:rsid w:val="00F71FE0"/>
    <w:rsid w:val="00F7290B"/>
    <w:rsid w:val="00F758E0"/>
    <w:rsid w:val="00FC1D26"/>
    <w:rsid w:val="00FE0ED1"/>
    <w:rsid w:val="00FE2783"/>
    <w:rsid w:val="00FF1109"/>
    <w:rsid w:val="00FF1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semiHidden/>
    <w:qFormat/>
    <w:rsid w:val="00903F5D"/>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5C42EE"/>
    <w:pPr>
      <w:spacing w:line="240" w:lineRule="auto"/>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5C42EE"/>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5C42EE"/>
    <w:pPr>
      <w:numPr>
        <w:numId w:val="16"/>
      </w:numPr>
      <w:spacing w:line="240" w:lineRule="auto"/>
    </w:pPr>
    <w:rPr>
      <w:rFonts w:eastAsiaTheme="minorEastAsia" w:cstheme="minorBidi"/>
    </w:rPr>
  </w:style>
  <w:style w:type="character" w:customStyle="1" w:styleId="FelskyNumbering12Char">
    <w:name w:val="Felsky Numbering 1.2 Char"/>
    <w:basedOn w:val="DefaultParagraphFont"/>
    <w:link w:val="FelskyNumbering12"/>
    <w:uiPriority w:val="2"/>
    <w:rsid w:val="005C42EE"/>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semiHidden/>
    <w:qFormat/>
    <w:rsid w:val="00903F5D"/>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5C42EE"/>
    <w:pPr>
      <w:spacing w:line="240" w:lineRule="auto"/>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5C42EE"/>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5C42EE"/>
    <w:pPr>
      <w:numPr>
        <w:numId w:val="16"/>
      </w:numPr>
      <w:spacing w:line="240" w:lineRule="auto"/>
    </w:pPr>
    <w:rPr>
      <w:rFonts w:eastAsiaTheme="minorEastAsia" w:cstheme="minorBidi"/>
    </w:rPr>
  </w:style>
  <w:style w:type="character" w:customStyle="1" w:styleId="FelskyNumbering12Char">
    <w:name w:val="Felsky Numbering 1.2 Char"/>
    <w:basedOn w:val="DefaultParagraphFont"/>
    <w:link w:val="FelskyNumbering12"/>
    <w:uiPriority w:val="2"/>
    <w:rsid w:val="005C42EE"/>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9E65-6CE6-4A1D-88EC-E92AA6A2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Alberta Justice</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Greckol</dc:creator>
  <cp:lastModifiedBy>Debra Young</cp:lastModifiedBy>
  <cp:revision>2</cp:revision>
  <cp:lastPrinted>2018-10-31T19:53:00Z</cp:lastPrinted>
  <dcterms:created xsi:type="dcterms:W3CDTF">2018-11-05T20:58:00Z</dcterms:created>
  <dcterms:modified xsi:type="dcterms:W3CDTF">2018-11-05T20:58:00Z</dcterms:modified>
</cp:coreProperties>
</file>