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06198A">
        <w:rPr>
          <w:b/>
          <w:sz w:val="32"/>
          <w:szCs w:val="32"/>
        </w:rPr>
        <w:t>for the Northwest Territories</w:t>
      </w:r>
    </w:p>
    <w:p w:rsidR="00283549" w:rsidRPr="00971C56" w:rsidRDefault="00283549" w:rsidP="00E11681">
      <w:pPr>
        <w:ind w:left="0"/>
        <w:rPr>
          <w:rFonts w:eastAsia="PMingLiU"/>
          <w:b/>
        </w:rPr>
      </w:pPr>
      <w:bookmarkStart w:id="1" w:name="frCitation"/>
      <w:bookmarkEnd w:id="1"/>
      <w:r w:rsidRPr="00971C56">
        <w:rPr>
          <w:rFonts w:eastAsia="PMingLiU"/>
          <w:b/>
        </w:rPr>
        <w:t xml:space="preserve">Citation: </w:t>
      </w:r>
      <w:r w:rsidR="00CB7012" w:rsidRPr="008818AA">
        <w:rPr>
          <w:rFonts w:eastAsia="PMingLiU"/>
          <w:b/>
          <w:i/>
        </w:rPr>
        <w:t xml:space="preserve">R v </w:t>
      </w:r>
      <w:r w:rsidR="00410CBF" w:rsidRPr="008818AA">
        <w:rPr>
          <w:rFonts w:eastAsia="PMingLiU"/>
          <w:b/>
          <w:i/>
        </w:rPr>
        <w:t>Akhiatak</w:t>
      </w:r>
      <w:r w:rsidRPr="00971C56">
        <w:rPr>
          <w:rFonts w:eastAsia="PMingLiU"/>
          <w:b/>
        </w:rPr>
        <w:t xml:space="preserve">, </w:t>
      </w:r>
      <w:r w:rsidR="003F674F">
        <w:rPr>
          <w:rFonts w:eastAsia="PMingLiU"/>
          <w:b/>
        </w:rPr>
        <w:t>201</w:t>
      </w:r>
      <w:r w:rsidR="00A94431">
        <w:rPr>
          <w:rFonts w:eastAsia="PMingLiU"/>
          <w:b/>
        </w:rPr>
        <w:t>8</w:t>
      </w:r>
      <w:r w:rsidRPr="00971C56">
        <w:rPr>
          <w:rFonts w:eastAsia="PMingLiU"/>
          <w:b/>
        </w:rPr>
        <w:t xml:space="preserve"> </w:t>
      </w:r>
      <w:r w:rsidR="0006198A">
        <w:rPr>
          <w:rFonts w:eastAsia="PMingLiU"/>
          <w:b/>
        </w:rPr>
        <w:t>NWTCA</w:t>
      </w:r>
      <w:r w:rsidR="00CB7012">
        <w:rPr>
          <w:rFonts w:eastAsia="PMingLiU"/>
          <w:b/>
        </w:rPr>
        <w:t xml:space="preserve"> </w:t>
      </w:r>
      <w:r w:rsidR="008818AA">
        <w:rPr>
          <w:rFonts w:eastAsia="PMingLiU"/>
          <w:b/>
        </w:rPr>
        <w:t>3</w:t>
      </w:r>
    </w:p>
    <w:p w:rsidR="003B4630" w:rsidRDefault="003B4630" w:rsidP="00E11681">
      <w:pPr>
        <w:tabs>
          <w:tab w:val="right" w:pos="9360"/>
        </w:tabs>
        <w:ind w:left="0"/>
        <w:rPr>
          <w:rFonts w:eastAsia="PMingLiU"/>
          <w:b/>
        </w:rPr>
      </w:pPr>
    </w:p>
    <w:p w:rsidR="00283549" w:rsidRPr="0006198A" w:rsidRDefault="00283549" w:rsidP="00E11681">
      <w:pPr>
        <w:tabs>
          <w:tab w:val="right" w:pos="9360"/>
        </w:tabs>
        <w:ind w:left="0"/>
        <w:rPr>
          <w:rFonts w:eastAsia="PMingLiU"/>
          <w:color w:val="000000"/>
        </w:rPr>
      </w:pPr>
      <w:r w:rsidRPr="009C2254">
        <w:rPr>
          <w:rFonts w:eastAsia="PMingLiU"/>
          <w:b/>
        </w:rPr>
        <w:tab/>
      </w:r>
      <w:r w:rsidRPr="009C2254">
        <w:rPr>
          <w:rFonts w:eastAsia="PMingLiU"/>
          <w:b/>
          <w:bCs/>
        </w:rPr>
        <w:t>Date:</w:t>
      </w:r>
      <w:r w:rsidRPr="00973735">
        <w:rPr>
          <w:rFonts w:eastAsia="PMingLiU"/>
        </w:rPr>
        <w:t xml:space="preserve"> </w:t>
      </w:r>
      <w:r w:rsidR="002D1AA4">
        <w:rPr>
          <w:rFonts w:eastAsia="PMingLiU"/>
        </w:rPr>
        <w:t>201</w:t>
      </w:r>
      <w:r w:rsidR="003B4630">
        <w:rPr>
          <w:rFonts w:eastAsia="PMingLiU"/>
        </w:rPr>
        <w:t>8</w:t>
      </w:r>
      <w:r w:rsidR="003A4417">
        <w:rPr>
          <w:rFonts w:eastAsia="PMingLiU"/>
        </w:rPr>
        <w:t xml:space="preserve"> </w:t>
      </w:r>
      <w:r w:rsidR="00896848">
        <w:rPr>
          <w:rFonts w:eastAsia="PMingLiU"/>
        </w:rPr>
        <w:t>0</w:t>
      </w:r>
      <w:r w:rsidR="003D7DC5">
        <w:rPr>
          <w:rFonts w:eastAsia="PMingLiU"/>
        </w:rPr>
        <w:t>5</w:t>
      </w:r>
      <w:r w:rsidR="003A4417">
        <w:rPr>
          <w:rFonts w:eastAsia="PMingLiU"/>
        </w:rPr>
        <w:t xml:space="preserve"> </w:t>
      </w:r>
      <w:bookmarkStart w:id="2" w:name="_GoBack"/>
      <w:bookmarkEnd w:id="2"/>
      <w:r w:rsidR="003A4417">
        <w:rPr>
          <w:rFonts w:eastAsia="PMingLiU"/>
        </w:rPr>
        <w:t>29</w:t>
      </w:r>
    </w:p>
    <w:p w:rsidR="00283549" w:rsidRPr="004D654D" w:rsidRDefault="00283549" w:rsidP="00E11681">
      <w:pPr>
        <w:tabs>
          <w:tab w:val="right" w:pos="9360"/>
        </w:tabs>
        <w:ind w:left="0"/>
        <w:rPr>
          <w:rFonts w:eastAsia="PMingLiU"/>
        </w:rPr>
      </w:pPr>
      <w:r w:rsidRPr="004D654D">
        <w:rPr>
          <w:rFonts w:eastAsia="PMingLiU"/>
          <w:b/>
        </w:rPr>
        <w:tab/>
      </w:r>
      <w:bookmarkStart w:id="3" w:name="frDocket"/>
      <w:bookmarkEnd w:id="3"/>
      <w:r w:rsidRPr="004D654D">
        <w:rPr>
          <w:rFonts w:eastAsia="PMingLiU"/>
          <w:b/>
          <w:bCs/>
        </w:rPr>
        <w:t>Docket:</w:t>
      </w:r>
      <w:r w:rsidR="004D654D" w:rsidRPr="004D654D">
        <w:rPr>
          <w:rFonts w:eastAsia="PMingLiU"/>
          <w:bCs/>
        </w:rPr>
        <w:t xml:space="preserve"> </w:t>
      </w:r>
      <w:r w:rsidR="00CB7012">
        <w:rPr>
          <w:rFonts w:eastAsia="PMingLiU"/>
          <w:bCs/>
        </w:rPr>
        <w:t>A-1-AP-201</w:t>
      </w:r>
      <w:r w:rsidR="00B0166A">
        <w:rPr>
          <w:rFonts w:eastAsia="PMingLiU"/>
          <w:bCs/>
        </w:rPr>
        <w:t>6</w:t>
      </w:r>
      <w:r w:rsidR="00CB7012">
        <w:rPr>
          <w:rFonts w:eastAsia="PMingLiU"/>
          <w:bCs/>
        </w:rPr>
        <w:t>-0000</w:t>
      </w:r>
      <w:r w:rsidR="00B0166A">
        <w:rPr>
          <w:rFonts w:eastAsia="PMingLiU"/>
          <w:bCs/>
        </w:rPr>
        <w:t>11</w:t>
      </w:r>
    </w:p>
    <w:p w:rsidR="00283549" w:rsidRPr="00973735" w:rsidRDefault="00283549" w:rsidP="00E11681">
      <w:pPr>
        <w:tabs>
          <w:tab w:val="right" w:pos="9360"/>
        </w:tabs>
        <w:ind w:left="0"/>
        <w:rPr>
          <w:rFonts w:eastAsia="PMingLiU"/>
        </w:rPr>
      </w:pPr>
      <w:r w:rsidRPr="009C2254">
        <w:rPr>
          <w:rFonts w:eastAsia="PMingLiU"/>
          <w:b/>
        </w:rPr>
        <w:tab/>
      </w:r>
      <w:bookmarkStart w:id="4" w:name="frRegistry"/>
      <w:bookmarkEnd w:id="4"/>
      <w:r w:rsidRPr="009C2254">
        <w:rPr>
          <w:rFonts w:eastAsia="PMingLiU"/>
          <w:b/>
          <w:bCs/>
        </w:rPr>
        <w:t>Registry:</w:t>
      </w:r>
      <w:r w:rsidRPr="00973735">
        <w:rPr>
          <w:rFonts w:eastAsia="PMingLiU"/>
        </w:rPr>
        <w:t xml:space="preserve"> </w:t>
      </w:r>
      <w:r w:rsidR="0006198A">
        <w:rPr>
          <w:rFonts w:eastAsia="PMingLiU"/>
        </w:rPr>
        <w:t>Yellowknife</w:t>
      </w: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5" w:name="frBetween"/>
      <w:bookmarkEnd w:id="5"/>
      <w:r w:rsidRPr="009C2254">
        <w:rPr>
          <w:rFonts w:eastAsia="PMingLiU"/>
          <w:b/>
          <w:bCs/>
        </w:rPr>
        <w:t>Between:</w:t>
      </w:r>
    </w:p>
    <w:p w:rsidR="00283549" w:rsidRPr="009C2254" w:rsidRDefault="00283549" w:rsidP="00E11681">
      <w:pPr>
        <w:ind w:left="0"/>
        <w:rPr>
          <w:rFonts w:eastAsia="PMingLiU"/>
        </w:rPr>
      </w:pPr>
    </w:p>
    <w:p w:rsidR="00283549" w:rsidRPr="0006198A" w:rsidRDefault="00CB7012"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035A13" w:rsidRDefault="00283549" w:rsidP="00E11681">
      <w:pPr>
        <w:tabs>
          <w:tab w:val="right" w:pos="9360"/>
        </w:tabs>
        <w:ind w:left="0"/>
        <w:rPr>
          <w:rFonts w:eastAsia="PMingLiU"/>
          <w:lang w:val="fr-CA"/>
        </w:rPr>
      </w:pPr>
      <w:r w:rsidRPr="009C2254">
        <w:rPr>
          <w:rFonts w:eastAsia="PMingLiU"/>
        </w:rPr>
        <w:tab/>
      </w:r>
      <w:r w:rsidR="00CB7012">
        <w:rPr>
          <w:rFonts w:eastAsia="PMingLiU"/>
          <w:lang w:val="fr-CA"/>
        </w:rPr>
        <w:t>Respondent</w:t>
      </w:r>
    </w:p>
    <w:p w:rsidR="00283549" w:rsidRPr="00035A13" w:rsidRDefault="00283549" w:rsidP="00E11681">
      <w:pPr>
        <w:ind w:left="0"/>
        <w:rPr>
          <w:rFonts w:eastAsia="PMingLiU"/>
          <w:lang w:val="fr-CA"/>
        </w:rPr>
      </w:pPr>
    </w:p>
    <w:p w:rsidR="00283549" w:rsidRPr="00035A13" w:rsidRDefault="00283549" w:rsidP="00E11681">
      <w:pPr>
        <w:tabs>
          <w:tab w:val="center" w:pos="4680"/>
        </w:tabs>
        <w:ind w:left="0"/>
        <w:rPr>
          <w:rFonts w:eastAsia="PMingLiU"/>
          <w:lang w:val="fr-CA"/>
        </w:rPr>
      </w:pPr>
      <w:r w:rsidRPr="00035A13">
        <w:rPr>
          <w:rFonts w:eastAsia="PMingLiU"/>
          <w:lang w:val="fr-CA"/>
        </w:rPr>
        <w:tab/>
        <w:t xml:space="preserve">- </w:t>
      </w:r>
      <w:bookmarkStart w:id="6" w:name="frAnd"/>
      <w:bookmarkEnd w:id="6"/>
      <w:r w:rsidRPr="00035A13">
        <w:rPr>
          <w:rFonts w:eastAsia="PMingLiU"/>
          <w:lang w:val="fr-CA"/>
        </w:rPr>
        <w:t>and -</w:t>
      </w:r>
    </w:p>
    <w:p w:rsidR="00283549" w:rsidRPr="00035A13" w:rsidRDefault="00283549" w:rsidP="00E11681">
      <w:pPr>
        <w:ind w:left="0"/>
        <w:rPr>
          <w:rFonts w:eastAsia="PMingLiU"/>
          <w:lang w:val="fr-CA"/>
        </w:rPr>
      </w:pPr>
    </w:p>
    <w:p w:rsidR="00283549" w:rsidRPr="00035A13" w:rsidRDefault="00212392" w:rsidP="00E11681">
      <w:pPr>
        <w:ind w:left="0"/>
        <w:jc w:val="center"/>
        <w:rPr>
          <w:rFonts w:eastAsia="PMingLiU"/>
          <w:lang w:val="fr-CA"/>
        </w:rPr>
      </w:pPr>
      <w:r>
        <w:rPr>
          <w:rFonts w:eastAsia="PMingLiU"/>
          <w:b/>
          <w:lang w:val="fr-CA"/>
        </w:rPr>
        <w:t>Noah Akhiatak</w:t>
      </w:r>
    </w:p>
    <w:p w:rsidR="00283549" w:rsidRPr="00035A13" w:rsidRDefault="00283549" w:rsidP="00E11681">
      <w:pPr>
        <w:ind w:left="0"/>
        <w:rPr>
          <w:rFonts w:eastAsia="PMingLiU"/>
          <w:lang w:val="fr-CA"/>
        </w:rPr>
      </w:pPr>
    </w:p>
    <w:p w:rsidR="00283549" w:rsidRPr="009C2254" w:rsidRDefault="00283549" w:rsidP="00E11681">
      <w:pPr>
        <w:tabs>
          <w:tab w:val="right" w:pos="9360"/>
        </w:tabs>
        <w:ind w:left="0"/>
        <w:rPr>
          <w:rFonts w:eastAsia="PMingLiU"/>
        </w:rPr>
      </w:pPr>
      <w:r w:rsidRPr="00035A13">
        <w:rPr>
          <w:rFonts w:eastAsia="PMingLiU"/>
          <w:lang w:val="fr-CA"/>
        </w:rPr>
        <w:tab/>
      </w:r>
      <w:r w:rsidR="00CB7012">
        <w:rPr>
          <w:rFonts w:eastAsia="PMingLiU"/>
        </w:rPr>
        <w:t>Appellant</w:t>
      </w:r>
    </w:p>
    <w:p w:rsidR="00283549" w:rsidRPr="009C2254" w:rsidRDefault="00283549" w:rsidP="00E11681">
      <w:pPr>
        <w:ind w:left="0"/>
        <w:rPr>
          <w:rFonts w:eastAsia="PMingLiU"/>
        </w:rPr>
      </w:pPr>
    </w:p>
    <w:tbl>
      <w:tblPr>
        <w:tblW w:w="7920" w:type="dxa"/>
        <w:jc w:val="center"/>
        <w:tblBorders>
          <w:top w:val="thinThickMediumGap" w:sz="24" w:space="0" w:color="000000"/>
          <w:left w:val="thinThickMediumGap" w:sz="24" w:space="0" w:color="000000"/>
          <w:bottom w:val="thinThickMediumGap" w:sz="24" w:space="0" w:color="000000"/>
          <w:right w:val="thinThickMediumGap" w:sz="24" w:space="0" w:color="000000"/>
        </w:tblBorders>
        <w:tblLayout w:type="fixed"/>
        <w:tblCellMar>
          <w:top w:w="187" w:type="dxa"/>
          <w:left w:w="259" w:type="dxa"/>
          <w:bottom w:w="144" w:type="dxa"/>
          <w:right w:w="259" w:type="dxa"/>
        </w:tblCellMar>
        <w:tblLook w:val="0000" w:firstRow="0" w:lastRow="0" w:firstColumn="0" w:lastColumn="0" w:noHBand="0" w:noVBand="0"/>
      </w:tblPr>
      <w:tblGrid>
        <w:gridCol w:w="7920"/>
      </w:tblGrid>
      <w:tr w:rsidR="009C32B4" w:rsidTr="009C32B4">
        <w:trPr>
          <w:cantSplit/>
          <w:jc w:val="center"/>
        </w:trPr>
        <w:tc>
          <w:tcPr>
            <w:tcW w:w="9576" w:type="dxa"/>
            <w:shd w:val="clear" w:color="auto" w:fill="auto"/>
          </w:tcPr>
          <w:p w:rsidR="009C32B4" w:rsidRDefault="009C32B4" w:rsidP="009C32B4">
            <w:pPr>
              <w:ind w:left="0"/>
              <w:jc w:val="center"/>
              <w:rPr>
                <w:rFonts w:eastAsia="PMingLiU"/>
                <w:sz w:val="36"/>
              </w:rPr>
            </w:pPr>
            <w:r>
              <w:rPr>
                <w:rFonts w:eastAsia="PMingLiU"/>
                <w:b/>
                <w:sz w:val="36"/>
              </w:rPr>
              <w:t>Restriction on Publication</w:t>
            </w:r>
          </w:p>
          <w:p w:rsidR="009C32B4" w:rsidRDefault="009C32B4" w:rsidP="009C32B4">
            <w:pPr>
              <w:ind w:left="0"/>
              <w:jc w:val="left"/>
              <w:rPr>
                <w:rFonts w:eastAsia="PMingLiU"/>
                <w:sz w:val="22"/>
              </w:rPr>
            </w:pPr>
            <w:r>
              <w:rPr>
                <w:rFonts w:eastAsia="PMingLiU"/>
                <w:b/>
                <w:sz w:val="22"/>
              </w:rPr>
              <w:t>Identification Ban</w:t>
            </w:r>
            <w:r>
              <w:rPr>
                <w:rFonts w:eastAsia="PMingLiU"/>
                <w:sz w:val="22"/>
              </w:rPr>
              <w:t xml:space="preserve"> – See the </w:t>
            </w:r>
            <w:r>
              <w:rPr>
                <w:rFonts w:eastAsia="PMingLiU"/>
                <w:i/>
                <w:sz w:val="22"/>
              </w:rPr>
              <w:t>Criminal Code</w:t>
            </w:r>
            <w:r>
              <w:rPr>
                <w:rFonts w:eastAsia="PMingLiU"/>
                <w:sz w:val="22"/>
              </w:rPr>
              <w:t>, section 486.4.</w:t>
            </w:r>
          </w:p>
          <w:p w:rsidR="009C32B4" w:rsidRDefault="009C32B4" w:rsidP="009C32B4">
            <w:pPr>
              <w:ind w:left="0"/>
              <w:jc w:val="left"/>
              <w:rPr>
                <w:rFonts w:eastAsia="PMingLiU"/>
                <w:sz w:val="22"/>
              </w:rPr>
            </w:pPr>
          </w:p>
          <w:p w:rsidR="009C32B4" w:rsidRDefault="009C32B4" w:rsidP="009C32B4">
            <w:pPr>
              <w:ind w:left="0"/>
              <w:rPr>
                <w:rFonts w:eastAsia="PMingLiU"/>
                <w:sz w:val="22"/>
              </w:rPr>
            </w:pPr>
            <w:r>
              <w:rPr>
                <w:rFonts w:eastAsia="PMingLiU"/>
                <w:sz w:val="22"/>
              </w:rPr>
              <w:t>By Court Order, information that may identify the complainant must not be published, broadcast, or transmitted in any way.</w:t>
            </w:r>
          </w:p>
          <w:p w:rsidR="009C32B4" w:rsidRDefault="009C32B4" w:rsidP="009C32B4">
            <w:pPr>
              <w:ind w:left="0"/>
              <w:rPr>
                <w:rFonts w:eastAsia="PMingLiU"/>
                <w:sz w:val="22"/>
              </w:rPr>
            </w:pPr>
          </w:p>
          <w:p w:rsidR="009C32B4" w:rsidRPr="009C32B4" w:rsidRDefault="009C32B4" w:rsidP="009C32B4">
            <w:pPr>
              <w:ind w:left="0"/>
              <w:rPr>
                <w:rFonts w:eastAsia="PMingLiU"/>
                <w:sz w:val="22"/>
              </w:rPr>
            </w:pPr>
            <w:r>
              <w:rPr>
                <w:rFonts w:eastAsia="PMingLiU"/>
                <w:b/>
                <w:sz w:val="22"/>
              </w:rPr>
              <w:t>NOTE:</w:t>
            </w:r>
            <w:r>
              <w:rPr>
                <w:rFonts w:eastAsia="PMingLiU"/>
                <w:sz w:val="22"/>
              </w:rPr>
              <w:t xml:space="preserve"> This judgment is intended to comply with the identification ban.</w:t>
            </w:r>
            <w:bookmarkStart w:id="7" w:name="PubBanText"/>
            <w:bookmarkEnd w:id="7"/>
          </w:p>
        </w:tc>
      </w:tr>
    </w:tbl>
    <w:p w:rsidR="00283549" w:rsidRPr="009C2254" w:rsidRDefault="00283549" w:rsidP="00E11681">
      <w:pPr>
        <w:ind w:left="0"/>
        <w:rPr>
          <w:rFonts w:eastAsia="PMingLiU"/>
        </w:rPr>
      </w:pPr>
      <w:bookmarkStart w:id="8" w:name="CorrectedJudgment"/>
      <w:bookmarkEnd w:id="8"/>
    </w:p>
    <w:p w:rsidR="0006198A" w:rsidRDefault="0006198A" w:rsidP="0006198A">
      <w:pPr>
        <w:ind w:left="0"/>
        <w:jc w:val="center"/>
        <w:rPr>
          <w:rFonts w:eastAsia="PMingLiU"/>
        </w:rPr>
      </w:pPr>
      <w:bookmarkStart w:id="9" w:name="TheCourt"/>
      <w:bookmarkEnd w:id="9"/>
      <w:r>
        <w:rPr>
          <w:rFonts w:eastAsia="PMingLiU"/>
        </w:rPr>
        <w:t>_______________________________________________________</w:t>
      </w:r>
    </w:p>
    <w:p w:rsidR="0006198A" w:rsidRDefault="0006198A" w:rsidP="0006198A">
      <w:pPr>
        <w:ind w:left="0"/>
        <w:jc w:val="center"/>
        <w:rPr>
          <w:rFonts w:eastAsia="PMingLiU"/>
        </w:rPr>
      </w:pPr>
    </w:p>
    <w:p w:rsidR="0006198A" w:rsidRDefault="0006198A" w:rsidP="0006198A">
      <w:pPr>
        <w:ind w:left="0"/>
        <w:jc w:val="left"/>
        <w:rPr>
          <w:rFonts w:eastAsia="PMingLiU"/>
          <w:b/>
        </w:rPr>
      </w:pPr>
      <w:r>
        <w:rPr>
          <w:rFonts w:eastAsia="PMingLiU"/>
          <w:b/>
        </w:rPr>
        <w:t>The Court:</w:t>
      </w:r>
    </w:p>
    <w:p w:rsidR="0006198A" w:rsidRDefault="0006198A" w:rsidP="0006198A">
      <w:pPr>
        <w:ind w:left="0"/>
        <w:jc w:val="center"/>
        <w:rPr>
          <w:rFonts w:eastAsia="PMingLiU"/>
          <w:b/>
        </w:rPr>
      </w:pPr>
      <w:bookmarkStart w:id="10" w:name="JusticeTitleStart"/>
      <w:bookmarkStart w:id="11" w:name="JusticeName"/>
      <w:bookmarkEnd w:id="10"/>
      <w:r>
        <w:rPr>
          <w:rFonts w:eastAsia="PMingLiU"/>
          <w:b/>
        </w:rPr>
        <w:t xml:space="preserve">The Honourable Mr. Justice </w:t>
      </w:r>
      <w:bookmarkEnd w:id="11"/>
      <w:r w:rsidR="003B4630">
        <w:rPr>
          <w:rFonts w:eastAsia="PMingLiU"/>
          <w:b/>
        </w:rPr>
        <w:t>Ronald Berger</w:t>
      </w:r>
    </w:p>
    <w:p w:rsidR="0006198A" w:rsidRDefault="0006198A" w:rsidP="0006198A">
      <w:pPr>
        <w:ind w:left="0"/>
        <w:jc w:val="center"/>
        <w:rPr>
          <w:rFonts w:eastAsia="PMingLiU"/>
          <w:b/>
        </w:rPr>
      </w:pPr>
      <w:bookmarkStart w:id="12" w:name="JusticeName2"/>
      <w:r>
        <w:rPr>
          <w:rFonts w:eastAsia="PMingLiU"/>
          <w:b/>
        </w:rPr>
        <w:t xml:space="preserve">The Honourable Mr. Justice </w:t>
      </w:r>
      <w:bookmarkEnd w:id="12"/>
      <w:r w:rsidR="003B4630">
        <w:rPr>
          <w:rFonts w:eastAsia="PMingLiU"/>
          <w:b/>
        </w:rPr>
        <w:t>Frans Slatter</w:t>
      </w:r>
    </w:p>
    <w:p w:rsidR="0006198A" w:rsidRDefault="0006198A" w:rsidP="0006198A">
      <w:pPr>
        <w:ind w:left="0"/>
        <w:jc w:val="center"/>
        <w:rPr>
          <w:rFonts w:eastAsia="PMingLiU"/>
          <w:b/>
        </w:rPr>
      </w:pPr>
      <w:bookmarkStart w:id="13" w:name="JusticeName3"/>
      <w:r>
        <w:rPr>
          <w:rFonts w:eastAsia="PMingLiU"/>
          <w:b/>
        </w:rPr>
        <w:t>The Honourable M</w:t>
      </w:r>
      <w:r w:rsidR="003B4630">
        <w:rPr>
          <w:rFonts w:eastAsia="PMingLiU"/>
          <w:b/>
        </w:rPr>
        <w:t>r.</w:t>
      </w:r>
      <w:r>
        <w:rPr>
          <w:rFonts w:eastAsia="PMingLiU"/>
          <w:b/>
        </w:rPr>
        <w:t xml:space="preserve"> Justice </w:t>
      </w:r>
      <w:bookmarkStart w:id="14" w:name="JusticeTitleEnd"/>
      <w:bookmarkEnd w:id="13"/>
      <w:bookmarkEnd w:id="14"/>
      <w:r w:rsidR="003B4630">
        <w:rPr>
          <w:rFonts w:eastAsia="PMingLiU"/>
          <w:b/>
        </w:rPr>
        <w:t>Thomas W. Wakeling</w:t>
      </w:r>
    </w:p>
    <w:p w:rsidR="00283549" w:rsidRPr="0006198A" w:rsidRDefault="0006198A" w:rsidP="0006198A">
      <w:pPr>
        <w:ind w:left="0"/>
        <w:jc w:val="center"/>
        <w:rPr>
          <w:rFonts w:eastAsia="PMingLiU"/>
          <w:b/>
        </w:rPr>
      </w:pPr>
      <w:r>
        <w:rPr>
          <w:rFonts w:eastAsia="PMingLiU"/>
          <w:b/>
        </w:rPr>
        <w:t>_______________________________________________________</w:t>
      </w:r>
    </w:p>
    <w:p w:rsidR="0006198A" w:rsidRDefault="0006198A" w:rsidP="0006198A">
      <w:pPr>
        <w:keepNext/>
        <w:keepLines/>
        <w:ind w:left="0"/>
        <w:rPr>
          <w:rFonts w:eastAsia="PMingLiU"/>
        </w:rPr>
      </w:pPr>
    </w:p>
    <w:p w:rsidR="0006198A" w:rsidRDefault="0006198A" w:rsidP="0006198A">
      <w:pPr>
        <w:keepNext/>
        <w:keepLines/>
        <w:ind w:left="0"/>
        <w:rPr>
          <w:rFonts w:eastAsia="PMingLiU"/>
        </w:rPr>
      </w:pPr>
    </w:p>
    <w:p w:rsidR="00FB2D12" w:rsidRDefault="0006198A" w:rsidP="0006198A">
      <w:pPr>
        <w:keepNext/>
        <w:keepLines/>
        <w:ind w:left="0"/>
        <w:jc w:val="center"/>
        <w:rPr>
          <w:rFonts w:eastAsia="PMingLiU"/>
          <w:b/>
        </w:rPr>
      </w:pPr>
      <w:bookmarkStart w:id="15" w:name="JudgmentType"/>
      <w:r w:rsidRPr="0006198A">
        <w:rPr>
          <w:rFonts w:eastAsia="PMingLiU"/>
          <w:b/>
        </w:rPr>
        <w:t>Memorandum of Judgment</w:t>
      </w:r>
      <w:bookmarkEnd w:id="15"/>
      <w:r w:rsidR="00FB2D12">
        <w:rPr>
          <w:rFonts w:eastAsia="PMingLiU"/>
          <w:b/>
        </w:rPr>
        <w:t xml:space="preserve"> </w:t>
      </w:r>
    </w:p>
    <w:p w:rsidR="00FB2D12" w:rsidRDefault="00FB2D12" w:rsidP="0006198A">
      <w:pPr>
        <w:keepNext/>
        <w:keepLines/>
        <w:ind w:left="0"/>
        <w:jc w:val="center"/>
        <w:rPr>
          <w:rFonts w:eastAsia="PMingLiU"/>
          <w:b/>
        </w:rPr>
      </w:pPr>
    </w:p>
    <w:p w:rsidR="00283549" w:rsidRPr="009C2254" w:rsidRDefault="00283549" w:rsidP="004B6F64">
      <w:pPr>
        <w:tabs>
          <w:tab w:val="center" w:pos="4680"/>
        </w:tabs>
        <w:ind w:left="0"/>
        <w:rPr>
          <w:rFonts w:eastAsia="PMingLiU"/>
        </w:rPr>
      </w:pPr>
      <w:bookmarkStart w:id="16" w:name="JudgmentTypeCover"/>
      <w:bookmarkEnd w:id="16"/>
      <w:r w:rsidRPr="009C2254">
        <w:rPr>
          <w:rFonts w:eastAsia="PMingLiU"/>
        </w:rPr>
        <w:tab/>
      </w:r>
      <w:bookmarkStart w:id="17" w:name="TrialJudgmentType"/>
      <w:bookmarkEnd w:id="17"/>
      <w:r w:rsidR="0006198A">
        <w:rPr>
          <w:rFonts w:eastAsia="PMingLiU"/>
        </w:rPr>
        <w:t xml:space="preserve">Appeal from the </w:t>
      </w:r>
      <w:r w:rsidR="00B340CB">
        <w:rPr>
          <w:rFonts w:eastAsia="PMingLiU"/>
        </w:rPr>
        <w:t>Conviction</w:t>
      </w:r>
      <w:r w:rsidR="0006198A">
        <w:rPr>
          <w:rFonts w:eastAsia="PMingLiU"/>
        </w:rPr>
        <w:t xml:space="preserve"> by</w:t>
      </w:r>
    </w:p>
    <w:p w:rsidR="00283549" w:rsidRPr="009C2254" w:rsidRDefault="00283549" w:rsidP="004B6F64">
      <w:pPr>
        <w:tabs>
          <w:tab w:val="center" w:pos="4680"/>
        </w:tabs>
        <w:ind w:left="0"/>
        <w:rPr>
          <w:rFonts w:eastAsia="PMingLiU"/>
        </w:rPr>
      </w:pPr>
      <w:r w:rsidRPr="009C2254">
        <w:rPr>
          <w:rFonts w:eastAsia="PMingLiU"/>
        </w:rPr>
        <w:tab/>
      </w:r>
      <w:bookmarkStart w:id="18" w:name="TrialJudgeSalutation"/>
      <w:r w:rsidR="0006198A">
        <w:rPr>
          <w:rFonts w:eastAsia="PMingLiU"/>
        </w:rPr>
        <w:t>The Honourable M</w:t>
      </w:r>
      <w:r w:rsidR="00FC5C3A">
        <w:rPr>
          <w:rFonts w:eastAsia="PMingLiU"/>
        </w:rPr>
        <w:t>adam</w:t>
      </w:r>
      <w:r w:rsidR="0006198A">
        <w:rPr>
          <w:rFonts w:eastAsia="PMingLiU"/>
        </w:rPr>
        <w:t xml:space="preserve"> Justice</w:t>
      </w:r>
      <w:bookmarkEnd w:id="18"/>
      <w:r w:rsidR="0006198A">
        <w:rPr>
          <w:rFonts w:eastAsia="PMingLiU"/>
        </w:rPr>
        <w:t xml:space="preserve"> </w:t>
      </w:r>
      <w:r w:rsidR="00212392">
        <w:rPr>
          <w:rFonts w:eastAsia="PMingLiU"/>
        </w:rPr>
        <w:t>L.A. Charbonneau</w:t>
      </w:r>
    </w:p>
    <w:p w:rsidR="0006198A" w:rsidRDefault="00283549" w:rsidP="004B6F64">
      <w:pPr>
        <w:tabs>
          <w:tab w:val="center" w:pos="4680"/>
        </w:tabs>
        <w:ind w:left="0"/>
        <w:rPr>
          <w:rFonts w:eastAsia="PMingLiU"/>
        </w:rPr>
      </w:pPr>
      <w:r w:rsidRPr="009C2254">
        <w:rPr>
          <w:rFonts w:eastAsia="PMingLiU"/>
        </w:rPr>
        <w:tab/>
      </w:r>
      <w:bookmarkStart w:id="19" w:name="TrialConvictionDate"/>
      <w:bookmarkStart w:id="20" w:name="TrialJudgmentDate"/>
      <w:bookmarkEnd w:id="19"/>
      <w:bookmarkEnd w:id="20"/>
      <w:r w:rsidR="0006198A">
        <w:rPr>
          <w:rFonts w:eastAsia="PMingLiU"/>
        </w:rPr>
        <w:t xml:space="preserve">Dated the </w:t>
      </w:r>
      <w:r w:rsidR="00212392">
        <w:rPr>
          <w:rFonts w:eastAsia="PMingLiU"/>
        </w:rPr>
        <w:t>2nd</w:t>
      </w:r>
      <w:r w:rsidR="0006198A">
        <w:rPr>
          <w:rFonts w:eastAsia="PMingLiU"/>
        </w:rPr>
        <w:t xml:space="preserve"> day of </w:t>
      </w:r>
      <w:r w:rsidR="00212392">
        <w:rPr>
          <w:rFonts w:eastAsia="PMingLiU"/>
        </w:rPr>
        <w:t>May</w:t>
      </w:r>
      <w:r w:rsidR="0006198A">
        <w:rPr>
          <w:rFonts w:eastAsia="PMingLiU"/>
        </w:rPr>
        <w:t>, 201</w:t>
      </w:r>
      <w:r w:rsidR="00212392">
        <w:rPr>
          <w:rFonts w:eastAsia="PMingLiU"/>
        </w:rPr>
        <w:t>6</w:t>
      </w:r>
    </w:p>
    <w:p w:rsidR="00283549" w:rsidRPr="009C2254" w:rsidRDefault="00283549" w:rsidP="004B6F64">
      <w:pPr>
        <w:tabs>
          <w:tab w:val="center" w:pos="4680"/>
        </w:tabs>
        <w:ind w:left="0"/>
        <w:rPr>
          <w:rFonts w:eastAsia="PMingLiU"/>
        </w:rPr>
      </w:pPr>
      <w:bookmarkStart w:id="21" w:name="TrialFiledDate"/>
      <w:bookmarkEnd w:id="21"/>
      <w:r w:rsidRPr="009C2254">
        <w:rPr>
          <w:rFonts w:eastAsia="PMingLiU"/>
        </w:rPr>
        <w:tab/>
      </w:r>
      <w:bookmarkStart w:id="22" w:name="JudgmentDetails"/>
      <w:bookmarkEnd w:id="22"/>
      <w:r w:rsidR="0006198A">
        <w:rPr>
          <w:rFonts w:eastAsia="PMingLiU"/>
        </w:rPr>
        <w:t>(Docket: S-1-C</w:t>
      </w:r>
      <w:r w:rsidR="00CB7012">
        <w:rPr>
          <w:rFonts w:eastAsia="PMingLiU"/>
        </w:rPr>
        <w:t>R</w:t>
      </w:r>
      <w:r w:rsidR="0006198A">
        <w:rPr>
          <w:rFonts w:eastAsia="PMingLiU"/>
        </w:rPr>
        <w:t>20</w:t>
      </w:r>
      <w:r w:rsidR="003B4630">
        <w:rPr>
          <w:rFonts w:eastAsia="PMingLiU"/>
        </w:rPr>
        <w:t>1</w:t>
      </w:r>
      <w:r w:rsidR="00212392">
        <w:rPr>
          <w:rFonts w:eastAsia="PMingLiU"/>
        </w:rPr>
        <w:t>4</w:t>
      </w:r>
      <w:r w:rsidR="0006198A">
        <w:rPr>
          <w:rFonts w:eastAsia="PMingLiU"/>
        </w:rPr>
        <w:t>000</w:t>
      </w:r>
      <w:r w:rsidR="00CB7012">
        <w:rPr>
          <w:rFonts w:eastAsia="PMingLiU"/>
        </w:rPr>
        <w:t>0</w:t>
      </w:r>
      <w:r w:rsidR="00212392">
        <w:rPr>
          <w:rFonts w:eastAsia="PMingLiU"/>
        </w:rPr>
        <w:t>15</w:t>
      </w:r>
      <w:r w:rsidR="0006198A">
        <w:rPr>
          <w:rFonts w:eastAsia="PMingLiU"/>
        </w:rPr>
        <w:t>)</w:t>
      </w:r>
    </w:p>
    <w:p w:rsidR="00283549" w:rsidRPr="009C2254" w:rsidRDefault="00283549" w:rsidP="004B6F64">
      <w:pPr>
        <w:ind w:left="0"/>
        <w:rPr>
          <w:rFonts w:eastAsia="PMingLiU"/>
        </w:rPr>
        <w:sectPr w:rsidR="00283549" w:rsidRPr="009C2254" w:rsidSect="00AB0EFF">
          <w:pgSz w:w="12240" w:h="15840"/>
          <w:pgMar w:top="1440" w:right="1440" w:bottom="1440" w:left="1440" w:header="1152" w:footer="1440" w:gutter="0"/>
          <w:cols w:space="720"/>
          <w:noEndnote/>
          <w:docGrid w:linePitch="326"/>
        </w:sectPr>
      </w:pPr>
    </w:p>
    <w:p w:rsidR="00C73249" w:rsidRDefault="00C73249" w:rsidP="004B6F64">
      <w:pPr>
        <w:tabs>
          <w:tab w:val="center" w:pos="4680"/>
        </w:tabs>
        <w:ind w:left="0"/>
        <w:rPr>
          <w:rFonts w:eastAsia="PMingLiU"/>
        </w:rPr>
      </w:pPr>
    </w:p>
    <w:p w:rsidR="00283549" w:rsidRPr="009C2254" w:rsidRDefault="00283549" w:rsidP="004B6F64">
      <w:pPr>
        <w:tabs>
          <w:tab w:val="center" w:pos="4680"/>
        </w:tabs>
        <w:ind w:left="0"/>
        <w:rPr>
          <w:rFonts w:eastAsia="PMingLiU"/>
        </w:rPr>
      </w:pPr>
      <w:r w:rsidRPr="009C2254">
        <w:rPr>
          <w:rFonts w:eastAsia="PMingLiU"/>
        </w:rPr>
        <w:tab/>
        <w:t>_______________________________________________________</w:t>
      </w:r>
    </w:p>
    <w:p w:rsidR="00283549" w:rsidRPr="009C2254" w:rsidRDefault="00283549" w:rsidP="0024025E">
      <w:pPr>
        <w:ind w:left="0"/>
        <w:jc w:val="center"/>
        <w:rPr>
          <w:rFonts w:eastAsia="PMingLiU"/>
        </w:rPr>
      </w:pPr>
    </w:p>
    <w:p w:rsidR="001826AF" w:rsidRDefault="0006198A" w:rsidP="00B1323A">
      <w:pPr>
        <w:ind w:left="0"/>
        <w:jc w:val="center"/>
        <w:rPr>
          <w:rFonts w:eastAsia="PMingLiU"/>
          <w:b/>
        </w:rPr>
      </w:pPr>
      <w:bookmarkStart w:id="23" w:name="JudgmentTypeStart"/>
      <w:bookmarkStart w:id="24" w:name="JudgmentTypeEnd"/>
      <w:bookmarkEnd w:id="23"/>
      <w:bookmarkEnd w:id="24"/>
      <w:r>
        <w:rPr>
          <w:rFonts w:eastAsia="PMingLiU"/>
          <w:b/>
        </w:rPr>
        <w:t>Memorandum of Judgment</w:t>
      </w:r>
      <w:bookmarkStart w:id="25" w:name="JudgmentTypeDocument"/>
      <w:bookmarkEnd w:id="25"/>
    </w:p>
    <w:p w:rsidR="00283549" w:rsidRPr="009C2254" w:rsidRDefault="00283549" w:rsidP="004B6F64">
      <w:pPr>
        <w:tabs>
          <w:tab w:val="center" w:pos="4680"/>
        </w:tabs>
        <w:ind w:left="0"/>
        <w:rPr>
          <w:rFonts w:eastAsia="PMingLiU"/>
        </w:rPr>
      </w:pPr>
      <w:r w:rsidRPr="009C2254">
        <w:rPr>
          <w:rFonts w:eastAsia="PMingLiU"/>
        </w:rPr>
        <w:tab/>
        <w:t>_______________________________________________________</w:t>
      </w:r>
    </w:p>
    <w:p w:rsidR="0099595C" w:rsidRDefault="0099595C" w:rsidP="004B6F64">
      <w:pPr>
        <w:ind w:left="0"/>
        <w:rPr>
          <w:rFonts w:eastAsia="PMingLiU"/>
        </w:rPr>
        <w:sectPr w:rsidR="0099595C" w:rsidSect="00AB0EFF">
          <w:headerReference w:type="even" r:id="rId8"/>
          <w:headerReference w:type="default" r:id="rId9"/>
          <w:footerReference w:type="default" r:id="rId10"/>
          <w:headerReference w:type="first" r:id="rId11"/>
          <w:pgSz w:w="12240" w:h="15840"/>
          <w:pgMar w:top="1255" w:right="1440" w:bottom="1440" w:left="1440" w:header="1152" w:footer="1440" w:gutter="0"/>
          <w:pgNumType w:start="1"/>
          <w:cols w:space="720"/>
          <w:noEndnote/>
          <w:docGrid w:linePitch="326"/>
        </w:sectPr>
      </w:pPr>
    </w:p>
    <w:p w:rsidR="0006198A" w:rsidRDefault="0006198A" w:rsidP="00BD5F7D">
      <w:pPr>
        <w:spacing w:line="480" w:lineRule="auto"/>
        <w:ind w:left="0"/>
        <w:rPr>
          <w:rFonts w:eastAsia="PMingLiU"/>
        </w:rPr>
      </w:pPr>
    </w:p>
    <w:p w:rsidR="00212392" w:rsidRPr="00212392" w:rsidRDefault="00212392" w:rsidP="00BD5F7D">
      <w:pPr>
        <w:spacing w:line="480" w:lineRule="auto"/>
        <w:ind w:left="0"/>
        <w:rPr>
          <w:rFonts w:eastAsia="PMingLiU"/>
          <w:b/>
        </w:rPr>
      </w:pPr>
      <w:r w:rsidRPr="00212392">
        <w:rPr>
          <w:rFonts w:eastAsia="PMingLiU"/>
          <w:b/>
        </w:rPr>
        <w:t>The Court:</w:t>
      </w:r>
    </w:p>
    <w:p w:rsidR="00212392" w:rsidRDefault="00212392" w:rsidP="00C94F18">
      <w:pPr>
        <w:pStyle w:val="FelskyNumbering12"/>
        <w:spacing w:before="0" w:after="240" w:line="240" w:lineRule="auto"/>
        <w:rPr>
          <w:rFonts w:eastAsiaTheme="minorHAnsi"/>
          <w:lang w:eastAsia="en-US"/>
        </w:rPr>
      </w:pPr>
      <w:bookmarkStart w:id="26" w:name="FelskyStart"/>
      <w:bookmarkStart w:id="27" w:name="Paragraph1"/>
      <w:bookmarkEnd w:id="26"/>
      <w:bookmarkEnd w:id="27"/>
      <w:r w:rsidRPr="00212392">
        <w:rPr>
          <w:rFonts w:eastAsiaTheme="minorHAnsi"/>
          <w:lang w:eastAsia="en-US"/>
        </w:rPr>
        <w:t>The appellant appeals his conviction for sexual assault and unlawful confinement. The complainant testified that when she visited the appellant’s apartment, he would not let her leave, and sexually assaulted her despite her protestations.</w:t>
      </w:r>
    </w:p>
    <w:p w:rsidR="002A76AF" w:rsidRPr="002A76AF" w:rsidRDefault="002A76AF" w:rsidP="00C94F18">
      <w:pPr>
        <w:pStyle w:val="FelskyNumbering12"/>
        <w:spacing w:before="0" w:after="240" w:line="240" w:lineRule="auto"/>
        <w:rPr>
          <w:rFonts w:eastAsiaTheme="minorHAnsi"/>
          <w:lang w:eastAsia="en-US"/>
        </w:rPr>
      </w:pPr>
      <w:r>
        <w:rPr>
          <w:rFonts w:eastAsiaTheme="minorHAnsi"/>
          <w:lang w:eastAsia="en-US"/>
        </w:rPr>
        <w:t>It was</w:t>
      </w:r>
      <w:r w:rsidRPr="002A76AF">
        <w:rPr>
          <w:rFonts w:eastAsiaTheme="minorHAnsi"/>
          <w:lang w:eastAsia="en-US"/>
        </w:rPr>
        <w:t xml:space="preserve"> </w:t>
      </w:r>
      <w:r w:rsidRPr="00212392">
        <w:rPr>
          <w:rFonts w:eastAsiaTheme="minorHAnsi"/>
          <w:lang w:eastAsia="en-US"/>
        </w:rPr>
        <w:t>put to the complainant in cross-examination that</w:t>
      </w:r>
      <w:r w:rsidRPr="002A76AF">
        <w:rPr>
          <w:rFonts w:eastAsiaTheme="minorHAnsi"/>
          <w:lang w:eastAsia="en-US"/>
        </w:rPr>
        <w:t xml:space="preserve"> </w:t>
      </w:r>
      <w:r w:rsidRPr="00212392">
        <w:rPr>
          <w:rFonts w:eastAsiaTheme="minorHAnsi"/>
          <w:lang w:eastAsia="en-US"/>
        </w:rPr>
        <w:t xml:space="preserve">the appellant told her </w:t>
      </w:r>
      <w:r>
        <w:rPr>
          <w:rFonts w:eastAsiaTheme="minorHAnsi"/>
          <w:lang w:eastAsia="en-US"/>
        </w:rPr>
        <w:t>s</w:t>
      </w:r>
      <w:r w:rsidRPr="00212392">
        <w:rPr>
          <w:rFonts w:eastAsiaTheme="minorHAnsi"/>
          <w:lang w:eastAsia="en-US"/>
        </w:rPr>
        <w:t>he could no longer smoke marijuana in</w:t>
      </w:r>
      <w:r>
        <w:rPr>
          <w:rFonts w:eastAsiaTheme="minorHAnsi"/>
          <w:lang w:eastAsia="en-US"/>
        </w:rPr>
        <w:t xml:space="preserve"> his apartment, </w:t>
      </w:r>
      <w:r w:rsidRPr="00212392">
        <w:rPr>
          <w:rFonts w:eastAsiaTheme="minorHAnsi"/>
          <w:lang w:eastAsia="en-US"/>
        </w:rPr>
        <w:t xml:space="preserve">this event made her angry, and that she had fabricated the allegations. She denied that the appellant told her </w:t>
      </w:r>
      <w:r>
        <w:rPr>
          <w:rFonts w:eastAsiaTheme="minorHAnsi"/>
          <w:lang w:eastAsia="en-US"/>
        </w:rPr>
        <w:t>s</w:t>
      </w:r>
      <w:r w:rsidRPr="00212392">
        <w:rPr>
          <w:rFonts w:eastAsiaTheme="minorHAnsi"/>
          <w:lang w:eastAsia="en-US"/>
        </w:rPr>
        <w:t>he could no longer smoke marijuana in</w:t>
      </w:r>
      <w:r>
        <w:rPr>
          <w:rFonts w:eastAsiaTheme="minorHAnsi"/>
          <w:lang w:eastAsia="en-US"/>
        </w:rPr>
        <w:t xml:space="preserve"> his apartment, </w:t>
      </w:r>
      <w:r w:rsidRPr="00212392">
        <w:rPr>
          <w:rFonts w:eastAsiaTheme="minorHAnsi"/>
          <w:lang w:eastAsia="en-US"/>
        </w:rPr>
        <w:t>and adamantly denied fabricating the allegations.</w:t>
      </w:r>
      <w:r w:rsidRPr="002A76AF">
        <w:rPr>
          <w:rFonts w:eastAsiaTheme="minorHAnsi"/>
          <w:lang w:eastAsia="en-US"/>
        </w:rPr>
        <w:t xml:space="preserve"> </w:t>
      </w:r>
    </w:p>
    <w:p w:rsidR="003D7DC5" w:rsidRDefault="00212392" w:rsidP="00C94F18">
      <w:pPr>
        <w:pStyle w:val="FelskyNumbering12"/>
        <w:spacing w:before="0" w:after="240" w:line="240" w:lineRule="auto"/>
        <w:rPr>
          <w:rFonts w:eastAsiaTheme="minorHAnsi"/>
          <w:lang w:eastAsia="en-US"/>
        </w:rPr>
      </w:pPr>
      <w:r w:rsidRPr="002A76AF">
        <w:rPr>
          <w:rFonts w:eastAsiaTheme="minorHAnsi"/>
          <w:lang w:eastAsia="en-US"/>
        </w:rPr>
        <w:t xml:space="preserve">The </w:t>
      </w:r>
      <w:r w:rsidR="003D7DC5">
        <w:rPr>
          <w:rFonts w:eastAsiaTheme="minorHAnsi"/>
          <w:lang w:eastAsia="en-US"/>
        </w:rPr>
        <w:t>appellant</w:t>
      </w:r>
      <w:r w:rsidRPr="002A76AF">
        <w:rPr>
          <w:rFonts w:eastAsiaTheme="minorHAnsi"/>
          <w:lang w:eastAsia="en-US"/>
        </w:rPr>
        <w:t xml:space="preserve"> testified that the assault never happened. He testified that he permitted the complainant to smoke marijuana at his apartment, but that at one point he told her she had to stop because she was underage and he was afraid of jeopardizing his tenancy. Defence counsel later invited the trial judge to draw an inference of fabrication from this event. </w:t>
      </w:r>
    </w:p>
    <w:p w:rsidR="00212392" w:rsidRPr="002A76AF" w:rsidRDefault="00212392" w:rsidP="00C94F18">
      <w:pPr>
        <w:pStyle w:val="FelskyNumbering12"/>
        <w:spacing w:before="0" w:after="240" w:line="240" w:lineRule="auto"/>
        <w:rPr>
          <w:rFonts w:eastAsiaTheme="minorHAnsi"/>
          <w:lang w:eastAsia="en-US"/>
        </w:rPr>
      </w:pPr>
      <w:r w:rsidRPr="002A76AF">
        <w:rPr>
          <w:rFonts w:eastAsiaTheme="minorHAnsi"/>
          <w:lang w:eastAsia="en-US"/>
        </w:rPr>
        <w:t xml:space="preserve">In oral reasons covering 24 pages of the transcript, the trial judge carefully considered the evidence. She confirmed the burden of proof was on the Crown, and summarized the test in </w:t>
      </w:r>
      <w:r w:rsidRPr="002A76AF">
        <w:rPr>
          <w:rFonts w:eastAsiaTheme="minorHAnsi"/>
          <w:b/>
          <w:i/>
          <w:lang w:eastAsia="en-US"/>
        </w:rPr>
        <w:t>R. v W.(D.)</w:t>
      </w:r>
      <w:r w:rsidRPr="002A76AF">
        <w:rPr>
          <w:rFonts w:eastAsiaTheme="minorHAnsi"/>
          <w:lang w:eastAsia="en-US"/>
        </w:rPr>
        <w:t>, [1991] 1 SCR 742. She noted specifically that mere rejection of the defence evidence would not lead to a conviction, because it was still necessary to consider whether the Crown had proven the case beyond a reasonable doubt. Further, she particularly noted that it was an error to simply select which of the two versions of the events was more likely.</w:t>
      </w:r>
    </w:p>
    <w:p w:rsidR="00212392" w:rsidRPr="00212392" w:rsidRDefault="00212392" w:rsidP="00C94F18">
      <w:pPr>
        <w:pStyle w:val="FelskyNumbering12"/>
        <w:spacing w:before="0" w:after="240" w:line="240" w:lineRule="auto"/>
        <w:rPr>
          <w:rFonts w:eastAsiaTheme="minorHAnsi"/>
          <w:lang w:eastAsia="en-US"/>
        </w:rPr>
      </w:pPr>
      <w:r w:rsidRPr="00212392">
        <w:rPr>
          <w:rFonts w:eastAsiaTheme="minorHAnsi"/>
          <w:lang w:eastAsia="en-US"/>
        </w:rPr>
        <w:t>The trial judge carefully reviewed the evidence of the complainant and a friend who corroborated parts of her story, and concluded that she believed the complainant. In particular, the complainant “appeared genuinely shocked and incredulous” when it was suggested to her that she had fabricated the allegations. She asserted she “would not do that to an elder”. The trial judge found the complainant’s denial of fabrication to be convincing. The trial judge made an express finding of fact that the conversation about smoking marijuana in the apartment never happened. The trial judge did not believe the appellant’s denial that the assault happened, and confirmed that his denial did not leave her with a doubt.</w:t>
      </w:r>
    </w:p>
    <w:p w:rsidR="00212392" w:rsidRDefault="00212392" w:rsidP="00C94F18">
      <w:pPr>
        <w:pStyle w:val="FelskyNumbering12"/>
        <w:spacing w:before="0" w:after="240" w:line="240" w:lineRule="auto"/>
        <w:rPr>
          <w:rFonts w:eastAsiaTheme="minorHAnsi"/>
          <w:lang w:eastAsia="en-US"/>
        </w:rPr>
      </w:pPr>
      <w:r w:rsidRPr="00212392">
        <w:rPr>
          <w:rFonts w:eastAsiaTheme="minorHAnsi"/>
          <w:lang w:eastAsia="en-US"/>
        </w:rPr>
        <w:t>The trial judge reasoned, in part,</w:t>
      </w:r>
    </w:p>
    <w:p w:rsidR="004E4AB8" w:rsidRPr="00212392" w:rsidRDefault="004E4AB8" w:rsidP="00C94F18">
      <w:pPr>
        <w:pStyle w:val="FelskyNumbering12"/>
        <w:numPr>
          <w:ilvl w:val="0"/>
          <w:numId w:val="0"/>
        </w:numPr>
        <w:spacing w:line="240" w:lineRule="auto"/>
        <w:ind w:left="720"/>
        <w:jc w:val="left"/>
        <w:rPr>
          <w:rFonts w:eastAsiaTheme="minorHAnsi"/>
          <w:lang w:eastAsia="en-US"/>
        </w:rPr>
      </w:pPr>
      <w:r>
        <w:rPr>
          <w:rFonts w:eastAsiaTheme="minorHAnsi"/>
          <w:lang w:eastAsia="en-US"/>
        </w:rPr>
        <w:tab/>
        <w:t xml:space="preserve">. . . [The appellant] says he did not do these things. He says he told [the complainant] she could no longer smoke pot at his house, and defence suggested this could be why she fabricated these allegations. . . . </w:t>
      </w:r>
      <w:r w:rsidRPr="00212392">
        <w:rPr>
          <w:rFonts w:eastAsiaTheme="minorHAnsi"/>
          <w:lang w:eastAsia="en-US"/>
        </w:rPr>
        <w:t>(transcript, p. 29</w:t>
      </w:r>
      <w:r>
        <w:rPr>
          <w:rFonts w:eastAsiaTheme="minorHAnsi"/>
          <w:lang w:eastAsia="en-US"/>
        </w:rPr>
        <w:t>2, l. 14-8</w:t>
      </w:r>
      <w:r w:rsidRPr="00212392">
        <w:rPr>
          <w:rFonts w:eastAsiaTheme="minorHAnsi"/>
          <w:lang w:eastAsia="en-US"/>
        </w:rPr>
        <w:t>)</w:t>
      </w:r>
    </w:p>
    <w:p w:rsidR="00212392" w:rsidRPr="00212392" w:rsidRDefault="00212392" w:rsidP="00C94F18">
      <w:pPr>
        <w:pStyle w:val="1stQuote"/>
        <w:rPr>
          <w:rFonts w:eastAsiaTheme="minorHAnsi"/>
          <w:lang w:eastAsia="en-US"/>
        </w:rPr>
      </w:pPr>
      <w:r w:rsidRPr="00212392">
        <w:rPr>
          <w:rFonts w:eastAsiaTheme="minorHAnsi"/>
          <w:lang w:eastAsia="en-US"/>
        </w:rPr>
        <w:lastRenderedPageBreak/>
        <w:t>. . . For those reasons, I do reject [the appellant’s] evidence on that point, and I find as a fact that this conversation [about smoking marijuana in the apartment] did not actually take place.</w:t>
      </w:r>
    </w:p>
    <w:p w:rsidR="00212392" w:rsidRPr="00212392" w:rsidRDefault="00212392" w:rsidP="00C94F18">
      <w:pPr>
        <w:pStyle w:val="1stQuote"/>
        <w:rPr>
          <w:rFonts w:eastAsiaTheme="minorHAnsi"/>
          <w:lang w:eastAsia="en-US"/>
        </w:rPr>
      </w:pPr>
      <w:r w:rsidRPr="00212392">
        <w:rPr>
          <w:rFonts w:eastAsiaTheme="minorHAnsi"/>
          <w:lang w:eastAsia="en-US"/>
        </w:rPr>
        <w:t xml:space="preserve">As I said, [the appellant] does not have the onus of proving that [the complainant] had a motive to fabricate these allegations, and even if I reject his evidence about that conversation, that certainly does not end matters because the assessment of credibility is not an all or nothing proposition. A trier of fact may reject some aspects of </w:t>
      </w:r>
      <w:r w:rsidR="003D7DC5">
        <w:rPr>
          <w:rFonts w:eastAsiaTheme="minorHAnsi"/>
          <w:lang w:eastAsia="en-US"/>
        </w:rPr>
        <w:t>a</w:t>
      </w:r>
      <w:r w:rsidRPr="00212392">
        <w:rPr>
          <w:rFonts w:eastAsiaTheme="minorHAnsi"/>
          <w:lang w:eastAsia="en-US"/>
        </w:rPr>
        <w:t xml:space="preserve"> witness’ testimony and accept others. But it goes without saying that having concluded that this aspect of [the appellant’s] evidence is untrue and is a fabrication on his part, this raises very serious concerns about the rest of his evidence. More specifically, it raises the question about why he would feel the need to lie about having had this conversation with [the complainant]. . . . (transcript, p. 294, l. 1</w:t>
      </w:r>
      <w:r w:rsidR="003D7DC5">
        <w:rPr>
          <w:rFonts w:eastAsiaTheme="minorHAnsi"/>
          <w:lang w:eastAsia="en-US"/>
        </w:rPr>
        <w:t>4</w:t>
      </w:r>
      <w:r w:rsidRPr="00212392">
        <w:rPr>
          <w:rFonts w:eastAsiaTheme="minorHAnsi"/>
          <w:lang w:eastAsia="en-US"/>
        </w:rPr>
        <w:t>-32)</w:t>
      </w:r>
    </w:p>
    <w:p w:rsidR="00212392" w:rsidRPr="00212392" w:rsidRDefault="00212392" w:rsidP="00C94F18">
      <w:pPr>
        <w:pStyle w:val="1stQuote"/>
        <w:rPr>
          <w:rFonts w:eastAsiaTheme="minorHAnsi"/>
          <w:lang w:eastAsia="en-US"/>
        </w:rPr>
      </w:pPr>
      <w:r w:rsidRPr="00212392">
        <w:rPr>
          <w:rFonts w:eastAsiaTheme="minorHAnsi"/>
          <w:lang w:eastAsia="en-US"/>
        </w:rPr>
        <w:t xml:space="preserve">I said previously that I rejected [the appellant’s] assertion that he told [the complainant] she could no longer come to his house and smoke pot there, and I said already that that, in itself, calls into question the rest of his evidence for obvious reasons. </w:t>
      </w:r>
    </w:p>
    <w:p w:rsidR="00212392" w:rsidRPr="00212392" w:rsidRDefault="00212392" w:rsidP="00C94F18">
      <w:pPr>
        <w:pStyle w:val="1stQuote"/>
        <w:spacing w:before="0" w:after="240"/>
        <w:rPr>
          <w:rFonts w:eastAsiaTheme="minorHAnsi"/>
          <w:lang w:eastAsia="en-US"/>
        </w:rPr>
      </w:pPr>
      <w:r w:rsidRPr="00212392">
        <w:rPr>
          <w:rFonts w:eastAsiaTheme="minorHAnsi"/>
          <w:lang w:eastAsia="en-US"/>
        </w:rPr>
        <w:t>Given that, and given the fact that his evidence is directly contradicted by other evidence that I find strong and credible, I do reject [the appellant’s] denial. I conclude that his denial that these events happened must be rejected. That denial also does not raise a reasonable doubt in my mind about what happened. (transcript, p. 302, l. 35-47, p. 303, l. 1)</w:t>
      </w:r>
    </w:p>
    <w:p w:rsidR="00212392" w:rsidRPr="00212392" w:rsidRDefault="00212392" w:rsidP="00C94F18">
      <w:pPr>
        <w:spacing w:after="240"/>
        <w:ind w:left="0"/>
        <w:rPr>
          <w:rFonts w:eastAsiaTheme="minorHAnsi"/>
          <w:lang w:eastAsia="en-US"/>
        </w:rPr>
      </w:pPr>
      <w:r w:rsidRPr="00212392">
        <w:rPr>
          <w:rFonts w:eastAsiaTheme="minorHAnsi"/>
          <w:lang w:eastAsia="en-US"/>
        </w:rPr>
        <w:t>The trial judge concluded that the evidence of the complainant was “compelling and believable”, notwithstanding some inconsistencies pointed out by the defence. As a result, the Crown had proven its case, and convictions were entered.</w:t>
      </w:r>
    </w:p>
    <w:p w:rsidR="00212392" w:rsidRPr="00212392" w:rsidRDefault="00212392" w:rsidP="00C94F18">
      <w:pPr>
        <w:pStyle w:val="FelskyNumbering12"/>
        <w:spacing w:before="0" w:after="240" w:line="240" w:lineRule="auto"/>
        <w:rPr>
          <w:rFonts w:eastAsiaTheme="minorHAnsi"/>
          <w:lang w:eastAsia="en-US"/>
        </w:rPr>
      </w:pPr>
      <w:r w:rsidRPr="00212392">
        <w:rPr>
          <w:rFonts w:eastAsiaTheme="minorHAnsi"/>
          <w:lang w:eastAsia="en-US"/>
        </w:rPr>
        <w:t>The appellant raises three related arguments, all arising out of the way the trial judge dealt with the allegation that the complainant’s evidence of the assault was fabricated. Firstly, he argues that the trial judge erred in rejecting the appellant’s evidence “solely” based on an argument by defence counsel, namely that the allegations were fabricated. Secondly, he argues that this amounted to the trial judge making a finding of credibility based on evidence not before the court. Thirdly, he argues that the trial judge used her conclusions about fabrication as the “sole” reason for not believing the appellant.</w:t>
      </w:r>
    </w:p>
    <w:p w:rsidR="00212392" w:rsidRPr="00212392" w:rsidRDefault="00212392" w:rsidP="00C94F18">
      <w:pPr>
        <w:pStyle w:val="FelskyNumbering12"/>
        <w:spacing w:before="0" w:after="240" w:line="240" w:lineRule="auto"/>
        <w:rPr>
          <w:rFonts w:eastAsiaTheme="minorHAnsi"/>
          <w:lang w:eastAsia="en-US"/>
        </w:rPr>
      </w:pPr>
      <w:r w:rsidRPr="00212392">
        <w:rPr>
          <w:rFonts w:eastAsiaTheme="minorHAnsi"/>
          <w:lang w:eastAsia="en-US"/>
        </w:rPr>
        <w:t xml:space="preserve">These arguments do not disclose any reviewable error. First of all, it was put directly to the complainant that she had fabricated the allegations. She emphatically denied that, and her denial was believed by the trial judge. Her denial is evidence, made under oath, that the trial judge was entitled to consider. In addition, the appellant testified to a conversation about smoking marijuana in the apartment that the trial judge concluded never happened. That was </w:t>
      </w:r>
      <w:r w:rsidRPr="00212392">
        <w:rPr>
          <w:rFonts w:eastAsiaTheme="minorHAnsi"/>
          <w:lang w:eastAsia="en-US"/>
        </w:rPr>
        <w:lastRenderedPageBreak/>
        <w:t>further evidence on which the trial judge could make her finding that the appellant’s evidence was not credible. It follows that the trial judge did not base her finding on credibility solely on an argument made by defence counsel, nor was it made in the absence of any evidence.</w:t>
      </w:r>
    </w:p>
    <w:p w:rsidR="00212392" w:rsidRPr="00212392" w:rsidRDefault="00212392" w:rsidP="00C94F18">
      <w:pPr>
        <w:pStyle w:val="FelskyNumbering12"/>
        <w:spacing w:before="0" w:after="240" w:line="240" w:lineRule="auto"/>
        <w:rPr>
          <w:rFonts w:eastAsiaTheme="minorHAnsi"/>
          <w:lang w:eastAsia="en-US"/>
        </w:rPr>
      </w:pPr>
      <w:r w:rsidRPr="00212392">
        <w:rPr>
          <w:rFonts w:eastAsiaTheme="minorHAnsi"/>
          <w:lang w:eastAsia="en-US"/>
        </w:rPr>
        <w:t>There is also no merit to the argument that the trial judge’s disbelief of the appellant was based solely on the unaccepted allegation of fabrication. The trial judge reviewed all of the evidence in detail, and explained carefully why she believed some of it, but not other parts. She discussed the weaknesses in the evidence of the various witnesses, and noted that the complainant’s evidence was corroborated by the evidence of her friend. Her rejection of the “marijuana conversation” and the related inference of fabrication were just two components of her overall credibility assessment.</w:t>
      </w:r>
    </w:p>
    <w:p w:rsidR="00212392" w:rsidRPr="00212392" w:rsidRDefault="00212392" w:rsidP="00C94F18">
      <w:pPr>
        <w:pStyle w:val="FelskyNumbering12"/>
        <w:spacing w:before="0" w:after="240" w:line="240" w:lineRule="auto"/>
        <w:rPr>
          <w:rFonts w:eastAsiaTheme="minorHAnsi"/>
          <w:lang w:eastAsia="en-US"/>
        </w:rPr>
      </w:pPr>
      <w:r w:rsidRPr="00212392">
        <w:rPr>
          <w:rFonts w:eastAsiaTheme="minorHAnsi"/>
          <w:lang w:eastAsia="en-US"/>
        </w:rPr>
        <w:t>The trial judge stated that she disbelieved the appellant’s evidence, and also clearly stated that it did not leave her with a reasonable doubt. The appellant argues that the trial judge did not explain why his evidence did not raise a doubt, but the reasons make it clear it was because the totality of the evidence had proven the case beyond a reasonable doubt. The trial judge’s conclusion was based on her consideration of all of the evidence, which is not an error so long as the trial judge stays focus</w:t>
      </w:r>
      <w:r w:rsidR="00327244">
        <w:rPr>
          <w:rFonts w:eastAsiaTheme="minorHAnsi"/>
          <w:lang w:eastAsia="en-US"/>
        </w:rPr>
        <w:t>s</w:t>
      </w:r>
      <w:r w:rsidRPr="00212392">
        <w:rPr>
          <w:rFonts w:eastAsiaTheme="minorHAnsi"/>
          <w:lang w:eastAsia="en-US"/>
        </w:rPr>
        <w:t>ed on the need for the Crown to prove the case beyond a reasonable doubt:</w:t>
      </w:r>
      <w:r w:rsidRPr="00212392">
        <w:rPr>
          <w:rFonts w:eastAsiaTheme="minorHAnsi"/>
          <w:i/>
          <w:lang w:eastAsia="en-US"/>
        </w:rPr>
        <w:t xml:space="preserve"> </w:t>
      </w:r>
      <w:r w:rsidRPr="00212392">
        <w:rPr>
          <w:rFonts w:eastAsiaTheme="minorHAnsi"/>
          <w:b/>
          <w:i/>
          <w:lang w:eastAsia="en-US"/>
        </w:rPr>
        <w:t>R. v A.N.</w:t>
      </w:r>
      <w:r w:rsidRPr="00327244">
        <w:rPr>
          <w:rFonts w:eastAsiaTheme="minorHAnsi"/>
          <w:lang w:eastAsia="en-US"/>
        </w:rPr>
        <w:t>,</w:t>
      </w:r>
      <w:r w:rsidRPr="00212392">
        <w:rPr>
          <w:rFonts w:eastAsiaTheme="minorHAnsi"/>
          <w:i/>
          <w:lang w:eastAsia="en-US"/>
        </w:rPr>
        <w:t xml:space="preserve"> </w:t>
      </w:r>
      <w:r w:rsidRPr="00212392">
        <w:rPr>
          <w:rFonts w:eastAsiaTheme="minorHAnsi"/>
          <w:lang w:eastAsia="en-US"/>
        </w:rPr>
        <w:t>2017 ONCA 647 at para</w:t>
      </w:r>
      <w:r w:rsidR="00327244">
        <w:rPr>
          <w:rFonts w:eastAsiaTheme="minorHAnsi"/>
          <w:lang w:eastAsia="en-US"/>
        </w:rPr>
        <w:t>s</w:t>
      </w:r>
      <w:r w:rsidRPr="00212392">
        <w:rPr>
          <w:rFonts w:eastAsiaTheme="minorHAnsi"/>
          <w:lang w:eastAsia="en-US"/>
        </w:rPr>
        <w:t>. 15-6. Where the tr</w:t>
      </w:r>
      <w:r w:rsidR="003D7DC5">
        <w:rPr>
          <w:rFonts w:eastAsiaTheme="minorHAnsi"/>
          <w:lang w:eastAsia="en-US"/>
        </w:rPr>
        <w:t>i</w:t>
      </w:r>
      <w:r w:rsidRPr="00212392">
        <w:rPr>
          <w:rFonts w:eastAsiaTheme="minorHAnsi"/>
          <w:lang w:eastAsia="en-US"/>
        </w:rPr>
        <w:t xml:space="preserve">al judge rejects the accused’s evidence it can be assumed it raises no reasonable doubt, even if independent reasons for that conclusion are not given: </w:t>
      </w:r>
      <w:r w:rsidRPr="00212392">
        <w:rPr>
          <w:rFonts w:eastAsiaTheme="minorHAnsi"/>
          <w:b/>
          <w:i/>
          <w:lang w:eastAsia="en-US"/>
        </w:rPr>
        <w:t>R. v Boucher</w:t>
      </w:r>
      <w:r w:rsidRPr="00212392">
        <w:rPr>
          <w:rFonts w:eastAsiaTheme="minorHAnsi"/>
          <w:lang w:eastAsia="en-US"/>
        </w:rPr>
        <w:t xml:space="preserve">, 2005 SCC 72 at para. 59, [2005] 3 SCR 499; </w:t>
      </w:r>
      <w:r w:rsidRPr="00212392">
        <w:rPr>
          <w:rFonts w:eastAsiaTheme="minorHAnsi"/>
          <w:b/>
          <w:i/>
          <w:lang w:eastAsia="en-US"/>
        </w:rPr>
        <w:t>R. v Vuradin</w:t>
      </w:r>
      <w:r w:rsidRPr="00212392">
        <w:rPr>
          <w:rFonts w:eastAsiaTheme="minorHAnsi"/>
          <w:lang w:eastAsia="en-US"/>
        </w:rPr>
        <w:t xml:space="preserve">, 2013 SCC 38 at para. 27, [2013] 2 SCR 639; </w:t>
      </w:r>
      <w:r w:rsidRPr="00212392">
        <w:rPr>
          <w:rFonts w:eastAsiaTheme="minorHAnsi"/>
          <w:b/>
          <w:i/>
          <w:lang w:eastAsia="en-US"/>
        </w:rPr>
        <w:t>R. v Stamp</w:t>
      </w:r>
      <w:r w:rsidRPr="00212392">
        <w:rPr>
          <w:rFonts w:eastAsiaTheme="minorHAnsi"/>
          <w:lang w:eastAsia="en-US"/>
        </w:rPr>
        <w:t xml:space="preserve">, 2007 ABCA 140 at para. 45, 74 Alta LR (4th) 47. </w:t>
      </w:r>
    </w:p>
    <w:p w:rsidR="00212392" w:rsidRPr="00212392" w:rsidRDefault="00212392" w:rsidP="00C94F18">
      <w:pPr>
        <w:pStyle w:val="FelskyNumbering12"/>
        <w:spacing w:before="0" w:after="240" w:line="240" w:lineRule="auto"/>
        <w:rPr>
          <w:rFonts w:eastAsiaTheme="minorHAnsi"/>
          <w:lang w:eastAsia="en-US"/>
        </w:rPr>
      </w:pPr>
      <w:r w:rsidRPr="00212392">
        <w:rPr>
          <w:rFonts w:eastAsiaTheme="minorHAnsi"/>
          <w:lang w:eastAsia="en-US"/>
        </w:rPr>
        <w:t xml:space="preserve">The appellant argues that the trial judge reversed the burden of proof, because the appellant had no obligation to prove whether or why the complainant had fabricated the incident. The trial judge </w:t>
      </w:r>
      <w:r w:rsidR="004E4AB8">
        <w:rPr>
          <w:rFonts w:eastAsiaTheme="minorHAnsi"/>
          <w:lang w:eastAsia="en-US"/>
        </w:rPr>
        <w:t xml:space="preserve">specifically recognized that the appellant had no obligation to prove fabrication </w:t>
      </w:r>
      <w:r w:rsidR="004E4AB8" w:rsidRPr="00212392">
        <w:rPr>
          <w:rFonts w:eastAsiaTheme="minorHAnsi"/>
          <w:lang w:eastAsia="en-US"/>
        </w:rPr>
        <w:t>(</w:t>
      </w:r>
      <w:r w:rsidR="004E4AB8" w:rsidRPr="004E4AB8">
        <w:rPr>
          <w:rFonts w:eastAsiaTheme="minorHAnsi"/>
          <w:i/>
          <w:lang w:eastAsia="en-US"/>
        </w:rPr>
        <w:t>supra</w:t>
      </w:r>
      <w:r w:rsidR="004E4AB8">
        <w:rPr>
          <w:rFonts w:eastAsiaTheme="minorHAnsi"/>
          <w:lang w:eastAsia="en-US"/>
        </w:rPr>
        <w:t>, para. 5; transcript, p. 294, l. 19-21</w:t>
      </w:r>
      <w:r w:rsidR="004E4AB8" w:rsidRPr="00212392">
        <w:rPr>
          <w:rFonts w:eastAsiaTheme="minorHAnsi"/>
          <w:lang w:eastAsia="en-US"/>
        </w:rPr>
        <w:t>)</w:t>
      </w:r>
      <w:r w:rsidRPr="00212392">
        <w:rPr>
          <w:rFonts w:eastAsiaTheme="minorHAnsi"/>
          <w:lang w:eastAsia="en-US"/>
        </w:rPr>
        <w:t xml:space="preserve">. It was the appellant who raised the issue of fabrication, and the trial judge was entitled (and perhaps even obliged) to deal with that issue in her reasons. Rejecting the suggestion of a motivation </w:t>
      </w:r>
      <w:r w:rsidR="00CA5F7F">
        <w:rPr>
          <w:rFonts w:eastAsiaTheme="minorHAnsi"/>
          <w:lang w:eastAsia="en-US"/>
        </w:rPr>
        <w:t xml:space="preserve">for fabrication </w:t>
      </w:r>
      <w:r w:rsidRPr="00212392">
        <w:rPr>
          <w:rFonts w:eastAsiaTheme="minorHAnsi"/>
          <w:lang w:eastAsia="en-US"/>
        </w:rPr>
        <w:t>put forward by the appellant does not amount to reversing the burden of proof.</w:t>
      </w:r>
    </w:p>
    <w:p w:rsidR="005A58C3" w:rsidRPr="005A58C3" w:rsidRDefault="00212392" w:rsidP="00C94F18">
      <w:pPr>
        <w:pStyle w:val="FelskyNumbering12"/>
        <w:spacing w:before="0" w:after="240" w:line="240" w:lineRule="auto"/>
        <w:rPr>
          <w:rFonts w:eastAsiaTheme="minorHAnsi"/>
          <w:lang w:eastAsia="en-US"/>
        </w:rPr>
      </w:pPr>
      <w:r w:rsidRPr="005A58C3">
        <w:rPr>
          <w:rFonts w:eastAsiaTheme="minorHAnsi"/>
          <w:lang w:eastAsia="en-US"/>
        </w:rPr>
        <w:t>Finally, the appellant argues that the trial judge subjected the defence evidence to a higher level of scrutiny</w:t>
      </w:r>
      <w:r w:rsidR="00CA5F7F" w:rsidRPr="005A58C3">
        <w:rPr>
          <w:rFonts w:eastAsiaTheme="minorHAnsi"/>
          <w:lang w:eastAsia="en-US"/>
        </w:rPr>
        <w:t>.</w:t>
      </w:r>
      <w:r w:rsidRPr="005A58C3">
        <w:rPr>
          <w:rFonts w:eastAsiaTheme="minorHAnsi"/>
          <w:lang w:eastAsia="en-US"/>
        </w:rPr>
        <w:t xml:space="preserve"> </w:t>
      </w:r>
      <w:r w:rsidR="00CA5F7F" w:rsidRPr="005A58C3">
        <w:rPr>
          <w:rFonts w:eastAsiaTheme="minorHAnsi"/>
          <w:lang w:eastAsia="en-US"/>
        </w:rPr>
        <w:t>This</w:t>
      </w:r>
      <w:r w:rsidRPr="005A58C3">
        <w:rPr>
          <w:rFonts w:eastAsiaTheme="minorHAnsi"/>
          <w:lang w:eastAsia="en-US"/>
        </w:rPr>
        <w:t xml:space="preserve"> is often no more than an invitation to the appeal court to retry the case: </w:t>
      </w:r>
      <w:r w:rsidRPr="005A58C3">
        <w:rPr>
          <w:rFonts w:eastAsiaTheme="minorHAnsi"/>
          <w:b/>
          <w:i/>
          <w:lang w:eastAsia="en-US"/>
        </w:rPr>
        <w:t>R. v Radcliffe</w:t>
      </w:r>
      <w:r w:rsidRPr="005A58C3">
        <w:rPr>
          <w:rFonts w:eastAsiaTheme="minorHAnsi"/>
          <w:lang w:eastAsia="en-US"/>
        </w:rPr>
        <w:t xml:space="preserve">, 2017 ONCA 176 at para. 23, 347 CCC (3d) 3. </w:t>
      </w:r>
      <w:r w:rsidR="005A58C3" w:rsidRPr="00212392">
        <w:rPr>
          <w:rFonts w:eastAsiaTheme="minorHAnsi"/>
          <w:lang w:eastAsia="en-US"/>
        </w:rPr>
        <w:t>Merely because the Crown’s evidence is accepted, and the defence evidence is rejected, does not mean the latter was subjected to a higher level of scrutiny.</w:t>
      </w:r>
      <w:r w:rsidR="005A58C3">
        <w:rPr>
          <w:rFonts w:eastAsiaTheme="minorHAnsi"/>
          <w:lang w:eastAsia="en-US"/>
        </w:rPr>
        <w:t xml:space="preserve"> </w:t>
      </w:r>
      <w:r w:rsidRPr="005A58C3">
        <w:rPr>
          <w:rFonts w:eastAsiaTheme="minorHAnsi"/>
          <w:lang w:eastAsia="en-US"/>
        </w:rPr>
        <w:t>The defence pointed to certain weaknesses in the Crown’s evidence, and the trial judge dealt with them in her reasons. Responding to arguments raised by the defence is a valid component of reasons for decision, and concluding that the identified issues did not affect the ultimate reliability of the evidence does not imply a different level of scrutiny.</w:t>
      </w:r>
      <w:r w:rsidR="005A58C3" w:rsidRPr="005A58C3">
        <w:rPr>
          <w:rFonts w:eastAsiaTheme="minorHAnsi"/>
          <w:lang w:eastAsia="en-US"/>
        </w:rPr>
        <w:t xml:space="preserve"> Confirming that the defence evidence is not only rejected, but that it does not even leave a reasonable doubt, will often require a more intensive scrutiny of that defence evidence by the trial judge to ensure that nothing is overlooked.</w:t>
      </w:r>
      <w:r w:rsidRPr="005A58C3">
        <w:rPr>
          <w:rFonts w:eastAsiaTheme="minorHAnsi"/>
          <w:lang w:eastAsia="en-US"/>
        </w:rPr>
        <w:t xml:space="preserve"> </w:t>
      </w:r>
    </w:p>
    <w:p w:rsidR="00611D69" w:rsidRPr="005A58C3" w:rsidRDefault="00212392" w:rsidP="00C94F18">
      <w:pPr>
        <w:pStyle w:val="FelskyNumbering12"/>
        <w:spacing w:line="240" w:lineRule="auto"/>
        <w:rPr>
          <w:rFonts w:eastAsiaTheme="minorHAnsi"/>
          <w:lang w:eastAsia="en-US"/>
        </w:rPr>
      </w:pPr>
      <w:r w:rsidRPr="005A58C3">
        <w:rPr>
          <w:rFonts w:eastAsiaTheme="minorHAnsi"/>
          <w:lang w:eastAsia="en-US"/>
        </w:rPr>
        <w:t>In summary, the convictions were amply supported by the evidence on the record, and the reasons of the trial judge, when read as a whole, amply disclose the line of reasoning that led to those convictions. The appeal is dismissed.</w:t>
      </w:r>
    </w:p>
    <w:p w:rsidR="008A07E5" w:rsidRPr="009C2254" w:rsidRDefault="00212392" w:rsidP="008A07E5">
      <w:pPr>
        <w:widowControl w:val="0"/>
        <w:ind w:left="0"/>
      </w:pPr>
      <w:r>
        <w:t>Appeal heard on April 17, 2018</w:t>
      </w:r>
    </w:p>
    <w:p w:rsidR="008A07E5" w:rsidRPr="009C2254" w:rsidRDefault="008A07E5" w:rsidP="008A07E5">
      <w:pPr>
        <w:widowControl w:val="0"/>
        <w:ind w:left="0"/>
      </w:pPr>
    </w:p>
    <w:p w:rsidR="008A07E5" w:rsidRPr="009C2254" w:rsidRDefault="008A07E5" w:rsidP="008A07E5">
      <w:pPr>
        <w:widowControl w:val="0"/>
        <w:ind w:left="0"/>
      </w:pPr>
      <w:r>
        <w:t>Memorandum filed</w:t>
      </w:r>
      <w:r w:rsidRPr="009C2254">
        <w:t xml:space="preserve"> at</w:t>
      </w:r>
      <w:r>
        <w:t xml:space="preserve"> Yellowknife, Northwest Territories</w:t>
      </w:r>
    </w:p>
    <w:p w:rsidR="008A07E5" w:rsidRPr="00572ABB" w:rsidRDefault="008A07E5" w:rsidP="008A07E5">
      <w:pPr>
        <w:widowControl w:val="0"/>
        <w:ind w:left="0"/>
        <w:rPr>
          <w:color w:val="000000"/>
        </w:rPr>
      </w:pPr>
      <w:r w:rsidRPr="009C2254">
        <w:t>this</w:t>
      </w:r>
      <w:r>
        <w:t xml:space="preserve">        day of </w:t>
      </w:r>
      <w:r w:rsidR="003D7DC5">
        <w:t>May</w:t>
      </w:r>
      <w:r w:rsidR="009A4DB0">
        <w:t>, 201</w:t>
      </w:r>
      <w:r w:rsidR="003B4630">
        <w:t>8</w:t>
      </w:r>
    </w:p>
    <w:p w:rsidR="008A07E5" w:rsidRPr="009C2254" w:rsidRDefault="008A07E5" w:rsidP="008A07E5">
      <w:pPr>
        <w:widowControl w:val="0"/>
        <w:ind w:left="0"/>
      </w:pPr>
    </w:p>
    <w:p w:rsidR="008A07E5" w:rsidRPr="009C2254" w:rsidRDefault="008A07E5" w:rsidP="008A07E5">
      <w:pPr>
        <w:widowControl w:val="0"/>
        <w:ind w:left="0"/>
      </w:pPr>
    </w:p>
    <w:p w:rsidR="008A07E5" w:rsidRPr="009C2254" w:rsidRDefault="008A07E5" w:rsidP="008A07E5">
      <w:pPr>
        <w:widowControl w:val="0"/>
        <w:ind w:left="0"/>
      </w:pPr>
    </w:p>
    <w:p w:rsidR="008A07E5" w:rsidRDefault="008A07E5" w:rsidP="008A07E5">
      <w:pPr>
        <w:widowControl w:val="0"/>
        <w:ind w:left="0"/>
        <w:jc w:val="right"/>
      </w:pPr>
      <w:bookmarkStart w:id="28" w:name="Signature"/>
      <w:bookmarkEnd w:id="28"/>
    </w:p>
    <w:p w:rsidR="008A07E5" w:rsidRDefault="003A4417" w:rsidP="008A07E5">
      <w:pPr>
        <w:widowControl w:val="0"/>
        <w:ind w:left="0"/>
        <w:jc w:val="right"/>
      </w:pPr>
      <w:r>
        <w:pict>
          <v:rect id="_x0000_i1025" style="width:3in;height:.7pt" o:hrpct="0" o:hralign="right" o:hrstd="t" o:hrnoshade="t" o:hr="t" fillcolor="black" stroked="f"/>
        </w:pict>
      </w:r>
    </w:p>
    <w:p w:rsidR="00BD5F7D" w:rsidRDefault="00F8349D" w:rsidP="008A07E5">
      <w:pPr>
        <w:ind w:left="0"/>
        <w:jc w:val="right"/>
      </w:pPr>
      <w:r>
        <w:t xml:space="preserve">   </w:t>
      </w:r>
      <w:r w:rsidR="00224A94">
        <w:t xml:space="preserve">   </w:t>
      </w:r>
      <w:r>
        <w:t xml:space="preserve">  </w:t>
      </w:r>
      <w:r w:rsidR="003B4630">
        <w:t xml:space="preserve">Berger </w:t>
      </w:r>
      <w:r w:rsidR="008A07E5">
        <w:t>J.A.</w:t>
      </w:r>
    </w:p>
    <w:p w:rsidR="00BD5F7D" w:rsidRPr="009C2254" w:rsidRDefault="00BD5F7D" w:rsidP="00BD5F7D">
      <w:pPr>
        <w:widowControl w:val="0"/>
        <w:ind w:left="0"/>
      </w:pPr>
    </w:p>
    <w:p w:rsidR="00BD5F7D" w:rsidRPr="009C2254" w:rsidRDefault="00BD5F7D" w:rsidP="00BD5F7D">
      <w:pPr>
        <w:widowControl w:val="0"/>
        <w:ind w:left="0"/>
      </w:pPr>
    </w:p>
    <w:p w:rsidR="00BD5F7D" w:rsidRDefault="00BD5F7D" w:rsidP="00BD5F7D">
      <w:pPr>
        <w:widowControl w:val="0"/>
        <w:ind w:left="0"/>
        <w:jc w:val="right"/>
      </w:pPr>
    </w:p>
    <w:p w:rsidR="00BD5F7D" w:rsidRDefault="003A4417" w:rsidP="00BD5F7D">
      <w:pPr>
        <w:widowControl w:val="0"/>
        <w:ind w:left="0"/>
        <w:jc w:val="right"/>
      </w:pPr>
      <w:r>
        <w:pict>
          <v:rect id="_x0000_i1026" style="width:3in;height:.7pt" o:hrpct="0" o:hralign="right" o:hrstd="t" o:hrnoshade="t" o:hr="t" fillcolor="black" stroked="f"/>
        </w:pict>
      </w:r>
    </w:p>
    <w:p w:rsidR="00BD5F7D" w:rsidRDefault="00BD5F7D" w:rsidP="00BD5F7D">
      <w:pPr>
        <w:ind w:left="0"/>
        <w:jc w:val="right"/>
      </w:pPr>
      <w:r>
        <w:t xml:space="preserve">        </w:t>
      </w:r>
      <w:r w:rsidR="003B4630">
        <w:t>Slatter</w:t>
      </w:r>
      <w:r>
        <w:t xml:space="preserve"> J.A.</w:t>
      </w:r>
    </w:p>
    <w:p w:rsidR="00BD5F7D" w:rsidRPr="009C2254" w:rsidRDefault="00BD5F7D" w:rsidP="00BD5F7D">
      <w:pPr>
        <w:widowControl w:val="0"/>
        <w:ind w:left="0"/>
      </w:pPr>
    </w:p>
    <w:p w:rsidR="00BD5F7D" w:rsidRPr="009C2254" w:rsidRDefault="00BD5F7D" w:rsidP="00BD5F7D">
      <w:pPr>
        <w:widowControl w:val="0"/>
        <w:ind w:left="0"/>
      </w:pPr>
    </w:p>
    <w:p w:rsidR="00BD5F7D" w:rsidRDefault="00BD5F7D" w:rsidP="00BD5F7D">
      <w:pPr>
        <w:widowControl w:val="0"/>
        <w:ind w:left="0"/>
        <w:jc w:val="right"/>
      </w:pPr>
    </w:p>
    <w:p w:rsidR="00BD5F7D" w:rsidRDefault="003A4417" w:rsidP="00BD5F7D">
      <w:pPr>
        <w:widowControl w:val="0"/>
        <w:ind w:left="0"/>
        <w:jc w:val="right"/>
      </w:pPr>
      <w:r>
        <w:pict>
          <v:rect id="_x0000_i1027" style="width:3in;height:.7pt" o:hrpct="0" o:hralign="right" o:hrstd="t" o:hrnoshade="t" o:hr="t" fillcolor="black" stroked="f"/>
        </w:pict>
      </w:r>
    </w:p>
    <w:p w:rsidR="007E3EB9" w:rsidRDefault="00BD5F7D" w:rsidP="00BD5F7D">
      <w:pPr>
        <w:ind w:left="0"/>
        <w:jc w:val="right"/>
      </w:pPr>
      <w:r>
        <w:t xml:space="preserve">        </w:t>
      </w:r>
      <w:r w:rsidR="003B4630">
        <w:t>Wakeling</w:t>
      </w:r>
      <w:r>
        <w:t xml:space="preserve"> J.A.</w:t>
      </w:r>
      <w:r w:rsidR="007E3EB9">
        <w:br w:type="page"/>
      </w:r>
    </w:p>
    <w:p w:rsidR="00283549" w:rsidRPr="009C2254" w:rsidRDefault="00283549" w:rsidP="004B6F64">
      <w:pPr>
        <w:keepNext/>
        <w:keepLines/>
        <w:ind w:left="0"/>
      </w:pPr>
      <w:bookmarkStart w:id="29" w:name="frAppearances"/>
      <w:bookmarkEnd w:id="29"/>
      <w:r w:rsidRPr="009C2254">
        <w:rPr>
          <w:b/>
          <w:bCs/>
        </w:rPr>
        <w:t>Appearances:</w:t>
      </w:r>
    </w:p>
    <w:p w:rsidR="00283549" w:rsidRPr="009C2254" w:rsidRDefault="00283549" w:rsidP="004B6F64">
      <w:pPr>
        <w:keepNext/>
        <w:keepLines/>
        <w:ind w:left="0"/>
      </w:pPr>
    </w:p>
    <w:p w:rsidR="00283549" w:rsidRPr="00CC768D" w:rsidRDefault="00672A14" w:rsidP="004B6F64">
      <w:pPr>
        <w:keepNext/>
        <w:keepLines/>
        <w:ind w:left="0"/>
      </w:pPr>
      <w:r>
        <w:t>J. Potter</w:t>
      </w:r>
    </w:p>
    <w:p w:rsidR="00283549" w:rsidRPr="00CC768D" w:rsidRDefault="0006198A" w:rsidP="004B6F64">
      <w:pPr>
        <w:keepNext/>
        <w:keepLines/>
        <w:ind w:left="0"/>
      </w:pPr>
      <w:r w:rsidRPr="00CC768D">
        <w:tab/>
        <w:t xml:space="preserve">for the </w:t>
      </w:r>
      <w:r w:rsidR="005C2BD4">
        <w:t>Respondent</w:t>
      </w:r>
    </w:p>
    <w:p w:rsidR="00283549" w:rsidRPr="00CC768D" w:rsidRDefault="00283549" w:rsidP="004B6F64">
      <w:pPr>
        <w:keepNext/>
        <w:keepLines/>
        <w:ind w:left="0"/>
      </w:pPr>
    </w:p>
    <w:p w:rsidR="00283549" w:rsidRPr="00CC768D" w:rsidRDefault="00672A14" w:rsidP="004B6F64">
      <w:pPr>
        <w:keepNext/>
        <w:keepLines/>
        <w:ind w:left="0"/>
      </w:pPr>
      <w:r>
        <w:t>E.V. McIntyre</w:t>
      </w:r>
    </w:p>
    <w:p w:rsidR="00283549" w:rsidRPr="00CC768D" w:rsidRDefault="0006198A" w:rsidP="004B6F64">
      <w:pPr>
        <w:keepNext/>
        <w:keepLines/>
        <w:ind w:left="0"/>
      </w:pPr>
      <w:r w:rsidRPr="00CC768D">
        <w:tab/>
        <w:t xml:space="preserve">for the </w:t>
      </w:r>
      <w:r w:rsidR="005C2BD4">
        <w:t>Appellant</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30" w:name="Corrigendum"/>
      <w:bookmarkEnd w:id="30"/>
    </w:p>
    <w:p w:rsidR="008818AA" w:rsidRDefault="008818AA" w:rsidP="004B6F64">
      <w:pPr>
        <w:ind w:left="0"/>
        <w:sectPr w:rsidR="008818AA" w:rsidSect="001E53E3">
          <w:headerReference w:type="even" r:id="rId12"/>
          <w:headerReference w:type="default" r:id="rId13"/>
          <w:headerReference w:type="first" r:id="rId14"/>
          <w:type w:val="continuous"/>
          <w:pgSz w:w="12240" w:h="15840"/>
          <w:pgMar w:top="1585" w:right="1440" w:bottom="1440" w:left="1440" w:header="1440" w:footer="1440" w:gutter="0"/>
          <w:pgNumType w:start="1"/>
          <w:cols w:space="720"/>
          <w:noEndnote/>
          <w:docGrid w:linePitch="326"/>
        </w:sectPr>
      </w:pPr>
    </w:p>
    <w:p w:rsidR="008818AA" w:rsidRPr="008818AA" w:rsidRDefault="008818AA" w:rsidP="008818AA">
      <w:pPr>
        <w:ind w:left="0"/>
        <w:jc w:val="center"/>
      </w:pPr>
      <w:r>
        <w:t xml:space="preserve">                                       </w:t>
      </w:r>
      <w:r w:rsidRPr="008818AA">
        <w:t>MEMORANDUM OF JUDGMENT</w:t>
      </w:r>
    </w:p>
    <w:p w:rsidR="008818AA" w:rsidRPr="008818AA" w:rsidRDefault="008818AA" w:rsidP="008818AA">
      <w:pPr>
        <w:ind w:left="0"/>
      </w:pPr>
    </w:p>
    <w:p w:rsidR="008818AA" w:rsidRPr="008818AA" w:rsidRDefault="008818AA" w:rsidP="008818AA">
      <w:pPr>
        <w:ind w:left="0"/>
      </w:pPr>
      <w:r w:rsidRPr="008818AA">
        <w:rPr>
          <w:noProof/>
          <w:lang w:val="en-US" w:eastAsia="en-US"/>
        </w:rPr>
        <mc:AlternateContent>
          <mc:Choice Requires="wps">
            <w:drawing>
              <wp:anchor distT="0" distB="0" distL="114300" distR="114300" simplePos="0" relativeHeight="251656704" behindDoc="1" locked="1" layoutInCell="0" allowOverlap="1" wp14:anchorId="07F7263E" wp14:editId="2F82D18C">
                <wp:simplePos x="0" y="0"/>
                <wp:positionH relativeFrom="page">
                  <wp:posOffset>2926080</wp:posOffset>
                </wp:positionH>
                <wp:positionV relativeFrom="paragraph">
                  <wp:posOffset>0</wp:posOffset>
                </wp:positionV>
                <wp:extent cx="3931920" cy="120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849C" id="Rectangle 7" o:spid="_x0000_s1026" style="position:absolute;margin-left:230.4pt;margin-top:0;width:309.6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HV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ZIkhZS9BFEI3IrGMq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IUAAdX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8818AA" w:rsidRPr="008818AA" w:rsidRDefault="008818AA" w:rsidP="008818AA">
      <w:pPr>
        <w:ind w:left="0"/>
      </w:pPr>
    </w:p>
    <w:p w:rsidR="008818AA" w:rsidRPr="008818AA" w:rsidRDefault="008818AA" w:rsidP="008818AA">
      <w:pPr>
        <w:ind w:left="0"/>
      </w:pPr>
    </w:p>
    <w:p w:rsidR="008818AA" w:rsidRPr="008818AA" w:rsidRDefault="008818AA" w:rsidP="008818AA">
      <w:pPr>
        <w:ind w:left="0"/>
      </w:pPr>
    </w:p>
    <w:p w:rsidR="00283549" w:rsidRPr="009C2254" w:rsidRDefault="00283549" w:rsidP="004B6F64">
      <w:pPr>
        <w:ind w:left="0"/>
      </w:pPr>
    </w:p>
    <w:sectPr w:rsidR="00283549" w:rsidRPr="009C2254" w:rsidSect="008818AA">
      <w:headerReference w:type="default" r:id="rId15"/>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79" w:rsidRDefault="005E7079" w:rsidP="00283549">
      <w:r>
        <w:separator/>
      </w:r>
    </w:p>
  </w:endnote>
  <w:endnote w:type="continuationSeparator" w:id="0">
    <w:p w:rsidR="005E7079" w:rsidRDefault="005E7079"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79" w:rsidRDefault="005E7079" w:rsidP="0046579D">
      <w:pPr>
        <w:ind w:left="0"/>
      </w:pPr>
      <w:r>
        <w:separator/>
      </w:r>
    </w:p>
  </w:footnote>
  <w:footnote w:type="continuationSeparator" w:id="0">
    <w:p w:rsidR="005E7079" w:rsidRDefault="005E7079"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Pr="00ED4A08" w:rsidRDefault="00896848" w:rsidP="00ED4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4417">
          <w:rPr>
            <w:noProof/>
          </w:rPr>
          <w:t>2</w:t>
        </w:r>
        <w:r>
          <w:rPr>
            <w:noProof/>
          </w:rPr>
          <w:fldChar w:fldCharType="end"/>
        </w:r>
      </w:sdtContent>
    </w:sdt>
  </w:p>
  <w:p w:rsidR="00896848" w:rsidRDefault="00896848">
    <w:pPr>
      <w:spacing w:line="240" w:lineRule="exact"/>
      <w:rPr>
        <w:rFonts w:eastAsia="PMingLiU"/>
        <w:lang w:val="en-GB"/>
      </w:rPr>
    </w:pPr>
  </w:p>
  <w:p w:rsidR="00896848" w:rsidRDefault="00896848">
    <w:pPr>
      <w:spacing w:line="240" w:lineRule="exact"/>
      <w:rPr>
        <w:rFonts w:eastAsia="PMingLiU"/>
        <w:lang w:val="en-GB"/>
      </w:rPr>
    </w:pPr>
  </w:p>
  <w:p w:rsidR="00896848" w:rsidRDefault="00896848">
    <w:pPr>
      <w:spacing w:line="240" w:lineRule="exact"/>
      <w:rPr>
        <w:rFonts w:eastAsia="PMingLiU"/>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AA" w:rsidRPr="007D3FA9" w:rsidRDefault="008818AA" w:rsidP="008818AA">
    <w:pPr>
      <w:ind w:left="3600" w:right="558"/>
      <w:jc w:val="right"/>
      <w:rPr>
        <w:rFonts w:eastAsia="PMingLiU"/>
      </w:rPr>
    </w:pPr>
    <w:r>
      <w:rPr>
        <w:rFonts w:eastAsia="PMingLiU"/>
        <w:bCs/>
      </w:rPr>
      <w:t>A1-AP-2016-000 011</w:t>
    </w:r>
  </w:p>
  <w:p w:rsidR="008818AA" w:rsidRPr="007D3FA9" w:rsidRDefault="008818AA" w:rsidP="008818AA">
    <w:pPr>
      <w:ind w:left="3600" w:right="558"/>
      <w:rPr>
        <w:rFonts w:eastAsia="PMingLiU"/>
      </w:rPr>
    </w:pPr>
    <w:r>
      <w:rPr>
        <w:noProof/>
        <w:lang w:val="en-US" w:eastAsia="en-US"/>
      </w:rPr>
      <mc:AlternateContent>
        <mc:Choice Requires="wps">
          <w:drawing>
            <wp:anchor distT="0" distB="0" distL="114300" distR="114300" simplePos="0" relativeHeight="251655680" behindDoc="1" locked="1" layoutInCell="0" allowOverlap="1" wp14:anchorId="78C1FB70" wp14:editId="44D7F5CB">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14AB8" id="Rectangle 4" o:spid="_x0000_s1026" style="position:absolute;margin-left:230.4pt;margin-top:0;width:309.6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8818AA" w:rsidRPr="007D3FA9" w:rsidRDefault="008818AA" w:rsidP="008818AA">
    <w:pPr>
      <w:ind w:left="3600" w:right="558"/>
      <w:rPr>
        <w:rFonts w:eastAsia="PMingLiU"/>
      </w:rPr>
    </w:pPr>
  </w:p>
  <w:p w:rsidR="008818AA" w:rsidRPr="007D3FA9" w:rsidRDefault="008818AA" w:rsidP="008818AA">
    <w:pPr>
      <w:ind w:left="3600" w:right="558"/>
      <w:jc w:val="center"/>
      <w:rPr>
        <w:rFonts w:eastAsia="PMingLiU"/>
      </w:rPr>
    </w:pPr>
    <w:r>
      <w:rPr>
        <w:rFonts w:eastAsia="PMingLiU"/>
      </w:rPr>
      <w:t>IN THE COURT OF</w:t>
    </w:r>
    <w:r w:rsidRPr="007D3FA9">
      <w:rPr>
        <w:rFonts w:eastAsia="PMingLiU"/>
      </w:rPr>
      <w:t xml:space="preserve"> APPEAL</w:t>
    </w:r>
  </w:p>
  <w:p w:rsidR="008818AA" w:rsidRPr="007D3FA9" w:rsidRDefault="008818AA" w:rsidP="008818AA">
    <w:pPr>
      <w:ind w:left="3600" w:right="558"/>
      <w:jc w:val="center"/>
      <w:rPr>
        <w:rFonts w:eastAsia="PMingLiU"/>
      </w:rPr>
    </w:pPr>
    <w:r>
      <w:rPr>
        <w:rFonts w:eastAsia="PMingLiU"/>
      </w:rPr>
      <w:t>FOR</w:t>
    </w:r>
    <w:r w:rsidRPr="007D3FA9">
      <w:rPr>
        <w:rFonts w:eastAsia="PMingLiU"/>
      </w:rPr>
      <w:t xml:space="preserve"> THE NORTHWEST TERRITORIES</w:t>
    </w:r>
  </w:p>
  <w:p w:rsidR="008818AA" w:rsidRPr="007D3FA9" w:rsidRDefault="008818AA" w:rsidP="008818AA">
    <w:pPr>
      <w:ind w:left="3600" w:right="558"/>
      <w:jc w:val="center"/>
      <w:rPr>
        <w:rFonts w:eastAsia="PMingLiU"/>
      </w:rPr>
    </w:pPr>
  </w:p>
  <w:p w:rsidR="008818AA" w:rsidRPr="007D3FA9" w:rsidRDefault="008818AA" w:rsidP="008818AA">
    <w:pPr>
      <w:ind w:left="3600" w:right="558"/>
      <w:rPr>
        <w:rFonts w:eastAsia="PMingLiU"/>
      </w:rPr>
    </w:pPr>
    <w:r>
      <w:rPr>
        <w:noProof/>
        <w:lang w:val="en-US" w:eastAsia="en-US"/>
      </w:rPr>
      <mc:AlternateContent>
        <mc:Choice Requires="wps">
          <w:drawing>
            <wp:anchor distT="0" distB="0" distL="114300" distR="114300" simplePos="0" relativeHeight="251657728" behindDoc="1" locked="1" layoutInCell="0" allowOverlap="1" wp14:anchorId="2BFD3B33" wp14:editId="2CD4CDD3">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2FA97" id="Rectangle 5" o:spid="_x0000_s1026" style="position:absolute;margin-left:230.4pt;margin-top:0;width:309.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8818AA" w:rsidRPr="007D3FA9" w:rsidRDefault="008818AA" w:rsidP="008818AA">
    <w:pPr>
      <w:ind w:left="3600" w:right="558"/>
      <w:rPr>
        <w:rFonts w:eastAsia="PMingLiU"/>
      </w:rPr>
    </w:pPr>
  </w:p>
  <w:p w:rsidR="008818AA" w:rsidRDefault="008818AA" w:rsidP="008818AA">
    <w:pPr>
      <w:ind w:left="3600" w:right="558"/>
      <w:rPr>
        <w:rFonts w:eastAsia="PMingLiU"/>
        <w:b/>
        <w:bCs/>
      </w:rPr>
    </w:pPr>
    <w:r w:rsidRPr="009C2254">
      <w:rPr>
        <w:rFonts w:eastAsia="PMingLiU"/>
        <w:b/>
        <w:bCs/>
      </w:rPr>
      <w:t>Between:</w:t>
    </w:r>
  </w:p>
  <w:p w:rsidR="008818AA" w:rsidRPr="009C2254" w:rsidRDefault="008818AA" w:rsidP="008818AA">
    <w:pPr>
      <w:ind w:left="3600" w:right="558"/>
      <w:rPr>
        <w:rFonts w:eastAsia="PMingLiU"/>
      </w:rPr>
    </w:pPr>
  </w:p>
  <w:p w:rsidR="008818AA" w:rsidRPr="00274DA4" w:rsidRDefault="008818AA" w:rsidP="008818AA">
    <w:pPr>
      <w:ind w:left="3600" w:right="558"/>
      <w:jc w:val="center"/>
      <w:rPr>
        <w:rFonts w:eastAsia="PMingLiU"/>
        <w:b/>
      </w:rPr>
    </w:pPr>
    <w:r>
      <w:rPr>
        <w:rFonts w:eastAsia="PMingLiU"/>
        <w:b/>
      </w:rPr>
      <w:t>Her Majesty the Queen</w:t>
    </w:r>
  </w:p>
  <w:p w:rsidR="008818AA" w:rsidRPr="00274DA4" w:rsidRDefault="008818AA" w:rsidP="008818AA">
    <w:pPr>
      <w:ind w:left="3600" w:right="558"/>
      <w:jc w:val="center"/>
      <w:rPr>
        <w:rFonts w:eastAsia="PMingLiU"/>
        <w:b/>
      </w:rPr>
    </w:pPr>
  </w:p>
  <w:p w:rsidR="008818AA" w:rsidRPr="000355FF" w:rsidRDefault="009E785A" w:rsidP="008818AA">
    <w:pPr>
      <w:ind w:left="3600" w:right="558"/>
      <w:jc w:val="right"/>
      <w:rPr>
        <w:rFonts w:eastAsia="PMingLiU"/>
      </w:rPr>
    </w:pPr>
    <w:r>
      <w:rPr>
        <w:rFonts w:eastAsia="PMingLiU"/>
      </w:rPr>
      <w:t>Respondent</w:t>
    </w:r>
  </w:p>
  <w:p w:rsidR="008818AA" w:rsidRDefault="008818AA" w:rsidP="008818AA">
    <w:pPr>
      <w:ind w:left="3600" w:right="558"/>
      <w:jc w:val="center"/>
      <w:rPr>
        <w:rFonts w:eastAsia="PMingLiU"/>
        <w:b/>
      </w:rPr>
    </w:pPr>
  </w:p>
  <w:p w:rsidR="008818AA" w:rsidRPr="00274DA4" w:rsidRDefault="008818AA" w:rsidP="008818AA">
    <w:pPr>
      <w:ind w:left="3600" w:right="558"/>
      <w:jc w:val="center"/>
      <w:rPr>
        <w:rFonts w:eastAsia="PMingLiU"/>
        <w:b/>
      </w:rPr>
    </w:pPr>
  </w:p>
  <w:p w:rsidR="008818AA" w:rsidRPr="00274DA4" w:rsidRDefault="008818AA" w:rsidP="008818AA">
    <w:pPr>
      <w:ind w:left="3600" w:right="558"/>
      <w:jc w:val="center"/>
      <w:rPr>
        <w:rFonts w:eastAsia="PMingLiU"/>
        <w:b/>
      </w:rPr>
    </w:pPr>
    <w:r w:rsidRPr="00274DA4">
      <w:rPr>
        <w:rFonts w:eastAsia="PMingLiU"/>
        <w:b/>
      </w:rPr>
      <w:t xml:space="preserve">- and </w:t>
    </w:r>
    <w:r>
      <w:rPr>
        <w:rFonts w:eastAsia="PMingLiU"/>
        <w:b/>
      </w:rPr>
      <w:t>-</w:t>
    </w:r>
  </w:p>
  <w:p w:rsidR="008818AA" w:rsidRPr="00274DA4" w:rsidRDefault="008818AA" w:rsidP="008818AA">
    <w:pPr>
      <w:ind w:left="3600" w:right="558"/>
      <w:jc w:val="center"/>
      <w:rPr>
        <w:rFonts w:eastAsia="PMingLiU"/>
        <w:b/>
      </w:rPr>
    </w:pPr>
  </w:p>
  <w:p w:rsidR="008818AA" w:rsidRPr="00274DA4" w:rsidRDefault="008818AA" w:rsidP="008818AA">
    <w:pPr>
      <w:ind w:left="3600" w:right="558"/>
      <w:jc w:val="center"/>
      <w:rPr>
        <w:rFonts w:eastAsia="PMingLiU"/>
        <w:b/>
      </w:rPr>
    </w:pPr>
  </w:p>
  <w:p w:rsidR="008818AA" w:rsidRPr="00274DA4" w:rsidRDefault="008818AA" w:rsidP="008818AA">
    <w:pPr>
      <w:ind w:left="3600" w:right="558"/>
      <w:jc w:val="center"/>
      <w:rPr>
        <w:rFonts w:eastAsia="PMingLiU"/>
        <w:b/>
      </w:rPr>
    </w:pPr>
    <w:r>
      <w:rPr>
        <w:rFonts w:eastAsia="PMingLiU"/>
        <w:b/>
      </w:rPr>
      <w:t>Noah Akhiatak</w:t>
    </w:r>
  </w:p>
  <w:p w:rsidR="008818AA" w:rsidRPr="00274DA4" w:rsidRDefault="008818AA" w:rsidP="008818AA">
    <w:pPr>
      <w:ind w:left="3600" w:right="558"/>
      <w:jc w:val="center"/>
      <w:rPr>
        <w:rFonts w:eastAsia="PMingLiU"/>
        <w:b/>
      </w:rPr>
    </w:pPr>
  </w:p>
  <w:p w:rsidR="008818AA" w:rsidRPr="000355FF" w:rsidRDefault="009E785A" w:rsidP="008818AA">
    <w:pPr>
      <w:ind w:left="3600" w:right="558"/>
      <w:jc w:val="right"/>
      <w:rPr>
        <w:rFonts w:eastAsia="PMingLiU"/>
      </w:rPr>
    </w:pPr>
    <w:r>
      <w:rPr>
        <w:rFonts w:eastAsia="PMingLiU"/>
      </w:rPr>
      <w:t>Appellant</w:t>
    </w:r>
  </w:p>
  <w:p w:rsidR="008818AA" w:rsidRPr="00274DA4" w:rsidRDefault="008818AA" w:rsidP="008818AA">
    <w:pPr>
      <w:ind w:left="3600" w:right="558"/>
      <w:jc w:val="center"/>
      <w:rPr>
        <w:rFonts w:eastAsia="PMingLiU"/>
        <w:b/>
      </w:rPr>
    </w:pPr>
  </w:p>
  <w:p w:rsidR="008818AA" w:rsidRPr="00274DA4" w:rsidRDefault="008818AA" w:rsidP="008818AA">
    <w:pPr>
      <w:ind w:left="3600" w:right="558"/>
      <w:rPr>
        <w:rFonts w:eastAsia="PMingLiU"/>
        <w:b/>
      </w:rPr>
    </w:pPr>
  </w:p>
  <w:p w:rsidR="008818AA" w:rsidRPr="009C2254" w:rsidRDefault="008818AA" w:rsidP="008818AA">
    <w:pPr>
      <w:ind w:left="3600" w:right="558"/>
      <w:jc w:val="center"/>
      <w:rPr>
        <w:rFonts w:eastAsia="PMingLiU"/>
      </w:rPr>
    </w:pPr>
  </w:p>
  <w:p w:rsidR="008818AA" w:rsidRPr="007D3FA9" w:rsidRDefault="008818AA" w:rsidP="008818AA">
    <w:pPr>
      <w:ind w:left="3600" w:right="558"/>
    </w:pPr>
  </w:p>
  <w:p w:rsidR="008818AA" w:rsidRPr="007D3FA9" w:rsidRDefault="008818AA" w:rsidP="008818AA">
    <w:pPr>
      <w:ind w:left="3600" w:right="558"/>
    </w:pPr>
  </w:p>
  <w:p w:rsidR="008818AA" w:rsidRPr="007D3FA9" w:rsidRDefault="008818AA" w:rsidP="008818AA">
    <w:pPr>
      <w:ind w:left="3600" w:right="558"/>
    </w:pPr>
    <w:r>
      <w:rPr>
        <w:noProof/>
        <w:lang w:val="en-US" w:eastAsia="en-US"/>
      </w:rPr>
      <mc:AlternateContent>
        <mc:Choice Requires="wps">
          <w:drawing>
            <wp:anchor distT="0" distB="0" distL="114300" distR="114300" simplePos="0" relativeHeight="251658752" behindDoc="1" locked="1" layoutInCell="0" allowOverlap="1" wp14:anchorId="7AE8D743" wp14:editId="51972DB5">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77A0" id="Rectangle 6" o:spid="_x0000_s1026" style="position:absolute;margin-left:230.4pt;margin-top:0;width:309.6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8818AA" w:rsidRPr="007D3FA9" w:rsidRDefault="008818AA" w:rsidP="008818AA">
    <w:pPr>
      <w:ind w:left="3600" w:right="558"/>
    </w:pPr>
  </w:p>
  <w:p w:rsidR="008818AA" w:rsidRPr="007D3FA9" w:rsidRDefault="008818AA" w:rsidP="008818AA">
    <w:pPr>
      <w:ind w:left="3600" w:right="558"/>
      <w:jc w:val="center"/>
    </w:pPr>
    <w:r w:rsidRPr="007D3FA9">
      <w:t>MEMORANDUM OF JUDGMENT</w:t>
    </w:r>
  </w:p>
  <w:p w:rsidR="008818AA" w:rsidRPr="007D3FA9" w:rsidRDefault="008818AA" w:rsidP="008818AA">
    <w:pPr>
      <w:ind w:left="3600" w:right="558"/>
      <w:jc w:val="center"/>
    </w:pPr>
  </w:p>
  <w:p w:rsidR="008818AA" w:rsidRPr="009C2254" w:rsidRDefault="008818AA" w:rsidP="008818AA">
    <w:pPr>
      <w:ind w:left="3600" w:right="558"/>
    </w:pPr>
    <w:r>
      <w:rPr>
        <w:noProof/>
        <w:lang w:val="en-US" w:eastAsia="en-US"/>
      </w:rPr>
      <mc:AlternateContent>
        <mc:Choice Requires="wps">
          <w:drawing>
            <wp:anchor distT="0" distB="0" distL="114300" distR="114300" simplePos="0" relativeHeight="251659776" behindDoc="1" locked="1" layoutInCell="0" allowOverlap="1" wp14:anchorId="2FC16913" wp14:editId="29E8BC18">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085D" id="Rectangle 7" o:spid="_x0000_s1026" style="position:absolute;margin-left:230.4pt;margin-top:0;width:309.6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8818AA" w:rsidRPr="009C2254" w:rsidRDefault="008818AA" w:rsidP="008818AA">
    <w:pPr>
      <w:ind w:left="3600" w:right="558"/>
    </w:pPr>
  </w:p>
  <w:p w:rsidR="008818AA" w:rsidRDefault="008818AA" w:rsidP="008818AA">
    <w:pPr>
      <w:ind w:left="3600" w:right="558"/>
    </w:pPr>
  </w:p>
  <w:p w:rsidR="008818AA" w:rsidRDefault="008818AA" w:rsidP="008818AA">
    <w:pPr>
      <w:ind w:left="3600" w:right="558"/>
    </w:pPr>
  </w:p>
  <w:p w:rsidR="008818AA" w:rsidRPr="009C2254" w:rsidRDefault="008818AA" w:rsidP="008818AA">
    <w:pPr>
      <w:ind w:left="3600" w:right="558"/>
    </w:pPr>
  </w:p>
  <w:p w:rsidR="008818AA" w:rsidRDefault="008818AA">
    <w:pPr>
      <w:spacing w:line="240" w:lineRule="exact"/>
      <w:rPr>
        <w:rFonts w:eastAsia="PMingLiU"/>
        <w:lang w:val="en-GB"/>
      </w:rPr>
    </w:pPr>
  </w:p>
  <w:p w:rsidR="008818AA" w:rsidRDefault="008818AA">
    <w:pPr>
      <w:spacing w:line="240" w:lineRule="exact"/>
      <w:rPr>
        <w:rFonts w:eastAsia="PMingLiU"/>
        <w:lang w:val="en-GB"/>
      </w:rPr>
    </w:pPr>
  </w:p>
  <w:p w:rsidR="008818AA" w:rsidRDefault="008818AA">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D0A98C"/>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F8171A"/>
    <w:multiLevelType w:val="hybridMultilevel"/>
    <w:tmpl w:val="F584669E"/>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6D34BE"/>
    <w:multiLevelType w:val="hybridMultilevel"/>
    <w:tmpl w:val="27F4194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DC06EE"/>
    <w:multiLevelType w:val="hybridMultilevel"/>
    <w:tmpl w:val="0A500240"/>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22318E"/>
    <w:multiLevelType w:val="hybridMultilevel"/>
    <w:tmpl w:val="B07AC0D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97C3C91"/>
    <w:multiLevelType w:val="hybridMultilevel"/>
    <w:tmpl w:val="98488E66"/>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793DDD"/>
    <w:multiLevelType w:val="hybridMultilevel"/>
    <w:tmpl w:val="29ACFA06"/>
    <w:lvl w:ilvl="0" w:tplc="5D6C9212">
      <w:start w:val="1"/>
      <w:numFmt w:val="lowerRoman"/>
      <w:lvlText w:val="(%1)"/>
      <w:lvlJc w:val="left"/>
      <w:pPr>
        <w:ind w:left="1224" w:hanging="504"/>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532770C"/>
    <w:multiLevelType w:val="hybridMultilevel"/>
    <w:tmpl w:val="CBF29908"/>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E911BD"/>
    <w:multiLevelType w:val="hybridMultilevel"/>
    <w:tmpl w:val="D970192C"/>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B5C4465"/>
    <w:multiLevelType w:val="hybridMultilevel"/>
    <w:tmpl w:val="1A7A11F6"/>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06610BE"/>
    <w:multiLevelType w:val="hybridMultilevel"/>
    <w:tmpl w:val="D3C84556"/>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CE3D51"/>
    <w:multiLevelType w:val="hybridMultilevel"/>
    <w:tmpl w:val="362CAB84"/>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84B7E40"/>
    <w:multiLevelType w:val="hybridMultilevel"/>
    <w:tmpl w:val="4224D222"/>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DB66209"/>
    <w:multiLevelType w:val="hybridMultilevel"/>
    <w:tmpl w:val="73C819A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EBB0219"/>
    <w:multiLevelType w:val="hybridMultilevel"/>
    <w:tmpl w:val="447A880A"/>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F6C711B"/>
    <w:multiLevelType w:val="hybridMultilevel"/>
    <w:tmpl w:val="CA0E3940"/>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0DC19DC"/>
    <w:multiLevelType w:val="hybridMultilevel"/>
    <w:tmpl w:val="6262A91A"/>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7FB4A21"/>
    <w:multiLevelType w:val="hybridMultilevel"/>
    <w:tmpl w:val="19BE1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2C7994"/>
    <w:multiLevelType w:val="hybridMultilevel"/>
    <w:tmpl w:val="DEE46DBC"/>
    <w:lvl w:ilvl="0" w:tplc="A094DD6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14005DE"/>
    <w:multiLevelType w:val="hybridMultilevel"/>
    <w:tmpl w:val="AA84322E"/>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BC660A"/>
    <w:multiLevelType w:val="hybridMultilevel"/>
    <w:tmpl w:val="B8C04FAE"/>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AEB5E97"/>
    <w:multiLevelType w:val="hybridMultilevel"/>
    <w:tmpl w:val="321EEF1E"/>
    <w:lvl w:ilvl="0" w:tplc="A094DD6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F187F79"/>
    <w:multiLevelType w:val="hybridMultilevel"/>
    <w:tmpl w:val="A134CE9C"/>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decimal"/>
        <w:pStyle w:val="FelskyNumbering12"/>
        <w:lvlText w:val="[%1]"/>
        <w:lvlJc w:val="left"/>
        <w:rPr>
          <w:b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4"/>
  </w:num>
  <w:num w:numId="6">
    <w:abstractNumId w:val="2"/>
  </w:num>
  <w:num w:numId="7">
    <w:abstractNumId w:val="16"/>
  </w:num>
  <w:num w:numId="8">
    <w:abstractNumId w:val="13"/>
  </w:num>
  <w:num w:numId="9">
    <w:abstractNumId w:val="18"/>
  </w:num>
  <w:num w:numId="10">
    <w:abstractNumId w:val="14"/>
  </w:num>
  <w:num w:numId="11">
    <w:abstractNumId w:val="7"/>
  </w:num>
  <w:num w:numId="12">
    <w:abstractNumId w:val="21"/>
  </w:num>
  <w:num w:numId="13">
    <w:abstractNumId w:val="15"/>
  </w:num>
  <w:num w:numId="14">
    <w:abstractNumId w:val="12"/>
  </w:num>
  <w:num w:numId="15">
    <w:abstractNumId w:val="20"/>
  </w:num>
  <w:num w:numId="16">
    <w:abstractNumId w:val="8"/>
  </w:num>
  <w:num w:numId="17">
    <w:abstractNumId w:val="1"/>
  </w:num>
  <w:num w:numId="18">
    <w:abstractNumId w:val="10"/>
  </w:num>
  <w:num w:numId="19">
    <w:abstractNumId w:val="17"/>
  </w:num>
  <w:num w:numId="20">
    <w:abstractNumId w:val="5"/>
  </w:num>
  <w:num w:numId="21">
    <w:abstractNumId w:val="3"/>
  </w:num>
  <w:num w:numId="22">
    <w:abstractNumId w:val="9"/>
  </w:num>
  <w:num w:numId="23">
    <w:abstractNumId w:val="19"/>
  </w:num>
  <w:num w:numId="24">
    <w:abstractNumId w:val="6"/>
  </w:num>
  <w:num w:numId="25">
    <w:abstractNumId w:val="23"/>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C528B1-F858-499F-A98B-92DFADF3B911}"/>
    <w:docVar w:name="dgnword-eventsink" w:val="236202128"/>
  </w:docVars>
  <w:rsids>
    <w:rsidRoot w:val="0006198A"/>
    <w:rsid w:val="00001939"/>
    <w:rsid w:val="000079EF"/>
    <w:rsid w:val="00016DCF"/>
    <w:rsid w:val="0001703D"/>
    <w:rsid w:val="00017FA5"/>
    <w:rsid w:val="0002147C"/>
    <w:rsid w:val="0002263E"/>
    <w:rsid w:val="00032A40"/>
    <w:rsid w:val="00035A13"/>
    <w:rsid w:val="00040FD3"/>
    <w:rsid w:val="00045010"/>
    <w:rsid w:val="000452CA"/>
    <w:rsid w:val="000535BE"/>
    <w:rsid w:val="0006198A"/>
    <w:rsid w:val="00063A0C"/>
    <w:rsid w:val="000642B5"/>
    <w:rsid w:val="000649E5"/>
    <w:rsid w:val="00077DC5"/>
    <w:rsid w:val="00081857"/>
    <w:rsid w:val="00084B30"/>
    <w:rsid w:val="00090CC8"/>
    <w:rsid w:val="000934AA"/>
    <w:rsid w:val="00093EE6"/>
    <w:rsid w:val="000B1459"/>
    <w:rsid w:val="000B2584"/>
    <w:rsid w:val="000B3F65"/>
    <w:rsid w:val="000B4E6F"/>
    <w:rsid w:val="000C2328"/>
    <w:rsid w:val="000C403B"/>
    <w:rsid w:val="000C54A3"/>
    <w:rsid w:val="000C5FD6"/>
    <w:rsid w:val="000D2C6F"/>
    <w:rsid w:val="000F0D79"/>
    <w:rsid w:val="00101A29"/>
    <w:rsid w:val="00111193"/>
    <w:rsid w:val="00112E92"/>
    <w:rsid w:val="001134F0"/>
    <w:rsid w:val="00113C6F"/>
    <w:rsid w:val="001173DF"/>
    <w:rsid w:val="00120FB3"/>
    <w:rsid w:val="00142838"/>
    <w:rsid w:val="00145920"/>
    <w:rsid w:val="00147343"/>
    <w:rsid w:val="001473F9"/>
    <w:rsid w:val="00156FB1"/>
    <w:rsid w:val="00160D20"/>
    <w:rsid w:val="00165313"/>
    <w:rsid w:val="001675A5"/>
    <w:rsid w:val="0017621E"/>
    <w:rsid w:val="001826AF"/>
    <w:rsid w:val="00185B74"/>
    <w:rsid w:val="001873D6"/>
    <w:rsid w:val="00187CF6"/>
    <w:rsid w:val="001926B2"/>
    <w:rsid w:val="001A2140"/>
    <w:rsid w:val="001A38D8"/>
    <w:rsid w:val="001A7ED0"/>
    <w:rsid w:val="001B5189"/>
    <w:rsid w:val="001C4526"/>
    <w:rsid w:val="001C49E9"/>
    <w:rsid w:val="001C5FC2"/>
    <w:rsid w:val="001D0775"/>
    <w:rsid w:val="001D163F"/>
    <w:rsid w:val="001D5298"/>
    <w:rsid w:val="001D5E55"/>
    <w:rsid w:val="001D719D"/>
    <w:rsid w:val="001D7743"/>
    <w:rsid w:val="001E0554"/>
    <w:rsid w:val="001E3C14"/>
    <w:rsid w:val="001E53E3"/>
    <w:rsid w:val="00202165"/>
    <w:rsid w:val="00211901"/>
    <w:rsid w:val="00212392"/>
    <w:rsid w:val="00212831"/>
    <w:rsid w:val="00221CF0"/>
    <w:rsid w:val="00222C3B"/>
    <w:rsid w:val="00224A94"/>
    <w:rsid w:val="0024025E"/>
    <w:rsid w:val="00247F11"/>
    <w:rsid w:val="00254806"/>
    <w:rsid w:val="00261652"/>
    <w:rsid w:val="002672B1"/>
    <w:rsid w:val="00270FF6"/>
    <w:rsid w:val="00271FE8"/>
    <w:rsid w:val="00275A35"/>
    <w:rsid w:val="00281769"/>
    <w:rsid w:val="00283549"/>
    <w:rsid w:val="002A5C86"/>
    <w:rsid w:val="002A76AF"/>
    <w:rsid w:val="002C39C7"/>
    <w:rsid w:val="002C5D0F"/>
    <w:rsid w:val="002D10C4"/>
    <w:rsid w:val="002D1AA4"/>
    <w:rsid w:val="002D322B"/>
    <w:rsid w:val="002F12DA"/>
    <w:rsid w:val="002F4435"/>
    <w:rsid w:val="002F65D3"/>
    <w:rsid w:val="002F6F31"/>
    <w:rsid w:val="00301DC3"/>
    <w:rsid w:val="0030375E"/>
    <w:rsid w:val="00327244"/>
    <w:rsid w:val="0032762F"/>
    <w:rsid w:val="003320D6"/>
    <w:rsid w:val="00343F04"/>
    <w:rsid w:val="00345267"/>
    <w:rsid w:val="0034528C"/>
    <w:rsid w:val="003453E3"/>
    <w:rsid w:val="00345863"/>
    <w:rsid w:val="00346F3F"/>
    <w:rsid w:val="0035066B"/>
    <w:rsid w:val="0035183B"/>
    <w:rsid w:val="00367C62"/>
    <w:rsid w:val="003719B8"/>
    <w:rsid w:val="00371AFC"/>
    <w:rsid w:val="003724AA"/>
    <w:rsid w:val="00382592"/>
    <w:rsid w:val="0038417B"/>
    <w:rsid w:val="00391CC8"/>
    <w:rsid w:val="003922AF"/>
    <w:rsid w:val="00397AC2"/>
    <w:rsid w:val="00397B52"/>
    <w:rsid w:val="003A1D30"/>
    <w:rsid w:val="003A1EC3"/>
    <w:rsid w:val="003A2A7A"/>
    <w:rsid w:val="003A4417"/>
    <w:rsid w:val="003A5E76"/>
    <w:rsid w:val="003B050B"/>
    <w:rsid w:val="003B457E"/>
    <w:rsid w:val="003B4630"/>
    <w:rsid w:val="003C0590"/>
    <w:rsid w:val="003C45AF"/>
    <w:rsid w:val="003C6097"/>
    <w:rsid w:val="003D7314"/>
    <w:rsid w:val="003D7DC5"/>
    <w:rsid w:val="003E33A7"/>
    <w:rsid w:val="003F164D"/>
    <w:rsid w:val="003F1A8D"/>
    <w:rsid w:val="003F5627"/>
    <w:rsid w:val="003F674F"/>
    <w:rsid w:val="00401AE2"/>
    <w:rsid w:val="00410CBF"/>
    <w:rsid w:val="00412364"/>
    <w:rsid w:val="00417840"/>
    <w:rsid w:val="0043315D"/>
    <w:rsid w:val="00434BE3"/>
    <w:rsid w:val="00434C46"/>
    <w:rsid w:val="00442EEF"/>
    <w:rsid w:val="00447D3C"/>
    <w:rsid w:val="00454D5F"/>
    <w:rsid w:val="00461AFD"/>
    <w:rsid w:val="00461EC2"/>
    <w:rsid w:val="0046579D"/>
    <w:rsid w:val="00467245"/>
    <w:rsid w:val="00472110"/>
    <w:rsid w:val="00473A59"/>
    <w:rsid w:val="00475540"/>
    <w:rsid w:val="00481162"/>
    <w:rsid w:val="004828E5"/>
    <w:rsid w:val="00483AB4"/>
    <w:rsid w:val="00484844"/>
    <w:rsid w:val="00484C80"/>
    <w:rsid w:val="004857E7"/>
    <w:rsid w:val="00487573"/>
    <w:rsid w:val="004A1982"/>
    <w:rsid w:val="004A52E2"/>
    <w:rsid w:val="004B6F64"/>
    <w:rsid w:val="004C19C2"/>
    <w:rsid w:val="004C4F36"/>
    <w:rsid w:val="004C7498"/>
    <w:rsid w:val="004D142C"/>
    <w:rsid w:val="004D654D"/>
    <w:rsid w:val="004D759E"/>
    <w:rsid w:val="004E36B1"/>
    <w:rsid w:val="004E4AB8"/>
    <w:rsid w:val="004E5F50"/>
    <w:rsid w:val="004F0788"/>
    <w:rsid w:val="004F1C76"/>
    <w:rsid w:val="004F6F9A"/>
    <w:rsid w:val="005142C0"/>
    <w:rsid w:val="00516CAF"/>
    <w:rsid w:val="00521604"/>
    <w:rsid w:val="00534DF9"/>
    <w:rsid w:val="005438F7"/>
    <w:rsid w:val="00552889"/>
    <w:rsid w:val="00560BBA"/>
    <w:rsid w:val="0056473D"/>
    <w:rsid w:val="00580793"/>
    <w:rsid w:val="0058437D"/>
    <w:rsid w:val="005A58C3"/>
    <w:rsid w:val="005A5D16"/>
    <w:rsid w:val="005A60FA"/>
    <w:rsid w:val="005B3B8A"/>
    <w:rsid w:val="005B4B17"/>
    <w:rsid w:val="005B75C5"/>
    <w:rsid w:val="005C2BD4"/>
    <w:rsid w:val="005C3D7F"/>
    <w:rsid w:val="005C66F0"/>
    <w:rsid w:val="005E7079"/>
    <w:rsid w:val="005F064F"/>
    <w:rsid w:val="005F3E74"/>
    <w:rsid w:val="005F5F4E"/>
    <w:rsid w:val="005F6A14"/>
    <w:rsid w:val="005F7CBF"/>
    <w:rsid w:val="00611D69"/>
    <w:rsid w:val="006243FE"/>
    <w:rsid w:val="00625B70"/>
    <w:rsid w:val="006330ED"/>
    <w:rsid w:val="00635178"/>
    <w:rsid w:val="00636A33"/>
    <w:rsid w:val="00637B40"/>
    <w:rsid w:val="0065084B"/>
    <w:rsid w:val="00663AD8"/>
    <w:rsid w:val="00665273"/>
    <w:rsid w:val="00665F46"/>
    <w:rsid w:val="006708F4"/>
    <w:rsid w:val="00672A14"/>
    <w:rsid w:val="006752D1"/>
    <w:rsid w:val="0067589A"/>
    <w:rsid w:val="00677676"/>
    <w:rsid w:val="006A1504"/>
    <w:rsid w:val="006A6C2D"/>
    <w:rsid w:val="006A75D1"/>
    <w:rsid w:val="006B628E"/>
    <w:rsid w:val="006C6488"/>
    <w:rsid w:val="006C706E"/>
    <w:rsid w:val="006D0B79"/>
    <w:rsid w:val="006D36C4"/>
    <w:rsid w:val="006D5590"/>
    <w:rsid w:val="006D7216"/>
    <w:rsid w:val="006E58C7"/>
    <w:rsid w:val="006E76AC"/>
    <w:rsid w:val="006F077D"/>
    <w:rsid w:val="006F6384"/>
    <w:rsid w:val="0070285D"/>
    <w:rsid w:val="00713AB0"/>
    <w:rsid w:val="00714940"/>
    <w:rsid w:val="00715819"/>
    <w:rsid w:val="00717F26"/>
    <w:rsid w:val="00722AFB"/>
    <w:rsid w:val="00723CD1"/>
    <w:rsid w:val="007273C2"/>
    <w:rsid w:val="00731367"/>
    <w:rsid w:val="00747D35"/>
    <w:rsid w:val="007565AD"/>
    <w:rsid w:val="0075679C"/>
    <w:rsid w:val="0076214A"/>
    <w:rsid w:val="00764A87"/>
    <w:rsid w:val="0077100F"/>
    <w:rsid w:val="00774C3F"/>
    <w:rsid w:val="007757E6"/>
    <w:rsid w:val="00776542"/>
    <w:rsid w:val="007769FF"/>
    <w:rsid w:val="00786F21"/>
    <w:rsid w:val="007A565D"/>
    <w:rsid w:val="007B018A"/>
    <w:rsid w:val="007B50EE"/>
    <w:rsid w:val="007D20F2"/>
    <w:rsid w:val="007D2347"/>
    <w:rsid w:val="007D3A3A"/>
    <w:rsid w:val="007D5DD7"/>
    <w:rsid w:val="007E3D0B"/>
    <w:rsid w:val="007E3EB9"/>
    <w:rsid w:val="007F5CA5"/>
    <w:rsid w:val="007F735F"/>
    <w:rsid w:val="00805C61"/>
    <w:rsid w:val="00806B0F"/>
    <w:rsid w:val="00807CD3"/>
    <w:rsid w:val="008144E8"/>
    <w:rsid w:val="00814F22"/>
    <w:rsid w:val="0081567F"/>
    <w:rsid w:val="00820759"/>
    <w:rsid w:val="00820F58"/>
    <w:rsid w:val="00823B6A"/>
    <w:rsid w:val="00826A9A"/>
    <w:rsid w:val="00841060"/>
    <w:rsid w:val="00843400"/>
    <w:rsid w:val="00843FE5"/>
    <w:rsid w:val="00844889"/>
    <w:rsid w:val="00844D69"/>
    <w:rsid w:val="0085542B"/>
    <w:rsid w:val="0085553F"/>
    <w:rsid w:val="00860487"/>
    <w:rsid w:val="00861881"/>
    <w:rsid w:val="00863AEB"/>
    <w:rsid w:val="00866136"/>
    <w:rsid w:val="008663D3"/>
    <w:rsid w:val="00872EF1"/>
    <w:rsid w:val="008818AA"/>
    <w:rsid w:val="008830F5"/>
    <w:rsid w:val="00883FE5"/>
    <w:rsid w:val="00886E19"/>
    <w:rsid w:val="00887ACD"/>
    <w:rsid w:val="00891556"/>
    <w:rsid w:val="00892610"/>
    <w:rsid w:val="008935B0"/>
    <w:rsid w:val="008940F2"/>
    <w:rsid w:val="00894326"/>
    <w:rsid w:val="00896848"/>
    <w:rsid w:val="008A07E5"/>
    <w:rsid w:val="008A6121"/>
    <w:rsid w:val="008B37AA"/>
    <w:rsid w:val="008B4BD7"/>
    <w:rsid w:val="008B6B75"/>
    <w:rsid w:val="008B6FA7"/>
    <w:rsid w:val="008C11A5"/>
    <w:rsid w:val="008C5F8C"/>
    <w:rsid w:val="008C6517"/>
    <w:rsid w:val="008E0AB8"/>
    <w:rsid w:val="008E0DD8"/>
    <w:rsid w:val="008E35C7"/>
    <w:rsid w:val="008E553D"/>
    <w:rsid w:val="008F39D7"/>
    <w:rsid w:val="008F5875"/>
    <w:rsid w:val="008F630B"/>
    <w:rsid w:val="00914D58"/>
    <w:rsid w:val="00923033"/>
    <w:rsid w:val="00933666"/>
    <w:rsid w:val="00935271"/>
    <w:rsid w:val="00935442"/>
    <w:rsid w:val="009377D8"/>
    <w:rsid w:val="00951D97"/>
    <w:rsid w:val="009521AF"/>
    <w:rsid w:val="009533DA"/>
    <w:rsid w:val="0096017E"/>
    <w:rsid w:val="009620BF"/>
    <w:rsid w:val="00962B4D"/>
    <w:rsid w:val="0096367E"/>
    <w:rsid w:val="0096454A"/>
    <w:rsid w:val="009649A9"/>
    <w:rsid w:val="00971C56"/>
    <w:rsid w:val="009727C6"/>
    <w:rsid w:val="00973735"/>
    <w:rsid w:val="0097482B"/>
    <w:rsid w:val="00981BFB"/>
    <w:rsid w:val="00986B4F"/>
    <w:rsid w:val="0099595C"/>
    <w:rsid w:val="00997EB3"/>
    <w:rsid w:val="009A09EB"/>
    <w:rsid w:val="009A4DB0"/>
    <w:rsid w:val="009B6FEA"/>
    <w:rsid w:val="009C0849"/>
    <w:rsid w:val="009C1585"/>
    <w:rsid w:val="009C2254"/>
    <w:rsid w:val="009C32B4"/>
    <w:rsid w:val="009C588B"/>
    <w:rsid w:val="009E785A"/>
    <w:rsid w:val="009F5438"/>
    <w:rsid w:val="00A00055"/>
    <w:rsid w:val="00A1223E"/>
    <w:rsid w:val="00A27E1C"/>
    <w:rsid w:val="00A32A34"/>
    <w:rsid w:val="00A56807"/>
    <w:rsid w:val="00A56D7E"/>
    <w:rsid w:val="00A603CF"/>
    <w:rsid w:val="00A66099"/>
    <w:rsid w:val="00A80BBD"/>
    <w:rsid w:val="00A820AD"/>
    <w:rsid w:val="00A92690"/>
    <w:rsid w:val="00A94431"/>
    <w:rsid w:val="00A9549F"/>
    <w:rsid w:val="00A973CE"/>
    <w:rsid w:val="00AA4594"/>
    <w:rsid w:val="00AB0023"/>
    <w:rsid w:val="00AB0EFF"/>
    <w:rsid w:val="00AC1F48"/>
    <w:rsid w:val="00AC4715"/>
    <w:rsid w:val="00AC56CE"/>
    <w:rsid w:val="00AC68EE"/>
    <w:rsid w:val="00AD0FBB"/>
    <w:rsid w:val="00AE1BF2"/>
    <w:rsid w:val="00AE1C42"/>
    <w:rsid w:val="00AE52ED"/>
    <w:rsid w:val="00AE60E1"/>
    <w:rsid w:val="00AF11B8"/>
    <w:rsid w:val="00AF39D1"/>
    <w:rsid w:val="00B0166A"/>
    <w:rsid w:val="00B037FD"/>
    <w:rsid w:val="00B0628B"/>
    <w:rsid w:val="00B1118C"/>
    <w:rsid w:val="00B1323A"/>
    <w:rsid w:val="00B174F1"/>
    <w:rsid w:val="00B176A4"/>
    <w:rsid w:val="00B340CB"/>
    <w:rsid w:val="00B4193C"/>
    <w:rsid w:val="00B42637"/>
    <w:rsid w:val="00B465CD"/>
    <w:rsid w:val="00B473A0"/>
    <w:rsid w:val="00B50F67"/>
    <w:rsid w:val="00B51454"/>
    <w:rsid w:val="00B64248"/>
    <w:rsid w:val="00B65C51"/>
    <w:rsid w:val="00B7093D"/>
    <w:rsid w:val="00B74D1B"/>
    <w:rsid w:val="00B77CEF"/>
    <w:rsid w:val="00B83EFF"/>
    <w:rsid w:val="00B866C7"/>
    <w:rsid w:val="00B914A0"/>
    <w:rsid w:val="00B927E0"/>
    <w:rsid w:val="00B96A64"/>
    <w:rsid w:val="00BA2D80"/>
    <w:rsid w:val="00BA3462"/>
    <w:rsid w:val="00BA514C"/>
    <w:rsid w:val="00BA5EF6"/>
    <w:rsid w:val="00BA6D57"/>
    <w:rsid w:val="00BB3843"/>
    <w:rsid w:val="00BB5C1E"/>
    <w:rsid w:val="00BB68D5"/>
    <w:rsid w:val="00BC0277"/>
    <w:rsid w:val="00BC18C5"/>
    <w:rsid w:val="00BC6B04"/>
    <w:rsid w:val="00BD23A3"/>
    <w:rsid w:val="00BD3FD1"/>
    <w:rsid w:val="00BD5F7D"/>
    <w:rsid w:val="00BF1457"/>
    <w:rsid w:val="00BF3CD8"/>
    <w:rsid w:val="00C10890"/>
    <w:rsid w:val="00C1518C"/>
    <w:rsid w:val="00C15CE2"/>
    <w:rsid w:val="00C17B61"/>
    <w:rsid w:val="00C23290"/>
    <w:rsid w:val="00C23654"/>
    <w:rsid w:val="00C31429"/>
    <w:rsid w:val="00C41BE2"/>
    <w:rsid w:val="00C50DF9"/>
    <w:rsid w:val="00C51F24"/>
    <w:rsid w:val="00C529EC"/>
    <w:rsid w:val="00C546C3"/>
    <w:rsid w:val="00C6139C"/>
    <w:rsid w:val="00C61547"/>
    <w:rsid w:val="00C67090"/>
    <w:rsid w:val="00C70457"/>
    <w:rsid w:val="00C73249"/>
    <w:rsid w:val="00C80405"/>
    <w:rsid w:val="00C82BEC"/>
    <w:rsid w:val="00C910F5"/>
    <w:rsid w:val="00C93131"/>
    <w:rsid w:val="00C93736"/>
    <w:rsid w:val="00C94F18"/>
    <w:rsid w:val="00C95B5D"/>
    <w:rsid w:val="00C95B86"/>
    <w:rsid w:val="00CA2DE5"/>
    <w:rsid w:val="00CA4293"/>
    <w:rsid w:val="00CA4DBE"/>
    <w:rsid w:val="00CA588B"/>
    <w:rsid w:val="00CA5F7F"/>
    <w:rsid w:val="00CA63E4"/>
    <w:rsid w:val="00CA74B6"/>
    <w:rsid w:val="00CB1DA5"/>
    <w:rsid w:val="00CB7012"/>
    <w:rsid w:val="00CC2DEB"/>
    <w:rsid w:val="00CC3FA0"/>
    <w:rsid w:val="00CC401E"/>
    <w:rsid w:val="00CC768D"/>
    <w:rsid w:val="00CD26DC"/>
    <w:rsid w:val="00CD2AE5"/>
    <w:rsid w:val="00CD3298"/>
    <w:rsid w:val="00D000F7"/>
    <w:rsid w:val="00D032EF"/>
    <w:rsid w:val="00D07C34"/>
    <w:rsid w:val="00D1292D"/>
    <w:rsid w:val="00D16206"/>
    <w:rsid w:val="00D170A6"/>
    <w:rsid w:val="00D24FFA"/>
    <w:rsid w:val="00D25DEF"/>
    <w:rsid w:val="00D270B7"/>
    <w:rsid w:val="00D27144"/>
    <w:rsid w:val="00D31768"/>
    <w:rsid w:val="00D345AB"/>
    <w:rsid w:val="00D34FA5"/>
    <w:rsid w:val="00D356F7"/>
    <w:rsid w:val="00D36D68"/>
    <w:rsid w:val="00D37BD3"/>
    <w:rsid w:val="00D45170"/>
    <w:rsid w:val="00D47229"/>
    <w:rsid w:val="00D47D9F"/>
    <w:rsid w:val="00D70321"/>
    <w:rsid w:val="00D72BE8"/>
    <w:rsid w:val="00D816F2"/>
    <w:rsid w:val="00D873DA"/>
    <w:rsid w:val="00DA10BB"/>
    <w:rsid w:val="00DA462F"/>
    <w:rsid w:val="00DA79CB"/>
    <w:rsid w:val="00DB1938"/>
    <w:rsid w:val="00DB2147"/>
    <w:rsid w:val="00DB387C"/>
    <w:rsid w:val="00DB4A3F"/>
    <w:rsid w:val="00DC3A5A"/>
    <w:rsid w:val="00DE0F3B"/>
    <w:rsid w:val="00DE5016"/>
    <w:rsid w:val="00DE5927"/>
    <w:rsid w:val="00DF3706"/>
    <w:rsid w:val="00E04FF1"/>
    <w:rsid w:val="00E11681"/>
    <w:rsid w:val="00E15685"/>
    <w:rsid w:val="00E16717"/>
    <w:rsid w:val="00E23953"/>
    <w:rsid w:val="00E27392"/>
    <w:rsid w:val="00E27F5D"/>
    <w:rsid w:val="00E30554"/>
    <w:rsid w:val="00E30C59"/>
    <w:rsid w:val="00E43021"/>
    <w:rsid w:val="00E45A52"/>
    <w:rsid w:val="00E54941"/>
    <w:rsid w:val="00E604F6"/>
    <w:rsid w:val="00E6062D"/>
    <w:rsid w:val="00E61646"/>
    <w:rsid w:val="00E774C0"/>
    <w:rsid w:val="00E81965"/>
    <w:rsid w:val="00E9122E"/>
    <w:rsid w:val="00E9196F"/>
    <w:rsid w:val="00E96B1A"/>
    <w:rsid w:val="00EA361F"/>
    <w:rsid w:val="00EA48EA"/>
    <w:rsid w:val="00EA6AFF"/>
    <w:rsid w:val="00EA7304"/>
    <w:rsid w:val="00EA7E43"/>
    <w:rsid w:val="00EB3259"/>
    <w:rsid w:val="00EC4E28"/>
    <w:rsid w:val="00EC596D"/>
    <w:rsid w:val="00ED4A08"/>
    <w:rsid w:val="00ED4AE5"/>
    <w:rsid w:val="00ED5744"/>
    <w:rsid w:val="00ED5FAC"/>
    <w:rsid w:val="00EE1681"/>
    <w:rsid w:val="00EE5AF8"/>
    <w:rsid w:val="00EF0DCD"/>
    <w:rsid w:val="00EF1A8E"/>
    <w:rsid w:val="00F02D8B"/>
    <w:rsid w:val="00F1463A"/>
    <w:rsid w:val="00F14B98"/>
    <w:rsid w:val="00F32002"/>
    <w:rsid w:val="00F41C71"/>
    <w:rsid w:val="00F428DE"/>
    <w:rsid w:val="00F53A6F"/>
    <w:rsid w:val="00F54F28"/>
    <w:rsid w:val="00F57952"/>
    <w:rsid w:val="00F6262E"/>
    <w:rsid w:val="00F63274"/>
    <w:rsid w:val="00F7290B"/>
    <w:rsid w:val="00F758E0"/>
    <w:rsid w:val="00F8349D"/>
    <w:rsid w:val="00F87778"/>
    <w:rsid w:val="00FA1DFB"/>
    <w:rsid w:val="00FA4250"/>
    <w:rsid w:val="00FA5FDC"/>
    <w:rsid w:val="00FA645E"/>
    <w:rsid w:val="00FB2D12"/>
    <w:rsid w:val="00FB58CF"/>
    <w:rsid w:val="00FB6E19"/>
    <w:rsid w:val="00FC1D26"/>
    <w:rsid w:val="00FC5C3A"/>
    <w:rsid w:val="00FD056C"/>
    <w:rsid w:val="00FD181F"/>
    <w:rsid w:val="00FD421E"/>
    <w:rsid w:val="00FE0ED1"/>
    <w:rsid w:val="00FE2783"/>
    <w:rsid w:val="00FE45FC"/>
    <w:rsid w:val="00FF2D23"/>
    <w:rsid w:val="00FF4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15:docId w15:val="{9FD7A5B4-47B9-41EC-A413-BDB7F4B2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5" w:qFormat="1"/>
    <w:lsdException w:name="heading 2" w:semiHidden="1" w:uiPriority="27" w:unhideWhenUsed="1" w:qFormat="1"/>
    <w:lsdException w:name="heading 3" w:semiHidden="1" w:uiPriority="29"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D5E55"/>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25"/>
    <w:qFormat/>
    <w:rsid w:val="00040FD3"/>
    <w:pPr>
      <w:keepNext/>
      <w:keepLines/>
      <w:spacing w:before="480" w:after="240"/>
      <w:ind w:left="0"/>
      <w:jc w:val="left"/>
      <w:outlineLvl w:val="0"/>
    </w:pPr>
    <w:rPr>
      <w:rFonts w:eastAsiaTheme="majorEastAsia" w:cstheme="majorBidi"/>
      <w:b/>
      <w:bCs/>
      <w:szCs w:val="28"/>
    </w:rPr>
  </w:style>
  <w:style w:type="paragraph" w:styleId="Heading2">
    <w:name w:val="heading 2"/>
    <w:basedOn w:val="Heading1"/>
    <w:next w:val="FelskyNumbering12"/>
    <w:link w:val="Heading2Char"/>
    <w:uiPriority w:val="27"/>
    <w:qFormat/>
    <w:rsid w:val="003B457E"/>
    <w:pPr>
      <w:spacing w:before="240"/>
      <w:ind w:left="720"/>
      <w:outlineLvl w:val="1"/>
    </w:pPr>
    <w:rPr>
      <w:bCs w:val="0"/>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12"/>
    <w:rsid w:val="00FE2783"/>
    <w:pPr>
      <w:ind w:left="2160"/>
      <w:outlineLvl w:val="3"/>
    </w:pPr>
  </w:style>
  <w:style w:type="paragraph" w:styleId="Heading5">
    <w:name w:val="heading 5"/>
    <w:basedOn w:val="Heading4"/>
    <w:next w:val="FelskyNumbering12"/>
    <w:link w:val="Heading5Char"/>
    <w:uiPriority w:val="13"/>
    <w:rsid w:val="00FE2783"/>
    <w:pPr>
      <w:ind w:left="2880"/>
      <w:outlineLvl w:val="4"/>
    </w:pPr>
  </w:style>
  <w:style w:type="paragraph" w:styleId="Heading6">
    <w:name w:val="heading 6"/>
    <w:basedOn w:val="Heading5"/>
    <w:next w:val="FelskyNumbering12"/>
    <w:link w:val="Heading6Char"/>
    <w:uiPriority w:val="14"/>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iCs w:val="0"/>
    </w:rPr>
  </w:style>
  <w:style w:type="paragraph" w:styleId="Heading8">
    <w:name w:val="heading 8"/>
    <w:basedOn w:val="Heading7"/>
    <w:next w:val="Normal"/>
    <w:link w:val="Heading8Char"/>
    <w:uiPriority w:val="39"/>
    <w:semiHidden/>
    <w:unhideWhenUsed/>
    <w:qFormat/>
    <w:rsid w:val="00FE2783"/>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rsid w:val="00FE2783"/>
    <w:pPr>
      <w:tabs>
        <w:tab w:val="center" w:pos="4680"/>
        <w:tab w:val="right" w:pos="9360"/>
      </w:tabs>
    </w:pPr>
  </w:style>
  <w:style w:type="character" w:customStyle="1" w:styleId="FooterChar">
    <w:name w:val="Footer Char"/>
    <w:link w:val="Footer"/>
    <w:uiPriority w:val="99"/>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25"/>
    <w:rsid w:val="00040FD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7"/>
    <w:rsid w:val="003B45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12"/>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1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14"/>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9533DA"/>
    <w:pPr>
      <w:numPr>
        <w:numId w:val="4"/>
      </w:numPr>
      <w:spacing w:before="180" w:after="180" w:line="480" w:lineRule="auto"/>
      <w:ind w:left="0"/>
    </w:pPr>
  </w:style>
  <w:style w:type="character" w:customStyle="1" w:styleId="FelskyNumbering12Char">
    <w:name w:val="Felsky Numbering 1.2 Char"/>
    <w:basedOn w:val="DefaultParagraphFont"/>
    <w:link w:val="FelskyNumbering12"/>
    <w:uiPriority w:val="1"/>
    <w:rsid w:val="009533DA"/>
    <w:rPr>
      <w:rFonts w:ascii="Times New Roman" w:hAnsi="Times New Roman" w:cs="Times New Roman"/>
      <w:sz w:val="24"/>
      <w:szCs w:val="24"/>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spacing w:before="120"/>
      <w:ind w:left="1195"/>
    </w:pPr>
    <w:rPr>
      <w:b w:val="0"/>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C93736"/>
    <w:pPr>
      <w:spacing w:before="120" w:after="120" w:line="480" w:lineRule="auto"/>
      <w:ind w:left="1440" w:hanging="720"/>
    </w:pPr>
  </w:style>
  <w:style w:type="paragraph" w:styleId="NoSpacing">
    <w:name w:val="No Spacing"/>
    <w:link w:val="NoSpacingChar"/>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C93736"/>
    <w:pPr>
      <w:numPr>
        <w:numId w:val="5"/>
      </w:numPr>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C93736"/>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numbering" w:customStyle="1" w:styleId="NoList1">
    <w:name w:val="No List1"/>
    <w:next w:val="NoList"/>
    <w:uiPriority w:val="99"/>
    <w:semiHidden/>
    <w:unhideWhenUsed/>
    <w:rsid w:val="00D1292D"/>
  </w:style>
  <w:style w:type="paragraph" w:styleId="Title">
    <w:name w:val="Title"/>
    <w:basedOn w:val="Normal"/>
    <w:next w:val="Normal"/>
    <w:link w:val="TitleChar"/>
    <w:uiPriority w:val="23"/>
    <w:semiHidden/>
    <w:qFormat/>
    <w:rsid w:val="00D1292D"/>
    <w:pPr>
      <w:pBdr>
        <w:bottom w:val="single" w:sz="8" w:space="1" w:color="000000" w:themeColor="text1"/>
      </w:pBdr>
      <w:spacing w:after="300" w:line="276" w:lineRule="auto"/>
      <w:ind w:left="0"/>
      <w:contextualSpacing/>
      <w:jc w:val="left"/>
    </w:pPr>
    <w:rPr>
      <w:rFonts w:eastAsiaTheme="majorEastAsia" w:cstheme="majorBidi"/>
      <w:spacing w:val="5"/>
      <w:kern w:val="28"/>
      <w:sz w:val="52"/>
      <w:szCs w:val="52"/>
      <w:lang w:eastAsia="en-US"/>
    </w:rPr>
  </w:style>
  <w:style w:type="character" w:customStyle="1" w:styleId="TitleChar">
    <w:name w:val="Title Char"/>
    <w:basedOn w:val="DefaultParagraphFont"/>
    <w:link w:val="Title"/>
    <w:uiPriority w:val="23"/>
    <w:semiHidden/>
    <w:rsid w:val="00D1292D"/>
    <w:rPr>
      <w:rFonts w:ascii="Times New Roman" w:eastAsiaTheme="majorEastAsia" w:hAnsi="Times New Roman" w:cstheme="majorBidi"/>
      <w:spacing w:val="5"/>
      <w:kern w:val="28"/>
      <w:sz w:val="52"/>
      <w:szCs w:val="52"/>
      <w:lang w:eastAsia="en-US"/>
    </w:rPr>
  </w:style>
  <w:style w:type="paragraph" w:styleId="Subtitle">
    <w:name w:val="Subtitle"/>
    <w:basedOn w:val="Normal"/>
    <w:next w:val="Normal"/>
    <w:link w:val="SubtitleChar"/>
    <w:uiPriority w:val="24"/>
    <w:semiHidden/>
    <w:qFormat/>
    <w:rsid w:val="00D1292D"/>
    <w:pPr>
      <w:numPr>
        <w:ilvl w:val="1"/>
      </w:numPr>
      <w:spacing w:after="200" w:line="276" w:lineRule="auto"/>
      <w:ind w:left="720"/>
      <w:jc w:val="left"/>
    </w:pPr>
    <w:rPr>
      <w:rFonts w:eastAsiaTheme="majorEastAsia" w:cstheme="majorBidi"/>
      <w:i/>
      <w:iCs/>
      <w:spacing w:val="15"/>
      <w:lang w:eastAsia="en-US"/>
    </w:rPr>
  </w:style>
  <w:style w:type="character" w:customStyle="1" w:styleId="SubtitleChar">
    <w:name w:val="Subtitle Char"/>
    <w:basedOn w:val="DefaultParagraphFont"/>
    <w:link w:val="Subtitle"/>
    <w:uiPriority w:val="24"/>
    <w:semiHidden/>
    <w:rsid w:val="00D1292D"/>
    <w:rPr>
      <w:rFonts w:ascii="Times New Roman" w:eastAsiaTheme="majorEastAsia" w:hAnsi="Times New Roman" w:cstheme="majorBidi"/>
      <w:i/>
      <w:iCs/>
      <w:spacing w:val="15"/>
      <w:lang w:eastAsia="en-US"/>
    </w:rPr>
  </w:style>
  <w:style w:type="character" w:styleId="IntenseEmphasis">
    <w:name w:val="Intense Emphasis"/>
    <w:basedOn w:val="DefaultParagraphFont"/>
    <w:uiPriority w:val="21"/>
    <w:semiHidden/>
    <w:qFormat/>
    <w:rsid w:val="00D1292D"/>
    <w:rPr>
      <w:rFonts w:ascii="Times New Roman" w:hAnsi="Times New Roman"/>
      <w:b/>
      <w:bCs/>
      <w:i/>
      <w:iCs/>
      <w:color w:val="auto"/>
      <w:sz w:val="24"/>
    </w:rPr>
  </w:style>
  <w:style w:type="character" w:styleId="SubtleEmphasis">
    <w:name w:val="Subtle Emphasis"/>
    <w:basedOn w:val="DefaultParagraphFont"/>
    <w:uiPriority w:val="19"/>
    <w:semiHidden/>
    <w:qFormat/>
    <w:rsid w:val="00D1292D"/>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D1292D"/>
    <w:pPr>
      <w:pBdr>
        <w:bottom w:val="single" w:sz="4" w:space="1" w:color="auto"/>
      </w:pBdr>
      <w:spacing w:before="200" w:after="280" w:line="276" w:lineRule="auto"/>
      <w:ind w:left="936" w:right="936"/>
      <w:jc w:val="left"/>
    </w:pPr>
    <w:rPr>
      <w:rFonts w:eastAsiaTheme="minorHAnsi"/>
      <w:b/>
      <w:bCs/>
      <w:i/>
      <w:iCs/>
      <w:lang w:eastAsia="en-US"/>
    </w:rPr>
  </w:style>
  <w:style w:type="character" w:customStyle="1" w:styleId="IntenseQuoteChar">
    <w:name w:val="Intense Quote Char"/>
    <w:basedOn w:val="DefaultParagraphFont"/>
    <w:link w:val="IntenseQuote"/>
    <w:uiPriority w:val="30"/>
    <w:semiHidden/>
    <w:rsid w:val="00D1292D"/>
    <w:rPr>
      <w:rFonts w:ascii="Times New Roman" w:eastAsiaTheme="minorHAnsi" w:hAnsi="Times New Roman"/>
      <w:b/>
      <w:bCs/>
      <w:i/>
      <w:iCs/>
      <w:lang w:eastAsia="en-US"/>
    </w:rPr>
  </w:style>
  <w:style w:type="character" w:styleId="SubtleReference">
    <w:name w:val="Subtle Reference"/>
    <w:basedOn w:val="DefaultParagraphFont"/>
    <w:uiPriority w:val="31"/>
    <w:semiHidden/>
    <w:qFormat/>
    <w:rsid w:val="00D1292D"/>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D1292D"/>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D1292D"/>
    <w:rPr>
      <w:rFonts w:ascii="Times New Roman" w:hAnsi="Times New Roman"/>
      <w:b/>
      <w:bCs/>
      <w:smallCaps/>
      <w:spacing w:val="5"/>
      <w:sz w:val="24"/>
    </w:rPr>
  </w:style>
  <w:style w:type="character" w:customStyle="1" w:styleId="NoSpacingChar">
    <w:name w:val="No Spacing Char"/>
    <w:basedOn w:val="DefaultParagraphFont"/>
    <w:link w:val="NoSpacing"/>
    <w:uiPriority w:val="1"/>
    <w:rsid w:val="008A0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939D-92EA-45E8-BD5C-1F08CC1E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12</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Northwest Territories (Attorney General) v. Association des Parents Ayant Driot de Yellowknife</vt:lpstr>
    </vt:vector>
  </TitlesOfParts>
  <Company>Alberta Justice Court Services</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Territories (Attorney General) v. Association des Parents Ayant Driot de Yellowknife</dc:title>
  <dc:creator>The Honourable Mr. Justice Jack Watson, The Honourable Mr. Justice Frans Slatter, The Honourable Madam Justice Patricia Rowbotham</dc:creator>
  <cp:keywords>Docket:AIAP2012-000011, Registry:Edmonton, Court:CA, JudgmentYear:2014, JudgmentDate:201408</cp:keywords>
  <cp:lastModifiedBy>Shirley Mair</cp:lastModifiedBy>
  <cp:revision>6</cp:revision>
  <cp:lastPrinted>2018-05-24T16:49:00Z</cp:lastPrinted>
  <dcterms:created xsi:type="dcterms:W3CDTF">2018-05-24T15:22:00Z</dcterms:created>
  <dcterms:modified xsi:type="dcterms:W3CDTF">2018-05-29T21:36:00Z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AIAP2012-000011</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201408</vt:lpwstr>
  </property>
</Properties>
</file>