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9" w:rsidRPr="00D24E83" w:rsidRDefault="00283549" w:rsidP="007F73F9">
      <w:pPr>
        <w:pStyle w:val="Title1"/>
      </w:pPr>
      <w:bookmarkStart w:id="0" w:name="frTitle"/>
      <w:bookmarkEnd w:id="0"/>
      <w:r w:rsidRPr="00D24E83">
        <w:t xml:space="preserve">In the Court of Appeal of </w:t>
      </w:r>
      <w:r w:rsidR="00F23DA0">
        <w:t>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BD7542">
        <w:rPr>
          <w:rFonts w:eastAsia="PMingLiU"/>
          <w:b/>
          <w:i/>
        </w:rPr>
        <w:t>Albert v R</w:t>
      </w:r>
      <w:r w:rsidRPr="00971C56">
        <w:rPr>
          <w:rFonts w:eastAsia="PMingLiU"/>
          <w:b/>
        </w:rPr>
        <w:t xml:space="preserve">, </w:t>
      </w:r>
      <w:bookmarkStart w:id="2" w:name="_GoBack"/>
      <w:r w:rsidR="00DA253C">
        <w:rPr>
          <w:rFonts w:eastAsia="PMingLiU"/>
          <w:b/>
        </w:rPr>
        <w:t>2017</w:t>
      </w:r>
      <w:r w:rsidR="00902E0D">
        <w:rPr>
          <w:rFonts w:eastAsia="PMingLiU"/>
          <w:b/>
        </w:rPr>
        <w:t xml:space="preserve"> NWTCA</w:t>
      </w:r>
      <w:r w:rsidRPr="00971C56">
        <w:rPr>
          <w:rFonts w:eastAsia="PMingLiU"/>
          <w:b/>
        </w:rPr>
        <w:t xml:space="preserve"> </w:t>
      </w:r>
      <w:r w:rsidR="00A840FF">
        <w:rPr>
          <w:rFonts w:eastAsia="PMingLiU"/>
          <w:b/>
        </w:rPr>
        <w:t>2</w:t>
      </w:r>
      <w:bookmarkEnd w:id="2"/>
    </w:p>
    <w:p w:rsidR="00935271" w:rsidRPr="00A85A4B" w:rsidRDefault="00935271" w:rsidP="00E11681">
      <w:pPr>
        <w:tabs>
          <w:tab w:val="right" w:pos="9360"/>
        </w:tabs>
        <w:ind w:left="0"/>
        <w:rPr>
          <w:rFonts w:eastAsia="PMingLiU"/>
          <w:b/>
          <w:sz w:val="14"/>
        </w:rPr>
      </w:pPr>
    </w:p>
    <w:p w:rsidR="00283549" w:rsidRPr="00973735" w:rsidRDefault="00283549" w:rsidP="008368D3">
      <w:pPr>
        <w:tabs>
          <w:tab w:val="right" w:pos="9360"/>
        </w:tabs>
        <w:ind w:left="0"/>
        <w:jc w:val="right"/>
        <w:rPr>
          <w:rFonts w:eastAsia="PMingLiU"/>
        </w:rPr>
      </w:pPr>
      <w:r w:rsidRPr="009C2254">
        <w:rPr>
          <w:rFonts w:eastAsia="PMingLiU"/>
          <w:b/>
          <w:bCs/>
        </w:rPr>
        <w:t>Date:</w:t>
      </w:r>
      <w:r w:rsidRPr="00973735">
        <w:rPr>
          <w:rFonts w:eastAsia="PMingLiU"/>
        </w:rPr>
        <w:t xml:space="preserve"> </w:t>
      </w:r>
      <w:r w:rsidR="00E01350">
        <w:rPr>
          <w:rFonts w:eastAsia="PMingLiU"/>
        </w:rPr>
        <w:t>2017</w:t>
      </w:r>
      <w:r w:rsidR="006D71F6">
        <w:rPr>
          <w:rFonts w:eastAsia="PMingLiU"/>
        </w:rPr>
        <w:t xml:space="preserve"> </w:t>
      </w:r>
      <w:r w:rsidR="00E01350">
        <w:rPr>
          <w:rFonts w:eastAsia="PMingLiU"/>
        </w:rPr>
        <w:t>05</w:t>
      </w:r>
      <w:r w:rsidR="00795506">
        <w:rPr>
          <w:rFonts w:eastAsia="PMingLiU"/>
        </w:rPr>
        <w:t xml:space="preserve"> 12</w:t>
      </w:r>
    </w:p>
    <w:p w:rsidR="00283549" w:rsidRPr="004D654D" w:rsidRDefault="00283549" w:rsidP="008368D3">
      <w:pPr>
        <w:tabs>
          <w:tab w:val="right" w:pos="9360"/>
        </w:tabs>
        <w:ind w:left="0"/>
        <w:jc w:val="right"/>
        <w:rPr>
          <w:rFonts w:eastAsia="PMingLiU"/>
        </w:rPr>
      </w:pPr>
      <w:bookmarkStart w:id="3" w:name="frDocket"/>
      <w:bookmarkEnd w:id="3"/>
      <w:r w:rsidRPr="004D654D">
        <w:rPr>
          <w:rFonts w:eastAsia="PMingLiU"/>
          <w:b/>
          <w:bCs/>
        </w:rPr>
        <w:t>Docket:</w:t>
      </w:r>
      <w:r w:rsidR="004D654D" w:rsidRPr="004D654D">
        <w:rPr>
          <w:rFonts w:eastAsia="PMingLiU"/>
          <w:bCs/>
        </w:rPr>
        <w:t xml:space="preserve"> </w:t>
      </w:r>
      <w:r w:rsidR="00DA253C">
        <w:rPr>
          <w:rFonts w:eastAsia="PMingLiU"/>
          <w:bCs/>
        </w:rPr>
        <w:t>A-1-AP-2016-000006</w:t>
      </w:r>
    </w:p>
    <w:p w:rsidR="00283549" w:rsidRPr="00973735"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715407">
        <w:rPr>
          <w:rFonts w:eastAsia="PMingLiU"/>
        </w:rPr>
        <w:t>Yellowknife</w:t>
      </w:r>
    </w:p>
    <w:p w:rsidR="00283549" w:rsidRDefault="00283549" w:rsidP="00E11681">
      <w:pPr>
        <w:ind w:left="0"/>
        <w:rPr>
          <w:rFonts w:eastAsia="PMingLiU"/>
          <w:b/>
          <w:bCs/>
        </w:rPr>
      </w:pPr>
      <w:bookmarkStart w:id="5" w:name="frBetween"/>
      <w:bookmarkEnd w:id="5"/>
      <w:r w:rsidRPr="009C2254">
        <w:rPr>
          <w:rFonts w:eastAsia="PMingLiU"/>
          <w:b/>
          <w:bCs/>
        </w:rPr>
        <w:t>Between:</w:t>
      </w:r>
    </w:p>
    <w:p w:rsidR="00EF20C7" w:rsidRPr="009C2254" w:rsidRDefault="00EF20C7" w:rsidP="00E11681">
      <w:pPr>
        <w:ind w:left="0"/>
        <w:rPr>
          <w:rFonts w:eastAsia="PMingLiU"/>
        </w:rPr>
      </w:pPr>
    </w:p>
    <w:p w:rsidR="00283549" w:rsidRDefault="00EF20C7" w:rsidP="00EF20C7">
      <w:pPr>
        <w:ind w:left="0"/>
        <w:jc w:val="center"/>
        <w:rPr>
          <w:rFonts w:eastAsia="PMingLiU"/>
          <w:b/>
        </w:rPr>
      </w:pPr>
      <w:r>
        <w:rPr>
          <w:rFonts w:eastAsia="PMingLiU"/>
          <w:b/>
        </w:rPr>
        <w:t>Her Majesty the Queen</w:t>
      </w:r>
    </w:p>
    <w:p w:rsidR="00EF20C7" w:rsidRPr="00EF20C7" w:rsidRDefault="00EF20C7" w:rsidP="00EF20C7">
      <w:pPr>
        <w:ind w:left="0"/>
        <w:jc w:val="right"/>
        <w:rPr>
          <w:rFonts w:eastAsia="PMingLiU"/>
        </w:rPr>
      </w:pPr>
      <w:r w:rsidRPr="00EF20C7">
        <w:rPr>
          <w:rFonts w:eastAsia="PMingLiU"/>
        </w:rPr>
        <w:t>Respondent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proofErr w:type="gramStart"/>
      <w:r w:rsidRPr="009C2254">
        <w:rPr>
          <w:rFonts w:eastAsia="PMingLiU"/>
        </w:rPr>
        <w:t>and</w:t>
      </w:r>
      <w:proofErr w:type="gramEnd"/>
      <w:r w:rsidRPr="009C2254">
        <w:rPr>
          <w:rFonts w:eastAsia="PMingLiU"/>
        </w:rPr>
        <w:t xml:space="preserve"> -</w:t>
      </w:r>
    </w:p>
    <w:p w:rsidR="00283549" w:rsidRPr="009C2254" w:rsidRDefault="00283549" w:rsidP="00E11681">
      <w:pPr>
        <w:ind w:left="0"/>
        <w:rPr>
          <w:rFonts w:eastAsia="PMingLiU"/>
        </w:rPr>
      </w:pPr>
    </w:p>
    <w:p w:rsidR="00EF20C7" w:rsidRPr="00DA253C" w:rsidRDefault="00EF20C7" w:rsidP="00EF20C7">
      <w:pPr>
        <w:ind w:left="0"/>
        <w:jc w:val="center"/>
        <w:rPr>
          <w:rFonts w:eastAsia="PMingLiU"/>
        </w:rPr>
      </w:pPr>
      <w:r>
        <w:rPr>
          <w:rFonts w:eastAsia="PMingLiU"/>
          <w:b/>
        </w:rPr>
        <w:t>Edward Frank Albert</w:t>
      </w:r>
    </w:p>
    <w:p w:rsidR="00EF20C7" w:rsidRPr="009C2254" w:rsidRDefault="00EF20C7" w:rsidP="00EF20C7">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920"/>
      </w:tblGrid>
      <w:tr w:rsidR="00283549" w:rsidRPr="009C2254" w:rsidTr="00194D2F">
        <w:trPr>
          <w:jc w:val="center"/>
        </w:trPr>
        <w:tc>
          <w:tcPr>
            <w:tcW w:w="7920" w:type="dxa"/>
          </w:tcPr>
          <w:p w:rsidR="00283549" w:rsidRPr="009C2254" w:rsidRDefault="00283549" w:rsidP="00E11681">
            <w:pPr>
              <w:spacing w:line="187" w:lineRule="exact"/>
              <w:ind w:left="0"/>
              <w:rPr>
                <w:rFonts w:eastAsia="PMingLiU"/>
              </w:rPr>
            </w:pPr>
            <w:bookmarkStart w:id="7" w:name="PubBanTableStart"/>
            <w:bookmarkEnd w:id="7"/>
          </w:p>
          <w:p w:rsidR="00283549" w:rsidRPr="00B24F8F" w:rsidRDefault="00283549" w:rsidP="00D73CCC">
            <w:pPr>
              <w:spacing w:after="120"/>
              <w:ind w:left="0"/>
              <w:jc w:val="center"/>
              <w:rPr>
                <w:rFonts w:eastAsia="PMingLiU"/>
                <w:sz w:val="28"/>
                <w:szCs w:val="28"/>
              </w:rPr>
            </w:pPr>
            <w:r w:rsidRPr="00B24F8F">
              <w:rPr>
                <w:b/>
                <w:bCs/>
                <w:sz w:val="28"/>
                <w:szCs w:val="28"/>
              </w:rPr>
              <w:t>Restriction on Publication</w:t>
            </w:r>
          </w:p>
          <w:p w:rsidR="00DA253C" w:rsidRDefault="00DA253C" w:rsidP="00502C82">
            <w:pPr>
              <w:spacing w:before="120" w:after="120"/>
              <w:ind w:left="0"/>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rsidR="00DA253C" w:rsidRDefault="00DA253C" w:rsidP="00502C82">
            <w:pPr>
              <w:spacing w:before="120" w:after="120"/>
              <w:ind w:left="0"/>
              <w:rPr>
                <w:rFonts w:eastAsia="PMingLiU"/>
                <w:sz w:val="22"/>
                <w:szCs w:val="22"/>
              </w:rPr>
            </w:pPr>
            <w:r w:rsidRPr="002E3EDB">
              <w:rPr>
                <w:rFonts w:eastAsia="PMingLiU"/>
                <w:sz w:val="22"/>
                <w:szCs w:val="22"/>
              </w:rPr>
              <w:t xml:space="preserve">By Court Order, information that may identify </w:t>
            </w:r>
            <w:r w:rsidR="002E3EDB" w:rsidRPr="002E3EDB">
              <w:rPr>
                <w:rFonts w:eastAsia="PMingLiU"/>
                <w:sz w:val="22"/>
                <w:szCs w:val="22"/>
              </w:rPr>
              <w:t xml:space="preserve">the complainants </w:t>
            </w:r>
            <w:r w:rsidRPr="002E3EDB">
              <w:rPr>
                <w:rFonts w:eastAsia="PMingLiU"/>
                <w:sz w:val="22"/>
                <w:szCs w:val="22"/>
              </w:rPr>
              <w:t>must not be published, broadcast, or transmitted in any way.</w:t>
            </w:r>
          </w:p>
          <w:p w:rsidR="00283549" w:rsidRPr="00DA253C" w:rsidRDefault="00DA253C" w:rsidP="00502C82">
            <w:pPr>
              <w:spacing w:before="120" w:after="120"/>
              <w:ind w:left="0"/>
              <w:rPr>
                <w:rFonts w:eastAsia="PMingLiU"/>
                <w:sz w:val="22"/>
                <w:szCs w:val="22"/>
              </w:rPr>
            </w:pPr>
            <w:r>
              <w:rPr>
                <w:rFonts w:eastAsia="PMingLiU"/>
                <w:b/>
                <w:sz w:val="22"/>
                <w:szCs w:val="22"/>
              </w:rPr>
              <w:t>NOTE:</w:t>
            </w:r>
            <w:r>
              <w:rPr>
                <w:rFonts w:eastAsia="PMingLiU"/>
                <w:sz w:val="22"/>
                <w:szCs w:val="22"/>
              </w:rPr>
              <w:t xml:space="preserve"> This judgment is intended to comply with the restriction so that it may be published.</w:t>
            </w:r>
            <w:bookmarkStart w:id="8" w:name="PubBanText"/>
            <w:bookmarkEnd w:id="8"/>
          </w:p>
        </w:tc>
      </w:tr>
    </w:tbl>
    <w:p w:rsidR="00283549" w:rsidRPr="009C2254" w:rsidRDefault="00283549" w:rsidP="00E11681">
      <w:pPr>
        <w:ind w:left="0"/>
        <w:rPr>
          <w:rFonts w:eastAsia="PMingLiU"/>
        </w:rPr>
      </w:pPr>
      <w:bookmarkStart w:id="9" w:name="PubBanTableEnd"/>
      <w:bookmarkStart w:id="10" w:name="CorrectedJudgment"/>
      <w:bookmarkEnd w:id="9"/>
      <w:bookmarkEnd w:id="10"/>
    </w:p>
    <w:p w:rsidR="00DA253C" w:rsidRDefault="00DA253C" w:rsidP="00DA253C">
      <w:pPr>
        <w:ind w:left="0"/>
        <w:jc w:val="center"/>
        <w:rPr>
          <w:rFonts w:eastAsia="PMingLiU"/>
          <w:b/>
        </w:rPr>
      </w:pPr>
      <w:bookmarkStart w:id="11" w:name="TheCourt"/>
      <w:bookmarkEnd w:id="11"/>
      <w:r>
        <w:rPr>
          <w:rFonts w:eastAsia="PMingLiU"/>
          <w:b/>
        </w:rPr>
        <w:t>_______________________________________________________</w:t>
      </w:r>
    </w:p>
    <w:p w:rsidR="00DA253C" w:rsidRDefault="00DA253C" w:rsidP="00DA253C">
      <w:pPr>
        <w:ind w:left="0"/>
        <w:jc w:val="center"/>
        <w:rPr>
          <w:rFonts w:eastAsia="PMingLiU"/>
          <w:b/>
        </w:rPr>
      </w:pPr>
    </w:p>
    <w:p w:rsidR="00DA253C" w:rsidRDefault="00DA253C" w:rsidP="00DA253C">
      <w:pPr>
        <w:ind w:left="0"/>
        <w:jc w:val="left"/>
        <w:rPr>
          <w:rFonts w:eastAsia="PMingLiU"/>
          <w:b/>
        </w:rPr>
      </w:pPr>
      <w:r>
        <w:rPr>
          <w:rFonts w:eastAsia="PMingLiU"/>
          <w:b/>
        </w:rPr>
        <w:t>The Court:</w:t>
      </w:r>
    </w:p>
    <w:p w:rsidR="00DA253C" w:rsidRDefault="00DA253C" w:rsidP="00DA253C">
      <w:pPr>
        <w:ind w:left="0"/>
        <w:jc w:val="center"/>
        <w:rPr>
          <w:rFonts w:eastAsia="PMingLiU"/>
          <w:b/>
        </w:rPr>
      </w:pPr>
      <w:bookmarkStart w:id="12" w:name="JusticeTitleStart"/>
      <w:bookmarkStart w:id="13" w:name="JusticeName"/>
      <w:bookmarkEnd w:id="12"/>
      <w:r>
        <w:rPr>
          <w:rFonts w:eastAsia="PMingLiU"/>
          <w:b/>
        </w:rPr>
        <w:t xml:space="preserve">The Honourable Madam Justice Patricia </w:t>
      </w:r>
      <w:proofErr w:type="spellStart"/>
      <w:r>
        <w:rPr>
          <w:rFonts w:eastAsia="PMingLiU"/>
          <w:b/>
        </w:rPr>
        <w:t>Rowbotham</w:t>
      </w:r>
      <w:bookmarkEnd w:id="13"/>
      <w:proofErr w:type="spellEnd"/>
    </w:p>
    <w:p w:rsidR="00DA253C" w:rsidRDefault="00DA253C" w:rsidP="00DA253C">
      <w:pPr>
        <w:ind w:left="0"/>
        <w:jc w:val="center"/>
        <w:rPr>
          <w:rFonts w:eastAsia="PMingLiU"/>
          <w:b/>
        </w:rPr>
      </w:pPr>
      <w:bookmarkStart w:id="14" w:name="JusticeName2"/>
      <w:r>
        <w:rPr>
          <w:rFonts w:eastAsia="PMingLiU"/>
          <w:b/>
        </w:rPr>
        <w:t xml:space="preserve">The Honourable Mr. Justice Brian </w:t>
      </w:r>
      <w:proofErr w:type="spellStart"/>
      <w:r>
        <w:rPr>
          <w:rFonts w:eastAsia="PMingLiU"/>
          <w:b/>
        </w:rPr>
        <w:t>O’Ferrall</w:t>
      </w:r>
      <w:bookmarkEnd w:id="14"/>
      <w:proofErr w:type="spellEnd"/>
    </w:p>
    <w:p w:rsidR="00DA253C" w:rsidRDefault="00DA253C" w:rsidP="00DA253C">
      <w:pPr>
        <w:ind w:left="0"/>
        <w:jc w:val="center"/>
        <w:rPr>
          <w:rFonts w:eastAsia="PMingLiU"/>
          <w:b/>
        </w:rPr>
      </w:pPr>
      <w:bookmarkStart w:id="15" w:name="JusticeName3"/>
      <w:r>
        <w:rPr>
          <w:rFonts w:eastAsia="PMingLiU"/>
          <w:b/>
        </w:rPr>
        <w:t>T</w:t>
      </w:r>
      <w:r w:rsidR="00FF5C00">
        <w:rPr>
          <w:rFonts w:eastAsia="PMingLiU"/>
          <w:b/>
        </w:rPr>
        <w:t xml:space="preserve">he Honourable Madam Justice Shannon </w:t>
      </w:r>
      <w:r>
        <w:rPr>
          <w:rFonts w:eastAsia="PMingLiU"/>
          <w:b/>
        </w:rPr>
        <w:t>Smallwood</w:t>
      </w:r>
      <w:bookmarkStart w:id="16" w:name="JusticeTitleEnd"/>
      <w:bookmarkEnd w:id="15"/>
      <w:bookmarkEnd w:id="16"/>
    </w:p>
    <w:p w:rsidR="00283549" w:rsidRPr="00DA253C" w:rsidRDefault="00DA253C" w:rsidP="00DA253C">
      <w:pPr>
        <w:ind w:left="0"/>
        <w:jc w:val="center"/>
        <w:rPr>
          <w:rFonts w:eastAsia="PMingLiU"/>
          <w:b/>
        </w:rPr>
      </w:pPr>
      <w:r>
        <w:rPr>
          <w:rFonts w:eastAsia="PMingLiU"/>
          <w:b/>
        </w:rPr>
        <w:t>_______________________________________________________</w:t>
      </w:r>
    </w:p>
    <w:p w:rsidR="00DA253C" w:rsidRPr="00A85A4B" w:rsidRDefault="00DA253C" w:rsidP="00DA253C">
      <w:pPr>
        <w:keepNext/>
        <w:keepLines/>
        <w:ind w:left="0"/>
        <w:rPr>
          <w:rFonts w:eastAsia="PMingLiU"/>
          <w:b/>
          <w:sz w:val="12"/>
        </w:rPr>
      </w:pPr>
    </w:p>
    <w:p w:rsidR="00DA253C" w:rsidRDefault="00DA253C" w:rsidP="00DA253C">
      <w:pPr>
        <w:keepNext/>
        <w:keepLines/>
        <w:ind w:left="0"/>
        <w:rPr>
          <w:rFonts w:eastAsia="PMingLiU"/>
          <w:b/>
        </w:rPr>
      </w:pPr>
    </w:p>
    <w:p w:rsidR="00DA253C" w:rsidRDefault="00DA253C" w:rsidP="00DA253C">
      <w:pPr>
        <w:keepNext/>
        <w:keepLines/>
        <w:ind w:left="0"/>
        <w:jc w:val="center"/>
        <w:rPr>
          <w:rFonts w:eastAsia="PMingLiU"/>
        </w:rPr>
      </w:pPr>
      <w:bookmarkStart w:id="17" w:name="JudgmentType"/>
      <w:r w:rsidRPr="00DA253C">
        <w:rPr>
          <w:rFonts w:eastAsia="PMingLiU"/>
          <w:b/>
        </w:rPr>
        <w:t>Memorandum of Judgment</w:t>
      </w:r>
      <w:bookmarkEnd w:id="17"/>
    </w:p>
    <w:p w:rsidR="00DA253C" w:rsidRDefault="00DA253C" w:rsidP="00DA253C">
      <w:pPr>
        <w:keepNext/>
        <w:keepLines/>
        <w:ind w:left="0"/>
        <w:jc w:val="center"/>
        <w:rPr>
          <w:rFonts w:eastAsia="PMingLiU"/>
        </w:rPr>
      </w:pPr>
      <w:bookmarkStart w:id="18" w:name="JudgmentTypeCover"/>
      <w:bookmarkEnd w:id="18"/>
    </w:p>
    <w:p w:rsidR="00283549" w:rsidRPr="009C2254" w:rsidRDefault="00DA253C" w:rsidP="008368D3">
      <w:pPr>
        <w:tabs>
          <w:tab w:val="center" w:pos="4680"/>
        </w:tabs>
        <w:ind w:left="0"/>
        <w:jc w:val="center"/>
        <w:rPr>
          <w:rFonts w:eastAsia="PMingLiU"/>
        </w:rPr>
      </w:pPr>
      <w:bookmarkStart w:id="19" w:name="TrialJudgmentType"/>
      <w:bookmarkEnd w:id="19"/>
      <w:r>
        <w:rPr>
          <w:rFonts w:eastAsia="PMingLiU"/>
        </w:rPr>
        <w:t>Appeal from the Conviction by</w:t>
      </w:r>
    </w:p>
    <w:p w:rsidR="00283549" w:rsidRPr="00D53A01" w:rsidRDefault="00DA253C" w:rsidP="008368D3">
      <w:pPr>
        <w:tabs>
          <w:tab w:val="center" w:pos="4680"/>
        </w:tabs>
        <w:ind w:left="0"/>
        <w:jc w:val="center"/>
        <w:rPr>
          <w:rFonts w:eastAsia="PMingLiU"/>
        </w:rPr>
      </w:pPr>
      <w:bookmarkStart w:id="20" w:name="TrialJudgeSalutation"/>
      <w:r w:rsidRPr="00D53A01">
        <w:rPr>
          <w:rFonts w:eastAsia="PMingLiU"/>
        </w:rPr>
        <w:t xml:space="preserve">The Honourable </w:t>
      </w:r>
      <w:bookmarkEnd w:id="20"/>
      <w:r w:rsidR="00D53A01" w:rsidRPr="00D53A01">
        <w:rPr>
          <w:rFonts w:eastAsia="PMingLiU"/>
        </w:rPr>
        <w:t>Judge</w:t>
      </w:r>
      <w:bookmarkStart w:id="21" w:name="TrialJudgeName"/>
      <w:bookmarkEnd w:id="21"/>
      <w:r w:rsidR="00D53A01" w:rsidRPr="00D53A01">
        <w:rPr>
          <w:rFonts w:eastAsia="PMingLiU"/>
        </w:rPr>
        <w:t xml:space="preserve"> G.E. Malakoe</w:t>
      </w:r>
    </w:p>
    <w:p w:rsidR="00DA253C" w:rsidRDefault="009524F7" w:rsidP="008368D3">
      <w:pPr>
        <w:tabs>
          <w:tab w:val="center" w:pos="4680"/>
        </w:tabs>
        <w:ind w:left="0"/>
        <w:jc w:val="center"/>
        <w:rPr>
          <w:rFonts w:eastAsia="PMingLiU"/>
        </w:rPr>
      </w:pPr>
      <w:bookmarkStart w:id="22" w:name="TrialConvictionDate"/>
      <w:bookmarkStart w:id="23" w:name="TrialJudgmentDate"/>
      <w:bookmarkStart w:id="24" w:name="TrialFiledDate"/>
      <w:bookmarkEnd w:id="22"/>
      <w:bookmarkEnd w:id="23"/>
      <w:bookmarkEnd w:id="24"/>
      <w:r>
        <w:rPr>
          <w:rFonts w:eastAsia="PMingLiU"/>
        </w:rPr>
        <w:t>Convicted on the 17</w:t>
      </w:r>
      <w:r w:rsidR="00DA253C">
        <w:rPr>
          <w:rFonts w:eastAsia="PMingLiU"/>
        </w:rPr>
        <w:t xml:space="preserve">th day of </w:t>
      </w:r>
      <w:r>
        <w:rPr>
          <w:rFonts w:eastAsia="PMingLiU"/>
        </w:rPr>
        <w:t>February</w:t>
      </w:r>
      <w:r w:rsidR="00DA253C">
        <w:rPr>
          <w:rFonts w:eastAsia="PMingLiU"/>
        </w:rPr>
        <w:t>, 2016</w:t>
      </w:r>
    </w:p>
    <w:p w:rsidR="00283549" w:rsidRPr="00DA253C" w:rsidRDefault="00DA253C" w:rsidP="008368D3">
      <w:pPr>
        <w:tabs>
          <w:tab w:val="center" w:pos="4680"/>
        </w:tabs>
        <w:ind w:left="0"/>
        <w:jc w:val="center"/>
        <w:rPr>
          <w:rFonts w:eastAsia="PMingLiU"/>
          <w:color w:val="000000"/>
        </w:rPr>
      </w:pPr>
      <w:bookmarkStart w:id="25" w:name="JudgmentDetails"/>
      <w:bookmarkEnd w:id="25"/>
      <w:r>
        <w:rPr>
          <w:rFonts w:eastAsia="PMingLiU"/>
        </w:rPr>
        <w:t>(</w:t>
      </w:r>
      <w:r w:rsidR="00E075BA">
        <w:rPr>
          <w:rFonts w:eastAsia="PMingLiU"/>
          <w:color w:val="000000"/>
        </w:rPr>
        <w:t>Docket: T1CR2015000892</w:t>
      </w:r>
      <w:r>
        <w:rPr>
          <w:rFonts w:eastAsia="PMingLiU"/>
          <w:color w:val="000000"/>
        </w:rPr>
        <w:t>)</w:t>
      </w:r>
    </w:p>
    <w:p w:rsidR="00283549" w:rsidRPr="009C2254" w:rsidRDefault="00283549" w:rsidP="004B6F64">
      <w:pPr>
        <w:ind w:left="0"/>
        <w:rPr>
          <w:rFonts w:eastAsia="PMingLiU"/>
        </w:rPr>
        <w:sectPr w:rsidR="00283549" w:rsidRPr="009C2254" w:rsidSect="00AB0EFF">
          <w:headerReference w:type="even" r:id="rId9"/>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6" w:name="TOC_Here"/>
      <w:bookmarkEnd w:id="26"/>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DA253C" w:rsidRDefault="00DA253C" w:rsidP="00B1323A">
      <w:pPr>
        <w:ind w:left="0"/>
        <w:jc w:val="center"/>
        <w:rPr>
          <w:rFonts w:eastAsia="PMingLiU"/>
        </w:rPr>
      </w:pPr>
      <w:bookmarkStart w:id="27" w:name="JudgmentTypeStart"/>
      <w:bookmarkStart w:id="28" w:name="JudgmentTypeEnd"/>
      <w:bookmarkEnd w:id="27"/>
      <w:bookmarkEnd w:id="28"/>
      <w:r>
        <w:rPr>
          <w:rFonts w:eastAsia="PMingLiU"/>
          <w:b/>
        </w:rPr>
        <w:t>Memorandum of Judgment</w:t>
      </w:r>
      <w:bookmarkStart w:id="29" w:name="JudgmentTypeDocument"/>
      <w:bookmarkEnd w:id="29"/>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10"/>
          <w:headerReference w:type="default" r:id="rId11"/>
          <w:footerReference w:type="default" r:id="rId12"/>
          <w:headerReference w:type="first" r:id="rId13"/>
          <w:pgSz w:w="12240" w:h="15840"/>
          <w:pgMar w:top="1255" w:right="1440" w:bottom="1440" w:left="1440" w:header="1152" w:footer="1440" w:gutter="0"/>
          <w:pgNumType w:fmt="upperRoman" w:start="1"/>
          <w:cols w:space="720"/>
          <w:noEndnote/>
          <w:docGrid w:linePitch="326"/>
        </w:sectPr>
      </w:pPr>
    </w:p>
    <w:p w:rsidR="00DA253C" w:rsidRDefault="00DA253C" w:rsidP="006E7AE1">
      <w:pPr>
        <w:pStyle w:val="FelskyNumbering12"/>
        <w:numPr>
          <w:ilvl w:val="0"/>
          <w:numId w:val="0"/>
        </w:numPr>
        <w:rPr>
          <w:rFonts w:eastAsia="PMingLiU"/>
        </w:rPr>
      </w:pPr>
    </w:p>
    <w:p w:rsidR="00283549" w:rsidRPr="00DA253C" w:rsidRDefault="00DA253C" w:rsidP="006E7AE1">
      <w:pPr>
        <w:pStyle w:val="FelskyNumbering12"/>
        <w:numPr>
          <w:ilvl w:val="0"/>
          <w:numId w:val="0"/>
        </w:numPr>
        <w:rPr>
          <w:rFonts w:eastAsia="PMingLiU"/>
        </w:rPr>
      </w:pPr>
      <w:r>
        <w:rPr>
          <w:rFonts w:eastAsia="PMingLiU"/>
          <w:b/>
        </w:rPr>
        <w:t>The Court:</w:t>
      </w:r>
    </w:p>
    <w:p w:rsidR="004330E0" w:rsidRDefault="004330E0" w:rsidP="004330E0">
      <w:pPr>
        <w:pStyle w:val="FelskyNumbering12"/>
      </w:pPr>
      <w:bookmarkStart w:id="30" w:name="FelskyStart"/>
      <w:bookmarkStart w:id="31" w:name="Paragraph1"/>
      <w:bookmarkEnd w:id="30"/>
      <w:bookmarkEnd w:id="31"/>
      <w:r>
        <w:t>The self-represented appellant, Edward Albert, seeks to have his guilty pleas to two sexual assaults on different women</w:t>
      </w:r>
      <w:r w:rsidR="00E74B75">
        <w:t xml:space="preserve"> vacated</w:t>
      </w:r>
      <w:r>
        <w:t>.</w:t>
      </w:r>
      <w:r w:rsidR="009D62E7">
        <w:t xml:space="preserve"> </w:t>
      </w:r>
      <w:r>
        <w:t>The first assault</w:t>
      </w:r>
      <w:r w:rsidR="00E74B75">
        <w:t xml:space="preserve"> was</w:t>
      </w:r>
      <w:r>
        <w:t xml:space="preserve"> on March 3, 2015</w:t>
      </w:r>
      <w:r w:rsidR="00E74B75">
        <w:t xml:space="preserve">. The </w:t>
      </w:r>
      <w:r>
        <w:t>second occurred on May 31, 2015.</w:t>
      </w:r>
      <w:r w:rsidR="009D62E7">
        <w:t xml:space="preserve"> </w:t>
      </w:r>
    </w:p>
    <w:p w:rsidR="00DA2C30" w:rsidRDefault="00DA2C30" w:rsidP="004330E0">
      <w:pPr>
        <w:pStyle w:val="FelskyNumbering12"/>
      </w:pPr>
      <w:r>
        <w:t xml:space="preserve">Mr. Albert argues </w:t>
      </w:r>
      <w:r w:rsidR="00182445">
        <w:t xml:space="preserve">ineffective assistance of </w:t>
      </w:r>
      <w:r>
        <w:t>counsel. He says the advice he received from the lawyer who represent</w:t>
      </w:r>
      <w:r w:rsidR="001D5788">
        <w:t xml:space="preserve">ed him </w:t>
      </w:r>
      <w:r w:rsidR="00182445">
        <w:t xml:space="preserve">in connection with </w:t>
      </w:r>
      <w:r w:rsidR="001D5788">
        <w:t>his guilty pleas</w:t>
      </w:r>
      <w:r w:rsidR="00182445">
        <w:t>, namely</w:t>
      </w:r>
      <w:r w:rsidR="001D5788">
        <w:t xml:space="preserve"> that he would likely be convicted of both counts</w:t>
      </w:r>
      <w:r w:rsidR="00182445">
        <w:t>,</w:t>
      </w:r>
      <w:r w:rsidR="001D5788">
        <w:t xml:space="preserve"> was inappropriate. And he says the advice he received from </w:t>
      </w:r>
      <w:r w:rsidR="00182445">
        <w:t>another</w:t>
      </w:r>
      <w:r w:rsidR="001D5788">
        <w:t xml:space="preserve"> lawyer who represented him at his sentencing hearing</w:t>
      </w:r>
      <w:r w:rsidR="00296A70">
        <w:t>, namely</w:t>
      </w:r>
      <w:r w:rsidR="001D5788">
        <w:t xml:space="preserve"> that he </w:t>
      </w:r>
      <w:r w:rsidR="00296A70">
        <w:t xml:space="preserve">refrain from making an </w:t>
      </w:r>
      <w:r w:rsidR="001D5788">
        <w:t>application to vacate his guilty pleas</w:t>
      </w:r>
      <w:r w:rsidR="00296A70">
        <w:t>,</w:t>
      </w:r>
      <w:r w:rsidR="001D5788">
        <w:t xml:space="preserve"> was also inappropriate. </w:t>
      </w:r>
    </w:p>
    <w:p w:rsidR="001B3C81" w:rsidRDefault="00E610CE" w:rsidP="004330E0">
      <w:pPr>
        <w:pStyle w:val="FelskyNumbering12"/>
      </w:pPr>
      <w:r>
        <w:t>On appeal t</w:t>
      </w:r>
      <w:r w:rsidR="00296A70">
        <w:t>here was a paucity of evidence on the issue of the compet</w:t>
      </w:r>
      <w:r w:rsidR="00587F64">
        <w:t xml:space="preserve">ency of the appellant’s counsel. The only direct evidence </w:t>
      </w:r>
      <w:r w:rsidR="00233126">
        <w:t xml:space="preserve">on the issue </w:t>
      </w:r>
      <w:r w:rsidR="00587F64">
        <w:t xml:space="preserve">was </w:t>
      </w:r>
      <w:r w:rsidR="00296A70">
        <w:t>the appellant’s assertion that he should not have been advised to plead guilty and</w:t>
      </w:r>
      <w:r w:rsidR="001B3C81">
        <w:t xml:space="preserve">, having done so, he should have been advised to seek to have his guilty plea vacated. </w:t>
      </w:r>
    </w:p>
    <w:p w:rsidR="001B3C81" w:rsidRDefault="001B3C81" w:rsidP="004330E0">
      <w:pPr>
        <w:pStyle w:val="FelskyNumbering12"/>
      </w:pPr>
      <w:r>
        <w:t xml:space="preserve">In order to dispose of this appeal, given the absence of any evidence with respect to the advice of counsel and the reasons </w:t>
      </w:r>
      <w:r w:rsidR="00587F64">
        <w:t>for that advice</w:t>
      </w:r>
      <w:r>
        <w:t>, we found ourselves in the position of having to consider the fresh evidence which the Crown</w:t>
      </w:r>
      <w:r w:rsidR="00E610CE">
        <w:t xml:space="preserve"> applied to have put before this court</w:t>
      </w:r>
      <w:r>
        <w:t xml:space="preserve">. </w:t>
      </w:r>
    </w:p>
    <w:p w:rsidR="001B3C81" w:rsidRDefault="001B3C81" w:rsidP="001B3C81">
      <w:pPr>
        <w:pStyle w:val="FelskyNumbering12"/>
      </w:pPr>
      <w:r>
        <w:t xml:space="preserve">The basis for </w:t>
      </w:r>
      <w:r w:rsidR="00202BF0">
        <w:t>the Crown’s</w:t>
      </w:r>
      <w:r>
        <w:t xml:space="preserve"> motion </w:t>
      </w:r>
      <w:r w:rsidR="001A282F">
        <w:t>was</w:t>
      </w:r>
      <w:r>
        <w:t xml:space="preserve"> that the tendered materials </w:t>
      </w:r>
      <w:r w:rsidR="001A282F">
        <w:t xml:space="preserve">were </w:t>
      </w:r>
      <w:r>
        <w:t xml:space="preserve">necessary to understand and assess the arguments of </w:t>
      </w:r>
      <w:r w:rsidR="00202BF0">
        <w:t>the appellant, as well as those of the</w:t>
      </w:r>
      <w:r>
        <w:t xml:space="preserve"> Crown. The proposed evidence included </w:t>
      </w:r>
      <w:r w:rsidR="00202BF0">
        <w:t>statements given to the RCMP by both the appellant and the complainants shortly after the alleged sexual assaults. It also included certain DNA evidence which only became available after the appellant had pled guilty, evidence which the appellant argues should have led to a withdrawal of his guilty plea to the second sexual assault.</w:t>
      </w:r>
    </w:p>
    <w:p w:rsidR="00B81AB5" w:rsidRDefault="001B3C81" w:rsidP="001B3C81">
      <w:pPr>
        <w:pStyle w:val="FelskyNumbering12"/>
      </w:pPr>
      <w:r>
        <w:t>This Court may, when it is in the interests of justice to do so, receive fresh evidence proffered by the parties</w:t>
      </w:r>
      <w:r w:rsidR="001A282F">
        <w:t xml:space="preserve">. Such fresh evidence may </w:t>
      </w:r>
      <w:r>
        <w:t xml:space="preserve">be considered in assessing the validity of a guilty plea: </w:t>
      </w:r>
      <w:r w:rsidRPr="00906E77">
        <w:rPr>
          <w:i/>
        </w:rPr>
        <w:t>R v T(R</w:t>
      </w:r>
      <w:proofErr w:type="gramStart"/>
      <w:r w:rsidRPr="00906E77">
        <w:rPr>
          <w:i/>
        </w:rPr>
        <w:t>)</w:t>
      </w:r>
      <w:r w:rsidR="00CF3CEA">
        <w:t>(</w:t>
      </w:r>
      <w:proofErr w:type="gramEnd"/>
      <w:r w:rsidR="00CF3CEA">
        <w:t>1992)</w:t>
      </w:r>
      <w:r>
        <w:t>, 10 OR (3d) 514, [1992] OJ No 1914</w:t>
      </w:r>
      <w:r w:rsidR="00CF3CEA">
        <w:t xml:space="preserve"> at para 12</w:t>
      </w:r>
      <w:r>
        <w:t xml:space="preserve"> (CA). We are satisfied that this is an appropriate </w:t>
      </w:r>
      <w:r w:rsidR="002D30CA">
        <w:t>case</w:t>
      </w:r>
      <w:r>
        <w:t xml:space="preserve"> in which to </w:t>
      </w:r>
      <w:r w:rsidR="002D30CA">
        <w:t>permit fresh evidence</w:t>
      </w:r>
      <w:r>
        <w:t xml:space="preserve">. </w:t>
      </w:r>
      <w:r w:rsidR="00142052">
        <w:t>W</w:t>
      </w:r>
      <w:r w:rsidR="00233126">
        <w:t xml:space="preserve">e recognize that the evidence </w:t>
      </w:r>
      <w:r>
        <w:t>tendered by the Crown</w:t>
      </w:r>
      <w:r w:rsidR="00233126">
        <w:t xml:space="preserve"> is </w:t>
      </w:r>
      <w:r w:rsidR="002D30CA">
        <w:t>problematic</w:t>
      </w:r>
      <w:r w:rsidR="001A282F">
        <w:t xml:space="preserve"> for </w:t>
      </w:r>
      <w:r w:rsidR="00F46DEA">
        <w:t xml:space="preserve">the </w:t>
      </w:r>
      <w:r w:rsidR="001A282F">
        <w:t>reason given below</w:t>
      </w:r>
      <w:r w:rsidR="00142052">
        <w:t xml:space="preserve">, however, </w:t>
      </w:r>
      <w:r w:rsidR="00233126">
        <w:t xml:space="preserve">it </w:t>
      </w:r>
      <w:r>
        <w:t>provide</w:t>
      </w:r>
      <w:r w:rsidR="00233126">
        <w:t>s</w:t>
      </w:r>
      <w:r>
        <w:t xml:space="preserve"> useful context to help explain the circumstances leading to Mr. Albert’s guilty pleas and to assist </w:t>
      </w:r>
      <w:r w:rsidR="00C07553">
        <w:t xml:space="preserve">us </w:t>
      </w:r>
      <w:r>
        <w:t xml:space="preserve">in </w:t>
      </w:r>
      <w:r w:rsidR="00C07553">
        <w:t xml:space="preserve">assessing </w:t>
      </w:r>
      <w:r>
        <w:t xml:space="preserve">Mr. Albert’s legal representation. </w:t>
      </w:r>
      <w:r w:rsidR="00233126">
        <w:t>The problem with the</w:t>
      </w:r>
      <w:r w:rsidR="00C07553">
        <w:t xml:space="preserve"> fresh evidence is</w:t>
      </w:r>
      <w:r w:rsidR="00233126">
        <w:t xml:space="preserve"> that </w:t>
      </w:r>
      <w:r>
        <w:t>the statements the appellant and the complainants gave to the RCMP</w:t>
      </w:r>
      <w:r w:rsidR="00233126">
        <w:t>, which form part of the fresh evidence</w:t>
      </w:r>
      <w:r w:rsidR="00142052">
        <w:t>,</w:t>
      </w:r>
      <w:r>
        <w:t xml:space="preserve"> were never subjected to the scrutiny of a trial process.</w:t>
      </w:r>
      <w:r w:rsidR="00C07553">
        <w:t xml:space="preserve"> </w:t>
      </w:r>
      <w:r w:rsidR="00233126">
        <w:t>For example, n</w:t>
      </w:r>
      <w:r w:rsidR="00C07553">
        <w:t xml:space="preserve">o </w:t>
      </w:r>
      <w:proofErr w:type="spellStart"/>
      <w:r w:rsidR="00C07553" w:rsidRPr="00C07553">
        <w:rPr>
          <w:i/>
        </w:rPr>
        <w:t>voir</w:t>
      </w:r>
      <w:proofErr w:type="spellEnd"/>
      <w:r w:rsidR="00C07553" w:rsidRPr="00C07553">
        <w:rPr>
          <w:i/>
        </w:rPr>
        <w:t xml:space="preserve"> dire</w:t>
      </w:r>
      <w:r w:rsidR="00C07553">
        <w:t xml:space="preserve"> </w:t>
      </w:r>
      <w:r w:rsidR="00233126">
        <w:t>has been</w:t>
      </w:r>
      <w:r w:rsidR="00C07553">
        <w:t xml:space="preserve"> conducted with respect to the </w:t>
      </w:r>
      <w:r w:rsidR="00142052">
        <w:t xml:space="preserve">admissibility of the </w:t>
      </w:r>
      <w:r w:rsidR="00C07553">
        <w:t>appellant’s statement.</w:t>
      </w:r>
    </w:p>
    <w:p w:rsidR="001D5788" w:rsidRDefault="00130AD4" w:rsidP="004330E0">
      <w:pPr>
        <w:pStyle w:val="FelskyNumbering12"/>
      </w:pPr>
      <w:r>
        <w:lastRenderedPageBreak/>
        <w:t xml:space="preserve">What </w:t>
      </w:r>
      <w:r w:rsidR="001D5788">
        <w:t xml:space="preserve">the </w:t>
      </w:r>
      <w:r>
        <w:t xml:space="preserve">fresh evidence </w:t>
      </w:r>
      <w:r w:rsidR="001D5788">
        <w:t xml:space="preserve">discloses </w:t>
      </w:r>
      <w:r>
        <w:t xml:space="preserve">is </w:t>
      </w:r>
      <w:r w:rsidR="001D5788">
        <w:t>that the accused</w:t>
      </w:r>
      <w:r w:rsidR="002D30CA">
        <w:t>, in his</w:t>
      </w:r>
      <w:r w:rsidR="001D5788">
        <w:t xml:space="preserve"> statement to the </w:t>
      </w:r>
      <w:r w:rsidR="002D30CA">
        <w:t>RCMP,</w:t>
      </w:r>
      <w:r w:rsidR="001D5788">
        <w:t xml:space="preserve"> admitted battering the two complainants when they refused to have sex with him. </w:t>
      </w:r>
      <w:r>
        <w:t xml:space="preserve">The interrogation techniques employed to obtain </w:t>
      </w:r>
      <w:r w:rsidR="00C07553">
        <w:t>the</w:t>
      </w:r>
      <w:r>
        <w:t xml:space="preserve"> statement may have been questioned on a </w:t>
      </w:r>
      <w:proofErr w:type="spellStart"/>
      <w:r w:rsidRPr="00130AD4">
        <w:rPr>
          <w:i/>
        </w:rPr>
        <w:t>voir</w:t>
      </w:r>
      <w:proofErr w:type="spellEnd"/>
      <w:r w:rsidRPr="00130AD4">
        <w:rPr>
          <w:i/>
        </w:rPr>
        <w:t xml:space="preserve"> dire</w:t>
      </w:r>
      <w:r>
        <w:t xml:space="preserve"> </w:t>
      </w:r>
      <w:r w:rsidR="00C07553">
        <w:t xml:space="preserve">had there been a trial and </w:t>
      </w:r>
      <w:r>
        <w:t xml:space="preserve">had the Crown relied upon </w:t>
      </w:r>
      <w:r w:rsidR="002D30CA">
        <w:t>the appellant’s statement</w:t>
      </w:r>
      <w:r w:rsidR="00C07553">
        <w:t xml:space="preserve"> at trial. However, we are comforted by the fact that </w:t>
      </w:r>
      <w:r>
        <w:t xml:space="preserve">incriminating aspects of the statement were consistent with </w:t>
      </w:r>
      <w:r w:rsidR="002D30CA">
        <w:t>the statement given by one of the complainant</w:t>
      </w:r>
      <w:r w:rsidR="00C07553">
        <w:t>s</w:t>
      </w:r>
      <w:r>
        <w:t xml:space="preserve">. </w:t>
      </w:r>
      <w:r w:rsidR="001D5788">
        <w:t xml:space="preserve">Armed with </w:t>
      </w:r>
      <w:r>
        <w:t xml:space="preserve">the </w:t>
      </w:r>
      <w:r w:rsidR="001D5788">
        <w:t>admission</w:t>
      </w:r>
      <w:r>
        <w:t xml:space="preserve">s in the </w:t>
      </w:r>
      <w:r w:rsidR="009645BB">
        <w:t xml:space="preserve">appellant’s </w:t>
      </w:r>
      <w:r>
        <w:t xml:space="preserve">statement given to </w:t>
      </w:r>
      <w:r w:rsidR="00D5581A">
        <w:t>RCMP</w:t>
      </w:r>
      <w:r w:rsidR="001D5788">
        <w:t xml:space="preserve"> and the statements </w:t>
      </w:r>
      <w:r w:rsidR="00C07553">
        <w:t xml:space="preserve">of </w:t>
      </w:r>
      <w:r w:rsidR="001D5788">
        <w:t>the two complainants</w:t>
      </w:r>
      <w:r w:rsidR="00C07553">
        <w:t xml:space="preserve">, </w:t>
      </w:r>
      <w:r w:rsidR="001D5788">
        <w:t xml:space="preserve">which were corroborated in part by what the appellant admitted and by what others observed, the Crown offered a plea bargain to the appellant. </w:t>
      </w:r>
      <w:r w:rsidR="00444DE1">
        <w:t xml:space="preserve">In return for pleading guilty and admitting certain facts without the necessity of calling evidence pursuant to section 655 of the </w:t>
      </w:r>
      <w:r w:rsidR="00444DE1" w:rsidRPr="00130AD4">
        <w:rPr>
          <w:i/>
        </w:rPr>
        <w:t>Criminal Code</w:t>
      </w:r>
      <w:r w:rsidR="00444DE1">
        <w:t>, the Crown was prepared to recommend a certain period of incarceration to the sentencing court</w:t>
      </w:r>
      <w:r w:rsidR="007A7D04">
        <w:t xml:space="preserve"> with </w:t>
      </w:r>
      <w:r w:rsidR="00444DE1">
        <w:t>the appellant be</w:t>
      </w:r>
      <w:r w:rsidR="007A7D04">
        <w:t>ing</w:t>
      </w:r>
      <w:r w:rsidR="00444DE1">
        <w:t xml:space="preserve"> permitted to serve </w:t>
      </w:r>
      <w:r w:rsidR="007A7D04">
        <w:t xml:space="preserve">his time </w:t>
      </w:r>
      <w:r w:rsidR="002972C3">
        <w:t>in the N</w:t>
      </w:r>
      <w:r w:rsidR="00444DE1">
        <w:t xml:space="preserve">orth. </w:t>
      </w:r>
    </w:p>
    <w:p w:rsidR="00444DE1" w:rsidRDefault="00444DE1" w:rsidP="004330E0">
      <w:pPr>
        <w:pStyle w:val="FelskyNumbering12"/>
      </w:pPr>
      <w:r>
        <w:t>Having received the advice of counsel, the appellant accepted the Crown’s offer. He changed his plea to guilty to the first sex</w:t>
      </w:r>
      <w:r w:rsidR="00685062">
        <w:t xml:space="preserve">ual assault on October 1, 2015 and to the second assault </w:t>
      </w:r>
      <w:r>
        <w:t>on October 23, 2015</w:t>
      </w:r>
      <w:r w:rsidR="00685062">
        <w:t xml:space="preserve">. On the guilty plea to the second charge, the appellant’s </w:t>
      </w:r>
      <w:r>
        <w:t>counsel indicated he had canvassed section 606(1</w:t>
      </w:r>
      <w:r w:rsidR="0002562C">
        <w:t>.1</w:t>
      </w:r>
      <w:r>
        <w:t xml:space="preserve">) of the </w:t>
      </w:r>
      <w:r w:rsidRPr="00685062">
        <w:rPr>
          <w:i/>
        </w:rPr>
        <w:t>Criminal Code</w:t>
      </w:r>
      <w:r>
        <w:t xml:space="preserve"> with the appellant and was satisfied that his plea of guilty was compliant with that section. </w:t>
      </w:r>
    </w:p>
    <w:p w:rsidR="002C35E7" w:rsidRDefault="002C35E7" w:rsidP="004330E0">
      <w:pPr>
        <w:pStyle w:val="FelskyNumbering12"/>
      </w:pPr>
      <w:r>
        <w:t xml:space="preserve">Sentencing was </w:t>
      </w:r>
      <w:r w:rsidR="008C04C3">
        <w:t xml:space="preserve">then </w:t>
      </w:r>
      <w:r>
        <w:t xml:space="preserve">postponed in order that a pre-sentence report could be </w:t>
      </w:r>
      <w:r w:rsidR="00685062">
        <w:t>prepared</w:t>
      </w:r>
      <w:r>
        <w:t>.</w:t>
      </w:r>
    </w:p>
    <w:p w:rsidR="002C35E7" w:rsidRDefault="002C35E7" w:rsidP="004330E0">
      <w:pPr>
        <w:pStyle w:val="FelskyNumbering12"/>
      </w:pPr>
      <w:r>
        <w:t xml:space="preserve">Prior to sentencing, the results of a medical examination of the victim of the second sexual assault became available. </w:t>
      </w:r>
      <w:r w:rsidR="00675C70">
        <w:t>Those results</w:t>
      </w:r>
      <w:r>
        <w:t xml:space="preserve"> indicated the presence of another man’s DNA in the vagina of the complainant, but not the DNA of the appellant.</w:t>
      </w:r>
    </w:p>
    <w:p w:rsidR="002C35E7" w:rsidRDefault="002C35E7" w:rsidP="004330E0">
      <w:pPr>
        <w:pStyle w:val="FelskyNumbering12"/>
      </w:pPr>
      <w:r>
        <w:t xml:space="preserve">Upon learning of the DNA test results, the appellant </w:t>
      </w:r>
      <w:r w:rsidR="00675C70">
        <w:t xml:space="preserve">sought to </w:t>
      </w:r>
      <w:r w:rsidR="00685062">
        <w:t xml:space="preserve">withdraw </w:t>
      </w:r>
      <w:r>
        <w:t xml:space="preserve">his guilty plea to the second sexual assault. </w:t>
      </w:r>
      <w:r w:rsidR="00685062">
        <w:t xml:space="preserve">At this point the appellant was </w:t>
      </w:r>
      <w:r>
        <w:t>represented by another lawyer</w:t>
      </w:r>
      <w:r w:rsidR="00675C70">
        <w:t xml:space="preserve">. </w:t>
      </w:r>
      <w:r w:rsidR="009D4A03">
        <w:t>A</w:t>
      </w:r>
      <w:r w:rsidR="0065079A">
        <w:t>fter</w:t>
      </w:r>
      <w:r>
        <w:t xml:space="preserve"> receiving </w:t>
      </w:r>
      <w:r w:rsidR="00C740A5">
        <w:t>the lawyer’s</w:t>
      </w:r>
      <w:r>
        <w:t xml:space="preserve"> advice, the appellant proceeded to the sentencing hearing at which time the pre-sentence report and the agreed statement of facts were entered </w:t>
      </w:r>
      <w:r w:rsidR="0030520F">
        <w:t xml:space="preserve">into evidence. The sentencing court questioned </w:t>
      </w:r>
      <w:r w:rsidR="00CB0DD9">
        <w:t xml:space="preserve">the parties as to </w:t>
      </w:r>
      <w:r w:rsidR="0030520F">
        <w:t>whether there were any issues regarding the agreed statement of fact and was advised that there were none.</w:t>
      </w:r>
    </w:p>
    <w:p w:rsidR="0030520F" w:rsidRDefault="0030520F" w:rsidP="004330E0">
      <w:pPr>
        <w:pStyle w:val="FelskyNumbering12"/>
      </w:pPr>
      <w:r>
        <w:t xml:space="preserve">When asked whether he had anything to say with respect to sentence, the accused advised the court that he had apologized to the victim of the second sexual assault “for what I did”. </w:t>
      </w:r>
    </w:p>
    <w:p w:rsidR="00F808F1" w:rsidRDefault="004330E0" w:rsidP="004330E0">
      <w:pPr>
        <w:pStyle w:val="FelskyNumbering12"/>
      </w:pPr>
      <w:r>
        <w:t xml:space="preserve">With respect to the guilty pleas, a plea of guilty does not deprive this Court of jurisdiction to entertain a conviction appeal, but the appellant has the onus of establishing the plea of guilty was invalid: </w:t>
      </w:r>
      <w:r w:rsidRPr="00906E77">
        <w:rPr>
          <w:i/>
        </w:rPr>
        <w:t>R v Hoang</w:t>
      </w:r>
      <w:r w:rsidR="00906E77">
        <w:t xml:space="preserve">, 2003 ABCA 251 </w:t>
      </w:r>
      <w:r>
        <w:t>at para 14</w:t>
      </w:r>
      <w:r w:rsidR="00C7788C">
        <w:t>, 25 Alta LR (4th) 206</w:t>
      </w:r>
      <w:r>
        <w:t>.</w:t>
      </w:r>
      <w:r w:rsidR="009D62E7">
        <w:t xml:space="preserve"> </w:t>
      </w:r>
      <w:r>
        <w:t>Examples of “valid grounds” to establish the invalidity of a guilty plea are where “it appears that the appellant did not appreciate the nature of the charge, or the appellant did not intend to admit that he was guilty of it; or where upon the admitted</w:t>
      </w:r>
      <w:r w:rsidR="00C7788C">
        <w:t xml:space="preserve"> facts, the appellant could not...</w:t>
      </w:r>
      <w:r>
        <w:t xml:space="preserve">have </w:t>
      </w:r>
      <w:r w:rsidR="00DF4EE4">
        <w:t>been</w:t>
      </w:r>
      <w:r>
        <w:t xml:space="preserve"> convicted of the offence </w:t>
      </w:r>
      <w:r>
        <w:lastRenderedPageBreak/>
        <w:t xml:space="preserve">charged”: </w:t>
      </w:r>
      <w:r w:rsidRPr="00616BC0">
        <w:rPr>
          <w:i/>
        </w:rPr>
        <w:t>Hoang</w:t>
      </w:r>
      <w:r>
        <w:t xml:space="preserve"> at para 30.</w:t>
      </w:r>
      <w:r w:rsidR="00DF4EE4">
        <w:t xml:space="preserve"> </w:t>
      </w:r>
      <w:r>
        <w:t xml:space="preserve">This Court has indicated that a guilty plea should be vacated only in “exceptional” circumstances: </w:t>
      </w:r>
      <w:r w:rsidRPr="00616BC0">
        <w:rPr>
          <w:i/>
        </w:rPr>
        <w:t>Hoang</w:t>
      </w:r>
      <w:r>
        <w:t xml:space="preserve"> at para 25.</w:t>
      </w:r>
      <w:r w:rsidR="00DF4EE4">
        <w:t xml:space="preserve"> </w:t>
      </w:r>
    </w:p>
    <w:p w:rsidR="006617FB" w:rsidRDefault="00DF4EE4" w:rsidP="00F808F1">
      <w:pPr>
        <w:pStyle w:val="FelskyNumbering12"/>
      </w:pPr>
      <w:r>
        <w:t>None of those exceptional circumstances exist here.</w:t>
      </w:r>
      <w:r w:rsidR="00F808F1">
        <w:t xml:space="preserve"> The appellant did not argue that he did not understand what he was being charged with or that he did not intend to plead guilty. As well, t</w:t>
      </w:r>
      <w:r w:rsidR="006617FB">
        <w:t>he appellant’s admissions in his police statement and in his agreed statement of facts could have supported a conviction, regardless of the DNA evidence. In the agreed statement of facts, the appellant admitted that he demanded sex of one of the complainants and when she said “No”, he pulled her pants down and attempted to force his penis into her vagina. When he didn’t succeed, the appellant admitted he chased the complainant and wrestled her to the ground.</w:t>
      </w:r>
    </w:p>
    <w:p w:rsidR="004330E0" w:rsidRDefault="004330E0" w:rsidP="004330E0">
      <w:pPr>
        <w:pStyle w:val="FelskyNumbering12"/>
      </w:pPr>
      <w:r>
        <w:t xml:space="preserve">Tied to his attempt to vacate his pleas of guilty is Mr. Albert’s assertion of inadequate legal </w:t>
      </w:r>
      <w:r w:rsidR="003C6F71">
        <w:t>assistance</w:t>
      </w:r>
      <w:r>
        <w:t>.</w:t>
      </w:r>
      <w:r w:rsidR="009D62E7">
        <w:t xml:space="preserve"> </w:t>
      </w:r>
      <w:r>
        <w:t>There is a strong presumption that counsel is competent</w:t>
      </w:r>
      <w:r w:rsidR="003C6F71">
        <w:t xml:space="preserve">. It is not enough to assert </w:t>
      </w:r>
      <w:r>
        <w:t xml:space="preserve">that other counsel might have made different decisions: </w:t>
      </w:r>
      <w:r w:rsidRPr="00616BC0">
        <w:rPr>
          <w:i/>
        </w:rPr>
        <w:t>R v Meer</w:t>
      </w:r>
      <w:r>
        <w:t>, 2015 ABCA 340</w:t>
      </w:r>
      <w:r w:rsidR="00616BC0">
        <w:t xml:space="preserve"> at </w:t>
      </w:r>
      <w:r>
        <w:t>para 23</w:t>
      </w:r>
      <w:r w:rsidR="00D14F6E">
        <w:t>, 607 AR 358</w:t>
      </w:r>
      <w:r>
        <w:t xml:space="preserve">; </w:t>
      </w:r>
      <w:r w:rsidRPr="00616BC0">
        <w:rPr>
          <w:i/>
        </w:rPr>
        <w:t>R v GDB</w:t>
      </w:r>
      <w:r>
        <w:t>, 2000 SCC 22</w:t>
      </w:r>
      <w:r w:rsidR="00616BC0">
        <w:t xml:space="preserve"> at</w:t>
      </w:r>
      <w:r>
        <w:t xml:space="preserve"> para 27</w:t>
      </w:r>
      <w:r w:rsidR="00D14F6E">
        <w:t>, [2000] 1 SCR 520</w:t>
      </w:r>
      <w:r>
        <w:t>.</w:t>
      </w:r>
      <w:r w:rsidR="009D62E7">
        <w:t xml:space="preserve"> </w:t>
      </w:r>
      <w:r>
        <w:t>For the appellant to be successful in his claim that counsel was incompetent, he must show that the professional incompetence of counsel resulted in a miscarriage of justice</w:t>
      </w:r>
      <w:r w:rsidR="003C6F71">
        <w:t xml:space="preserve"> and</w:t>
      </w:r>
      <w:r>
        <w:t xml:space="preserve"> that he was prejudiced by that incompetence: </w:t>
      </w:r>
      <w:r w:rsidRPr="00EB26DC">
        <w:rPr>
          <w:i/>
        </w:rPr>
        <w:t>Meer</w:t>
      </w:r>
      <w:r w:rsidR="00EB26DC">
        <w:rPr>
          <w:i/>
        </w:rPr>
        <w:t xml:space="preserve"> </w:t>
      </w:r>
      <w:r w:rsidR="00EB26DC">
        <w:t xml:space="preserve">at </w:t>
      </w:r>
      <w:r>
        <w:t>para 23.</w:t>
      </w:r>
      <w:r w:rsidR="009D62E7">
        <w:t xml:space="preserve"> </w:t>
      </w:r>
      <w:r>
        <w:t>A consideration of the performance of counsel is to be conducted on a</w:t>
      </w:r>
      <w:r w:rsidR="006072B7">
        <w:t xml:space="preserve"> reasonableness standard: </w:t>
      </w:r>
      <w:r w:rsidR="006072B7" w:rsidRPr="006072B7">
        <w:rPr>
          <w:i/>
        </w:rPr>
        <w:t>GDB</w:t>
      </w:r>
      <w:r w:rsidR="006072B7">
        <w:t xml:space="preserve"> at para 27</w:t>
      </w:r>
      <w:r>
        <w:t>.</w:t>
      </w:r>
    </w:p>
    <w:p w:rsidR="004330E0" w:rsidRDefault="004330E0" w:rsidP="004330E0">
      <w:pPr>
        <w:pStyle w:val="FelskyNumbering12"/>
      </w:pPr>
      <w:r>
        <w:t>There is little on the record to assess Mr. Albert’s legal representation.</w:t>
      </w:r>
      <w:r w:rsidR="009D62E7">
        <w:t xml:space="preserve"> </w:t>
      </w:r>
      <w:r>
        <w:t xml:space="preserve">The submissions made at </w:t>
      </w:r>
      <w:r w:rsidR="00016054">
        <w:t xml:space="preserve">the trial </w:t>
      </w:r>
      <w:r>
        <w:t xml:space="preserve">court by </w:t>
      </w:r>
      <w:r w:rsidR="003C6F71">
        <w:t xml:space="preserve">the appellant’s </w:t>
      </w:r>
      <w:r w:rsidR="00016054">
        <w:t xml:space="preserve">then </w:t>
      </w:r>
      <w:r w:rsidR="003C6F71">
        <w:t xml:space="preserve">counsel in connection with the guilty pleas and his counsel </w:t>
      </w:r>
      <w:r>
        <w:t>at the sentencing hearing suggest that Mr. Albert was dissatisfied with his counsel, but they do not suggest incompetence.</w:t>
      </w:r>
      <w:r w:rsidR="009D62E7">
        <w:t xml:space="preserve"> </w:t>
      </w:r>
      <w:r>
        <w:t xml:space="preserve">It appears from the court transcripts that both </w:t>
      </w:r>
      <w:r w:rsidR="003C6F71">
        <w:t>counsel</w:t>
      </w:r>
      <w:r>
        <w:t xml:space="preserve"> had discussions with Mr. Albert with respect to the charges and options available to him.</w:t>
      </w:r>
      <w:r w:rsidR="009D62E7">
        <w:t xml:space="preserve"> </w:t>
      </w:r>
      <w:r>
        <w:t>The content and tenor of those discussions is unknown to us</w:t>
      </w:r>
      <w:r w:rsidR="00BC757A">
        <w:t xml:space="preserve"> because no waiver of privilege was made </w:t>
      </w:r>
      <w:r w:rsidR="0031131F">
        <w:t xml:space="preserve">by </w:t>
      </w:r>
      <w:r w:rsidR="00BC757A">
        <w:t>the appellant and no proper application was made to put that evidence before the court</w:t>
      </w:r>
      <w:r w:rsidR="003C6F71">
        <w:t>, but</w:t>
      </w:r>
      <w:r w:rsidR="00BC757A">
        <w:t xml:space="preserve"> an inference may be drawn that both of the appellant’s counsel </w:t>
      </w:r>
      <w:r w:rsidR="003C6F71">
        <w:t xml:space="preserve">viewed an acquittal as unlikely and </w:t>
      </w:r>
      <w:r w:rsidR="00A96ABE">
        <w:t xml:space="preserve">were of the opinion </w:t>
      </w:r>
      <w:r w:rsidR="003C6F71">
        <w:t>that a guilty plea would result in less jail time</w:t>
      </w:r>
      <w:r w:rsidR="006665BB">
        <w:t xml:space="preserve"> in an institution in the North</w:t>
      </w:r>
      <w:r>
        <w:t>.</w:t>
      </w:r>
      <w:r w:rsidR="009D62E7">
        <w:t xml:space="preserve"> </w:t>
      </w:r>
    </w:p>
    <w:p w:rsidR="004330E0" w:rsidRDefault="004330E0" w:rsidP="004330E0">
      <w:pPr>
        <w:pStyle w:val="FelskyNumbering12"/>
      </w:pPr>
      <w:r>
        <w:t xml:space="preserve">Mr. Albert </w:t>
      </w:r>
      <w:r w:rsidR="00462F72">
        <w:t xml:space="preserve">points to </w:t>
      </w:r>
      <w:r>
        <w:t xml:space="preserve">the DNA results from the second assault </w:t>
      </w:r>
      <w:r w:rsidR="00462F72">
        <w:t xml:space="preserve">which became available </w:t>
      </w:r>
      <w:r>
        <w:t>three months before he was sentenced</w:t>
      </w:r>
      <w:r w:rsidR="002972C3">
        <w:t xml:space="preserve"> and argues ineffective assistance of counsel because </w:t>
      </w:r>
      <w:r>
        <w:t>these results were not used to advance his defence.</w:t>
      </w:r>
      <w:r w:rsidR="009D62E7">
        <w:t xml:space="preserve"> </w:t>
      </w:r>
      <w:r>
        <w:t xml:space="preserve">We do not know what advice </w:t>
      </w:r>
      <w:r w:rsidR="00462F72">
        <w:t xml:space="preserve">was given </w:t>
      </w:r>
      <w:r>
        <w:t xml:space="preserve">to Mr. Albert </w:t>
      </w:r>
      <w:r w:rsidR="00462F72">
        <w:t xml:space="preserve">by the lawyer who represented him on his guilty pleas </w:t>
      </w:r>
      <w:r>
        <w:t>regarding the DNA results</w:t>
      </w:r>
      <w:r w:rsidR="0096347C">
        <w:t>,</w:t>
      </w:r>
      <w:r w:rsidR="002127C3">
        <w:t xml:space="preserve"> but we have some indication of the advice that </w:t>
      </w:r>
      <w:r w:rsidR="00462F72">
        <w:t xml:space="preserve">his sentencing lawyer </w:t>
      </w:r>
      <w:r w:rsidR="002127C3">
        <w:t>gave him</w:t>
      </w:r>
      <w:r>
        <w:t>.</w:t>
      </w:r>
      <w:r w:rsidR="009D62E7">
        <w:t xml:space="preserve"> </w:t>
      </w:r>
      <w:r>
        <w:t>The DNA results</w:t>
      </w:r>
      <w:r w:rsidR="00462F72">
        <w:t xml:space="preserve"> </w:t>
      </w:r>
      <w:r>
        <w:t>were addressed at the sentencing hearing.</w:t>
      </w:r>
      <w:r w:rsidR="009D62E7">
        <w:t xml:space="preserve"> </w:t>
      </w:r>
      <w:r>
        <w:t xml:space="preserve"> </w:t>
      </w:r>
      <w:r w:rsidR="00016054">
        <w:t>The appellant’s then counsel</w:t>
      </w:r>
      <w:r>
        <w:t xml:space="preserve"> informed the court that he had been hired by Mr. Albert to apply to strike his guilty plea, but that </w:t>
      </w:r>
      <w:r w:rsidR="0096347C">
        <w:t>the appellant</w:t>
      </w:r>
      <w:r>
        <w:t xml:space="preserve"> changed his mind when counsel explained </w:t>
      </w:r>
      <w:r w:rsidR="0096347C">
        <w:t xml:space="preserve">to him </w:t>
      </w:r>
      <w:r>
        <w:t xml:space="preserve">that the fact of somebody else’s DNA showing up on the test </w:t>
      </w:r>
      <w:r w:rsidR="00462F72">
        <w:t>did</w:t>
      </w:r>
      <w:r>
        <w:t xml:space="preserve"> not mean that the accused </w:t>
      </w:r>
      <w:r w:rsidR="00462F72">
        <w:t xml:space="preserve">would </w:t>
      </w:r>
      <w:r>
        <w:t>be exonerated.</w:t>
      </w:r>
    </w:p>
    <w:p w:rsidR="00BC2AB4" w:rsidRDefault="00BC2AB4" w:rsidP="00BC2AB4">
      <w:pPr>
        <w:pStyle w:val="FelskyNumbering12"/>
        <w:numPr>
          <w:ilvl w:val="0"/>
          <w:numId w:val="0"/>
        </w:numPr>
      </w:pPr>
    </w:p>
    <w:p w:rsidR="004330E0" w:rsidRDefault="004330E0" w:rsidP="004330E0">
      <w:pPr>
        <w:pStyle w:val="FelskyNumbering12"/>
      </w:pPr>
      <w:r>
        <w:lastRenderedPageBreak/>
        <w:t xml:space="preserve">We do have some concern that the content of the agreed statement of fact for the second sexual assault </w:t>
      </w:r>
      <w:r w:rsidR="00D47D60">
        <w:t xml:space="preserve">more </w:t>
      </w:r>
      <w:r>
        <w:t xml:space="preserve">closely aligns with the complainant’s version of the events on May 31, 2015, </w:t>
      </w:r>
      <w:r w:rsidR="00F80BAD">
        <w:t>than</w:t>
      </w:r>
      <w:r w:rsidR="00D47D60">
        <w:t xml:space="preserve"> </w:t>
      </w:r>
      <w:r w:rsidR="0096347C">
        <w:t>with the</w:t>
      </w:r>
      <w:r w:rsidR="00D47D60">
        <w:t xml:space="preserve"> </w:t>
      </w:r>
      <w:r>
        <w:t>admissions pulled from Mr. Albert in his interview with the RCMP on June 3, 2015.</w:t>
      </w:r>
      <w:r w:rsidR="009D62E7">
        <w:t xml:space="preserve"> </w:t>
      </w:r>
      <w:r w:rsidR="0096347C">
        <w:t xml:space="preserve">However, those </w:t>
      </w:r>
      <w:r>
        <w:t xml:space="preserve">admissions would </w:t>
      </w:r>
      <w:r w:rsidR="0096347C">
        <w:t xml:space="preserve">nevertheless </w:t>
      </w:r>
      <w:r>
        <w:t>support a conviction under section 271.</w:t>
      </w:r>
      <w:r w:rsidR="009D62E7">
        <w:t xml:space="preserve"> </w:t>
      </w:r>
      <w:r w:rsidR="00F80BAD">
        <w:t xml:space="preserve">The </w:t>
      </w:r>
      <w:r>
        <w:t xml:space="preserve">ordinary rule is that agreed facts bind </w:t>
      </w:r>
      <w:r w:rsidR="00EB4F2D">
        <w:t xml:space="preserve">the accused </w:t>
      </w:r>
      <w:r>
        <w:t xml:space="preserve">and are incontrovertible later: </w:t>
      </w:r>
      <w:r w:rsidRPr="00EB26DC">
        <w:rPr>
          <w:i/>
        </w:rPr>
        <w:t xml:space="preserve">R v </w:t>
      </w:r>
      <w:proofErr w:type="spellStart"/>
      <w:r w:rsidRPr="00EB26DC">
        <w:rPr>
          <w:i/>
        </w:rPr>
        <w:t>Gouthro</w:t>
      </w:r>
      <w:proofErr w:type="spellEnd"/>
      <w:r>
        <w:t>, 2010 ABCA 188 at para 8</w:t>
      </w:r>
      <w:r w:rsidR="006072B7">
        <w:t>, 27 Alta LR (5th) 207</w:t>
      </w:r>
      <w:r>
        <w:t>.</w:t>
      </w:r>
      <w:r w:rsidR="009D62E7">
        <w:t xml:space="preserve"> </w:t>
      </w:r>
      <w:r>
        <w:t xml:space="preserve">The Court in </w:t>
      </w:r>
      <w:proofErr w:type="spellStart"/>
      <w:r w:rsidRPr="00EB26DC">
        <w:rPr>
          <w:rStyle w:val="Quote1stChar"/>
          <w:i/>
        </w:rPr>
        <w:t>Gouthro</w:t>
      </w:r>
      <w:proofErr w:type="spellEnd"/>
      <w:r>
        <w:t xml:space="preserve"> stated at para</w:t>
      </w:r>
      <w:r w:rsidR="00524D77">
        <w:t>graph</w:t>
      </w:r>
      <w:r>
        <w:t xml:space="preserve"> 9:</w:t>
      </w:r>
    </w:p>
    <w:p w:rsidR="004330E0" w:rsidRDefault="006072B7" w:rsidP="00EB26DC">
      <w:pPr>
        <w:pStyle w:val="Quote1st"/>
      </w:pPr>
      <w:r w:rsidRPr="006072B7">
        <w:t xml:space="preserve">An agreement in open court as to the facts of the crime leading to the sentencing cannot be overturned by showing a mere miscommunication about some facts between client and counsel, nor an oversight in reciting some additional facts. Still less can it be overturned by a later, more thorough trawl for more evidence. After all, the Crown must deal with </w:t>
      </w:r>
      <w:proofErr w:type="spellStart"/>
      <w:r w:rsidRPr="006072B7">
        <w:t>defence</w:t>
      </w:r>
      <w:proofErr w:type="spellEnd"/>
      <w:r w:rsidRPr="006072B7">
        <w:t xml:space="preserve"> counsel; it cannot ethically inquire into their instructions or the accuracy of counsel’s information, nor go behind </w:t>
      </w:r>
      <w:proofErr w:type="gramStart"/>
      <w:r w:rsidRPr="006072B7">
        <w:t>counsel’s</w:t>
      </w:r>
      <w:proofErr w:type="gramEnd"/>
      <w:r w:rsidRPr="006072B7">
        <w:t xml:space="preserve"> back and deal directly with an accused who has counsel.</w:t>
      </w:r>
    </w:p>
    <w:p w:rsidR="004330E0" w:rsidRDefault="004330E0" w:rsidP="004330E0">
      <w:pPr>
        <w:pStyle w:val="FelskyNumbering12"/>
      </w:pPr>
      <w:r>
        <w:t xml:space="preserve"> Also important with respect to the agreed statements of fact is that neither now, nor at any time since the parties agreed to the facts, has Mr. Albert challenged their accuracy.</w:t>
      </w:r>
      <w:r w:rsidR="009D62E7">
        <w:t xml:space="preserve"> </w:t>
      </w:r>
      <w:r w:rsidR="0044393D">
        <w:t xml:space="preserve">Through counsel, the appellant </w:t>
      </w:r>
      <w:r>
        <w:t xml:space="preserve">indicated to the court at the sentencing hearing that there was no issue with </w:t>
      </w:r>
      <w:r w:rsidR="00EB4F2D">
        <w:t xml:space="preserve">either of </w:t>
      </w:r>
      <w:r>
        <w:t>the agreed statements of fact.</w:t>
      </w:r>
      <w:r w:rsidR="009D62E7">
        <w:t xml:space="preserve">  </w:t>
      </w:r>
    </w:p>
    <w:p w:rsidR="004330E0" w:rsidRDefault="004330E0" w:rsidP="004330E0">
      <w:pPr>
        <w:pStyle w:val="FelskyNumbering12"/>
      </w:pPr>
      <w:r>
        <w:t>Mr. Albert further contends that were it not for the inadequate services of his counsel, he would have fought the charges.</w:t>
      </w:r>
      <w:r w:rsidR="009D62E7">
        <w:t xml:space="preserve"> </w:t>
      </w:r>
      <w:r>
        <w:t>He has identified potential witnesses who could have been used in his defence had the sexual assault charges proceeded to trial.</w:t>
      </w:r>
      <w:r w:rsidR="009D62E7">
        <w:t xml:space="preserve"> </w:t>
      </w:r>
      <w:r>
        <w:t>But as the Crown rightly points out, the witnesses identified by Mr. Albert would all be of incidental value.</w:t>
      </w:r>
      <w:r w:rsidR="009D62E7">
        <w:t xml:space="preserve"> </w:t>
      </w:r>
      <w:r>
        <w:t>None of them actually witnessed either assault.</w:t>
      </w:r>
      <w:r w:rsidR="009D62E7">
        <w:t xml:space="preserve"> </w:t>
      </w:r>
      <w:r>
        <w:t xml:space="preserve">Mr. Albert would still be faced at trial with the testimony of the complainants and </w:t>
      </w:r>
      <w:r w:rsidR="00D0371C">
        <w:t>possibly his own</w:t>
      </w:r>
      <w:r>
        <w:t xml:space="preserve"> admissions in the RCMP interview.</w:t>
      </w:r>
      <w:r w:rsidR="009D62E7">
        <w:t xml:space="preserve"> </w:t>
      </w:r>
    </w:p>
    <w:p w:rsidR="004330E0" w:rsidRDefault="004330E0" w:rsidP="004330E0">
      <w:pPr>
        <w:pStyle w:val="FelskyNumbering12"/>
      </w:pPr>
      <w:r>
        <w:t xml:space="preserve">Based on what we see before us, it was reasonable for </w:t>
      </w:r>
      <w:r w:rsidR="00AB77D1">
        <w:t xml:space="preserve">both of the appellant’s counsel </w:t>
      </w:r>
      <w:r>
        <w:t xml:space="preserve">to discuss with </w:t>
      </w:r>
      <w:r w:rsidR="00AB77D1">
        <w:t xml:space="preserve">the appellant </w:t>
      </w:r>
      <w:r>
        <w:t xml:space="preserve">the benefits of pleading guilty, which </w:t>
      </w:r>
      <w:r w:rsidR="00AB77D1">
        <w:t xml:space="preserve">he admitted before us </w:t>
      </w:r>
      <w:r>
        <w:t>included discussions about leniency in sentencing.</w:t>
      </w:r>
      <w:r w:rsidR="009D62E7">
        <w:t xml:space="preserve"> </w:t>
      </w:r>
      <w:r w:rsidR="00AB77D1">
        <w:t>His sentencing lawyer</w:t>
      </w:r>
      <w:r>
        <w:t xml:space="preserve"> informed the court that Mr. Albert, who has foetal alcohol syndrome and a number of associated health issues, would be negatively affected if he were required to serve his prison time in a federal penitentiary.</w:t>
      </w:r>
      <w:r w:rsidR="009D62E7">
        <w:t xml:space="preserve"> </w:t>
      </w:r>
      <w:r w:rsidR="00AB77D1">
        <w:t>He</w:t>
      </w:r>
      <w:r>
        <w:t xml:space="preserve"> therefore requested that Mr. Albert be permitted to serve his sentence in the north, close to his mother, </w:t>
      </w:r>
      <w:r w:rsidR="00A15103">
        <w:t xml:space="preserve">with </w:t>
      </w:r>
      <w:r>
        <w:t xml:space="preserve">whom he was close and </w:t>
      </w:r>
      <w:r w:rsidR="00A15103">
        <w:t xml:space="preserve">with </w:t>
      </w:r>
      <w:r>
        <w:t>whom he spoke by telephone almost every day.</w:t>
      </w:r>
      <w:r w:rsidR="009D62E7">
        <w:t xml:space="preserve"> </w:t>
      </w:r>
      <w:r w:rsidR="006D4B03">
        <w:t>The c</w:t>
      </w:r>
      <w:r>
        <w:t>ourt accepted this recommendation, which may not have been</w:t>
      </w:r>
      <w:r w:rsidR="00A15103">
        <w:t xml:space="preserve"> accepted</w:t>
      </w:r>
      <w:r>
        <w:t xml:space="preserve"> absent the guilty pleas and corresponding sentences.</w:t>
      </w:r>
      <w:r w:rsidR="009D62E7">
        <w:t xml:space="preserve"> </w:t>
      </w:r>
    </w:p>
    <w:p w:rsidR="00BC2AB4" w:rsidRDefault="004330E0" w:rsidP="004330E0">
      <w:pPr>
        <w:pStyle w:val="FelskyNumbering12"/>
      </w:pPr>
      <w:r>
        <w:t>We see no evidence that would rebut the presumption of competency of counsel in this matter.</w:t>
      </w:r>
      <w:r w:rsidR="009D62E7">
        <w:t xml:space="preserve"> </w:t>
      </w:r>
      <w:r>
        <w:t>From the materials before us, there has been no miscarriage of justice and we see no prejudice having resulted to Mr. Albert.</w:t>
      </w:r>
      <w:r w:rsidR="009D62E7">
        <w:t xml:space="preserve"> </w:t>
      </w:r>
      <w:r>
        <w:t xml:space="preserve"> To the contrary, Mr. Albert’s </w:t>
      </w:r>
      <w:r w:rsidR="00A15103">
        <w:t xml:space="preserve">arguably </w:t>
      </w:r>
      <w:r>
        <w:t>lenient sentence</w:t>
      </w:r>
      <w:r w:rsidR="00A15103">
        <w:t>,</w:t>
      </w:r>
      <w:r>
        <w:t xml:space="preserve"> given</w:t>
      </w:r>
      <w:r w:rsidR="00BC2AB4">
        <w:t xml:space="preserve"> </w:t>
      </w:r>
      <w:r>
        <w:t xml:space="preserve"> the </w:t>
      </w:r>
      <w:r w:rsidR="00BC2AB4">
        <w:t xml:space="preserve"> </w:t>
      </w:r>
      <w:r>
        <w:t>seriousness of the combination of the sexual assaults</w:t>
      </w:r>
      <w:r w:rsidR="00A15103">
        <w:t>,</w:t>
      </w:r>
      <w:r>
        <w:t xml:space="preserve"> reflects the fact that he provided </w:t>
      </w:r>
    </w:p>
    <w:p w:rsidR="00283549" w:rsidRDefault="004330E0" w:rsidP="00BC2AB4">
      <w:pPr>
        <w:pStyle w:val="FelskyNumbering12"/>
        <w:numPr>
          <w:ilvl w:val="0"/>
          <w:numId w:val="0"/>
        </w:numPr>
      </w:pPr>
      <w:proofErr w:type="gramStart"/>
      <w:r>
        <w:lastRenderedPageBreak/>
        <w:t>guilty</w:t>
      </w:r>
      <w:proofErr w:type="gramEnd"/>
      <w:r>
        <w:t xml:space="preserve"> pleas, and provided them early, in the sense that they were made prior to the complainants being required to testify.</w:t>
      </w:r>
      <w:r w:rsidR="009D62E7">
        <w:t xml:space="preserve"> </w:t>
      </w:r>
      <w:r>
        <w:t>Mr. Albert has not provided a basis upon which to establish the invalidity of his guilty pleas, and the appeal is accordingly dismissed.</w:t>
      </w:r>
    </w:p>
    <w:p w:rsidR="00283549" w:rsidRPr="009C2254" w:rsidRDefault="00DA253C" w:rsidP="004B6F64">
      <w:pPr>
        <w:ind w:left="0"/>
      </w:pPr>
      <w:bookmarkStart w:id="32" w:name="JudgmentHeard"/>
      <w:bookmarkEnd w:id="32"/>
      <w:r>
        <w:t>Appeal heard</w:t>
      </w:r>
      <w:r w:rsidR="00283549" w:rsidRPr="009C2254">
        <w:t xml:space="preserve"> on </w:t>
      </w:r>
      <w:r>
        <w:t>April 19, 2017</w:t>
      </w:r>
    </w:p>
    <w:p w:rsidR="00283549" w:rsidRPr="009C2254" w:rsidRDefault="00283549" w:rsidP="004B6F64">
      <w:pPr>
        <w:ind w:left="0"/>
      </w:pPr>
    </w:p>
    <w:p w:rsidR="00283549" w:rsidRPr="009C2254" w:rsidRDefault="00DA253C" w:rsidP="004B6F64">
      <w:pPr>
        <w:ind w:left="0"/>
      </w:pPr>
      <w:bookmarkStart w:id="33" w:name="JudgmentFiled"/>
      <w:bookmarkEnd w:id="33"/>
      <w:r>
        <w:t>Memorandum filed</w:t>
      </w:r>
      <w:r w:rsidR="00283549" w:rsidRPr="009C2254">
        <w:t xml:space="preserve"> at </w:t>
      </w:r>
      <w:bookmarkStart w:id="34" w:name="FilingJudicialDistrict"/>
      <w:bookmarkEnd w:id="34"/>
      <w:r w:rsidR="00E63FCF">
        <w:t>Yellowknife</w:t>
      </w:r>
      <w:r w:rsidR="00283549" w:rsidRPr="009C2254">
        <w:t xml:space="preserve">, </w:t>
      </w:r>
      <w:r w:rsidR="00975AEF">
        <w:t>N.W.T.</w:t>
      </w:r>
    </w:p>
    <w:p w:rsidR="00283549" w:rsidRPr="009C2254" w:rsidRDefault="00283549" w:rsidP="004B6F64">
      <w:pPr>
        <w:ind w:left="0"/>
      </w:pPr>
      <w:proofErr w:type="gramStart"/>
      <w:r w:rsidRPr="009C2254">
        <w:t>this</w:t>
      </w:r>
      <w:proofErr w:type="gramEnd"/>
      <w:r w:rsidR="009D62E7">
        <w:t xml:space="preserve">              </w:t>
      </w:r>
      <w:r w:rsidR="00E63FCF">
        <w:t xml:space="preserve">     </w:t>
      </w:r>
      <w:r w:rsidR="009D62E7">
        <w:t xml:space="preserve"> </w:t>
      </w:r>
      <w:r w:rsidR="00DA253C">
        <w:t xml:space="preserve"> day of </w:t>
      </w:r>
      <w:r w:rsidR="006D3822">
        <w:t>May</w:t>
      </w:r>
      <w:r w:rsidR="00DA253C">
        <w:t>, 2017</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DA253C" w:rsidRDefault="00D83B6D" w:rsidP="00DA253C">
      <w:pPr>
        <w:ind w:left="0"/>
        <w:jc w:val="right"/>
      </w:pPr>
      <w:bookmarkStart w:id="35" w:name="Signature"/>
      <w:bookmarkEnd w:id="35"/>
      <w:r>
        <w:pict>
          <v:rect id="_x0000_i1025" style="width:3in;height:.7pt" o:hrpct="0" o:hralign="right" o:hrstd="t" o:hrnoshade="t" o:hr="t" fillcolor="black" stroked="f"/>
        </w:pict>
      </w:r>
    </w:p>
    <w:p w:rsidR="00DA253C" w:rsidRDefault="00DA253C" w:rsidP="00DA253C">
      <w:pPr>
        <w:ind w:left="0"/>
        <w:jc w:val="right"/>
      </w:pPr>
      <w:proofErr w:type="spellStart"/>
      <w:r>
        <w:t>Rowbotham</w:t>
      </w:r>
      <w:proofErr w:type="spellEnd"/>
      <w:r>
        <w:t xml:space="preserve"> J.A.</w:t>
      </w:r>
    </w:p>
    <w:p w:rsidR="00DA253C" w:rsidRDefault="00DA253C" w:rsidP="00DA253C">
      <w:pPr>
        <w:ind w:left="0"/>
        <w:jc w:val="right"/>
      </w:pPr>
    </w:p>
    <w:p w:rsidR="00DA253C" w:rsidRDefault="00DA253C" w:rsidP="00DA253C">
      <w:pPr>
        <w:ind w:left="0"/>
        <w:jc w:val="right"/>
      </w:pPr>
    </w:p>
    <w:p w:rsidR="00DA253C" w:rsidRDefault="00D83B6D" w:rsidP="00DA253C">
      <w:pPr>
        <w:ind w:left="0"/>
        <w:jc w:val="right"/>
      </w:pPr>
      <w:r>
        <w:pict>
          <v:rect id="_x0000_i1026" style="width:3in;height:.7pt" o:hrpct="0" o:hralign="right" o:hrstd="t" o:hrnoshade="t" o:hr="t" fillcolor="black" stroked="f"/>
        </w:pict>
      </w:r>
    </w:p>
    <w:p w:rsidR="00DA253C" w:rsidRDefault="00DA253C" w:rsidP="00DA253C">
      <w:pPr>
        <w:ind w:left="0"/>
        <w:jc w:val="right"/>
      </w:pPr>
      <w:proofErr w:type="spellStart"/>
      <w:r>
        <w:t>O’Ferrall</w:t>
      </w:r>
      <w:proofErr w:type="spellEnd"/>
      <w:r>
        <w:t xml:space="preserve"> J.A.</w:t>
      </w:r>
    </w:p>
    <w:p w:rsidR="00DA253C" w:rsidRDefault="00DA253C" w:rsidP="00DA253C">
      <w:pPr>
        <w:ind w:left="0"/>
        <w:jc w:val="right"/>
      </w:pPr>
    </w:p>
    <w:p w:rsidR="00DA253C" w:rsidRDefault="00DA253C" w:rsidP="00DA253C">
      <w:pPr>
        <w:ind w:left="0"/>
        <w:jc w:val="right"/>
      </w:pPr>
    </w:p>
    <w:p w:rsidR="00DA253C" w:rsidRDefault="00D83B6D" w:rsidP="00DA253C">
      <w:pPr>
        <w:ind w:left="0"/>
        <w:jc w:val="right"/>
      </w:pPr>
      <w:r>
        <w:pict>
          <v:rect id="_x0000_i1027" style="width:3in;height:.7pt" o:hrpct="0" o:hralign="right" o:hrstd="t" o:hrnoshade="t" o:hr="t" fillcolor="black" stroked="f"/>
        </w:pict>
      </w:r>
    </w:p>
    <w:p w:rsidR="00283549" w:rsidRPr="009C2254" w:rsidRDefault="00DA253C" w:rsidP="00DA253C">
      <w:pPr>
        <w:ind w:left="0"/>
        <w:jc w:val="right"/>
      </w:pPr>
      <w:r>
        <w:t>Smallwood J.</w:t>
      </w:r>
      <w:r w:rsidR="0021740B">
        <w:t>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6" w:name="frAppearances"/>
      <w:bookmarkEnd w:id="36"/>
      <w:r w:rsidRPr="009C2254">
        <w:rPr>
          <w:b/>
          <w:bCs/>
        </w:rPr>
        <w:lastRenderedPageBreak/>
        <w:t>Appearances:</w:t>
      </w:r>
    </w:p>
    <w:p w:rsidR="00283549" w:rsidRPr="009C2254" w:rsidRDefault="00283549" w:rsidP="004B6F64">
      <w:pPr>
        <w:keepNext/>
        <w:keepLines/>
        <w:ind w:left="0"/>
      </w:pPr>
    </w:p>
    <w:p w:rsidR="00591628" w:rsidRPr="00591628" w:rsidRDefault="00560BBA" w:rsidP="00591628">
      <w:pPr>
        <w:keepLines/>
        <w:ind w:left="0"/>
      </w:pPr>
      <w:r>
        <w:t xml:space="preserve"> </w:t>
      </w:r>
      <w:r w:rsidR="00591628" w:rsidRPr="00591628">
        <w:t>B. MacPherson</w:t>
      </w:r>
    </w:p>
    <w:p w:rsidR="00591628" w:rsidRDefault="00591628" w:rsidP="00591628">
      <w:pPr>
        <w:keepLines/>
        <w:ind w:left="0"/>
      </w:pPr>
      <w:r w:rsidRPr="00591628">
        <w:tab/>
      </w:r>
      <w:proofErr w:type="gramStart"/>
      <w:r w:rsidRPr="00591628">
        <w:t>for</w:t>
      </w:r>
      <w:proofErr w:type="gramEnd"/>
      <w:r w:rsidRPr="00591628">
        <w:t xml:space="preserve"> the Respondent</w:t>
      </w:r>
    </w:p>
    <w:p w:rsidR="00F03345" w:rsidRPr="00591628" w:rsidRDefault="00F03345" w:rsidP="00591628">
      <w:pPr>
        <w:keepLines/>
        <w:ind w:left="0"/>
      </w:pPr>
    </w:p>
    <w:p w:rsidR="00F03345" w:rsidRPr="00F03345" w:rsidRDefault="00F03345" w:rsidP="00F03345">
      <w:pPr>
        <w:keepLines/>
        <w:ind w:left="0"/>
      </w:pPr>
      <w:r w:rsidRPr="00F03345">
        <w:t>Appellant Edward Albert in Person</w:t>
      </w:r>
    </w:p>
    <w:p w:rsidR="00283549" w:rsidRPr="009C2254" w:rsidRDefault="00283549" w:rsidP="004B6F64">
      <w:pPr>
        <w:keepLines/>
        <w:ind w:left="0"/>
      </w:pPr>
    </w:p>
    <w:p w:rsidR="00283549" w:rsidRPr="009C2254" w:rsidRDefault="00283549" w:rsidP="004B6F64">
      <w:pPr>
        <w:ind w:left="0"/>
      </w:pPr>
      <w:bookmarkStart w:id="37" w:name="Corrigendum"/>
      <w:bookmarkEnd w:id="37"/>
    </w:p>
    <w:p w:rsidR="00E17F24" w:rsidRDefault="00E17F24" w:rsidP="004B6F64">
      <w:pPr>
        <w:ind w:left="0"/>
        <w:sectPr w:rsidR="00E17F24" w:rsidSect="00B81AB5">
          <w:headerReference w:type="even" r:id="rId14"/>
          <w:headerReference w:type="default" r:id="rId15"/>
          <w:headerReference w:type="first" r:id="rId16"/>
          <w:type w:val="continuous"/>
          <w:pgSz w:w="12240" w:h="15840"/>
          <w:pgMar w:top="1584" w:right="1440" w:bottom="2246" w:left="1440" w:header="1152" w:footer="1440" w:gutter="0"/>
          <w:pgNumType w:start="1"/>
          <w:cols w:space="720"/>
          <w:noEndnote/>
          <w:docGrid w:linePitch="326"/>
        </w:sectPr>
      </w:pPr>
    </w:p>
    <w:p w:rsidR="00E17F24" w:rsidRDefault="00E17F24" w:rsidP="00E17F24">
      <w:pPr>
        <w:ind w:left="3168"/>
        <w:jc w:val="right"/>
        <w:rPr>
          <w:rFonts w:eastAsia="PMingLiU"/>
          <w:bCs/>
        </w:rPr>
      </w:pPr>
      <w:r>
        <w:rPr>
          <w:rFonts w:eastAsia="PMingLiU"/>
          <w:bCs/>
        </w:rPr>
        <w:lastRenderedPageBreak/>
        <w:t>A-1-AP-2016-000-006</w:t>
      </w:r>
    </w:p>
    <w:p w:rsidR="00E17F24" w:rsidRPr="007D3FA9" w:rsidRDefault="00E17F24" w:rsidP="00E17F24">
      <w:pPr>
        <w:ind w:left="3168"/>
        <w:rPr>
          <w:rFonts w:eastAsia="PMingLiU"/>
        </w:rPr>
      </w:pPr>
    </w:p>
    <w:p w:rsidR="00E17F24" w:rsidRPr="007D3FA9" w:rsidRDefault="00E17F24" w:rsidP="00E17F24">
      <w:pPr>
        <w:spacing w:line="19" w:lineRule="exact"/>
        <w:ind w:left="3168"/>
        <w:rPr>
          <w:rFonts w:eastAsia="PMingLiU"/>
        </w:rPr>
      </w:pPr>
      <w:r>
        <w:rPr>
          <w:noProof/>
          <w:lang w:val="en-US" w:eastAsia="en-US"/>
        </w:rPr>
        <mc:AlternateContent>
          <mc:Choice Requires="wps">
            <w:drawing>
              <wp:anchor distT="0" distB="0" distL="114300" distR="114300" simplePos="0" relativeHeight="251660288" behindDoc="1" locked="1" layoutInCell="0" allowOverlap="1" wp14:anchorId="5DCB1B95" wp14:editId="53EE0C2D">
                <wp:simplePos x="0" y="0"/>
                <wp:positionH relativeFrom="page">
                  <wp:posOffset>2926080</wp:posOffset>
                </wp:positionH>
                <wp:positionV relativeFrom="paragraph">
                  <wp:posOffset>0</wp:posOffset>
                </wp:positionV>
                <wp:extent cx="393192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BEE50"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d7Q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ALikd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17F24" w:rsidRPr="007D3FA9" w:rsidRDefault="00E17F24" w:rsidP="00E17F24">
      <w:pPr>
        <w:ind w:left="3168"/>
        <w:rPr>
          <w:rFonts w:eastAsia="PMingLiU"/>
        </w:rPr>
      </w:pPr>
    </w:p>
    <w:p w:rsidR="00E17F24" w:rsidRPr="007D3FA9" w:rsidRDefault="00E17F24" w:rsidP="00E17F24">
      <w:pPr>
        <w:ind w:left="3456" w:firstLine="432"/>
        <w:jc w:val="center"/>
        <w:rPr>
          <w:rFonts w:eastAsia="PMingLiU"/>
        </w:rPr>
      </w:pPr>
      <w:r w:rsidRPr="007D3FA9">
        <w:rPr>
          <w:rFonts w:eastAsia="PMingLiU"/>
        </w:rPr>
        <w:t>IN THE COURT OF APPEAL</w:t>
      </w:r>
    </w:p>
    <w:p w:rsidR="00E17F24" w:rsidRPr="007D3FA9" w:rsidRDefault="00E17F24" w:rsidP="00E17F24">
      <w:pPr>
        <w:ind w:left="3888" w:firstLine="432"/>
        <w:jc w:val="center"/>
        <w:rPr>
          <w:rFonts w:eastAsia="PMingLiU"/>
        </w:rPr>
      </w:pPr>
      <w:r w:rsidRPr="007D3FA9">
        <w:rPr>
          <w:rFonts w:eastAsia="PMingLiU"/>
        </w:rPr>
        <w:t>F</w:t>
      </w:r>
      <w:r>
        <w:rPr>
          <w:rFonts w:eastAsia="PMingLiU"/>
        </w:rPr>
        <w:t>OR</w:t>
      </w:r>
      <w:r w:rsidRPr="007D3FA9">
        <w:rPr>
          <w:rFonts w:eastAsia="PMingLiU"/>
        </w:rPr>
        <w:t xml:space="preserve"> THE NORTHWEST TERRITORIES</w:t>
      </w:r>
    </w:p>
    <w:p w:rsidR="00E17F24" w:rsidRPr="007D3FA9" w:rsidRDefault="00E17F24" w:rsidP="00E17F24">
      <w:pPr>
        <w:ind w:left="3168"/>
        <w:jc w:val="center"/>
        <w:rPr>
          <w:rFonts w:eastAsia="PMingLiU"/>
        </w:rPr>
      </w:pPr>
    </w:p>
    <w:p w:rsidR="00E17F24" w:rsidRPr="007D3FA9" w:rsidRDefault="00E17F24" w:rsidP="00E17F24">
      <w:pPr>
        <w:spacing w:line="19" w:lineRule="exact"/>
        <w:ind w:left="3168"/>
        <w:rPr>
          <w:rFonts w:eastAsia="PMingLiU"/>
        </w:rPr>
      </w:pPr>
      <w:r>
        <w:rPr>
          <w:noProof/>
          <w:lang w:val="en-US" w:eastAsia="en-US"/>
        </w:rPr>
        <mc:AlternateContent>
          <mc:Choice Requires="wps">
            <w:drawing>
              <wp:anchor distT="0" distB="0" distL="114300" distR="114300" simplePos="0" relativeHeight="251657216" behindDoc="1" locked="1" layoutInCell="0" allowOverlap="1" wp14:anchorId="0D07FD27" wp14:editId="06877A31">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508C30" id="Rectangle 5" o:spid="_x0000_s1026" style="position:absolute;margin-left:230.4pt;margin-top:0;width:309.6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17F24" w:rsidRPr="007D3FA9" w:rsidRDefault="00E17F24" w:rsidP="00E17F24">
      <w:pPr>
        <w:ind w:left="3168"/>
        <w:rPr>
          <w:rFonts w:eastAsia="PMingLiU"/>
        </w:rPr>
      </w:pPr>
    </w:p>
    <w:p w:rsidR="00E17F24" w:rsidRPr="009C2254" w:rsidRDefault="00E17F24" w:rsidP="00F03345">
      <w:pPr>
        <w:ind w:left="3150" w:firstLine="450"/>
        <w:rPr>
          <w:rFonts w:eastAsia="PMingLiU"/>
        </w:rPr>
      </w:pPr>
      <w:r w:rsidRPr="009C2254">
        <w:rPr>
          <w:rFonts w:eastAsia="PMingLiU"/>
          <w:b/>
          <w:bCs/>
        </w:rPr>
        <w:t>Between:</w:t>
      </w:r>
    </w:p>
    <w:p w:rsidR="00F03345" w:rsidRDefault="00F03345" w:rsidP="00F03345">
      <w:pPr>
        <w:ind w:left="3600" w:firstLine="720"/>
        <w:rPr>
          <w:rFonts w:eastAsia="PMingLiU"/>
        </w:rPr>
      </w:pPr>
    </w:p>
    <w:p w:rsidR="00F03345" w:rsidRDefault="00F03345" w:rsidP="00F03345">
      <w:pPr>
        <w:ind w:left="3600" w:firstLine="720"/>
        <w:rPr>
          <w:rFonts w:eastAsia="PMingLiU"/>
          <w:b/>
        </w:rPr>
      </w:pPr>
      <w:r>
        <w:rPr>
          <w:rFonts w:eastAsia="PMingLiU"/>
          <w:b/>
        </w:rPr>
        <w:t xml:space="preserve">            Her Majesty the Queen</w:t>
      </w:r>
    </w:p>
    <w:p w:rsidR="00F03345" w:rsidRDefault="00F03345" w:rsidP="00F03345">
      <w:pPr>
        <w:ind w:left="3600" w:firstLine="720"/>
        <w:rPr>
          <w:rFonts w:eastAsia="PMingLiU"/>
          <w:b/>
        </w:rPr>
      </w:pPr>
    </w:p>
    <w:p w:rsidR="00F03345" w:rsidRPr="00EF20C7" w:rsidRDefault="00F03345" w:rsidP="00F03345">
      <w:pPr>
        <w:ind w:left="0" w:firstLine="720"/>
        <w:jc w:val="right"/>
        <w:rPr>
          <w:rFonts w:eastAsia="PMingLiU"/>
        </w:rPr>
      </w:pPr>
      <w:r w:rsidRPr="00EF20C7">
        <w:rPr>
          <w:rFonts w:eastAsia="PMingLiU"/>
        </w:rPr>
        <w:t>Respondent</w:t>
      </w:r>
    </w:p>
    <w:p w:rsidR="00F03345" w:rsidRPr="009C2254" w:rsidRDefault="00F03345" w:rsidP="00F03345">
      <w:pPr>
        <w:ind w:left="0"/>
        <w:rPr>
          <w:rFonts w:eastAsia="PMingLiU"/>
        </w:rPr>
      </w:pPr>
    </w:p>
    <w:p w:rsidR="00F03345" w:rsidRPr="009C2254" w:rsidRDefault="00F03345" w:rsidP="00F03345">
      <w:pPr>
        <w:tabs>
          <w:tab w:val="center" w:pos="4680"/>
        </w:tabs>
        <w:ind w:left="0"/>
        <w:jc w:val="center"/>
        <w:rPr>
          <w:rFonts w:eastAsia="PMingLiU"/>
        </w:rPr>
      </w:pPr>
      <w:r>
        <w:rPr>
          <w:rFonts w:eastAsia="PMingLiU"/>
        </w:rPr>
        <w:t xml:space="preserve">                                                         </w:t>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F03345" w:rsidRPr="009C2254" w:rsidRDefault="00F03345" w:rsidP="00F03345">
      <w:pPr>
        <w:ind w:left="0"/>
        <w:rPr>
          <w:rFonts w:eastAsia="PMingLiU"/>
        </w:rPr>
      </w:pPr>
    </w:p>
    <w:p w:rsidR="00F03345" w:rsidRPr="00DA253C" w:rsidRDefault="00F03345" w:rsidP="00F03345">
      <w:pPr>
        <w:ind w:left="4320" w:firstLine="720"/>
        <w:rPr>
          <w:rFonts w:eastAsia="PMingLiU"/>
        </w:rPr>
      </w:pPr>
      <w:r>
        <w:rPr>
          <w:rFonts w:eastAsia="PMingLiU"/>
          <w:b/>
        </w:rPr>
        <w:t>Edward Frank Albert</w:t>
      </w:r>
    </w:p>
    <w:p w:rsidR="00F03345" w:rsidRDefault="00F03345" w:rsidP="00F03345">
      <w:pPr>
        <w:tabs>
          <w:tab w:val="right" w:pos="9360"/>
        </w:tabs>
        <w:ind w:left="0"/>
        <w:jc w:val="right"/>
        <w:rPr>
          <w:rFonts w:eastAsia="PMingLiU"/>
        </w:rPr>
      </w:pPr>
    </w:p>
    <w:p w:rsidR="00F03345" w:rsidRPr="009C2254" w:rsidRDefault="00F03345" w:rsidP="00F03345">
      <w:pPr>
        <w:tabs>
          <w:tab w:val="right" w:pos="9360"/>
        </w:tabs>
        <w:ind w:left="0"/>
        <w:jc w:val="right"/>
        <w:rPr>
          <w:rFonts w:eastAsia="PMingLiU"/>
        </w:rPr>
      </w:pPr>
      <w:r>
        <w:rPr>
          <w:rFonts w:eastAsia="PMingLiU"/>
        </w:rPr>
        <w:t>Appellant</w:t>
      </w:r>
    </w:p>
    <w:p w:rsidR="006D71F6" w:rsidRPr="006D71F6" w:rsidRDefault="006D71F6" w:rsidP="006D71F6">
      <w:pPr>
        <w:ind w:left="3168"/>
        <w:rPr>
          <w:rFonts w:eastAsia="PMingLiU"/>
        </w:rPr>
      </w:pPr>
    </w:p>
    <w:p w:rsidR="00E17F24" w:rsidRPr="007D3FA9" w:rsidRDefault="00E17F24" w:rsidP="00E17F24">
      <w:pPr>
        <w:ind w:left="3168"/>
      </w:pPr>
    </w:p>
    <w:p w:rsidR="00E17F24" w:rsidRPr="007D3FA9" w:rsidRDefault="00E17F24" w:rsidP="00E17F24">
      <w:pPr>
        <w:ind w:left="3168"/>
      </w:pPr>
    </w:p>
    <w:p w:rsidR="00E17F24" w:rsidRPr="007D3FA9" w:rsidRDefault="00E17F24" w:rsidP="00E17F24">
      <w:pPr>
        <w:spacing w:line="19" w:lineRule="exact"/>
        <w:ind w:left="3168"/>
      </w:pPr>
      <w:r>
        <w:rPr>
          <w:noProof/>
          <w:lang w:val="en-US" w:eastAsia="en-US"/>
        </w:rPr>
        <mc:AlternateContent>
          <mc:Choice Requires="wps">
            <w:drawing>
              <wp:anchor distT="0" distB="0" distL="114300" distR="114300" simplePos="0" relativeHeight="251658240" behindDoc="1" locked="1" layoutInCell="0" allowOverlap="1" wp14:anchorId="1667660C" wp14:editId="17C28F56">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ACE20F" id="Rectangle 6" o:spid="_x0000_s1026" style="position:absolute;margin-left:230.4pt;margin-top:0;width:309.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E17F24" w:rsidRPr="007D3FA9" w:rsidRDefault="00E17F24" w:rsidP="00E17F24">
      <w:pPr>
        <w:ind w:left="3168"/>
      </w:pPr>
    </w:p>
    <w:p w:rsidR="00E17F24" w:rsidRPr="007D3FA9" w:rsidRDefault="00E17F24" w:rsidP="00E17F24">
      <w:pPr>
        <w:ind w:left="3888" w:firstLine="432"/>
        <w:jc w:val="center"/>
      </w:pPr>
      <w:r w:rsidRPr="007D3FA9">
        <w:t>MEMORANDUM OF JUDGMENT</w:t>
      </w:r>
    </w:p>
    <w:p w:rsidR="00E17F24" w:rsidRPr="007D3FA9" w:rsidRDefault="00E17F24" w:rsidP="00E17F24">
      <w:pPr>
        <w:ind w:left="3168"/>
        <w:jc w:val="center"/>
      </w:pPr>
    </w:p>
    <w:p w:rsidR="00E17F24" w:rsidRPr="009C2254" w:rsidRDefault="00E17F24" w:rsidP="00E17F24">
      <w:pPr>
        <w:spacing w:line="19" w:lineRule="exact"/>
        <w:ind w:left="3168"/>
      </w:pPr>
      <w:r>
        <w:rPr>
          <w:noProof/>
          <w:lang w:val="en-US" w:eastAsia="en-US"/>
        </w:rPr>
        <mc:AlternateContent>
          <mc:Choice Requires="wps">
            <w:drawing>
              <wp:anchor distT="0" distB="0" distL="114300" distR="114300" simplePos="0" relativeHeight="251659264" behindDoc="1" locked="1" layoutInCell="0" allowOverlap="1" wp14:anchorId="1E0199D4" wp14:editId="3E772DB6">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3C33C" id="Rectangle 7"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17F24" w:rsidRPr="009C2254" w:rsidRDefault="00E17F24" w:rsidP="00E17F24">
      <w:pPr>
        <w:ind w:left="0"/>
      </w:pPr>
    </w:p>
    <w:p w:rsidR="00E17F24" w:rsidRPr="009C2254" w:rsidRDefault="00E17F24" w:rsidP="00E17F24">
      <w:pPr>
        <w:ind w:left="0"/>
      </w:pPr>
    </w:p>
    <w:p w:rsidR="00E17F24" w:rsidRPr="009C2254" w:rsidRDefault="00E17F24" w:rsidP="00E17F24">
      <w:pPr>
        <w:ind w:left="0"/>
      </w:pPr>
    </w:p>
    <w:p w:rsidR="00283549" w:rsidRPr="009C2254" w:rsidRDefault="00283549" w:rsidP="004B6F64">
      <w:pPr>
        <w:ind w:left="0"/>
      </w:pPr>
    </w:p>
    <w:sectPr w:rsidR="00283549" w:rsidRPr="009C2254" w:rsidSect="00A41AB9">
      <w:headerReference w:type="even" r:id="rId17"/>
      <w:headerReference w:type="default" r:id="rId18"/>
      <w:headerReference w:type="first" r:id="rId19"/>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6D" w:rsidRDefault="00D83B6D" w:rsidP="00283549">
      <w:r>
        <w:separator/>
      </w:r>
    </w:p>
  </w:endnote>
  <w:endnote w:type="continuationSeparator" w:id="0">
    <w:p w:rsidR="00D83B6D" w:rsidRDefault="00D83B6D"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6D" w:rsidRDefault="00D83B6D" w:rsidP="0046579D">
      <w:pPr>
        <w:ind w:left="0"/>
      </w:pPr>
      <w:r>
        <w:separator/>
      </w:r>
    </w:p>
  </w:footnote>
  <w:footnote w:type="continuationSeparator" w:id="0">
    <w:p w:rsidR="00D83B6D" w:rsidRDefault="00D83B6D"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D83B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D83B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D83B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B5" w:rsidRDefault="00B81AB5">
    <w:pPr>
      <w:pStyle w:val="Header"/>
      <w:jc w:val="right"/>
    </w:pPr>
    <w:r>
      <w:t xml:space="preserve">Page:  </w:t>
    </w:r>
    <w:sdt>
      <w:sdtPr>
        <w:id w:val="8883018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19C2">
          <w:rPr>
            <w:noProof/>
          </w:rPr>
          <w:t>6</w:t>
        </w:r>
        <w:r>
          <w:rPr>
            <w:noProof/>
          </w:rPr>
          <w:fldChar w:fldCharType="end"/>
        </w:r>
      </w:sdtContent>
    </w:sdt>
  </w:p>
  <w:p w:rsidR="001E53E3" w:rsidRDefault="001E53E3">
    <w:pPr>
      <w:spacing w:line="240" w:lineRule="exact"/>
      <w:rPr>
        <w:rFonts w:eastAsia="PMingLiU"/>
        <w:lang w:val="en-GB"/>
      </w:rPr>
    </w:pPr>
  </w:p>
  <w:p w:rsidR="00BC2AB4" w:rsidRDefault="00BC2AB4">
    <w:pPr>
      <w:spacing w:line="240" w:lineRule="exact"/>
      <w:rPr>
        <w:rFonts w:eastAsia="PMingLiU"/>
        <w:lang w:val="en-GB"/>
      </w:rPr>
    </w:pPr>
  </w:p>
  <w:p w:rsidR="00BC2AB4" w:rsidRDefault="00BC2AB4">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D83B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2074"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E3" w:rsidRDefault="001E53E3">
    <w:pPr>
      <w:spacing w:line="240" w:lineRule="exact"/>
      <w:rPr>
        <w:rFonts w:eastAsia="PMingLiU"/>
        <w:lang w:val="en-GB"/>
      </w:rPr>
    </w:pPr>
  </w:p>
  <w:p w:rsidR="001E53E3" w:rsidRDefault="001E53E3">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C234FA86"/>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09D52"/>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2FA57EF7"/>
    <w:multiLevelType w:val="multilevel"/>
    <w:tmpl w:val="AA4A68BC"/>
    <w:lvl w:ilvl="0">
      <w:start w:val="1"/>
      <w:numFmt w:val="upperRoman"/>
      <w:pStyle w:val="Heading1"/>
      <w:lvlText w:val="%1."/>
      <w:lvlJc w:val="left"/>
      <w:pPr>
        <w:ind w:left="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DA253C"/>
    <w:rsid w:val="00016054"/>
    <w:rsid w:val="00017051"/>
    <w:rsid w:val="0002562C"/>
    <w:rsid w:val="00027E43"/>
    <w:rsid w:val="00040FD3"/>
    <w:rsid w:val="00043DAA"/>
    <w:rsid w:val="0004534F"/>
    <w:rsid w:val="00051064"/>
    <w:rsid w:val="0006691E"/>
    <w:rsid w:val="00081857"/>
    <w:rsid w:val="000A5E37"/>
    <w:rsid w:val="000B1459"/>
    <w:rsid w:val="000B3F65"/>
    <w:rsid w:val="000C3829"/>
    <w:rsid w:val="000C709A"/>
    <w:rsid w:val="000D2C6F"/>
    <w:rsid w:val="001056E1"/>
    <w:rsid w:val="0011708D"/>
    <w:rsid w:val="00130AD4"/>
    <w:rsid w:val="00142052"/>
    <w:rsid w:val="00147343"/>
    <w:rsid w:val="00156FB1"/>
    <w:rsid w:val="00165313"/>
    <w:rsid w:val="00182445"/>
    <w:rsid w:val="00183170"/>
    <w:rsid w:val="00187CF6"/>
    <w:rsid w:val="00194D2F"/>
    <w:rsid w:val="001A282F"/>
    <w:rsid w:val="001A6DD6"/>
    <w:rsid w:val="001B3C81"/>
    <w:rsid w:val="001D5788"/>
    <w:rsid w:val="001D5E55"/>
    <w:rsid w:val="001E53E3"/>
    <w:rsid w:val="00202BF0"/>
    <w:rsid w:val="002121B5"/>
    <w:rsid w:val="002127C3"/>
    <w:rsid w:val="002166A7"/>
    <w:rsid w:val="0021740B"/>
    <w:rsid w:val="00222C3B"/>
    <w:rsid w:val="00233126"/>
    <w:rsid w:val="00235D76"/>
    <w:rsid w:val="0024025E"/>
    <w:rsid w:val="00261652"/>
    <w:rsid w:val="002672B1"/>
    <w:rsid w:val="00272F13"/>
    <w:rsid w:val="00281769"/>
    <w:rsid w:val="00283549"/>
    <w:rsid w:val="002937CA"/>
    <w:rsid w:val="00296A70"/>
    <w:rsid w:val="002972C3"/>
    <w:rsid w:val="002A53B8"/>
    <w:rsid w:val="002C35E7"/>
    <w:rsid w:val="002C5D0F"/>
    <w:rsid w:val="002D30CA"/>
    <w:rsid w:val="002E3474"/>
    <w:rsid w:val="002E3EDB"/>
    <w:rsid w:val="002F5661"/>
    <w:rsid w:val="0030375E"/>
    <w:rsid w:val="0030520F"/>
    <w:rsid w:val="0031131F"/>
    <w:rsid w:val="0033632C"/>
    <w:rsid w:val="0034528C"/>
    <w:rsid w:val="0035183B"/>
    <w:rsid w:val="00364FBF"/>
    <w:rsid w:val="00367C62"/>
    <w:rsid w:val="003719B8"/>
    <w:rsid w:val="00373F12"/>
    <w:rsid w:val="00382592"/>
    <w:rsid w:val="0039337C"/>
    <w:rsid w:val="00397AC2"/>
    <w:rsid w:val="003A19C2"/>
    <w:rsid w:val="003B457E"/>
    <w:rsid w:val="003C040A"/>
    <w:rsid w:val="003C6097"/>
    <w:rsid w:val="003C6F71"/>
    <w:rsid w:val="003D3DF0"/>
    <w:rsid w:val="003E0901"/>
    <w:rsid w:val="004330E0"/>
    <w:rsid w:val="0044393D"/>
    <w:rsid w:val="00444DE1"/>
    <w:rsid w:val="00446886"/>
    <w:rsid w:val="00461AFD"/>
    <w:rsid w:val="00462F72"/>
    <w:rsid w:val="0046579D"/>
    <w:rsid w:val="00483AB1"/>
    <w:rsid w:val="004857E7"/>
    <w:rsid w:val="004A2D3C"/>
    <w:rsid w:val="004A68C2"/>
    <w:rsid w:val="004B6F64"/>
    <w:rsid w:val="004B70A4"/>
    <w:rsid w:val="004C4F36"/>
    <w:rsid w:val="004D654D"/>
    <w:rsid w:val="004F0788"/>
    <w:rsid w:val="00502C82"/>
    <w:rsid w:val="00516CAF"/>
    <w:rsid w:val="005207F5"/>
    <w:rsid w:val="00521604"/>
    <w:rsid w:val="00524D77"/>
    <w:rsid w:val="00530B35"/>
    <w:rsid w:val="00552889"/>
    <w:rsid w:val="00560BBA"/>
    <w:rsid w:val="00574B53"/>
    <w:rsid w:val="00587F64"/>
    <w:rsid w:val="00591628"/>
    <w:rsid w:val="005B3B8A"/>
    <w:rsid w:val="005B75C5"/>
    <w:rsid w:val="005C3D7F"/>
    <w:rsid w:val="006072B7"/>
    <w:rsid w:val="00616BC0"/>
    <w:rsid w:val="006243FE"/>
    <w:rsid w:val="00635178"/>
    <w:rsid w:val="0065079A"/>
    <w:rsid w:val="006617FB"/>
    <w:rsid w:val="00665273"/>
    <w:rsid w:val="00665F46"/>
    <w:rsid w:val="006665BB"/>
    <w:rsid w:val="00675C70"/>
    <w:rsid w:val="00685062"/>
    <w:rsid w:val="00690C12"/>
    <w:rsid w:val="006943A4"/>
    <w:rsid w:val="006967AA"/>
    <w:rsid w:val="006A6C2D"/>
    <w:rsid w:val="006D3822"/>
    <w:rsid w:val="006D4B03"/>
    <w:rsid w:val="006D5590"/>
    <w:rsid w:val="006D71F6"/>
    <w:rsid w:val="006E7AE1"/>
    <w:rsid w:val="00711CF2"/>
    <w:rsid w:val="00715407"/>
    <w:rsid w:val="00723CD1"/>
    <w:rsid w:val="007273C2"/>
    <w:rsid w:val="007514E8"/>
    <w:rsid w:val="00754639"/>
    <w:rsid w:val="007565AD"/>
    <w:rsid w:val="007769FF"/>
    <w:rsid w:val="00777EBE"/>
    <w:rsid w:val="007803CC"/>
    <w:rsid w:val="00784F2A"/>
    <w:rsid w:val="00795506"/>
    <w:rsid w:val="007A7D04"/>
    <w:rsid w:val="007B50EE"/>
    <w:rsid w:val="007B5F98"/>
    <w:rsid w:val="007D5DD7"/>
    <w:rsid w:val="007E3D0B"/>
    <w:rsid w:val="007E3EB9"/>
    <w:rsid w:val="007F73F9"/>
    <w:rsid w:val="00820759"/>
    <w:rsid w:val="00823B6A"/>
    <w:rsid w:val="008368D3"/>
    <w:rsid w:val="00842ACE"/>
    <w:rsid w:val="00844D69"/>
    <w:rsid w:val="0085542B"/>
    <w:rsid w:val="00861881"/>
    <w:rsid w:val="008830F5"/>
    <w:rsid w:val="00887ACD"/>
    <w:rsid w:val="00891556"/>
    <w:rsid w:val="008940F2"/>
    <w:rsid w:val="008B1464"/>
    <w:rsid w:val="008C04C3"/>
    <w:rsid w:val="008C6517"/>
    <w:rsid w:val="008E0AB8"/>
    <w:rsid w:val="00902E0D"/>
    <w:rsid w:val="00903F5D"/>
    <w:rsid w:val="00906D25"/>
    <w:rsid w:val="00906E77"/>
    <w:rsid w:val="00914D58"/>
    <w:rsid w:val="00923033"/>
    <w:rsid w:val="00933666"/>
    <w:rsid w:val="00935271"/>
    <w:rsid w:val="00942DE8"/>
    <w:rsid w:val="009456BD"/>
    <w:rsid w:val="009467DA"/>
    <w:rsid w:val="009524F7"/>
    <w:rsid w:val="009533DA"/>
    <w:rsid w:val="00954CD4"/>
    <w:rsid w:val="0095755B"/>
    <w:rsid w:val="00962B4D"/>
    <w:rsid w:val="0096347C"/>
    <w:rsid w:val="009645BB"/>
    <w:rsid w:val="0096675F"/>
    <w:rsid w:val="00971C56"/>
    <w:rsid w:val="009727C6"/>
    <w:rsid w:val="00973735"/>
    <w:rsid w:val="00975AEF"/>
    <w:rsid w:val="009808C6"/>
    <w:rsid w:val="00980EDD"/>
    <w:rsid w:val="0099595C"/>
    <w:rsid w:val="009A09EB"/>
    <w:rsid w:val="009C0849"/>
    <w:rsid w:val="009C1585"/>
    <w:rsid w:val="009C2254"/>
    <w:rsid w:val="009D4A03"/>
    <w:rsid w:val="009D5532"/>
    <w:rsid w:val="009D62E7"/>
    <w:rsid w:val="009F5438"/>
    <w:rsid w:val="00A009E1"/>
    <w:rsid w:val="00A10DFD"/>
    <w:rsid w:val="00A120A5"/>
    <w:rsid w:val="00A15103"/>
    <w:rsid w:val="00A603CF"/>
    <w:rsid w:val="00A840FF"/>
    <w:rsid w:val="00A85A4B"/>
    <w:rsid w:val="00A96ABE"/>
    <w:rsid w:val="00AA07F3"/>
    <w:rsid w:val="00AA2B33"/>
    <w:rsid w:val="00AB0EFF"/>
    <w:rsid w:val="00AB77D1"/>
    <w:rsid w:val="00AC0551"/>
    <w:rsid w:val="00AE1BF2"/>
    <w:rsid w:val="00AF11B8"/>
    <w:rsid w:val="00AF39D1"/>
    <w:rsid w:val="00B037FD"/>
    <w:rsid w:val="00B1323A"/>
    <w:rsid w:val="00B16B6B"/>
    <w:rsid w:val="00B24F8F"/>
    <w:rsid w:val="00B3605B"/>
    <w:rsid w:val="00B51454"/>
    <w:rsid w:val="00B7093D"/>
    <w:rsid w:val="00B74D1B"/>
    <w:rsid w:val="00B81AB5"/>
    <w:rsid w:val="00B86D5F"/>
    <w:rsid w:val="00B96A64"/>
    <w:rsid w:val="00BA3462"/>
    <w:rsid w:val="00BA5EF6"/>
    <w:rsid w:val="00BB3843"/>
    <w:rsid w:val="00BC2AB4"/>
    <w:rsid w:val="00BC6B04"/>
    <w:rsid w:val="00BC757A"/>
    <w:rsid w:val="00BD7542"/>
    <w:rsid w:val="00C07553"/>
    <w:rsid w:val="00C17B61"/>
    <w:rsid w:val="00C31429"/>
    <w:rsid w:val="00C41BE2"/>
    <w:rsid w:val="00C55DE8"/>
    <w:rsid w:val="00C66EA9"/>
    <w:rsid w:val="00C67090"/>
    <w:rsid w:val="00C73249"/>
    <w:rsid w:val="00C740A5"/>
    <w:rsid w:val="00C758F4"/>
    <w:rsid w:val="00C7788C"/>
    <w:rsid w:val="00C8134C"/>
    <w:rsid w:val="00C82D5F"/>
    <w:rsid w:val="00C93736"/>
    <w:rsid w:val="00CA2DE5"/>
    <w:rsid w:val="00CA4DBE"/>
    <w:rsid w:val="00CB0DD9"/>
    <w:rsid w:val="00CC3FA0"/>
    <w:rsid w:val="00CC401E"/>
    <w:rsid w:val="00CD77E5"/>
    <w:rsid w:val="00CE6F30"/>
    <w:rsid w:val="00CF3CEA"/>
    <w:rsid w:val="00D0371C"/>
    <w:rsid w:val="00D05F9F"/>
    <w:rsid w:val="00D14F6E"/>
    <w:rsid w:val="00D24E83"/>
    <w:rsid w:val="00D34FA5"/>
    <w:rsid w:val="00D36D68"/>
    <w:rsid w:val="00D44C1E"/>
    <w:rsid w:val="00D47D60"/>
    <w:rsid w:val="00D53A01"/>
    <w:rsid w:val="00D5581A"/>
    <w:rsid w:val="00D64DF8"/>
    <w:rsid w:val="00D725DF"/>
    <w:rsid w:val="00D73CCC"/>
    <w:rsid w:val="00D83B6D"/>
    <w:rsid w:val="00DA253C"/>
    <w:rsid w:val="00DA2C30"/>
    <w:rsid w:val="00DA4D10"/>
    <w:rsid w:val="00DA6C05"/>
    <w:rsid w:val="00DA79CB"/>
    <w:rsid w:val="00DB2CD1"/>
    <w:rsid w:val="00DD295B"/>
    <w:rsid w:val="00DE5927"/>
    <w:rsid w:val="00DF4EE4"/>
    <w:rsid w:val="00E01350"/>
    <w:rsid w:val="00E04FF1"/>
    <w:rsid w:val="00E075BA"/>
    <w:rsid w:val="00E11681"/>
    <w:rsid w:val="00E16717"/>
    <w:rsid w:val="00E17F24"/>
    <w:rsid w:val="00E501DB"/>
    <w:rsid w:val="00E610CE"/>
    <w:rsid w:val="00E61646"/>
    <w:rsid w:val="00E63FCF"/>
    <w:rsid w:val="00E74B75"/>
    <w:rsid w:val="00E774C0"/>
    <w:rsid w:val="00E9267D"/>
    <w:rsid w:val="00E95021"/>
    <w:rsid w:val="00EA361F"/>
    <w:rsid w:val="00EA48EA"/>
    <w:rsid w:val="00EB26DC"/>
    <w:rsid w:val="00EB4F2D"/>
    <w:rsid w:val="00ED4A08"/>
    <w:rsid w:val="00EE06ED"/>
    <w:rsid w:val="00EF0DF8"/>
    <w:rsid w:val="00EF20C7"/>
    <w:rsid w:val="00EF2E17"/>
    <w:rsid w:val="00F03345"/>
    <w:rsid w:val="00F1463A"/>
    <w:rsid w:val="00F177E5"/>
    <w:rsid w:val="00F23DA0"/>
    <w:rsid w:val="00F32CF5"/>
    <w:rsid w:val="00F46DEA"/>
    <w:rsid w:val="00F57952"/>
    <w:rsid w:val="00F7290B"/>
    <w:rsid w:val="00F758E0"/>
    <w:rsid w:val="00F808F1"/>
    <w:rsid w:val="00F80BAD"/>
    <w:rsid w:val="00F97E52"/>
    <w:rsid w:val="00FB297B"/>
    <w:rsid w:val="00FB3404"/>
    <w:rsid w:val="00FC1D26"/>
    <w:rsid w:val="00FE0ED1"/>
    <w:rsid w:val="00FE2783"/>
    <w:rsid w:val="00FF1109"/>
    <w:rsid w:val="00FF5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F03345"/>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4330E0"/>
    <w:pPr>
      <w:keepNext/>
      <w:numPr>
        <w:numId w:val="19"/>
      </w:numPr>
      <w:tabs>
        <w:tab w:val="left" w:pos="720"/>
      </w:tabs>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numPr>
        <w:ilvl w:val="1"/>
      </w:numPr>
      <w:outlineLvl w:val="1"/>
    </w:pPr>
    <w:rPr>
      <w:bCs w:val="0"/>
      <w:szCs w:val="26"/>
    </w:rPr>
  </w:style>
  <w:style w:type="paragraph" w:styleId="Heading3">
    <w:name w:val="heading 3"/>
    <w:basedOn w:val="Heading2"/>
    <w:next w:val="FelskyNumbering12"/>
    <w:link w:val="Heading3Char"/>
    <w:uiPriority w:val="11"/>
    <w:rsid w:val="00EF2E17"/>
    <w:pPr>
      <w:numPr>
        <w:ilvl w:val="2"/>
      </w:numPr>
      <w:outlineLvl w:val="2"/>
    </w:pPr>
    <w:rPr>
      <w:szCs w:val="28"/>
      <w:lang w:eastAsia="en-CA"/>
    </w:rPr>
  </w:style>
  <w:style w:type="paragraph" w:styleId="Heading4">
    <w:name w:val="heading 4"/>
    <w:basedOn w:val="Heading3"/>
    <w:next w:val="FelskyNumbering12"/>
    <w:link w:val="Heading4Char"/>
    <w:uiPriority w:val="12"/>
    <w:rsid w:val="00EF2E17"/>
    <w:pPr>
      <w:numPr>
        <w:ilvl w:val="3"/>
      </w:numPr>
      <w:outlineLvl w:val="3"/>
    </w:pPr>
  </w:style>
  <w:style w:type="paragraph" w:styleId="Heading5">
    <w:name w:val="heading 5"/>
    <w:basedOn w:val="Heading4"/>
    <w:next w:val="FelskyNumbering12"/>
    <w:link w:val="Heading5Char"/>
    <w:uiPriority w:val="13"/>
    <w:rsid w:val="00EF2E17"/>
    <w:pPr>
      <w:numPr>
        <w:ilvl w:val="4"/>
      </w:numPr>
      <w:outlineLvl w:val="4"/>
    </w:pPr>
  </w:style>
  <w:style w:type="paragraph" w:styleId="Heading6">
    <w:name w:val="heading 6"/>
    <w:basedOn w:val="Heading5"/>
    <w:next w:val="FelskyNumbering12"/>
    <w:link w:val="Heading6Char"/>
    <w:uiPriority w:val="14"/>
    <w:rsid w:val="00EF2E17"/>
    <w:pPr>
      <w:numPr>
        <w:ilvl w:val="5"/>
      </w:numPr>
      <w:outlineLvl w:val="5"/>
    </w:pPr>
    <w:rPr>
      <w:iCs/>
    </w:rPr>
  </w:style>
  <w:style w:type="paragraph" w:styleId="Heading7">
    <w:name w:val="heading 7"/>
    <w:basedOn w:val="Heading6"/>
    <w:next w:val="FelskyNumbering12"/>
    <w:link w:val="Heading7Char"/>
    <w:uiPriority w:val="37"/>
    <w:semiHidden/>
    <w:rsid w:val="00E501DB"/>
    <w:pPr>
      <w:numPr>
        <w:ilvl w:val="6"/>
      </w:numPr>
      <w:outlineLvl w:val="6"/>
    </w:pPr>
    <w:rPr>
      <w:iCs w:val="0"/>
    </w:rPr>
  </w:style>
  <w:style w:type="paragraph" w:styleId="Heading8">
    <w:name w:val="heading 8"/>
    <w:basedOn w:val="Heading7"/>
    <w:next w:val="Normal"/>
    <w:link w:val="Heading8Char"/>
    <w:uiPriority w:val="39"/>
    <w:semiHidden/>
    <w:unhideWhenUsed/>
    <w:qFormat/>
    <w:rsid w:val="00E501DB"/>
    <w:pPr>
      <w:numPr>
        <w:ilvl w:val="7"/>
      </w:numPr>
      <w:outlineLvl w:val="7"/>
    </w:pPr>
    <w:rPr>
      <w:color w:val="404040" w:themeColor="text1" w:themeTint="BF"/>
      <w:szCs w:val="20"/>
    </w:rPr>
  </w:style>
  <w:style w:type="paragraph" w:styleId="Heading9">
    <w:name w:val="heading 9"/>
    <w:basedOn w:val="Normal"/>
    <w:next w:val="Normal"/>
    <w:link w:val="Heading9Char"/>
    <w:uiPriority w:val="9"/>
    <w:semiHidden/>
    <w:unhideWhenUsed/>
    <w:qFormat/>
    <w:rsid w:val="004330E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4330E0"/>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96675F"/>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96675F"/>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4330E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F03345"/>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4330E0"/>
    <w:pPr>
      <w:keepNext/>
      <w:numPr>
        <w:numId w:val="19"/>
      </w:numPr>
      <w:tabs>
        <w:tab w:val="left" w:pos="720"/>
      </w:tabs>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numPr>
        <w:ilvl w:val="1"/>
      </w:numPr>
      <w:outlineLvl w:val="1"/>
    </w:pPr>
    <w:rPr>
      <w:bCs w:val="0"/>
      <w:szCs w:val="26"/>
    </w:rPr>
  </w:style>
  <w:style w:type="paragraph" w:styleId="Heading3">
    <w:name w:val="heading 3"/>
    <w:basedOn w:val="Heading2"/>
    <w:next w:val="FelskyNumbering12"/>
    <w:link w:val="Heading3Char"/>
    <w:uiPriority w:val="11"/>
    <w:rsid w:val="00EF2E17"/>
    <w:pPr>
      <w:numPr>
        <w:ilvl w:val="2"/>
      </w:numPr>
      <w:outlineLvl w:val="2"/>
    </w:pPr>
    <w:rPr>
      <w:szCs w:val="28"/>
      <w:lang w:eastAsia="en-CA"/>
    </w:rPr>
  </w:style>
  <w:style w:type="paragraph" w:styleId="Heading4">
    <w:name w:val="heading 4"/>
    <w:basedOn w:val="Heading3"/>
    <w:next w:val="FelskyNumbering12"/>
    <w:link w:val="Heading4Char"/>
    <w:uiPriority w:val="12"/>
    <w:rsid w:val="00EF2E17"/>
    <w:pPr>
      <w:numPr>
        <w:ilvl w:val="3"/>
      </w:numPr>
      <w:outlineLvl w:val="3"/>
    </w:pPr>
  </w:style>
  <w:style w:type="paragraph" w:styleId="Heading5">
    <w:name w:val="heading 5"/>
    <w:basedOn w:val="Heading4"/>
    <w:next w:val="FelskyNumbering12"/>
    <w:link w:val="Heading5Char"/>
    <w:uiPriority w:val="13"/>
    <w:rsid w:val="00EF2E17"/>
    <w:pPr>
      <w:numPr>
        <w:ilvl w:val="4"/>
      </w:numPr>
      <w:outlineLvl w:val="4"/>
    </w:pPr>
  </w:style>
  <w:style w:type="paragraph" w:styleId="Heading6">
    <w:name w:val="heading 6"/>
    <w:basedOn w:val="Heading5"/>
    <w:next w:val="FelskyNumbering12"/>
    <w:link w:val="Heading6Char"/>
    <w:uiPriority w:val="14"/>
    <w:rsid w:val="00EF2E17"/>
    <w:pPr>
      <w:numPr>
        <w:ilvl w:val="5"/>
      </w:numPr>
      <w:outlineLvl w:val="5"/>
    </w:pPr>
    <w:rPr>
      <w:iCs/>
    </w:rPr>
  </w:style>
  <w:style w:type="paragraph" w:styleId="Heading7">
    <w:name w:val="heading 7"/>
    <w:basedOn w:val="Heading6"/>
    <w:next w:val="FelskyNumbering12"/>
    <w:link w:val="Heading7Char"/>
    <w:uiPriority w:val="37"/>
    <w:semiHidden/>
    <w:rsid w:val="00E501DB"/>
    <w:pPr>
      <w:numPr>
        <w:ilvl w:val="6"/>
      </w:numPr>
      <w:outlineLvl w:val="6"/>
    </w:pPr>
    <w:rPr>
      <w:iCs w:val="0"/>
    </w:rPr>
  </w:style>
  <w:style w:type="paragraph" w:styleId="Heading8">
    <w:name w:val="heading 8"/>
    <w:basedOn w:val="Heading7"/>
    <w:next w:val="Normal"/>
    <w:link w:val="Heading8Char"/>
    <w:uiPriority w:val="39"/>
    <w:semiHidden/>
    <w:unhideWhenUsed/>
    <w:qFormat/>
    <w:rsid w:val="00E501DB"/>
    <w:pPr>
      <w:numPr>
        <w:ilvl w:val="7"/>
      </w:numPr>
      <w:outlineLvl w:val="7"/>
    </w:pPr>
    <w:rPr>
      <w:color w:val="404040" w:themeColor="text1" w:themeTint="BF"/>
      <w:szCs w:val="20"/>
    </w:rPr>
  </w:style>
  <w:style w:type="paragraph" w:styleId="Heading9">
    <w:name w:val="heading 9"/>
    <w:basedOn w:val="Normal"/>
    <w:next w:val="Normal"/>
    <w:link w:val="Heading9Char"/>
    <w:uiPriority w:val="9"/>
    <w:semiHidden/>
    <w:unhideWhenUsed/>
    <w:qFormat/>
    <w:rsid w:val="004330E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4330E0"/>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96675F"/>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96675F"/>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4330E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B35-09FA-416B-ACCB-FF36D69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 v Albert</vt:lpstr>
    </vt:vector>
  </TitlesOfParts>
  <Company>Alberta Court of Appeal</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Albert</dc:title>
  <dc:creator>The Honourable Madam Justice Patricia Rowbotham, The Honourable Mr. Justice Brian O’Ferrall, The Honourable Madam Justice S.H. Smallwood</dc:creator>
  <cp:keywords>Docket:A-1-AP-2016-000006, Registry:Edmonton, Court:CA, JudgmentYear:2017, JudgmentDate:20170419</cp:keywords>
  <cp:lastModifiedBy>Jeff Round</cp:lastModifiedBy>
  <cp:revision>2</cp:revision>
  <cp:lastPrinted>2017-05-12T16:28:00Z</cp:lastPrinted>
  <dcterms:created xsi:type="dcterms:W3CDTF">2017-05-12T21:35:00Z</dcterms:created>
  <dcterms:modified xsi:type="dcterms:W3CDTF">2017-05-12T21:35:00Z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A-1-AP-2016-000006</vt:lpwstr>
  </property>
  <property fmtid="{D5CDD505-2E9C-101B-9397-08002B2CF9AE}" pid="3" name="Justice(s)">
    <vt:lpwstr>The Honourable Madam Justice Patricia Rowbotham, The Honourable Mr. Justice Brian O’Ferrall, The Honourable Madam Justice S.H. Smallwood</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2017</vt:lpwstr>
  </property>
  <property fmtid="{D5CDD505-2E9C-101B-9397-08002B2CF9AE}" pid="7" name="JudgmentDate">
    <vt:lpwstr>20170419</vt:lpwstr>
  </property>
</Properties>
</file>