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8C4F6" w14:textId="1511FCFB" w:rsidR="009801B3" w:rsidRPr="00A67C45" w:rsidRDefault="009801B3" w:rsidP="009801B3">
      <w:pPr>
        <w:rPr>
          <w:rFonts w:ascii="Arial" w:hAnsi="Arial" w:cs="Arial"/>
          <w:b/>
          <w:bCs/>
          <w:sz w:val="24"/>
          <w:szCs w:val="24"/>
        </w:rPr>
      </w:pPr>
      <w:bookmarkStart w:id="0" w:name="13-115"/>
      <w:r w:rsidRPr="00A67C45">
        <w:rPr>
          <w:rFonts w:ascii="Arial" w:hAnsi="Arial" w:cs="Arial"/>
          <w:b/>
          <w:bCs/>
          <w:sz w:val="24"/>
          <w:szCs w:val="24"/>
        </w:rPr>
        <w:t>13-115. Two or more plaintiffs. (</w:t>
      </w:r>
      <w:r w:rsidRPr="00A67C45">
        <w:rPr>
          <w:rFonts w:ascii="Arial" w:hAnsi="Arial" w:cs="Arial"/>
          <w:b/>
          <w:bCs/>
          <w:i/>
          <w:iCs/>
          <w:sz w:val="24"/>
          <w:szCs w:val="24"/>
        </w:rPr>
        <w:t>Optional as preliminary instruction.</w:t>
      </w:r>
      <w:r w:rsidRPr="00A67C45">
        <w:rPr>
          <w:rFonts w:ascii="Arial" w:hAnsi="Arial" w:cs="Arial"/>
          <w:b/>
          <w:bCs/>
          <w:sz w:val="24"/>
          <w:szCs w:val="24"/>
        </w:rPr>
        <w:t>)</w:t>
      </w:r>
      <w:bookmarkEnd w:id="0"/>
    </w:p>
    <w:p w14:paraId="63508576" w14:textId="77777777" w:rsidR="009801B3" w:rsidRPr="00A67C45" w:rsidRDefault="009801B3" w:rsidP="009801B3">
      <w:pPr>
        <w:rPr>
          <w:rFonts w:ascii="Arial" w:hAnsi="Arial" w:cs="Arial"/>
          <w:sz w:val="24"/>
          <w:szCs w:val="24"/>
        </w:rPr>
      </w:pPr>
    </w:p>
    <w:p w14:paraId="7BA91563" w14:textId="04CBA881" w:rsidR="009801B3" w:rsidRPr="00A67C45" w:rsidRDefault="009801B3" w:rsidP="009801B3">
      <w:pPr>
        <w:ind w:firstLine="360"/>
        <w:rPr>
          <w:rFonts w:ascii="Arial" w:hAnsi="Arial" w:cs="Arial"/>
          <w:sz w:val="24"/>
          <w:szCs w:val="24"/>
        </w:rPr>
      </w:pPr>
      <w:r w:rsidRPr="00A67C45">
        <w:rPr>
          <w:rFonts w:ascii="Arial" w:hAnsi="Arial" w:cs="Arial"/>
          <w:sz w:val="24"/>
          <w:szCs w:val="24"/>
        </w:rPr>
        <w:t>Although there is more than one plaintiff in this action, it does not follow from that fact alone that if one is entitled to recover, another is entitled to recover. The rights of the various plaintiffs in this lawsuit are separate and distinct, and you should decide the issues as if each plaintiff had brought a separate lawsuit.</w:t>
      </w:r>
    </w:p>
    <w:p w14:paraId="2787C785" w14:textId="77777777" w:rsidR="009801B3" w:rsidRPr="00A67C45" w:rsidRDefault="009801B3" w:rsidP="009801B3">
      <w:pPr>
        <w:ind w:firstLine="360"/>
        <w:rPr>
          <w:rFonts w:ascii="Arial" w:hAnsi="Arial" w:cs="Arial"/>
          <w:sz w:val="24"/>
          <w:szCs w:val="24"/>
        </w:rPr>
      </w:pPr>
    </w:p>
    <w:p w14:paraId="20A67944" w14:textId="7D027A29" w:rsidR="009801B3" w:rsidRPr="00A67C45" w:rsidRDefault="009801B3" w:rsidP="009801B3">
      <w:pPr>
        <w:ind w:firstLine="360"/>
        <w:rPr>
          <w:rFonts w:ascii="Arial" w:hAnsi="Arial" w:cs="Arial"/>
          <w:sz w:val="24"/>
          <w:szCs w:val="24"/>
        </w:rPr>
      </w:pPr>
      <w:r w:rsidRPr="00A67C45">
        <w:rPr>
          <w:rFonts w:ascii="Arial" w:hAnsi="Arial" w:cs="Arial"/>
          <w:sz w:val="24"/>
          <w:szCs w:val="24"/>
        </w:rPr>
        <w:t>[In this connection, you will note that some of the instructions apply to one plaintiff, while other instructions apply to all plaintiffs.]</w:t>
      </w:r>
    </w:p>
    <w:p w14:paraId="1040C49A" w14:textId="77777777" w:rsidR="009801B3" w:rsidRPr="00A67C45" w:rsidRDefault="009801B3" w:rsidP="009801B3">
      <w:pPr>
        <w:rPr>
          <w:rFonts w:ascii="Arial" w:hAnsi="Arial" w:cs="Arial"/>
          <w:sz w:val="24"/>
          <w:szCs w:val="24"/>
        </w:rPr>
      </w:pPr>
    </w:p>
    <w:p w14:paraId="2D86FAC0" w14:textId="47DA7F2C" w:rsidR="009801B3" w:rsidRPr="00A67C45" w:rsidRDefault="009801B3" w:rsidP="009801B3">
      <w:pPr>
        <w:jc w:val="center"/>
        <w:rPr>
          <w:rFonts w:ascii="Arial" w:hAnsi="Arial" w:cs="Arial"/>
          <w:sz w:val="24"/>
          <w:szCs w:val="24"/>
        </w:rPr>
      </w:pPr>
      <w:r w:rsidRPr="00A67C45">
        <w:rPr>
          <w:rFonts w:ascii="Arial" w:hAnsi="Arial" w:cs="Arial"/>
          <w:sz w:val="24"/>
          <w:szCs w:val="24"/>
        </w:rPr>
        <w:t>USE NOTES</w:t>
      </w:r>
    </w:p>
    <w:p w14:paraId="1470E437" w14:textId="77777777" w:rsidR="009801B3" w:rsidRPr="00A67C45" w:rsidRDefault="009801B3" w:rsidP="009801B3">
      <w:pPr>
        <w:rPr>
          <w:rFonts w:ascii="Arial" w:hAnsi="Arial" w:cs="Arial"/>
          <w:i/>
          <w:iCs/>
          <w:sz w:val="24"/>
          <w:szCs w:val="24"/>
        </w:rPr>
      </w:pPr>
    </w:p>
    <w:p w14:paraId="2E4E5172" w14:textId="728F2136" w:rsidR="009801B3" w:rsidRPr="00A67C45" w:rsidRDefault="009801B3" w:rsidP="009801B3">
      <w:pPr>
        <w:ind w:firstLine="360"/>
        <w:rPr>
          <w:rFonts w:ascii="Arial" w:hAnsi="Arial" w:cs="Arial"/>
          <w:sz w:val="24"/>
          <w:szCs w:val="24"/>
        </w:rPr>
      </w:pPr>
      <w:r w:rsidRPr="00A67C45">
        <w:rPr>
          <w:rFonts w:ascii="Arial" w:hAnsi="Arial" w:cs="Arial"/>
          <w:i/>
          <w:iCs/>
          <w:sz w:val="24"/>
          <w:szCs w:val="24"/>
        </w:rPr>
        <w:t>See</w:t>
      </w:r>
      <w:r w:rsidRPr="00A67C45">
        <w:rPr>
          <w:rFonts w:ascii="Arial" w:hAnsi="Arial" w:cs="Arial"/>
          <w:sz w:val="24"/>
          <w:szCs w:val="24"/>
        </w:rPr>
        <w:t xml:space="preserve"> UJI 13-114 NMRA.</w:t>
      </w:r>
    </w:p>
    <w:p w14:paraId="0D9F54E1" w14:textId="77777777" w:rsidR="009801B3" w:rsidRPr="00A67C45" w:rsidRDefault="009801B3" w:rsidP="009801B3">
      <w:pPr>
        <w:rPr>
          <w:rFonts w:ascii="Arial" w:hAnsi="Arial" w:cs="Arial"/>
          <w:sz w:val="24"/>
          <w:szCs w:val="24"/>
        </w:rPr>
      </w:pPr>
    </w:p>
    <w:p w14:paraId="0D975703" w14:textId="4C34D9B1" w:rsidR="009801B3" w:rsidRPr="00A67C45" w:rsidRDefault="009801B3" w:rsidP="009801B3">
      <w:pPr>
        <w:rPr>
          <w:rFonts w:ascii="Arial" w:hAnsi="Arial" w:cs="Arial"/>
          <w:sz w:val="24"/>
          <w:szCs w:val="24"/>
        </w:rPr>
      </w:pPr>
      <w:r w:rsidRPr="00A67C45">
        <w:rPr>
          <w:rFonts w:ascii="Arial" w:hAnsi="Arial" w:cs="Arial"/>
          <w:sz w:val="24"/>
          <w:szCs w:val="24"/>
        </w:rPr>
        <w:t>[19.1; 13-1901 NMRA; as amended, effective January 1, 1987; recompiled and amended, effective March 1, 2005.]</w:t>
      </w:r>
    </w:p>
    <w:p w14:paraId="4A18BFB9" w14:textId="47EA6A7F" w:rsidR="00214102" w:rsidRPr="00A67C45" w:rsidRDefault="00214102" w:rsidP="00214102">
      <w:pPr>
        <w:rPr>
          <w:rFonts w:ascii="Arial" w:hAnsi="Arial" w:cs="Arial"/>
          <w:sz w:val="24"/>
          <w:szCs w:val="24"/>
        </w:rPr>
      </w:pPr>
    </w:p>
    <w:sectPr w:rsidR="00214102" w:rsidRPr="00A67C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36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102"/>
    <w:rsid w:val="00214102"/>
    <w:rsid w:val="006F6312"/>
    <w:rsid w:val="00770FBD"/>
    <w:rsid w:val="007B7159"/>
    <w:rsid w:val="009801B3"/>
    <w:rsid w:val="00A67C45"/>
    <w:rsid w:val="00B37B84"/>
    <w:rsid w:val="00D5145C"/>
    <w:rsid w:val="00F203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1AF6F"/>
  <w15:chartTrackingRefBased/>
  <w15:docId w15:val="{F809CE4C-A27F-49A8-9215-909765C17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801B3"/>
    <w:rPr>
      <w:color w:val="0563C1" w:themeColor="hyperlink"/>
      <w:u w:val="single"/>
    </w:rPr>
  </w:style>
  <w:style w:type="character" w:styleId="UnresolvedMention">
    <w:name w:val="Unresolved Mention"/>
    <w:basedOn w:val="DefaultParagraphFont"/>
    <w:uiPriority w:val="99"/>
    <w:semiHidden/>
    <w:unhideWhenUsed/>
    <w:rsid w:val="009801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43737">
      <w:bodyDiv w:val="1"/>
      <w:marLeft w:val="0"/>
      <w:marRight w:val="0"/>
      <w:marTop w:val="0"/>
      <w:marBottom w:val="0"/>
      <w:divBdr>
        <w:top w:val="none" w:sz="0" w:space="0" w:color="auto"/>
        <w:left w:val="none" w:sz="0" w:space="0" w:color="auto"/>
        <w:bottom w:val="none" w:sz="0" w:space="0" w:color="auto"/>
        <w:right w:val="none" w:sz="0" w:space="0" w:color="auto"/>
      </w:divBdr>
      <w:divsChild>
        <w:div w:id="70590701">
          <w:marLeft w:val="0"/>
          <w:marRight w:val="0"/>
          <w:marTop w:val="0"/>
          <w:marBottom w:val="0"/>
          <w:divBdr>
            <w:top w:val="none" w:sz="0" w:space="0" w:color="auto"/>
            <w:left w:val="none" w:sz="0" w:space="0" w:color="auto"/>
            <w:bottom w:val="none" w:sz="0" w:space="0" w:color="auto"/>
            <w:right w:val="none" w:sz="0" w:space="0" w:color="auto"/>
          </w:divBdr>
        </w:div>
        <w:div w:id="859776409">
          <w:marLeft w:val="0"/>
          <w:marRight w:val="0"/>
          <w:marTop w:val="0"/>
          <w:marBottom w:val="0"/>
          <w:divBdr>
            <w:top w:val="none" w:sz="0" w:space="0" w:color="auto"/>
            <w:left w:val="none" w:sz="0" w:space="0" w:color="auto"/>
            <w:bottom w:val="none" w:sz="0" w:space="0" w:color="auto"/>
            <w:right w:val="none" w:sz="0" w:space="0" w:color="auto"/>
          </w:divBdr>
        </w:div>
        <w:div w:id="2124954478">
          <w:marLeft w:val="0"/>
          <w:marRight w:val="0"/>
          <w:marTop w:val="0"/>
          <w:marBottom w:val="0"/>
          <w:divBdr>
            <w:top w:val="none" w:sz="0" w:space="0" w:color="auto"/>
            <w:left w:val="none" w:sz="0" w:space="0" w:color="auto"/>
            <w:bottom w:val="none" w:sz="0" w:space="0" w:color="auto"/>
            <w:right w:val="none" w:sz="0" w:space="0" w:color="auto"/>
          </w:divBdr>
        </w:div>
        <w:div w:id="63989632">
          <w:marLeft w:val="0"/>
          <w:marRight w:val="0"/>
          <w:marTop w:val="0"/>
          <w:marBottom w:val="0"/>
          <w:divBdr>
            <w:top w:val="none" w:sz="0" w:space="0" w:color="auto"/>
            <w:left w:val="none" w:sz="0" w:space="0" w:color="auto"/>
            <w:bottom w:val="none" w:sz="0" w:space="0" w:color="auto"/>
            <w:right w:val="none" w:sz="0" w:space="0" w:color="auto"/>
          </w:divBdr>
        </w:div>
        <w:div w:id="1141262908">
          <w:marLeft w:val="0"/>
          <w:marRight w:val="0"/>
          <w:marTop w:val="0"/>
          <w:marBottom w:val="0"/>
          <w:divBdr>
            <w:top w:val="none" w:sz="0" w:space="0" w:color="auto"/>
            <w:left w:val="none" w:sz="0" w:space="0" w:color="auto"/>
            <w:bottom w:val="none" w:sz="0" w:space="0" w:color="auto"/>
            <w:right w:val="none" w:sz="0" w:space="0" w:color="auto"/>
          </w:divBdr>
        </w:div>
      </w:divsChild>
    </w:div>
    <w:div w:id="453523967">
      <w:bodyDiv w:val="1"/>
      <w:marLeft w:val="0"/>
      <w:marRight w:val="0"/>
      <w:marTop w:val="0"/>
      <w:marBottom w:val="0"/>
      <w:divBdr>
        <w:top w:val="none" w:sz="0" w:space="0" w:color="auto"/>
        <w:left w:val="none" w:sz="0" w:space="0" w:color="auto"/>
        <w:bottom w:val="none" w:sz="0" w:space="0" w:color="auto"/>
        <w:right w:val="none" w:sz="0" w:space="0" w:color="auto"/>
      </w:divBdr>
      <w:divsChild>
        <w:div w:id="227964676">
          <w:marLeft w:val="0"/>
          <w:marRight w:val="0"/>
          <w:marTop w:val="0"/>
          <w:marBottom w:val="0"/>
          <w:divBdr>
            <w:top w:val="none" w:sz="0" w:space="0" w:color="auto"/>
            <w:left w:val="none" w:sz="0" w:space="0" w:color="auto"/>
            <w:bottom w:val="none" w:sz="0" w:space="0" w:color="auto"/>
            <w:right w:val="none" w:sz="0" w:space="0" w:color="auto"/>
          </w:divBdr>
        </w:div>
        <w:div w:id="77675226">
          <w:marLeft w:val="0"/>
          <w:marRight w:val="0"/>
          <w:marTop w:val="0"/>
          <w:marBottom w:val="0"/>
          <w:divBdr>
            <w:top w:val="none" w:sz="0" w:space="0" w:color="auto"/>
            <w:left w:val="none" w:sz="0" w:space="0" w:color="auto"/>
            <w:bottom w:val="none" w:sz="0" w:space="0" w:color="auto"/>
            <w:right w:val="none" w:sz="0" w:space="0" w:color="auto"/>
          </w:divBdr>
        </w:div>
        <w:div w:id="1470318103">
          <w:marLeft w:val="0"/>
          <w:marRight w:val="0"/>
          <w:marTop w:val="0"/>
          <w:marBottom w:val="0"/>
          <w:divBdr>
            <w:top w:val="none" w:sz="0" w:space="0" w:color="auto"/>
            <w:left w:val="none" w:sz="0" w:space="0" w:color="auto"/>
            <w:bottom w:val="none" w:sz="0" w:space="0" w:color="auto"/>
            <w:right w:val="none" w:sz="0" w:space="0" w:color="auto"/>
          </w:divBdr>
        </w:div>
        <w:div w:id="1862087054">
          <w:marLeft w:val="0"/>
          <w:marRight w:val="0"/>
          <w:marTop w:val="0"/>
          <w:marBottom w:val="0"/>
          <w:divBdr>
            <w:top w:val="none" w:sz="0" w:space="0" w:color="auto"/>
            <w:left w:val="none" w:sz="0" w:space="0" w:color="auto"/>
            <w:bottom w:val="none" w:sz="0" w:space="0" w:color="auto"/>
            <w:right w:val="none" w:sz="0" w:space="0" w:color="auto"/>
          </w:divBdr>
        </w:div>
        <w:div w:id="941260229">
          <w:marLeft w:val="0"/>
          <w:marRight w:val="0"/>
          <w:marTop w:val="0"/>
          <w:marBottom w:val="0"/>
          <w:divBdr>
            <w:top w:val="none" w:sz="0" w:space="0" w:color="auto"/>
            <w:left w:val="none" w:sz="0" w:space="0" w:color="auto"/>
            <w:bottom w:val="none" w:sz="0" w:space="0" w:color="auto"/>
            <w:right w:val="none" w:sz="0" w:space="0" w:color="auto"/>
          </w:divBdr>
        </w:div>
      </w:divsChild>
    </w:div>
    <w:div w:id="2116827652">
      <w:bodyDiv w:val="1"/>
      <w:marLeft w:val="0"/>
      <w:marRight w:val="0"/>
      <w:marTop w:val="0"/>
      <w:marBottom w:val="0"/>
      <w:divBdr>
        <w:top w:val="none" w:sz="0" w:space="0" w:color="auto"/>
        <w:left w:val="none" w:sz="0" w:space="0" w:color="auto"/>
        <w:bottom w:val="none" w:sz="0" w:space="0" w:color="auto"/>
        <w:right w:val="none" w:sz="0" w:space="0" w:color="auto"/>
      </w:divBdr>
      <w:divsChild>
        <w:div w:id="531842892">
          <w:marLeft w:val="0"/>
          <w:marRight w:val="0"/>
          <w:marTop w:val="0"/>
          <w:marBottom w:val="0"/>
          <w:divBdr>
            <w:top w:val="none" w:sz="0" w:space="0" w:color="auto"/>
            <w:left w:val="none" w:sz="0" w:space="0" w:color="auto"/>
            <w:bottom w:val="none" w:sz="0" w:space="0" w:color="auto"/>
            <w:right w:val="none" w:sz="0" w:space="0" w:color="auto"/>
          </w:divBdr>
        </w:div>
        <w:div w:id="1470856536">
          <w:marLeft w:val="0"/>
          <w:marRight w:val="0"/>
          <w:marTop w:val="0"/>
          <w:marBottom w:val="0"/>
          <w:divBdr>
            <w:top w:val="none" w:sz="0" w:space="0" w:color="auto"/>
            <w:left w:val="none" w:sz="0" w:space="0" w:color="auto"/>
            <w:bottom w:val="none" w:sz="0" w:space="0" w:color="auto"/>
            <w:right w:val="none" w:sz="0" w:space="0" w:color="auto"/>
          </w:divBdr>
        </w:div>
        <w:div w:id="1230723831">
          <w:marLeft w:val="0"/>
          <w:marRight w:val="0"/>
          <w:marTop w:val="0"/>
          <w:marBottom w:val="0"/>
          <w:divBdr>
            <w:top w:val="none" w:sz="0" w:space="0" w:color="auto"/>
            <w:left w:val="none" w:sz="0" w:space="0" w:color="auto"/>
            <w:bottom w:val="none" w:sz="0" w:space="0" w:color="auto"/>
            <w:right w:val="none" w:sz="0" w:space="0" w:color="auto"/>
          </w:divBdr>
        </w:div>
        <w:div w:id="1373381355">
          <w:marLeft w:val="0"/>
          <w:marRight w:val="0"/>
          <w:marTop w:val="0"/>
          <w:marBottom w:val="0"/>
          <w:divBdr>
            <w:top w:val="none" w:sz="0" w:space="0" w:color="auto"/>
            <w:left w:val="none" w:sz="0" w:space="0" w:color="auto"/>
            <w:bottom w:val="none" w:sz="0" w:space="0" w:color="auto"/>
            <w:right w:val="none" w:sz="0" w:space="0" w:color="auto"/>
          </w:divBdr>
        </w:div>
        <w:div w:id="2889775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F2546E-80B8-44E5-9802-DA7923165F81}">
  <ds:schemaRefs>
    <ds:schemaRef ds:uri="http://schemas.microsoft.com/office/2006/metadata/properties"/>
    <ds:schemaRef ds:uri="http://schemas.microsoft.com/office/infopath/2007/PartnerControls"/>
    <ds:schemaRef ds:uri="b8139804-05ee-428b-977c-08510ab853ad"/>
    <ds:schemaRef ds:uri="677a6d1a-9d3a-43c4-be6b-84d43132ca40"/>
  </ds:schemaRefs>
</ds:datastoreItem>
</file>

<file path=customXml/itemProps2.xml><?xml version="1.0" encoding="utf-8"?>
<ds:datastoreItem xmlns:ds="http://schemas.openxmlformats.org/officeDocument/2006/customXml" ds:itemID="{135D5E44-7BB4-49FB-B853-8A272152ED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08D74D-45EB-4AC4-8E50-25D82828EB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102</Words>
  <Characters>588</Characters>
  <Application>Microsoft Office Word</Application>
  <DocSecurity>0</DocSecurity>
  <Lines>4</Lines>
  <Paragraphs>1</Paragraphs>
  <ScaleCrop>false</ScaleCrop>
  <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Loretta Barela</dc:creator>
  <cp:keywords/>
  <dc:description/>
  <cp:lastModifiedBy>Cynthia SinghDhillon</cp:lastModifiedBy>
  <cp:revision>4</cp:revision>
  <dcterms:created xsi:type="dcterms:W3CDTF">2023-08-29T16:27:00Z</dcterms:created>
  <dcterms:modified xsi:type="dcterms:W3CDTF">2023-11-29T21:31:00Z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0x0101004176AC76B451824F8B2AD3249B169975</vt:lpwstr>
  </property>
  <property fmtid="{D5CDD505-2E9C-101B-9397-08002B2CF9AE}" pid="3" name="MediaServiceImageTags">
    <vt:lpwstr/>
  </property>
</Properties>
</file>