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95E2" w14:textId="7B11D467" w:rsidR="004656A3" w:rsidRPr="00B35034" w:rsidRDefault="004656A3" w:rsidP="002C650B">
      <w:pPr>
        <w:pStyle w:val="forusewith"/>
        <w:rPr>
          <w:rStyle w:val="rules"/>
          <w:b/>
          <w:bCs/>
        </w:rPr>
      </w:pPr>
      <w:r w:rsidRPr="00B35034">
        <w:rPr>
          <w:rStyle w:val="rules"/>
          <w:b/>
          <w:bCs/>
        </w:rPr>
        <w:t>4-229. Order on Homeowner Assistance Fund stay.</w:t>
      </w:r>
    </w:p>
    <w:p w14:paraId="20B3FC17" w14:textId="54944EAA" w:rsidR="0033099E" w:rsidRPr="00B35034" w:rsidRDefault="002C650B" w:rsidP="004801D2">
      <w:pPr>
        <w:pStyle w:val="indent0"/>
        <w:spacing w:after="0" w:afterAutospacing="0"/>
        <w:rPr>
          <w:rStyle w:val="rules"/>
        </w:rPr>
      </w:pPr>
      <w:r w:rsidRPr="00B35034">
        <w:rPr>
          <w:rStyle w:val="rules"/>
        </w:rPr>
        <w:t>STATE OF NEW MEXICO</w:t>
      </w:r>
    </w:p>
    <w:p w14:paraId="1B43E7B5" w14:textId="77777777" w:rsidR="002C650B" w:rsidRPr="00B35034" w:rsidRDefault="002C650B" w:rsidP="004801D2">
      <w:pPr>
        <w:pStyle w:val="indent0"/>
        <w:spacing w:before="0" w:beforeAutospacing="0" w:after="0" w:afterAutospacing="0"/>
        <w:rPr>
          <w:rStyle w:val="rules"/>
        </w:rPr>
      </w:pPr>
      <w:r w:rsidRPr="00B35034">
        <w:rPr>
          <w:rStyle w:val="rules"/>
        </w:rPr>
        <w:t>COUNTY OF __________________________</w:t>
      </w:r>
    </w:p>
    <w:p w14:paraId="43D0DBB8" w14:textId="495DD9B2" w:rsidR="002C650B" w:rsidRPr="00B35034" w:rsidRDefault="002C650B" w:rsidP="004801D2">
      <w:pPr>
        <w:pStyle w:val="indent0"/>
        <w:spacing w:before="0" w:beforeAutospacing="0"/>
        <w:rPr>
          <w:rStyle w:val="rules"/>
        </w:rPr>
      </w:pPr>
      <w:r w:rsidRPr="00B35034">
        <w:rPr>
          <w:rStyle w:val="rules"/>
        </w:rPr>
        <w:t>____________ JUDICIAL DISTRICT COURT</w:t>
      </w:r>
    </w:p>
    <w:tbl>
      <w:tblPr>
        <w:tblStyle w:val="TableGrid"/>
        <w:tblW w:w="96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3660"/>
      </w:tblGrid>
      <w:tr w:rsidR="002C650B" w:rsidRPr="00B35034" w14:paraId="047689FB" w14:textId="77777777" w:rsidTr="00F4487E">
        <w:tc>
          <w:tcPr>
            <w:tcW w:w="5940" w:type="dxa"/>
          </w:tcPr>
          <w:p w14:paraId="4D07A9C6" w14:textId="171F7C69" w:rsidR="002C650B" w:rsidRPr="00B35034" w:rsidRDefault="002C650B" w:rsidP="005576F6">
            <w:pPr>
              <w:pStyle w:val="indent0"/>
              <w:spacing w:before="120" w:beforeAutospacing="0" w:after="120" w:afterAutospacing="0"/>
              <w:rPr>
                <w:rStyle w:val="rules"/>
                <w:rFonts w:ascii="Arial" w:hAnsi="Arial"/>
                <w:sz w:val="24"/>
              </w:rPr>
            </w:pPr>
            <w:r w:rsidRPr="00B35034">
              <w:rPr>
                <w:rStyle w:val="rules"/>
                <w:rFonts w:ascii="Arial" w:hAnsi="Arial"/>
                <w:sz w:val="24"/>
              </w:rPr>
              <w:t>___________________________, Plaintiff,</w:t>
            </w:r>
          </w:p>
        </w:tc>
        <w:tc>
          <w:tcPr>
            <w:tcW w:w="3660" w:type="dxa"/>
          </w:tcPr>
          <w:p w14:paraId="3A08F39C" w14:textId="652EC125" w:rsidR="002C650B" w:rsidRPr="00B35034" w:rsidRDefault="002C650B" w:rsidP="005576F6">
            <w:pPr>
              <w:pStyle w:val="indent0"/>
              <w:spacing w:before="120" w:beforeAutospacing="0" w:after="120" w:afterAutospacing="0"/>
              <w:rPr>
                <w:rStyle w:val="rules"/>
                <w:rFonts w:ascii="Arial" w:hAnsi="Arial"/>
                <w:sz w:val="24"/>
              </w:rPr>
            </w:pPr>
          </w:p>
        </w:tc>
      </w:tr>
      <w:tr w:rsidR="00D80010" w:rsidRPr="00B35034" w14:paraId="299728CE" w14:textId="77777777" w:rsidTr="00F4487E">
        <w:tc>
          <w:tcPr>
            <w:tcW w:w="5940" w:type="dxa"/>
          </w:tcPr>
          <w:p w14:paraId="4F04391C" w14:textId="391E99EE" w:rsidR="00D80010" w:rsidRPr="00B35034" w:rsidRDefault="00D80010" w:rsidP="005576F6">
            <w:pPr>
              <w:pStyle w:val="indent0"/>
              <w:spacing w:before="120" w:beforeAutospacing="0" w:after="120" w:afterAutospacing="0"/>
              <w:rPr>
                <w:rStyle w:val="rules"/>
                <w:rFonts w:ascii="Arial" w:hAnsi="Arial"/>
                <w:sz w:val="24"/>
              </w:rPr>
            </w:pPr>
            <w:r w:rsidRPr="00B35034">
              <w:rPr>
                <w:rStyle w:val="rules"/>
                <w:rFonts w:ascii="Arial" w:hAnsi="Arial"/>
                <w:sz w:val="24"/>
              </w:rPr>
              <w:t>v.</w:t>
            </w:r>
          </w:p>
        </w:tc>
        <w:tc>
          <w:tcPr>
            <w:tcW w:w="3660" w:type="dxa"/>
          </w:tcPr>
          <w:p w14:paraId="700FCF78" w14:textId="0B790EF9" w:rsidR="00D80010" w:rsidRPr="00B35034" w:rsidRDefault="00D80010" w:rsidP="005576F6">
            <w:pPr>
              <w:pStyle w:val="indent0"/>
              <w:spacing w:before="120" w:beforeAutospacing="0" w:after="120" w:afterAutospacing="0"/>
              <w:rPr>
                <w:rStyle w:val="rules"/>
                <w:rFonts w:ascii="Arial" w:hAnsi="Arial"/>
                <w:sz w:val="24"/>
              </w:rPr>
            </w:pPr>
            <w:r w:rsidRPr="00B35034">
              <w:rPr>
                <w:rStyle w:val="rules"/>
                <w:rFonts w:ascii="Arial" w:hAnsi="Arial"/>
                <w:sz w:val="24"/>
              </w:rPr>
              <w:t>No._______________________</w:t>
            </w:r>
          </w:p>
        </w:tc>
      </w:tr>
      <w:tr w:rsidR="00D80010" w:rsidRPr="00B35034" w14:paraId="2C2A4E0E" w14:textId="77777777" w:rsidTr="00F4487E">
        <w:tc>
          <w:tcPr>
            <w:tcW w:w="5940" w:type="dxa"/>
          </w:tcPr>
          <w:p w14:paraId="02F6AE73" w14:textId="25D9FA1C" w:rsidR="00D80010" w:rsidRPr="00B35034" w:rsidRDefault="00D80010" w:rsidP="005576F6">
            <w:pPr>
              <w:pStyle w:val="indent0"/>
              <w:spacing w:before="120" w:beforeAutospacing="0" w:after="120" w:afterAutospacing="0"/>
              <w:rPr>
                <w:rStyle w:val="rules"/>
                <w:rFonts w:ascii="Arial" w:hAnsi="Arial"/>
                <w:sz w:val="24"/>
              </w:rPr>
            </w:pPr>
            <w:r w:rsidRPr="00B35034">
              <w:rPr>
                <w:rStyle w:val="rules"/>
                <w:rFonts w:ascii="Arial" w:hAnsi="Arial"/>
                <w:sz w:val="24"/>
              </w:rPr>
              <w:t>___________________________, Defendant.</w:t>
            </w:r>
          </w:p>
        </w:tc>
        <w:tc>
          <w:tcPr>
            <w:tcW w:w="3660" w:type="dxa"/>
          </w:tcPr>
          <w:p w14:paraId="4C8F2FD1" w14:textId="77777777" w:rsidR="00D80010" w:rsidRPr="00B35034" w:rsidRDefault="00D80010" w:rsidP="005576F6">
            <w:pPr>
              <w:pStyle w:val="indent0"/>
              <w:spacing w:before="120" w:beforeAutospacing="0" w:after="120" w:afterAutospacing="0"/>
              <w:rPr>
                <w:rStyle w:val="rules"/>
                <w:rFonts w:ascii="Arial" w:hAnsi="Arial"/>
                <w:sz w:val="24"/>
              </w:rPr>
            </w:pPr>
          </w:p>
        </w:tc>
      </w:tr>
    </w:tbl>
    <w:p w14:paraId="69E16C27" w14:textId="37BD68E5" w:rsidR="004656A3" w:rsidRPr="00B35034" w:rsidRDefault="004656A3" w:rsidP="00421F12">
      <w:pPr>
        <w:pStyle w:val="formc"/>
        <w:rPr>
          <w:rStyle w:val="rules"/>
          <w:b/>
          <w:bCs/>
          <w:u w:val="single"/>
        </w:rPr>
      </w:pPr>
      <w:r w:rsidRPr="00B35034">
        <w:rPr>
          <w:rStyle w:val="rules"/>
          <w:b/>
          <w:bCs/>
          <w:u w:val="single"/>
        </w:rPr>
        <w:t>ORDER ON MOTION FOR HOMEOWNER ASSISTANCE FUND STAY</w:t>
      </w:r>
      <w:r w:rsidRPr="00B35034">
        <w:rPr>
          <w:rStyle w:val="rules"/>
          <w:b/>
          <w:bCs/>
          <w:u w:val="single"/>
          <w:vertAlign w:val="superscript"/>
        </w:rPr>
        <w:t>1</w:t>
      </w:r>
    </w:p>
    <w:p w14:paraId="39962702" w14:textId="27351A31" w:rsidR="002C650B" w:rsidRPr="00B35034" w:rsidRDefault="004656A3" w:rsidP="002C650B">
      <w:pPr>
        <w:pStyle w:val="indent1"/>
        <w:rPr>
          <w:rStyle w:val="rules"/>
        </w:rPr>
      </w:pPr>
      <w:r w:rsidRPr="00B35034">
        <w:rPr>
          <w:rStyle w:val="rules"/>
          <w:b/>
          <w:bCs/>
        </w:rPr>
        <w:t>THIS MATTER</w:t>
      </w:r>
      <w:r w:rsidRPr="00B35034">
        <w:rPr>
          <w:rStyle w:val="rules"/>
        </w:rPr>
        <w:t xml:space="preserve"> came before the court on Defendant’s motion to stay this case while Defendant applies for financial assistance from the New Mexico Homeowner Assistance Fund (HAF) program. The court, having considered the motion and being sufficiently advised, orders as follows:</w:t>
      </w:r>
    </w:p>
    <w:tbl>
      <w:tblPr>
        <w:tblStyle w:val="TableGrid"/>
        <w:tblW w:w="859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063"/>
      </w:tblGrid>
      <w:tr w:rsidR="00C06A82" w:rsidRPr="00B35034" w14:paraId="7142D2DB" w14:textId="77777777" w:rsidTr="00F4487E">
        <w:tc>
          <w:tcPr>
            <w:tcW w:w="535" w:type="dxa"/>
          </w:tcPr>
          <w:p w14:paraId="249F3601" w14:textId="163D8245" w:rsidR="00C06A82" w:rsidRPr="00B35034" w:rsidRDefault="004656A3" w:rsidP="00421F12">
            <w:pPr>
              <w:pStyle w:val="indent0"/>
              <w:spacing w:before="120" w:beforeAutospacing="0" w:after="120" w:afterAutospacing="0"/>
              <w:rPr>
                <w:rStyle w:val="rules"/>
                <w:rFonts w:ascii="Arial" w:hAnsi="Arial"/>
                <w:sz w:val="24"/>
              </w:rPr>
            </w:pPr>
            <w:r w:rsidRPr="00B35034">
              <w:rPr>
                <w:rStyle w:val="rules"/>
                <w:rFonts w:ascii="Arial" w:hAnsi="Arial"/>
                <w:sz w:val="24"/>
              </w:rPr>
              <w:t>[ ]</w:t>
            </w:r>
          </w:p>
        </w:tc>
        <w:tc>
          <w:tcPr>
            <w:tcW w:w="8063" w:type="dxa"/>
          </w:tcPr>
          <w:p w14:paraId="0AE794C4" w14:textId="2B4094D8" w:rsidR="00C06A82" w:rsidRPr="00B35034" w:rsidRDefault="004656A3" w:rsidP="00421F12">
            <w:pPr>
              <w:pStyle w:val="indent0"/>
              <w:spacing w:before="120" w:beforeAutospacing="0" w:after="120" w:afterAutospacing="0"/>
              <w:rPr>
                <w:rStyle w:val="rules"/>
                <w:rFonts w:ascii="Arial" w:hAnsi="Arial"/>
                <w:sz w:val="24"/>
              </w:rPr>
            </w:pPr>
            <w:r w:rsidRPr="00B35034">
              <w:rPr>
                <w:rStyle w:val="rules"/>
                <w:rFonts w:ascii="Arial" w:hAnsi="Arial"/>
                <w:sz w:val="24"/>
              </w:rPr>
              <w:t xml:space="preserve">The motion is well taken and is </w:t>
            </w:r>
            <w:r w:rsidRPr="00B35034">
              <w:rPr>
                <w:rStyle w:val="rules"/>
                <w:rFonts w:ascii="Arial" w:hAnsi="Arial"/>
                <w:b/>
                <w:bCs/>
                <w:sz w:val="24"/>
              </w:rPr>
              <w:t>GRANTED</w:t>
            </w:r>
            <w:r w:rsidRPr="00B35034">
              <w:rPr>
                <w:rStyle w:val="rules"/>
                <w:rFonts w:ascii="Arial" w:hAnsi="Arial"/>
                <w:sz w:val="24"/>
              </w:rPr>
              <w:t>. This case is stayed, that is, put on hold, for ninety (90) days from the date of entry of this Order, so that Defendant may seek financial assistance from the HAF program. Plaintiff cannot proceed with litigation, evict, or remove Defendant from the residence while the stay is in place. Further, all deadlines for filing answers, motions, or other pleadings in this case are stayed. The stay of litigation does not prevent referral to and participation in any court-ordered mediation or settlement facilitation. In the absence of any earlier notice of a decision on the HAF application, Plaintiff shall notify the court upon the expiration of the ninety (90)-day stay.</w:t>
            </w:r>
          </w:p>
        </w:tc>
      </w:tr>
      <w:tr w:rsidR="00C06A82" w:rsidRPr="00B35034" w14:paraId="356C4287" w14:textId="77777777" w:rsidTr="00F4487E">
        <w:tc>
          <w:tcPr>
            <w:tcW w:w="535" w:type="dxa"/>
          </w:tcPr>
          <w:p w14:paraId="2BA0097B" w14:textId="0C39A130" w:rsidR="00C06A82" w:rsidRPr="00B35034" w:rsidRDefault="004656A3" w:rsidP="00421F12">
            <w:pPr>
              <w:pStyle w:val="indent0"/>
              <w:spacing w:before="120" w:beforeAutospacing="0" w:after="120" w:afterAutospacing="0"/>
              <w:rPr>
                <w:rStyle w:val="rules"/>
                <w:rFonts w:ascii="Arial" w:hAnsi="Arial"/>
                <w:sz w:val="24"/>
              </w:rPr>
            </w:pPr>
            <w:r w:rsidRPr="00B35034">
              <w:rPr>
                <w:rStyle w:val="rules"/>
                <w:rFonts w:ascii="Arial" w:hAnsi="Arial"/>
                <w:sz w:val="24"/>
              </w:rPr>
              <w:t>[ ]</w:t>
            </w:r>
          </w:p>
        </w:tc>
        <w:tc>
          <w:tcPr>
            <w:tcW w:w="8063" w:type="dxa"/>
          </w:tcPr>
          <w:p w14:paraId="35987925" w14:textId="668AD858" w:rsidR="00C06A82" w:rsidRPr="00B35034" w:rsidRDefault="004656A3" w:rsidP="00421F12">
            <w:pPr>
              <w:pStyle w:val="indent0"/>
              <w:spacing w:before="120" w:beforeAutospacing="0" w:after="120" w:afterAutospacing="0"/>
              <w:rPr>
                <w:rStyle w:val="rules"/>
                <w:rFonts w:ascii="Arial" w:hAnsi="Arial"/>
                <w:sz w:val="24"/>
              </w:rPr>
            </w:pPr>
            <w:r w:rsidRPr="00B35034">
              <w:rPr>
                <w:rStyle w:val="rules"/>
                <w:rFonts w:ascii="Arial" w:hAnsi="Arial"/>
                <w:sz w:val="24"/>
              </w:rPr>
              <w:t xml:space="preserve">The motion is not well taken and is </w:t>
            </w:r>
            <w:r w:rsidRPr="00B35034">
              <w:rPr>
                <w:rStyle w:val="rules"/>
                <w:rFonts w:ascii="Arial" w:hAnsi="Arial"/>
                <w:b/>
                <w:bCs/>
                <w:sz w:val="24"/>
              </w:rPr>
              <w:t>DENIED</w:t>
            </w:r>
            <w:r w:rsidRPr="00B35034">
              <w:rPr>
                <w:rStyle w:val="rules"/>
                <w:rFonts w:ascii="Arial" w:hAnsi="Arial"/>
                <w:sz w:val="24"/>
              </w:rPr>
              <w:t>. The parties may proceed with foreclosure litigation.</w:t>
            </w:r>
          </w:p>
        </w:tc>
      </w:tr>
    </w:tbl>
    <w:p w14:paraId="1DB057C1" w14:textId="77777777" w:rsidR="006E7DCB" w:rsidRPr="00B35034" w:rsidRDefault="006E7DCB" w:rsidP="0033099E">
      <w:pPr>
        <w:pStyle w:val="indent0"/>
        <w:spacing w:before="0" w:beforeAutospacing="0" w:after="0" w:afterAutospacing="0"/>
        <w:rPr>
          <w:rStyle w:val="rul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155"/>
      </w:tblGrid>
      <w:tr w:rsidR="006E7DCB" w:rsidRPr="00B35034" w14:paraId="75DE68F2" w14:textId="77777777" w:rsidTr="006E7DCB">
        <w:tc>
          <w:tcPr>
            <w:tcW w:w="4675" w:type="dxa"/>
          </w:tcPr>
          <w:p w14:paraId="5BCD5E92" w14:textId="77777777" w:rsidR="006E7DCB" w:rsidRPr="00B35034" w:rsidRDefault="006E7DCB" w:rsidP="006E7DCB">
            <w:pPr>
              <w:pStyle w:val="indent0"/>
              <w:spacing w:before="0" w:beforeAutospacing="0" w:after="0" w:afterAutospacing="0"/>
              <w:rPr>
                <w:rStyle w:val="rules"/>
                <w:rFonts w:ascii="Arial" w:hAnsi="Arial"/>
                <w:sz w:val="24"/>
              </w:rPr>
            </w:pPr>
            <w:r w:rsidRPr="00B35034">
              <w:rPr>
                <w:rStyle w:val="rules"/>
                <w:rFonts w:ascii="Arial" w:hAnsi="Arial"/>
                <w:sz w:val="24"/>
              </w:rPr>
              <w:t>________________________</w:t>
            </w:r>
          </w:p>
        </w:tc>
        <w:tc>
          <w:tcPr>
            <w:tcW w:w="4675" w:type="dxa"/>
          </w:tcPr>
          <w:p w14:paraId="70B1F3AF" w14:textId="77777777" w:rsidR="006E7DCB" w:rsidRPr="00B35034" w:rsidRDefault="006E7DCB" w:rsidP="006E7DCB">
            <w:pPr>
              <w:pStyle w:val="indent0"/>
              <w:spacing w:before="0" w:beforeAutospacing="0" w:after="0" w:afterAutospacing="0"/>
              <w:rPr>
                <w:rStyle w:val="rules"/>
                <w:rFonts w:ascii="Arial" w:hAnsi="Arial"/>
                <w:sz w:val="24"/>
              </w:rPr>
            </w:pPr>
            <w:r w:rsidRPr="00B35034">
              <w:rPr>
                <w:rStyle w:val="rules"/>
                <w:rFonts w:ascii="Arial" w:hAnsi="Arial"/>
                <w:sz w:val="24"/>
              </w:rPr>
              <w:t>_____________________________________</w:t>
            </w:r>
          </w:p>
        </w:tc>
      </w:tr>
      <w:tr w:rsidR="006E7DCB" w:rsidRPr="00B35034" w14:paraId="45A3E0D8" w14:textId="77777777" w:rsidTr="006E7DCB">
        <w:tc>
          <w:tcPr>
            <w:tcW w:w="4675" w:type="dxa"/>
          </w:tcPr>
          <w:p w14:paraId="706D0D2A" w14:textId="77777777" w:rsidR="006E7DCB" w:rsidRPr="00B35034" w:rsidRDefault="006E7DCB" w:rsidP="006E7DCB">
            <w:pPr>
              <w:pStyle w:val="indent0"/>
              <w:spacing w:before="0" w:beforeAutospacing="0" w:after="0" w:afterAutospacing="0"/>
              <w:rPr>
                <w:rStyle w:val="rules"/>
                <w:rFonts w:ascii="Arial" w:hAnsi="Arial"/>
                <w:sz w:val="24"/>
              </w:rPr>
            </w:pPr>
            <w:r w:rsidRPr="00B35034">
              <w:rPr>
                <w:rStyle w:val="rules"/>
                <w:rFonts w:ascii="Arial" w:hAnsi="Arial"/>
                <w:sz w:val="24"/>
              </w:rPr>
              <w:t>Date</w:t>
            </w:r>
          </w:p>
        </w:tc>
        <w:tc>
          <w:tcPr>
            <w:tcW w:w="4675" w:type="dxa"/>
          </w:tcPr>
          <w:p w14:paraId="229EEAD6" w14:textId="77777777" w:rsidR="006E7DCB" w:rsidRPr="00B35034" w:rsidRDefault="006E7DCB" w:rsidP="006E7DCB">
            <w:pPr>
              <w:pStyle w:val="indent0"/>
              <w:spacing w:before="0" w:beforeAutospacing="0" w:after="0" w:afterAutospacing="0"/>
              <w:rPr>
                <w:rStyle w:val="rules"/>
                <w:rFonts w:ascii="Arial" w:hAnsi="Arial"/>
                <w:sz w:val="24"/>
              </w:rPr>
            </w:pPr>
            <w:r w:rsidRPr="00B35034">
              <w:rPr>
                <w:rStyle w:val="rules"/>
                <w:rFonts w:ascii="Arial" w:hAnsi="Arial"/>
                <w:sz w:val="24"/>
              </w:rPr>
              <w:t>Judge</w:t>
            </w:r>
          </w:p>
        </w:tc>
      </w:tr>
    </w:tbl>
    <w:p w14:paraId="64C68E4F" w14:textId="77777777" w:rsidR="0033099E" w:rsidRPr="00B35034" w:rsidRDefault="0033099E" w:rsidP="0033099E">
      <w:pPr>
        <w:pStyle w:val="formc"/>
        <w:spacing w:before="0" w:beforeAutospacing="0" w:after="0" w:afterAutospacing="0"/>
        <w:rPr>
          <w:rStyle w:val="rules"/>
        </w:rPr>
      </w:pPr>
    </w:p>
    <w:p w14:paraId="059E6D62" w14:textId="2DA9C3BA" w:rsidR="006E7DCB" w:rsidRPr="00B35034" w:rsidRDefault="006E7DCB" w:rsidP="0033099E">
      <w:pPr>
        <w:pStyle w:val="formc"/>
        <w:spacing w:before="240" w:beforeAutospacing="0" w:after="0" w:afterAutospacing="0"/>
        <w:rPr>
          <w:rStyle w:val="rules"/>
        </w:rPr>
      </w:pPr>
      <w:r w:rsidRPr="00B35034">
        <w:rPr>
          <w:rStyle w:val="rules"/>
        </w:rPr>
        <w:t>USE NOTES</w:t>
      </w:r>
    </w:p>
    <w:p w14:paraId="732B0BDB" w14:textId="0FF47A5F" w:rsidR="006E7DCB" w:rsidRPr="00B35034" w:rsidRDefault="006E7DCB" w:rsidP="006E7DCB">
      <w:pPr>
        <w:pStyle w:val="indent1"/>
        <w:rPr>
          <w:rStyle w:val="rules"/>
        </w:rPr>
      </w:pPr>
      <w:r w:rsidRPr="00B35034">
        <w:rPr>
          <w:rStyle w:val="rules"/>
        </w:rPr>
        <w:t>1.</w:t>
      </w:r>
      <w:r w:rsidRPr="00B35034">
        <w:rPr>
          <w:rStyle w:val="rules"/>
        </w:rPr>
        <w:tab/>
        <w:t>This form shall expire and be withdrawn on September 30, 2025, or upon notification to the Supreme Court of exhaustion of the New Mexico Homeowner Assistance F</w:t>
      </w:r>
      <w:r w:rsidR="003613E0" w:rsidRPr="00B35034">
        <w:rPr>
          <w:rStyle w:val="rules"/>
        </w:rPr>
        <w:t>u</w:t>
      </w:r>
      <w:r w:rsidRPr="00B35034">
        <w:rPr>
          <w:rStyle w:val="rules"/>
        </w:rPr>
        <w:t>nd (HAF) program funds, whichever is earlier.</w:t>
      </w:r>
    </w:p>
    <w:p w14:paraId="16C21B5F" w14:textId="2E3EBB4E" w:rsidR="00C06A82" w:rsidRPr="00B35034" w:rsidRDefault="00C06A82" w:rsidP="00C06A82">
      <w:pPr>
        <w:pStyle w:val="history"/>
        <w:rPr>
          <w:rStyle w:val="ruleshistory"/>
        </w:rPr>
      </w:pPr>
      <w:r w:rsidRPr="00B35034">
        <w:rPr>
          <w:rStyle w:val="ruleshistory"/>
        </w:rPr>
        <w:t>[</w:t>
      </w:r>
      <w:r w:rsidR="006E7DCB" w:rsidRPr="00B35034">
        <w:rPr>
          <w:rStyle w:val="ruleshistory"/>
        </w:rPr>
        <w:t>Adopted by Supreme Court Order No. 22-8300-010, effective for all cases pending or filed on or after May 23, 2022.</w:t>
      </w:r>
      <w:r w:rsidR="00F115C8" w:rsidRPr="00B35034">
        <w:rPr>
          <w:rStyle w:val="ruleshistory"/>
        </w:rPr>
        <w:t>]</w:t>
      </w:r>
    </w:p>
    <w:sectPr w:rsidR="00C06A82" w:rsidRPr="00B35034" w:rsidSect="005209B8">
      <w:pgSz w:w="12240" w:h="15840" w:code="1"/>
      <w:pgMar w:top="1440" w:right="1440" w:bottom="1152"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8353" w14:textId="77777777" w:rsidR="00844AFE" w:rsidRDefault="00844AFE" w:rsidP="00AE66E6">
      <w:r>
        <w:separator/>
      </w:r>
    </w:p>
  </w:endnote>
  <w:endnote w:type="continuationSeparator" w:id="0">
    <w:p w14:paraId="61A03690" w14:textId="77777777" w:rsidR="00844AFE" w:rsidRDefault="00844AFE"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75C2" w14:textId="77777777" w:rsidR="00844AFE" w:rsidRDefault="00844AFE" w:rsidP="00AE66E6">
      <w:r>
        <w:separator/>
      </w:r>
    </w:p>
  </w:footnote>
  <w:footnote w:type="continuationSeparator" w:id="0">
    <w:p w14:paraId="0A803A21" w14:textId="77777777" w:rsidR="00844AFE" w:rsidRDefault="00844AFE"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2684795">
    <w:abstractNumId w:val="0"/>
  </w:num>
  <w:num w:numId="2" w16cid:durableId="1951937570">
    <w:abstractNumId w:val="3"/>
  </w:num>
  <w:num w:numId="3" w16cid:durableId="1604533128">
    <w:abstractNumId w:val="1"/>
  </w:num>
  <w:num w:numId="4" w16cid:durableId="371926150">
    <w:abstractNumId w:val="2"/>
  </w:num>
  <w:num w:numId="5" w16cid:durableId="777414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0B"/>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7521B"/>
    <w:rsid w:val="002C28DD"/>
    <w:rsid w:val="002C650B"/>
    <w:rsid w:val="002D24DA"/>
    <w:rsid w:val="002E48CD"/>
    <w:rsid w:val="00312840"/>
    <w:rsid w:val="003200C6"/>
    <w:rsid w:val="0033099E"/>
    <w:rsid w:val="003367D4"/>
    <w:rsid w:val="00343D11"/>
    <w:rsid w:val="00354279"/>
    <w:rsid w:val="00356452"/>
    <w:rsid w:val="003613E0"/>
    <w:rsid w:val="00372456"/>
    <w:rsid w:val="00380E78"/>
    <w:rsid w:val="0038726E"/>
    <w:rsid w:val="003C16B6"/>
    <w:rsid w:val="003F4CB2"/>
    <w:rsid w:val="00413440"/>
    <w:rsid w:val="00421F12"/>
    <w:rsid w:val="0044026E"/>
    <w:rsid w:val="00461C89"/>
    <w:rsid w:val="004656A3"/>
    <w:rsid w:val="004801D2"/>
    <w:rsid w:val="004B5058"/>
    <w:rsid w:val="004B732A"/>
    <w:rsid w:val="004C739D"/>
    <w:rsid w:val="004F7F2A"/>
    <w:rsid w:val="005145D5"/>
    <w:rsid w:val="005209B8"/>
    <w:rsid w:val="00535E90"/>
    <w:rsid w:val="005421B4"/>
    <w:rsid w:val="00542408"/>
    <w:rsid w:val="00544B3A"/>
    <w:rsid w:val="005576F6"/>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E7DCB"/>
    <w:rsid w:val="006F64EA"/>
    <w:rsid w:val="007441BB"/>
    <w:rsid w:val="00765455"/>
    <w:rsid w:val="007735E7"/>
    <w:rsid w:val="007813D7"/>
    <w:rsid w:val="007C314F"/>
    <w:rsid w:val="007E222D"/>
    <w:rsid w:val="007E7685"/>
    <w:rsid w:val="008165DB"/>
    <w:rsid w:val="00835479"/>
    <w:rsid w:val="00840636"/>
    <w:rsid w:val="00842C8D"/>
    <w:rsid w:val="00844AFE"/>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35034"/>
    <w:rsid w:val="00B450E3"/>
    <w:rsid w:val="00B543A3"/>
    <w:rsid w:val="00B618BA"/>
    <w:rsid w:val="00B65B94"/>
    <w:rsid w:val="00B9711C"/>
    <w:rsid w:val="00BA2C48"/>
    <w:rsid w:val="00BC3B90"/>
    <w:rsid w:val="00BD1A88"/>
    <w:rsid w:val="00BE4C8E"/>
    <w:rsid w:val="00C06A82"/>
    <w:rsid w:val="00C168DA"/>
    <w:rsid w:val="00C52326"/>
    <w:rsid w:val="00C9536B"/>
    <w:rsid w:val="00C95EE1"/>
    <w:rsid w:val="00CF1894"/>
    <w:rsid w:val="00D055C5"/>
    <w:rsid w:val="00D116E9"/>
    <w:rsid w:val="00D3195A"/>
    <w:rsid w:val="00D37FEC"/>
    <w:rsid w:val="00D76AD7"/>
    <w:rsid w:val="00D80010"/>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15C8"/>
    <w:rsid w:val="00F174D9"/>
    <w:rsid w:val="00F203F9"/>
    <w:rsid w:val="00F2736F"/>
    <w:rsid w:val="00F44FEC"/>
    <w:rsid w:val="00F51B02"/>
    <w:rsid w:val="00F867F3"/>
    <w:rsid w:val="00F93B09"/>
    <w:rsid w:val="00FA69C3"/>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0C6CE"/>
  <w15:docId w15:val="{9E34BC3F-D55E-404F-8363-DC5D9798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E40F3E-6E40-4393-8BEB-B177A57C7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Sheyenne Boling</cp:lastModifiedBy>
  <cp:revision>4</cp:revision>
  <cp:lastPrinted>2020-10-07T14:13:00Z</cp:lastPrinted>
  <dcterms:created xsi:type="dcterms:W3CDTF">2022-04-27T14:39:00Z</dcterms:created>
  <dcterms:modified xsi:type="dcterms:W3CDTF">2023-09-11T20:55:00Z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