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3D01F" w14:textId="77777777" w:rsidR="00722032" w:rsidRPr="00143EF7" w:rsidRDefault="00722032" w:rsidP="00143EF7">
      <w:pPr>
        <w:pStyle w:val="indent0"/>
        <w:spacing w:before="0" w:beforeAutospacing="0" w:after="0" w:afterAutospacing="0"/>
        <w:rPr>
          <w:rStyle w:val="rules"/>
          <w:b/>
          <w:bCs/>
        </w:rPr>
      </w:pPr>
      <w:r w:rsidRPr="00143EF7">
        <w:rPr>
          <w:rStyle w:val="rules"/>
          <w:b/>
          <w:bCs/>
        </w:rPr>
        <w:t>4-908A. Order of referral to facilitation.</w:t>
      </w:r>
    </w:p>
    <w:p w14:paraId="2F9EB0D8" w14:textId="77777777" w:rsidR="00722032" w:rsidRPr="00143EF7" w:rsidRDefault="00722032" w:rsidP="00143EF7">
      <w:pPr>
        <w:pStyle w:val="indent0"/>
        <w:spacing w:before="0" w:beforeAutospacing="0" w:after="0" w:afterAutospacing="0"/>
        <w:rPr>
          <w:rStyle w:val="rules"/>
        </w:rPr>
      </w:pPr>
      <w:r w:rsidRPr="00143EF7">
        <w:rPr>
          <w:rStyle w:val="rules"/>
        </w:rPr>
        <w:t>[For use in Magistrate, Metropolitan, and District Courts with the</w:t>
      </w:r>
    </w:p>
    <w:p w14:paraId="75F317F8" w14:textId="77777777" w:rsidR="00722032" w:rsidRPr="00143EF7" w:rsidRDefault="00722032" w:rsidP="00143EF7">
      <w:pPr>
        <w:pStyle w:val="indent0"/>
        <w:spacing w:before="0" w:beforeAutospacing="0" w:after="0" w:afterAutospacing="0"/>
        <w:rPr>
          <w:rStyle w:val="rules"/>
        </w:rPr>
      </w:pPr>
      <w:r w:rsidRPr="00143EF7">
        <w:rPr>
          <w:rStyle w:val="rules"/>
        </w:rPr>
        <w:t xml:space="preserve">Eviction Prevention and Diversion Program] </w:t>
      </w:r>
    </w:p>
    <w:p w14:paraId="2C7C59BD" w14:textId="77777777" w:rsidR="00722032" w:rsidRPr="00143EF7" w:rsidRDefault="00722032" w:rsidP="009E18C9">
      <w:pPr>
        <w:pStyle w:val="indent0"/>
        <w:spacing w:before="240" w:beforeAutospacing="0" w:after="0" w:afterAutospacing="0"/>
        <w:rPr>
          <w:rStyle w:val="rules"/>
        </w:rPr>
      </w:pPr>
      <w:r w:rsidRPr="00143EF7">
        <w:rPr>
          <w:rStyle w:val="rules"/>
        </w:rPr>
        <w:t>STATE OF NEW MEXICO</w:t>
      </w:r>
    </w:p>
    <w:p w14:paraId="398B70F1" w14:textId="76A353E5" w:rsidR="00722032" w:rsidRPr="00143EF7" w:rsidRDefault="00722032" w:rsidP="00722032">
      <w:pPr>
        <w:pStyle w:val="indent0"/>
        <w:spacing w:before="0" w:beforeAutospacing="0" w:after="0" w:afterAutospacing="0"/>
        <w:rPr>
          <w:rStyle w:val="rules"/>
        </w:rPr>
      </w:pPr>
      <w:r w:rsidRPr="00143EF7">
        <w:rPr>
          <w:rStyle w:val="rules"/>
        </w:rPr>
        <w:t>______________</w:t>
      </w:r>
      <w:r w:rsidR="00143EF7">
        <w:rPr>
          <w:rStyle w:val="rules"/>
        </w:rPr>
        <w:t>______</w:t>
      </w:r>
      <w:r w:rsidRPr="00143EF7">
        <w:rPr>
          <w:rStyle w:val="rules"/>
        </w:rPr>
        <w:t>_ COURT</w:t>
      </w:r>
    </w:p>
    <w:p w14:paraId="357899C1" w14:textId="77777777" w:rsidR="00722032" w:rsidRPr="00143EF7" w:rsidRDefault="00722032" w:rsidP="00722032">
      <w:pPr>
        <w:pStyle w:val="indent0"/>
        <w:spacing w:before="0" w:beforeAutospacing="0" w:after="0" w:afterAutospacing="0"/>
        <w:rPr>
          <w:rStyle w:val="rules"/>
        </w:rPr>
      </w:pPr>
      <w:r w:rsidRPr="00143EF7">
        <w:rPr>
          <w:rStyle w:val="rules"/>
        </w:rPr>
        <w:t>_____________________ COUNTY</w:t>
      </w:r>
    </w:p>
    <w:p w14:paraId="56B1864A" w14:textId="77777777" w:rsidR="00722032" w:rsidRPr="00143EF7" w:rsidRDefault="00722032" w:rsidP="00722032">
      <w:pPr>
        <w:pStyle w:val="indent0"/>
        <w:rPr>
          <w:rStyle w:val="rules"/>
        </w:rPr>
      </w:pPr>
      <w:r w:rsidRPr="00143EF7">
        <w:rPr>
          <w:rStyle w:val="rules"/>
        </w:rPr>
        <w:t>_______________________________, Plaintiff(s),</w:t>
      </w:r>
    </w:p>
    <w:tbl>
      <w:tblPr>
        <w:tblStyle w:val="TableGrid1"/>
        <w:tblW w:w="9510"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660"/>
      </w:tblGrid>
      <w:tr w:rsidR="00722032" w:rsidRPr="00143EF7" w14:paraId="22664F21" w14:textId="77777777" w:rsidTr="00F944DF">
        <w:tc>
          <w:tcPr>
            <w:tcW w:w="5850" w:type="dxa"/>
          </w:tcPr>
          <w:p w14:paraId="2D12B5E1" w14:textId="77777777" w:rsidR="00722032" w:rsidRPr="00143EF7" w:rsidRDefault="00722032" w:rsidP="00722032">
            <w:pPr>
              <w:spacing w:before="240"/>
              <w:rPr>
                <w:rFonts w:ascii="Arial" w:eastAsiaTheme="minorHAnsi" w:hAnsi="Arial"/>
                <w:sz w:val="24"/>
              </w:rPr>
            </w:pPr>
            <w:r w:rsidRPr="00143EF7">
              <w:rPr>
                <w:rFonts w:ascii="Arial" w:eastAsiaTheme="minorHAnsi" w:hAnsi="Arial"/>
                <w:sz w:val="24"/>
              </w:rPr>
              <w:t>v.</w:t>
            </w:r>
          </w:p>
        </w:tc>
        <w:tc>
          <w:tcPr>
            <w:tcW w:w="3660" w:type="dxa"/>
          </w:tcPr>
          <w:p w14:paraId="41D84F48" w14:textId="77777777" w:rsidR="00722032" w:rsidRPr="00143EF7" w:rsidRDefault="00722032" w:rsidP="00722032">
            <w:pPr>
              <w:spacing w:before="240"/>
              <w:rPr>
                <w:rFonts w:ascii="Arial" w:eastAsiaTheme="minorHAnsi" w:hAnsi="Arial"/>
                <w:sz w:val="24"/>
              </w:rPr>
            </w:pPr>
            <w:r w:rsidRPr="00143EF7">
              <w:rPr>
                <w:rFonts w:ascii="Arial" w:eastAsiaTheme="minorHAnsi" w:hAnsi="Arial"/>
                <w:sz w:val="24"/>
              </w:rPr>
              <w:t>No. _________</w:t>
            </w:r>
          </w:p>
        </w:tc>
      </w:tr>
    </w:tbl>
    <w:p w14:paraId="162214D9" w14:textId="77777777" w:rsidR="00722032" w:rsidRPr="00143EF7" w:rsidRDefault="00722032" w:rsidP="00722032">
      <w:pPr>
        <w:pStyle w:val="indent0"/>
        <w:rPr>
          <w:rStyle w:val="rules"/>
        </w:rPr>
      </w:pPr>
      <w:r w:rsidRPr="00143EF7">
        <w:rPr>
          <w:rStyle w:val="rules"/>
        </w:rPr>
        <w:t>_______________________________, Defendant(s).</w:t>
      </w:r>
    </w:p>
    <w:p w14:paraId="77CA80DE" w14:textId="77777777" w:rsidR="00722032" w:rsidRPr="00143EF7" w:rsidRDefault="00722032" w:rsidP="00722032">
      <w:pPr>
        <w:pStyle w:val="formc"/>
        <w:spacing w:before="0" w:beforeAutospacing="0" w:after="0" w:afterAutospacing="0"/>
        <w:rPr>
          <w:rStyle w:val="rules"/>
          <w:b/>
          <w:bCs/>
        </w:rPr>
      </w:pPr>
      <w:r w:rsidRPr="00143EF7">
        <w:rPr>
          <w:rStyle w:val="rules"/>
          <w:b/>
          <w:bCs/>
        </w:rPr>
        <w:t>ORDER OF REFERRAL TO FACILITATION</w:t>
      </w:r>
    </w:p>
    <w:p w14:paraId="2EBECA79" w14:textId="77777777" w:rsidR="00722032" w:rsidRPr="00143EF7" w:rsidRDefault="00722032" w:rsidP="00722032">
      <w:pPr>
        <w:pStyle w:val="formc"/>
        <w:spacing w:before="0" w:beforeAutospacing="0" w:after="0" w:afterAutospacing="0"/>
        <w:rPr>
          <w:rStyle w:val="rules"/>
          <w:b/>
          <w:bCs/>
        </w:rPr>
      </w:pPr>
      <w:r w:rsidRPr="00143EF7">
        <w:rPr>
          <w:rStyle w:val="rules"/>
          <w:b/>
          <w:bCs/>
        </w:rPr>
        <w:t>(</w:t>
      </w:r>
      <w:r w:rsidRPr="00143EF7">
        <w:rPr>
          <w:rStyle w:val="rules"/>
          <w:b/>
          <w:bCs/>
          <w:i/>
          <w:iCs/>
        </w:rPr>
        <w:t>Uniform Owner-Resident Relations Act; Mobile Home Park Act</w:t>
      </w:r>
      <w:r w:rsidRPr="00143EF7">
        <w:rPr>
          <w:rStyle w:val="rules"/>
          <w:b/>
          <w:bCs/>
        </w:rPr>
        <w:t>)</w:t>
      </w:r>
    </w:p>
    <w:p w14:paraId="503ED394" w14:textId="698F425B" w:rsidR="00722032" w:rsidRPr="00143EF7" w:rsidRDefault="00722032" w:rsidP="00722032">
      <w:pPr>
        <w:pStyle w:val="indent1"/>
        <w:rPr>
          <w:rStyle w:val="rules"/>
        </w:rPr>
      </w:pPr>
      <w:r w:rsidRPr="00143EF7">
        <w:rPr>
          <w:rStyle w:val="rules"/>
        </w:rPr>
        <w:t>The Court, with consent of the parties, finds that this case is appropriate for referral to facilitation through the Court’s Eviction Prevention and Diversion Program and orders:</w:t>
      </w:r>
    </w:p>
    <w:p w14:paraId="7B3E73C0" w14:textId="77777777" w:rsidR="00722032" w:rsidRPr="00143EF7" w:rsidRDefault="00722032" w:rsidP="00722032">
      <w:pPr>
        <w:pStyle w:val="indent1"/>
        <w:rPr>
          <w:rStyle w:val="rules"/>
        </w:rPr>
      </w:pPr>
      <w:r w:rsidRPr="00143EF7">
        <w:rPr>
          <w:rStyle w:val="rules"/>
        </w:rPr>
        <w:t>1.</w:t>
      </w:r>
      <w:r w:rsidRPr="00143EF7">
        <w:rPr>
          <w:rStyle w:val="rules"/>
        </w:rPr>
        <w:tab/>
        <w:t xml:space="preserve">The parties must immediately read this Order in </w:t>
      </w:r>
      <w:proofErr w:type="gramStart"/>
      <w:r w:rsidRPr="00143EF7">
        <w:rPr>
          <w:rStyle w:val="rules"/>
        </w:rPr>
        <w:t>full;</w:t>
      </w:r>
      <w:proofErr w:type="gramEnd"/>
    </w:p>
    <w:p w14:paraId="59883301" w14:textId="01ED2D72" w:rsidR="00722032" w:rsidRPr="00143EF7" w:rsidRDefault="00722032" w:rsidP="00722032">
      <w:pPr>
        <w:pStyle w:val="indent1"/>
        <w:ind w:left="720" w:hanging="360"/>
        <w:rPr>
          <w:rStyle w:val="rules"/>
        </w:rPr>
      </w:pPr>
      <w:r w:rsidRPr="00143EF7">
        <w:rPr>
          <w:rStyle w:val="rules"/>
        </w:rPr>
        <w:t>2.</w:t>
      </w:r>
      <w:r w:rsidRPr="00143EF7">
        <w:rPr>
          <w:rStyle w:val="rules"/>
        </w:rPr>
        <w:tab/>
        <w:t xml:space="preserve">This case is stayed for a minimum of sixty (60) days to allow for facilitation and government rental assistance </w:t>
      </w:r>
      <w:proofErr w:type="gramStart"/>
      <w:r w:rsidRPr="00143EF7">
        <w:rPr>
          <w:rStyle w:val="rules"/>
        </w:rPr>
        <w:t>processing;</w:t>
      </w:r>
      <w:proofErr w:type="gramEnd"/>
    </w:p>
    <w:p w14:paraId="4783981A" w14:textId="77777777" w:rsidR="00722032" w:rsidRPr="00143EF7" w:rsidRDefault="00722032" w:rsidP="00722032">
      <w:pPr>
        <w:pStyle w:val="indent1"/>
        <w:ind w:left="720" w:hanging="360"/>
        <w:rPr>
          <w:rStyle w:val="rules"/>
        </w:rPr>
      </w:pPr>
      <w:r w:rsidRPr="00143EF7">
        <w:rPr>
          <w:rStyle w:val="rules"/>
        </w:rPr>
        <w:t>3.</w:t>
      </w:r>
      <w:r w:rsidRPr="00143EF7">
        <w:rPr>
          <w:rStyle w:val="rules"/>
        </w:rPr>
        <w:tab/>
        <w:t xml:space="preserve">The parties shall participate in the Eviction Prevention and Diversion Program’s confidential pre- and post-facilitation processes by providing the Program’s staff with up-to-date contact information, communicating with the staff, and cooperating and collaborating with staff to identify, locate, complete, submit, accept, and receive necessary </w:t>
      </w:r>
      <w:proofErr w:type="gramStart"/>
      <w:r w:rsidRPr="00143EF7">
        <w:rPr>
          <w:rStyle w:val="rules"/>
        </w:rPr>
        <w:t>documents;</w:t>
      </w:r>
      <w:proofErr w:type="gramEnd"/>
    </w:p>
    <w:p w14:paraId="1F907A09" w14:textId="77777777" w:rsidR="00722032" w:rsidRPr="00143EF7" w:rsidRDefault="00722032" w:rsidP="00722032">
      <w:pPr>
        <w:pStyle w:val="indent1"/>
        <w:ind w:left="720" w:hanging="360"/>
        <w:rPr>
          <w:rStyle w:val="rules"/>
        </w:rPr>
      </w:pPr>
      <w:r w:rsidRPr="00143EF7">
        <w:rPr>
          <w:rStyle w:val="rules"/>
        </w:rPr>
        <w:t>4.</w:t>
      </w:r>
      <w:r w:rsidRPr="00143EF7">
        <w:rPr>
          <w:rStyle w:val="rules"/>
        </w:rPr>
        <w:tab/>
        <w:t xml:space="preserve">The Clerk shall mail a Notice of Facilitation to the parties clearly stating the date, time, and location of the facilitation, including remote videoconference connection and participation information via simple </w:t>
      </w:r>
      <w:proofErr w:type="gramStart"/>
      <w:r w:rsidRPr="00143EF7">
        <w:rPr>
          <w:rStyle w:val="rules"/>
        </w:rPr>
        <w:t>instructions;</w:t>
      </w:r>
      <w:proofErr w:type="gramEnd"/>
    </w:p>
    <w:p w14:paraId="7D3A3ACE" w14:textId="77777777" w:rsidR="00722032" w:rsidRPr="00143EF7" w:rsidRDefault="00722032" w:rsidP="00722032">
      <w:pPr>
        <w:pStyle w:val="indent1"/>
        <w:ind w:left="720" w:hanging="360"/>
        <w:rPr>
          <w:rStyle w:val="rules"/>
        </w:rPr>
      </w:pPr>
      <w:r w:rsidRPr="00143EF7">
        <w:rPr>
          <w:rStyle w:val="rules"/>
        </w:rPr>
        <w:t>5.</w:t>
      </w:r>
      <w:r w:rsidRPr="00143EF7">
        <w:rPr>
          <w:rStyle w:val="rules"/>
        </w:rPr>
        <w:tab/>
        <w:t xml:space="preserve">The parties shall attend and meaningfully participate in a confidential settlement facilitation with a facilitator assigned by the Eviction Prevention and Diversion </w:t>
      </w:r>
      <w:proofErr w:type="gramStart"/>
      <w:r w:rsidRPr="00143EF7">
        <w:rPr>
          <w:rStyle w:val="rules"/>
        </w:rPr>
        <w:t>Program;</w:t>
      </w:r>
      <w:proofErr w:type="gramEnd"/>
    </w:p>
    <w:p w14:paraId="133A3774" w14:textId="77777777" w:rsidR="00722032" w:rsidRPr="00143EF7" w:rsidRDefault="00722032" w:rsidP="00722032">
      <w:pPr>
        <w:pStyle w:val="indent1"/>
        <w:ind w:left="720" w:hanging="360"/>
        <w:rPr>
          <w:rStyle w:val="rules"/>
        </w:rPr>
      </w:pPr>
      <w:r w:rsidRPr="00143EF7">
        <w:rPr>
          <w:rStyle w:val="rules"/>
        </w:rPr>
        <w:t>6.</w:t>
      </w:r>
      <w:r w:rsidRPr="00143EF7">
        <w:rPr>
          <w:rStyle w:val="rules"/>
        </w:rPr>
        <w:tab/>
        <w:t xml:space="preserve">Before the confidential settlement facilitation, the parties may contact the Eviction Prevention and Diversion Program, via the contact information immediately below, with questions about rescheduling, technological requirements and resources, government rental assistance applications, getting other state benefits, and what to expect in the pre-facilitation, facilitation, and post-facilitation </w:t>
      </w:r>
      <w:proofErr w:type="gramStart"/>
      <w:r w:rsidRPr="00143EF7">
        <w:rPr>
          <w:rStyle w:val="rules"/>
        </w:rPr>
        <w:t>processes;</w:t>
      </w:r>
      <w:proofErr w:type="gramEnd"/>
    </w:p>
    <w:p w14:paraId="3B6E1BEE" w14:textId="680916EB" w:rsidR="00722032" w:rsidRPr="00143EF7" w:rsidRDefault="00722032" w:rsidP="00046A5A">
      <w:pPr>
        <w:pStyle w:val="indent2"/>
        <w:spacing w:before="0" w:beforeAutospacing="0" w:after="0" w:afterAutospacing="0"/>
        <w:rPr>
          <w:rStyle w:val="rules"/>
        </w:rPr>
      </w:pPr>
      <w:r w:rsidRPr="00143EF7">
        <w:rPr>
          <w:rStyle w:val="rules"/>
        </w:rPr>
        <w:lastRenderedPageBreak/>
        <w:t>a.</w:t>
      </w:r>
      <w:r w:rsidRPr="00143EF7">
        <w:rPr>
          <w:rStyle w:val="rules"/>
        </w:rPr>
        <w:tab/>
        <w:t>Online: ____________________________________________________</w:t>
      </w:r>
    </w:p>
    <w:p w14:paraId="0A325B8C" w14:textId="43BFAE3D" w:rsidR="00722032" w:rsidRPr="00143EF7" w:rsidRDefault="00722032" w:rsidP="00046A5A">
      <w:pPr>
        <w:pStyle w:val="indent2"/>
        <w:spacing w:before="0" w:beforeAutospacing="0" w:after="0" w:afterAutospacing="0"/>
        <w:rPr>
          <w:rStyle w:val="rules"/>
        </w:rPr>
      </w:pPr>
      <w:r w:rsidRPr="00143EF7">
        <w:rPr>
          <w:rStyle w:val="rules"/>
        </w:rPr>
        <w:t>b.</w:t>
      </w:r>
      <w:r w:rsidRPr="00143EF7">
        <w:rPr>
          <w:rStyle w:val="rules"/>
        </w:rPr>
        <w:tab/>
        <w:t>Email: _____________________________________________________</w:t>
      </w:r>
    </w:p>
    <w:p w14:paraId="48EEB46B" w14:textId="36C5D172" w:rsidR="00722032" w:rsidRPr="00143EF7" w:rsidRDefault="00722032" w:rsidP="00046A5A">
      <w:pPr>
        <w:pStyle w:val="indent2"/>
        <w:spacing w:before="0" w:beforeAutospacing="0" w:after="0" w:afterAutospacing="0"/>
        <w:rPr>
          <w:rStyle w:val="rules"/>
        </w:rPr>
      </w:pPr>
      <w:r w:rsidRPr="00143EF7">
        <w:rPr>
          <w:rStyle w:val="rules"/>
        </w:rPr>
        <w:t>c.</w:t>
      </w:r>
      <w:r w:rsidRPr="00143EF7">
        <w:rPr>
          <w:rStyle w:val="rules"/>
        </w:rPr>
        <w:tab/>
        <w:t>Text: ______________________________________________________</w:t>
      </w:r>
    </w:p>
    <w:p w14:paraId="088C4D4F" w14:textId="29561FA7" w:rsidR="00722032" w:rsidRPr="00143EF7" w:rsidRDefault="00722032" w:rsidP="00046A5A">
      <w:pPr>
        <w:pStyle w:val="indent2"/>
        <w:spacing w:before="0" w:beforeAutospacing="0" w:after="0" w:afterAutospacing="0"/>
        <w:rPr>
          <w:rStyle w:val="rules"/>
        </w:rPr>
      </w:pPr>
      <w:r w:rsidRPr="00143EF7">
        <w:rPr>
          <w:rStyle w:val="rules"/>
        </w:rPr>
        <w:t>d.</w:t>
      </w:r>
      <w:r w:rsidRPr="00143EF7">
        <w:rPr>
          <w:rStyle w:val="rules"/>
        </w:rPr>
        <w:tab/>
        <w:t>Phone: ____________________________________________________</w:t>
      </w:r>
    </w:p>
    <w:p w14:paraId="097E7A69" w14:textId="7A7EA708" w:rsidR="00722032" w:rsidRPr="00143EF7" w:rsidRDefault="00722032" w:rsidP="00046A5A">
      <w:pPr>
        <w:pStyle w:val="indent2"/>
        <w:spacing w:before="0" w:beforeAutospacing="0" w:after="0" w:afterAutospacing="0"/>
        <w:rPr>
          <w:rStyle w:val="rules"/>
        </w:rPr>
      </w:pPr>
      <w:r w:rsidRPr="00143EF7">
        <w:rPr>
          <w:rStyle w:val="rules"/>
        </w:rPr>
        <w:t>e.</w:t>
      </w:r>
      <w:r w:rsidRPr="00143EF7">
        <w:rPr>
          <w:rStyle w:val="rules"/>
        </w:rPr>
        <w:tab/>
        <w:t>Smartphone applications (apps): ________________________________</w:t>
      </w:r>
    </w:p>
    <w:p w14:paraId="0A665F00" w14:textId="77777777" w:rsidR="00722032" w:rsidRPr="00143EF7" w:rsidRDefault="00722032" w:rsidP="00046A5A">
      <w:pPr>
        <w:pStyle w:val="indent1"/>
        <w:ind w:left="720" w:hanging="360"/>
        <w:rPr>
          <w:rStyle w:val="rules"/>
        </w:rPr>
      </w:pPr>
      <w:r w:rsidRPr="00143EF7">
        <w:rPr>
          <w:rStyle w:val="rules"/>
        </w:rPr>
        <w:t>7.</w:t>
      </w:r>
      <w:r w:rsidRPr="00143EF7">
        <w:rPr>
          <w:rStyle w:val="rules"/>
        </w:rPr>
        <w:tab/>
        <w:t xml:space="preserve">If a party is represented by an attorney, the attorney's attendance with the party is </w:t>
      </w:r>
      <w:proofErr w:type="gramStart"/>
      <w:r w:rsidRPr="00143EF7">
        <w:rPr>
          <w:rStyle w:val="rules"/>
        </w:rPr>
        <w:t>optional;</w:t>
      </w:r>
      <w:proofErr w:type="gramEnd"/>
    </w:p>
    <w:p w14:paraId="74021343" w14:textId="77777777" w:rsidR="00722032" w:rsidRPr="00143EF7" w:rsidRDefault="00722032" w:rsidP="00046A5A">
      <w:pPr>
        <w:pStyle w:val="indent1"/>
        <w:ind w:left="720" w:hanging="360"/>
        <w:rPr>
          <w:rStyle w:val="rules"/>
        </w:rPr>
      </w:pPr>
      <w:r w:rsidRPr="00143EF7">
        <w:rPr>
          <w:rStyle w:val="rules"/>
        </w:rPr>
        <w:t>8.</w:t>
      </w:r>
      <w:r w:rsidRPr="00143EF7">
        <w:rPr>
          <w:rStyle w:val="rules"/>
        </w:rPr>
        <w:tab/>
        <w:t xml:space="preserve">There will be no fees for the Eviction Prevention and Diversion Program pre-facilitation, facilitation, or post-facilitation </w:t>
      </w:r>
      <w:proofErr w:type="gramStart"/>
      <w:r w:rsidRPr="00143EF7">
        <w:rPr>
          <w:rStyle w:val="rules"/>
        </w:rPr>
        <w:t>services;</w:t>
      </w:r>
      <w:proofErr w:type="gramEnd"/>
    </w:p>
    <w:p w14:paraId="25A795A5" w14:textId="77777777" w:rsidR="00722032" w:rsidRPr="00143EF7" w:rsidRDefault="00722032" w:rsidP="00046A5A">
      <w:pPr>
        <w:pStyle w:val="indent1"/>
        <w:ind w:left="720" w:hanging="360"/>
        <w:rPr>
          <w:rStyle w:val="rules"/>
        </w:rPr>
      </w:pPr>
      <w:r w:rsidRPr="00143EF7">
        <w:rPr>
          <w:rStyle w:val="rules"/>
        </w:rPr>
        <w:t>9.</w:t>
      </w:r>
      <w:r w:rsidRPr="00143EF7">
        <w:rPr>
          <w:rStyle w:val="rules"/>
        </w:rPr>
        <w:tab/>
        <w:t xml:space="preserve">The facilitator will report the outcome of the facilitation to the Eviction Prevention and Diversion </w:t>
      </w:r>
      <w:proofErr w:type="gramStart"/>
      <w:r w:rsidRPr="00143EF7">
        <w:rPr>
          <w:rStyle w:val="rules"/>
        </w:rPr>
        <w:t>Program;</w:t>
      </w:r>
      <w:proofErr w:type="gramEnd"/>
    </w:p>
    <w:p w14:paraId="7EBF9F44" w14:textId="77777777" w:rsidR="00722032" w:rsidRPr="00143EF7" w:rsidRDefault="00722032" w:rsidP="00046A5A">
      <w:pPr>
        <w:pStyle w:val="indent1"/>
        <w:ind w:left="720" w:hanging="360"/>
        <w:rPr>
          <w:rStyle w:val="rules"/>
        </w:rPr>
      </w:pPr>
      <w:r w:rsidRPr="00143EF7">
        <w:rPr>
          <w:rStyle w:val="rules"/>
        </w:rPr>
        <w:t>10.</w:t>
      </w:r>
      <w:r w:rsidRPr="00143EF7">
        <w:rPr>
          <w:rStyle w:val="rules"/>
        </w:rPr>
        <w:tab/>
        <w:t>The Eviction Prevention and Diversion Program will ensure that documents necessary to conclude the case are filed with the Court; and</w:t>
      </w:r>
    </w:p>
    <w:p w14:paraId="01EBF919" w14:textId="77777777" w:rsidR="00722032" w:rsidRPr="00143EF7" w:rsidRDefault="00722032" w:rsidP="00046A5A">
      <w:pPr>
        <w:pStyle w:val="indent1"/>
        <w:ind w:left="720" w:hanging="360"/>
        <w:rPr>
          <w:rStyle w:val="rules"/>
        </w:rPr>
      </w:pPr>
      <w:r w:rsidRPr="00143EF7">
        <w:rPr>
          <w:rStyle w:val="rules"/>
        </w:rPr>
        <w:t>11.</w:t>
      </w:r>
      <w:r w:rsidRPr="00143EF7">
        <w:rPr>
          <w:rStyle w:val="rules"/>
        </w:rPr>
        <w:tab/>
        <w:t>A party’s failure to attend facilitation may result in sanctions, including sanctions for contempt of court, responsibility for costs or reasonable attorney fees, or reimbursement for the other party’s lost wages, if applicable.</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tblGrid>
      <w:tr w:rsidR="00046A5A" w:rsidRPr="00143EF7" w14:paraId="4E05B88E" w14:textId="77777777" w:rsidTr="00046A5A">
        <w:trPr>
          <w:jc w:val="right"/>
        </w:trPr>
        <w:tc>
          <w:tcPr>
            <w:tcW w:w="4405" w:type="dxa"/>
          </w:tcPr>
          <w:p w14:paraId="77CEA7BB" w14:textId="77777777" w:rsidR="00046A5A" w:rsidRPr="00143EF7" w:rsidRDefault="00046A5A" w:rsidP="00046A5A">
            <w:pPr>
              <w:pStyle w:val="indent0"/>
              <w:spacing w:before="0" w:beforeAutospacing="0" w:after="0" w:afterAutospacing="0"/>
              <w:rPr>
                <w:rStyle w:val="rules"/>
                <w:rFonts w:ascii="Arial" w:hAnsi="Arial"/>
                <w:sz w:val="24"/>
              </w:rPr>
            </w:pPr>
            <w:r w:rsidRPr="00143EF7">
              <w:rPr>
                <w:rStyle w:val="rules"/>
                <w:rFonts w:ascii="Arial" w:hAnsi="Arial"/>
                <w:sz w:val="24"/>
              </w:rPr>
              <w:t>______________________________</w:t>
            </w:r>
          </w:p>
        </w:tc>
      </w:tr>
      <w:tr w:rsidR="00046A5A" w:rsidRPr="00143EF7" w14:paraId="49712B45" w14:textId="77777777" w:rsidTr="00046A5A">
        <w:trPr>
          <w:jc w:val="right"/>
        </w:trPr>
        <w:tc>
          <w:tcPr>
            <w:tcW w:w="4405" w:type="dxa"/>
          </w:tcPr>
          <w:p w14:paraId="4C85F0BC" w14:textId="77777777" w:rsidR="00046A5A" w:rsidRPr="00143EF7" w:rsidRDefault="00046A5A" w:rsidP="00046A5A">
            <w:pPr>
              <w:pStyle w:val="indent0"/>
              <w:spacing w:before="0" w:beforeAutospacing="0" w:after="0" w:afterAutospacing="0"/>
              <w:rPr>
                <w:rStyle w:val="rules"/>
                <w:rFonts w:ascii="Arial" w:hAnsi="Arial"/>
                <w:sz w:val="24"/>
              </w:rPr>
            </w:pPr>
            <w:r w:rsidRPr="00143EF7">
              <w:rPr>
                <w:rStyle w:val="rules"/>
                <w:rFonts w:ascii="Arial" w:hAnsi="Arial"/>
                <w:sz w:val="24"/>
              </w:rPr>
              <w:t>Judge</w:t>
            </w:r>
          </w:p>
        </w:tc>
      </w:tr>
    </w:tbl>
    <w:p w14:paraId="396696E6" w14:textId="1C71A1A6" w:rsidR="00760B0F" w:rsidRPr="00143EF7" w:rsidRDefault="00760B0F" w:rsidP="00760B0F">
      <w:pPr>
        <w:spacing w:before="240"/>
        <w:rPr>
          <w:rStyle w:val="rules"/>
        </w:rPr>
      </w:pPr>
      <w:r w:rsidRPr="00143EF7">
        <w:rPr>
          <w:rStyle w:val="rules"/>
        </w:rPr>
        <w:t>[Provisionally adopted by Supreme Court Order No. 22-8300-003, effective for all cases pending or filed on or after February 1, 2022, that are subject to the Eviction Prevention and Diversion Program.]</w:t>
      </w:r>
    </w:p>
    <w:sectPr w:rsidR="00760B0F" w:rsidRPr="00143EF7"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1735" w14:textId="77777777" w:rsidR="00C646C9" w:rsidRDefault="00C646C9" w:rsidP="00AE66E6">
      <w:r>
        <w:separator/>
      </w:r>
    </w:p>
  </w:endnote>
  <w:endnote w:type="continuationSeparator" w:id="0">
    <w:p w14:paraId="314F28CF" w14:textId="77777777" w:rsidR="00C646C9" w:rsidRDefault="00C646C9"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C360" w14:textId="77777777" w:rsidR="00C646C9" w:rsidRDefault="00C646C9" w:rsidP="00AE66E6">
      <w:r>
        <w:separator/>
      </w:r>
    </w:p>
  </w:footnote>
  <w:footnote w:type="continuationSeparator" w:id="0">
    <w:p w14:paraId="0C7FD37F" w14:textId="77777777" w:rsidR="00C646C9" w:rsidRDefault="00C646C9"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6C69"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24170176">
    <w:abstractNumId w:val="0"/>
  </w:num>
  <w:num w:numId="2" w16cid:durableId="987396921">
    <w:abstractNumId w:val="3"/>
  </w:num>
  <w:num w:numId="3" w16cid:durableId="1911495631">
    <w:abstractNumId w:val="1"/>
  </w:num>
  <w:num w:numId="4" w16cid:durableId="1853296089">
    <w:abstractNumId w:val="2"/>
  </w:num>
  <w:num w:numId="5" w16cid:durableId="45167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C9"/>
    <w:rsid w:val="000242BC"/>
    <w:rsid w:val="00042272"/>
    <w:rsid w:val="00042DD0"/>
    <w:rsid w:val="00046A5A"/>
    <w:rsid w:val="00052CEA"/>
    <w:rsid w:val="00054533"/>
    <w:rsid w:val="0006105D"/>
    <w:rsid w:val="000635AE"/>
    <w:rsid w:val="00070E5C"/>
    <w:rsid w:val="000C5929"/>
    <w:rsid w:val="000E1FD6"/>
    <w:rsid w:val="00102EE1"/>
    <w:rsid w:val="00143EF7"/>
    <w:rsid w:val="0017569D"/>
    <w:rsid w:val="001E2331"/>
    <w:rsid w:val="001E2F64"/>
    <w:rsid w:val="0021715F"/>
    <w:rsid w:val="0027521B"/>
    <w:rsid w:val="002944C5"/>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22032"/>
    <w:rsid w:val="007441BB"/>
    <w:rsid w:val="00760B0F"/>
    <w:rsid w:val="00765455"/>
    <w:rsid w:val="007735E7"/>
    <w:rsid w:val="007813D7"/>
    <w:rsid w:val="007C314F"/>
    <w:rsid w:val="007E222D"/>
    <w:rsid w:val="007E7685"/>
    <w:rsid w:val="008165DB"/>
    <w:rsid w:val="00835479"/>
    <w:rsid w:val="00840636"/>
    <w:rsid w:val="00842C8D"/>
    <w:rsid w:val="00891472"/>
    <w:rsid w:val="008A1C2C"/>
    <w:rsid w:val="008A1F33"/>
    <w:rsid w:val="008A635A"/>
    <w:rsid w:val="008B7242"/>
    <w:rsid w:val="008C2C77"/>
    <w:rsid w:val="008D6262"/>
    <w:rsid w:val="008E5A10"/>
    <w:rsid w:val="008F282E"/>
    <w:rsid w:val="00915C6D"/>
    <w:rsid w:val="009176B2"/>
    <w:rsid w:val="00951CEA"/>
    <w:rsid w:val="0095623E"/>
    <w:rsid w:val="00965DA0"/>
    <w:rsid w:val="00997D27"/>
    <w:rsid w:val="009A5E3F"/>
    <w:rsid w:val="009A68DC"/>
    <w:rsid w:val="009B5AFE"/>
    <w:rsid w:val="009C31DE"/>
    <w:rsid w:val="009E161F"/>
    <w:rsid w:val="009E18C9"/>
    <w:rsid w:val="009F7561"/>
    <w:rsid w:val="00A1117F"/>
    <w:rsid w:val="00A20A0E"/>
    <w:rsid w:val="00A25465"/>
    <w:rsid w:val="00A3117F"/>
    <w:rsid w:val="00A42CF9"/>
    <w:rsid w:val="00A6058A"/>
    <w:rsid w:val="00AA6456"/>
    <w:rsid w:val="00AB4F13"/>
    <w:rsid w:val="00AE0EDB"/>
    <w:rsid w:val="00AE66E6"/>
    <w:rsid w:val="00AF7F37"/>
    <w:rsid w:val="00B450E3"/>
    <w:rsid w:val="00B51E89"/>
    <w:rsid w:val="00B543A3"/>
    <w:rsid w:val="00B618BA"/>
    <w:rsid w:val="00B65B94"/>
    <w:rsid w:val="00B9711C"/>
    <w:rsid w:val="00BA2C48"/>
    <w:rsid w:val="00BC3B90"/>
    <w:rsid w:val="00BD1A88"/>
    <w:rsid w:val="00BE4C8E"/>
    <w:rsid w:val="00C168DA"/>
    <w:rsid w:val="00C52326"/>
    <w:rsid w:val="00C646C9"/>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8E1F6"/>
  <w15:docId w15:val="{8BFDE608-E605-471D-AD55-1F63CD45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 w:type="table" w:customStyle="1" w:styleId="TableGrid1">
    <w:name w:val="Table Grid1"/>
    <w:basedOn w:val="TableNormal"/>
    <w:next w:val="TableGrid"/>
    <w:uiPriority w:val="59"/>
    <w:rsid w:val="00722032"/>
    <w:rPr>
      <w:rFonts w:ascii="Garamond" w:hAnsi="Garamond" w:cstheme="minorBidi"/>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81531A8E-B102-47C3-AEB8-1161C8073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4</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Loretta Barela</cp:lastModifiedBy>
  <cp:revision>5</cp:revision>
  <cp:lastPrinted>2020-10-07T14:13:00Z</cp:lastPrinted>
  <dcterms:created xsi:type="dcterms:W3CDTF">2022-01-18T23:05:00Z</dcterms:created>
  <dcterms:modified xsi:type="dcterms:W3CDTF">2023-10-17T19:11:00Z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