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1680" w14:textId="3A34BDCB" w:rsidR="006E3846" w:rsidRPr="00CB778A" w:rsidRDefault="006E3846" w:rsidP="00CB778A">
      <w:pPr>
        <w:spacing w:before="100" w:beforeAutospacing="1" w:after="100" w:afterAutospacing="1"/>
        <w:rPr>
          <w:rFonts w:ascii="Arial" w:hAnsi="Arial" w:cs="Arial"/>
          <w:sz w:val="24"/>
          <w:szCs w:val="24"/>
        </w:rPr>
      </w:pPr>
      <w:r w:rsidRPr="00CB778A">
        <w:rPr>
          <w:rFonts w:ascii="Arial" w:hAnsi="Arial" w:cs="Arial"/>
          <w:sz w:val="24"/>
          <w:szCs w:val="24"/>
          <w:lang w:val="en-CA"/>
        </w:rPr>
        <w:fldChar w:fldCharType="begin"/>
      </w:r>
      <w:r w:rsidRPr="00CB778A">
        <w:rPr>
          <w:rFonts w:ascii="Arial" w:hAnsi="Arial" w:cs="Arial"/>
          <w:sz w:val="24"/>
          <w:szCs w:val="24"/>
          <w:lang w:val="en-CA"/>
        </w:rPr>
        <w:instrText xml:space="preserve"> SEQ CHAPTER \h \r 1</w:instrText>
      </w:r>
      <w:r w:rsidRPr="00CB778A">
        <w:rPr>
          <w:rFonts w:ascii="Arial" w:hAnsi="Arial" w:cs="Arial"/>
          <w:sz w:val="24"/>
          <w:szCs w:val="24"/>
          <w:lang w:val="en-CA"/>
        </w:rPr>
        <w:fldChar w:fldCharType="end"/>
      </w:r>
      <w:r w:rsidRPr="00CB778A">
        <w:rPr>
          <w:rFonts w:ascii="Arial" w:hAnsi="Arial" w:cs="Arial"/>
          <w:b/>
          <w:bCs/>
          <w:sz w:val="24"/>
          <w:szCs w:val="24"/>
        </w:rPr>
        <w:t>14-8005. Grand jury proceedings; sample instructions.</w:t>
      </w:r>
      <w:r w:rsidRPr="00CB778A">
        <w:rPr>
          <w:rFonts w:ascii="Arial" w:hAnsi="Arial" w:cs="Arial"/>
          <w:b/>
          <w:bCs/>
          <w:sz w:val="24"/>
          <w:szCs w:val="24"/>
          <w:vertAlign w:val="superscript"/>
        </w:rPr>
        <w:t>1</w:t>
      </w:r>
    </w:p>
    <w:p w14:paraId="0B7708F7" w14:textId="38D78C93" w:rsidR="006E3846" w:rsidRPr="00CB778A" w:rsidRDefault="006E3846" w:rsidP="00CB778A">
      <w:pPr>
        <w:spacing w:before="100" w:beforeAutospacing="1" w:after="100" w:afterAutospacing="1"/>
        <w:rPr>
          <w:rFonts w:ascii="Arial" w:hAnsi="Arial" w:cs="Arial"/>
          <w:sz w:val="24"/>
          <w:szCs w:val="24"/>
        </w:rPr>
      </w:pPr>
      <w:r w:rsidRPr="00CB778A">
        <w:rPr>
          <w:rFonts w:ascii="Arial" w:hAnsi="Arial" w:cs="Arial"/>
          <w:b/>
          <w:bCs/>
          <w:sz w:val="24"/>
          <w:szCs w:val="24"/>
        </w:rPr>
        <w:t>Burglary; essential elements.</w:t>
      </w:r>
    </w:p>
    <w:p w14:paraId="709FA4C0" w14:textId="3BD6CAF4" w:rsidR="006E3846" w:rsidRPr="00CB778A" w:rsidRDefault="006E3846">
      <w:pPr>
        <w:rPr>
          <w:rFonts w:ascii="Arial" w:hAnsi="Arial" w:cs="Arial"/>
          <w:sz w:val="24"/>
          <w:szCs w:val="24"/>
        </w:rPr>
      </w:pPr>
      <w:r w:rsidRPr="00CB778A">
        <w:rPr>
          <w:rFonts w:ascii="Arial" w:hAnsi="Arial" w:cs="Arial"/>
          <w:sz w:val="24"/>
          <w:szCs w:val="24"/>
        </w:rPr>
        <w:tab/>
        <w:t>For you to return an indictment against the accused for the crime of burglary, you must find that there is probable cause</w:t>
      </w:r>
      <w:r w:rsidRPr="00CB778A">
        <w:rPr>
          <w:rFonts w:ascii="Arial" w:hAnsi="Arial" w:cs="Arial"/>
          <w:sz w:val="24"/>
          <w:szCs w:val="24"/>
          <w:vertAlign w:val="superscript"/>
        </w:rPr>
        <w:t>2</w:t>
      </w:r>
      <w:r w:rsidRPr="00CB778A">
        <w:rPr>
          <w:rFonts w:ascii="Arial" w:hAnsi="Arial" w:cs="Arial"/>
          <w:sz w:val="24"/>
          <w:szCs w:val="24"/>
        </w:rPr>
        <w:t xml:space="preserve"> to believe each of the following elements of the crime: </w:t>
      </w:r>
    </w:p>
    <w:p w14:paraId="37803C5B" w14:textId="77777777" w:rsidR="006E3846" w:rsidRPr="00CB778A" w:rsidRDefault="006E3846">
      <w:pPr>
        <w:rPr>
          <w:rFonts w:ascii="Arial" w:hAnsi="Arial" w:cs="Arial"/>
          <w:sz w:val="24"/>
          <w:szCs w:val="24"/>
        </w:rPr>
      </w:pPr>
      <w:r w:rsidRPr="00CB778A">
        <w:rPr>
          <w:rFonts w:ascii="Arial" w:hAnsi="Arial" w:cs="Arial"/>
          <w:sz w:val="24"/>
          <w:szCs w:val="24"/>
        </w:rPr>
        <w:tab/>
        <w:t>1.</w:t>
      </w:r>
      <w:r w:rsidRPr="00CB778A">
        <w:rPr>
          <w:rFonts w:ascii="Arial" w:hAnsi="Arial" w:cs="Arial"/>
          <w:sz w:val="24"/>
          <w:szCs w:val="24"/>
        </w:rPr>
        <w:tab/>
        <w:t>The accused entered __________________ (</w:t>
      </w:r>
      <w:r w:rsidRPr="00CB778A">
        <w:rPr>
          <w:rFonts w:ascii="Arial" w:hAnsi="Arial" w:cs="Arial"/>
          <w:i/>
          <w:iCs/>
          <w:sz w:val="24"/>
          <w:szCs w:val="24"/>
        </w:rPr>
        <w:t>identify structure</w:t>
      </w:r>
      <w:r w:rsidRPr="00CB778A">
        <w:rPr>
          <w:rFonts w:ascii="Arial" w:hAnsi="Arial" w:cs="Arial"/>
          <w:sz w:val="24"/>
          <w:szCs w:val="24"/>
        </w:rPr>
        <w:t>)</w:t>
      </w:r>
      <w:r w:rsidRPr="00CB778A">
        <w:rPr>
          <w:rFonts w:ascii="Arial" w:hAnsi="Arial" w:cs="Arial"/>
          <w:sz w:val="24"/>
          <w:szCs w:val="24"/>
          <w:vertAlign w:val="superscript"/>
        </w:rPr>
        <w:t>3</w:t>
      </w:r>
      <w:r w:rsidRPr="00CB778A">
        <w:rPr>
          <w:rFonts w:ascii="Arial" w:hAnsi="Arial" w:cs="Arial"/>
          <w:sz w:val="24"/>
          <w:szCs w:val="24"/>
        </w:rPr>
        <w:t xml:space="preserve"> without authorization or permission; [the least intrusion constitutes an entry;]</w:t>
      </w:r>
      <w:r w:rsidRPr="00CB778A">
        <w:rPr>
          <w:rFonts w:ascii="Arial" w:hAnsi="Arial" w:cs="Arial"/>
          <w:sz w:val="24"/>
          <w:szCs w:val="24"/>
          <w:vertAlign w:val="superscript"/>
        </w:rPr>
        <w:t>4</w:t>
      </w:r>
      <w:r w:rsidRPr="00CB778A">
        <w:rPr>
          <w:rFonts w:ascii="Arial" w:hAnsi="Arial" w:cs="Arial"/>
          <w:sz w:val="24"/>
          <w:szCs w:val="24"/>
        </w:rPr>
        <w:t xml:space="preserve">  </w:t>
      </w:r>
    </w:p>
    <w:p w14:paraId="4D984A65" w14:textId="14A5E88B" w:rsidR="006E3846" w:rsidRPr="00CB778A" w:rsidRDefault="006E3846">
      <w:pPr>
        <w:rPr>
          <w:rFonts w:ascii="Arial" w:hAnsi="Arial" w:cs="Arial"/>
          <w:sz w:val="24"/>
          <w:szCs w:val="24"/>
        </w:rPr>
      </w:pPr>
      <w:r w:rsidRPr="00CB778A">
        <w:rPr>
          <w:rFonts w:ascii="Arial" w:hAnsi="Arial" w:cs="Arial"/>
          <w:sz w:val="24"/>
          <w:szCs w:val="24"/>
        </w:rPr>
        <w:tab/>
        <w:t>2.</w:t>
      </w:r>
      <w:r w:rsidRPr="00CB778A">
        <w:rPr>
          <w:rFonts w:ascii="Arial" w:hAnsi="Arial" w:cs="Arial"/>
          <w:sz w:val="24"/>
          <w:szCs w:val="24"/>
        </w:rPr>
        <w:tab/>
        <w:t>When the accused entered the __________________ (</w:t>
      </w:r>
      <w:r w:rsidRPr="00CB778A">
        <w:rPr>
          <w:rFonts w:ascii="Arial" w:hAnsi="Arial" w:cs="Arial"/>
          <w:i/>
          <w:iCs/>
          <w:sz w:val="24"/>
          <w:szCs w:val="24"/>
        </w:rPr>
        <w:t>name of structure</w:t>
      </w:r>
      <w:r w:rsidRPr="00CB778A">
        <w:rPr>
          <w:rFonts w:ascii="Arial" w:hAnsi="Arial" w:cs="Arial"/>
          <w:sz w:val="24"/>
          <w:szCs w:val="24"/>
        </w:rPr>
        <w:t>), intended to commit [a theft] [or] __________________ (</w:t>
      </w:r>
      <w:r w:rsidRPr="00CB778A">
        <w:rPr>
          <w:rFonts w:ascii="Arial" w:hAnsi="Arial" w:cs="Arial"/>
          <w:i/>
          <w:iCs/>
          <w:sz w:val="24"/>
          <w:szCs w:val="24"/>
        </w:rPr>
        <w:t>name of felony</w:t>
      </w:r>
      <w:r w:rsidRPr="00CB778A">
        <w:rPr>
          <w:rFonts w:ascii="Arial" w:hAnsi="Arial" w:cs="Arial"/>
          <w:sz w:val="24"/>
          <w:szCs w:val="24"/>
        </w:rPr>
        <w:t>)]</w:t>
      </w:r>
      <w:r w:rsidRPr="00CB778A">
        <w:rPr>
          <w:rFonts w:ascii="Arial" w:hAnsi="Arial" w:cs="Arial"/>
          <w:sz w:val="24"/>
          <w:szCs w:val="24"/>
          <w:vertAlign w:val="superscript"/>
        </w:rPr>
        <w:t>5</w:t>
      </w:r>
      <w:r w:rsidRPr="00CB778A">
        <w:rPr>
          <w:rFonts w:ascii="Arial" w:hAnsi="Arial" w:cs="Arial"/>
          <w:sz w:val="24"/>
          <w:szCs w:val="24"/>
        </w:rPr>
        <w:t xml:space="preserve"> inside; </w:t>
      </w:r>
    </w:p>
    <w:p w14:paraId="666AEEA3" w14:textId="77777777" w:rsidR="006E3846" w:rsidRPr="00CB778A" w:rsidRDefault="006E3846">
      <w:pPr>
        <w:rPr>
          <w:rFonts w:ascii="Arial" w:hAnsi="Arial" w:cs="Arial"/>
          <w:sz w:val="24"/>
          <w:szCs w:val="24"/>
        </w:rPr>
      </w:pPr>
      <w:r w:rsidRPr="00CB778A">
        <w:rPr>
          <w:rFonts w:ascii="Arial" w:hAnsi="Arial" w:cs="Arial"/>
          <w:sz w:val="24"/>
          <w:szCs w:val="24"/>
        </w:rPr>
        <w:tab/>
        <w:t>3.</w:t>
      </w:r>
      <w:r w:rsidRPr="00CB778A">
        <w:rPr>
          <w:rFonts w:ascii="Arial" w:hAnsi="Arial" w:cs="Arial"/>
          <w:sz w:val="24"/>
          <w:szCs w:val="24"/>
        </w:rPr>
        <w:tab/>
        <w:t xml:space="preserve">This happened in New Mexico on or about the __________ day of ______________,  __________. </w:t>
      </w:r>
    </w:p>
    <w:p w14:paraId="2F51DD46" w14:textId="77777777" w:rsidR="006E3846" w:rsidRPr="00CB778A" w:rsidRDefault="006E3846">
      <w:pPr>
        <w:rPr>
          <w:rFonts w:ascii="Arial" w:hAnsi="Arial" w:cs="Arial"/>
          <w:sz w:val="24"/>
          <w:szCs w:val="24"/>
        </w:rPr>
      </w:pPr>
    </w:p>
    <w:p w14:paraId="72A29C25" w14:textId="214FCC88" w:rsidR="006E3846" w:rsidRPr="00CB778A" w:rsidRDefault="006E3846" w:rsidP="00CB778A">
      <w:pPr>
        <w:spacing w:before="100" w:beforeAutospacing="1" w:after="100" w:afterAutospacing="1"/>
        <w:jc w:val="center"/>
        <w:rPr>
          <w:rFonts w:ascii="Arial" w:hAnsi="Arial" w:cs="Arial"/>
          <w:sz w:val="24"/>
          <w:szCs w:val="24"/>
        </w:rPr>
      </w:pPr>
      <w:r w:rsidRPr="00CB778A">
        <w:rPr>
          <w:rFonts w:ascii="Arial" w:hAnsi="Arial" w:cs="Arial"/>
          <w:sz w:val="24"/>
          <w:szCs w:val="24"/>
        </w:rPr>
        <w:t>USE NOTE</w:t>
      </w:r>
      <w:r w:rsidR="00CB778A">
        <w:rPr>
          <w:rFonts w:ascii="Arial" w:hAnsi="Arial" w:cs="Arial"/>
          <w:sz w:val="24"/>
          <w:szCs w:val="24"/>
        </w:rPr>
        <w:t>S</w:t>
      </w:r>
    </w:p>
    <w:p w14:paraId="634D2FD9" w14:textId="6F8056E0" w:rsidR="006E3846" w:rsidRPr="00CB778A" w:rsidRDefault="006E3846">
      <w:pPr>
        <w:rPr>
          <w:rFonts w:ascii="Arial" w:hAnsi="Arial" w:cs="Arial"/>
          <w:sz w:val="24"/>
          <w:szCs w:val="24"/>
        </w:rPr>
      </w:pPr>
      <w:r w:rsidRPr="00CB778A">
        <w:rPr>
          <w:rFonts w:ascii="Arial" w:hAnsi="Arial" w:cs="Arial"/>
          <w:sz w:val="24"/>
          <w:szCs w:val="24"/>
        </w:rPr>
        <w:tab/>
        <w:t>1.</w:t>
      </w:r>
      <w:r w:rsidRPr="00CB778A">
        <w:rPr>
          <w:rFonts w:ascii="Arial" w:hAnsi="Arial" w:cs="Arial"/>
          <w:sz w:val="24"/>
          <w:szCs w:val="24"/>
        </w:rPr>
        <w:tab/>
        <w:t xml:space="preserve">This instruction and any other applicable instruction shall be given.  </w:t>
      </w:r>
      <w:r w:rsidRPr="00CB778A">
        <w:rPr>
          <w:rFonts w:ascii="Arial" w:hAnsi="Arial" w:cs="Arial"/>
          <w:i/>
          <w:iCs/>
          <w:sz w:val="24"/>
          <w:szCs w:val="24"/>
        </w:rPr>
        <w:t>State v. Ulibarri</w:t>
      </w:r>
      <w:r w:rsidRPr="00CB778A">
        <w:rPr>
          <w:rFonts w:ascii="Arial" w:hAnsi="Arial" w:cs="Arial"/>
          <w:sz w:val="24"/>
          <w:szCs w:val="24"/>
        </w:rPr>
        <w:t xml:space="preserve">, 2000-NMSC-007, 128 N.M. 686 (adopting reasoning of Court of Appeals in </w:t>
      </w:r>
      <w:r w:rsidRPr="00CB778A">
        <w:rPr>
          <w:rFonts w:ascii="Arial" w:hAnsi="Arial" w:cs="Arial"/>
          <w:i/>
          <w:iCs/>
          <w:sz w:val="24"/>
          <w:szCs w:val="24"/>
        </w:rPr>
        <w:t>State v. Ulibarri</w:t>
      </w:r>
      <w:r w:rsidRPr="00CB778A">
        <w:rPr>
          <w:rFonts w:ascii="Arial" w:hAnsi="Arial" w:cs="Arial"/>
          <w:sz w:val="24"/>
          <w:szCs w:val="24"/>
        </w:rPr>
        <w:t xml:space="preserve">, 1999-NMCA-142, 128 N.M. 546). </w:t>
      </w:r>
    </w:p>
    <w:p w14:paraId="23319424" w14:textId="2991B92D" w:rsidR="006E3846" w:rsidRPr="00CB778A" w:rsidRDefault="006E3846">
      <w:pPr>
        <w:rPr>
          <w:rFonts w:ascii="Arial" w:hAnsi="Arial" w:cs="Arial"/>
          <w:sz w:val="24"/>
          <w:szCs w:val="24"/>
        </w:rPr>
      </w:pPr>
      <w:r w:rsidRPr="00CB778A">
        <w:rPr>
          <w:rFonts w:ascii="Arial" w:hAnsi="Arial" w:cs="Arial"/>
          <w:sz w:val="24"/>
          <w:szCs w:val="24"/>
        </w:rPr>
        <w:tab/>
        <w:t>2.</w:t>
      </w:r>
      <w:r w:rsidRPr="00CB778A">
        <w:rPr>
          <w:rFonts w:ascii="Arial" w:hAnsi="Arial" w:cs="Arial"/>
          <w:sz w:val="24"/>
          <w:szCs w:val="24"/>
        </w:rPr>
        <w:tab/>
        <w:t xml:space="preserve">UJI 14-8006 NMRA, which defines probable cause, shall be given with the essential elements instruction(s).  If the prosecutor gives essential elements instructions for more than one offense, the prosecutor is not required to give the probable cause instruction more than once. </w:t>
      </w:r>
    </w:p>
    <w:p w14:paraId="400CE9AB" w14:textId="16BF1EC6" w:rsidR="006E3846" w:rsidRPr="00CB778A" w:rsidRDefault="006E3846">
      <w:pPr>
        <w:rPr>
          <w:rFonts w:ascii="Arial" w:hAnsi="Arial" w:cs="Arial"/>
          <w:sz w:val="24"/>
          <w:szCs w:val="24"/>
        </w:rPr>
      </w:pPr>
      <w:r w:rsidRPr="00CB778A">
        <w:rPr>
          <w:rFonts w:ascii="Arial" w:hAnsi="Arial" w:cs="Arial"/>
          <w:sz w:val="24"/>
          <w:szCs w:val="24"/>
        </w:rPr>
        <w:tab/>
        <w:t>3.</w:t>
      </w:r>
      <w:r w:rsidRPr="00CB778A">
        <w:rPr>
          <w:rFonts w:ascii="Arial" w:hAnsi="Arial" w:cs="Arial"/>
          <w:sz w:val="24"/>
          <w:szCs w:val="24"/>
        </w:rPr>
        <w:tab/>
        <w:t xml:space="preserve">If the charge is burglary of a dwelling house, UJI 14-1631 NMRA shall be given with this instruction.  </w:t>
      </w:r>
      <w:r w:rsidRPr="00CB778A">
        <w:rPr>
          <w:rFonts w:ascii="Arial" w:hAnsi="Arial" w:cs="Arial"/>
          <w:i/>
          <w:iCs/>
          <w:sz w:val="24"/>
          <w:szCs w:val="24"/>
        </w:rPr>
        <w:t>State v. Ulibarri</w:t>
      </w:r>
      <w:r w:rsidRPr="00CB778A">
        <w:rPr>
          <w:rFonts w:ascii="Arial" w:hAnsi="Arial" w:cs="Arial"/>
          <w:sz w:val="24"/>
          <w:szCs w:val="24"/>
        </w:rPr>
        <w:t xml:space="preserve">, 2000-NMSC-007, 128 N.M. 686 (adopting reasoning of Court of Appeals in </w:t>
      </w:r>
      <w:r w:rsidRPr="00CB778A">
        <w:rPr>
          <w:rFonts w:ascii="Arial" w:hAnsi="Arial" w:cs="Arial"/>
          <w:i/>
          <w:iCs/>
          <w:sz w:val="24"/>
          <w:szCs w:val="24"/>
        </w:rPr>
        <w:t>State v. Ulibarri</w:t>
      </w:r>
      <w:r w:rsidRPr="00CB778A">
        <w:rPr>
          <w:rFonts w:ascii="Arial" w:hAnsi="Arial" w:cs="Arial"/>
          <w:sz w:val="24"/>
          <w:szCs w:val="24"/>
        </w:rPr>
        <w:t xml:space="preserve">, 1999-NMCA-142, 128 N.M. 546). </w:t>
      </w:r>
    </w:p>
    <w:p w14:paraId="4A6D0EA0" w14:textId="5679B91B" w:rsidR="006E3846" w:rsidRPr="00CB778A" w:rsidRDefault="006E3846">
      <w:pPr>
        <w:rPr>
          <w:rFonts w:ascii="Arial" w:hAnsi="Arial" w:cs="Arial"/>
          <w:sz w:val="24"/>
          <w:szCs w:val="24"/>
        </w:rPr>
      </w:pPr>
      <w:r w:rsidRPr="00CB778A">
        <w:rPr>
          <w:rFonts w:ascii="Arial" w:hAnsi="Arial" w:cs="Arial"/>
          <w:sz w:val="24"/>
          <w:szCs w:val="24"/>
        </w:rPr>
        <w:tab/>
        <w:t>4.</w:t>
      </w:r>
      <w:r w:rsidRPr="00CB778A">
        <w:rPr>
          <w:rFonts w:ascii="Arial" w:hAnsi="Arial" w:cs="Arial"/>
          <w:sz w:val="24"/>
          <w:szCs w:val="24"/>
        </w:rPr>
        <w:tab/>
        <w:t xml:space="preserve">Use bracketed phrase if entry is an issue. </w:t>
      </w:r>
    </w:p>
    <w:p w14:paraId="54D6F13B" w14:textId="3A601F84" w:rsidR="006E3846" w:rsidRPr="00CB778A" w:rsidRDefault="006E3846">
      <w:pPr>
        <w:rPr>
          <w:rFonts w:ascii="Arial" w:hAnsi="Arial" w:cs="Arial"/>
          <w:sz w:val="24"/>
          <w:szCs w:val="24"/>
        </w:rPr>
      </w:pPr>
      <w:r w:rsidRPr="00CB778A">
        <w:rPr>
          <w:rFonts w:ascii="Arial" w:hAnsi="Arial" w:cs="Arial"/>
          <w:sz w:val="24"/>
          <w:szCs w:val="24"/>
        </w:rPr>
        <w:tab/>
        <w:t>5.</w:t>
      </w:r>
      <w:r w:rsidRPr="00CB778A">
        <w:rPr>
          <w:rFonts w:ascii="Arial" w:hAnsi="Arial" w:cs="Arial"/>
          <w:sz w:val="24"/>
          <w:szCs w:val="24"/>
        </w:rPr>
        <w:tab/>
        <w:t xml:space="preserve">If this instruction is used, it is not necessary to instruct on the elements of the theft.  If intent to commit a felony is alleged, the essential elements of the felony should be given with this instruction. </w:t>
      </w:r>
    </w:p>
    <w:p w14:paraId="54F14DDB" w14:textId="77777777" w:rsidR="006E3846" w:rsidRPr="00CB778A" w:rsidRDefault="006E3846">
      <w:pPr>
        <w:rPr>
          <w:rFonts w:ascii="Arial" w:hAnsi="Arial" w:cs="Arial"/>
        </w:rPr>
      </w:pPr>
      <w:r w:rsidRPr="00CB778A">
        <w:rPr>
          <w:rFonts w:ascii="Arial" w:hAnsi="Arial" w:cs="Arial"/>
          <w:sz w:val="24"/>
          <w:szCs w:val="24"/>
        </w:rPr>
        <w:t xml:space="preserve">[As amended by Supreme Court Order No. 08-8300-008, effective March 21, 2008.] </w:t>
      </w:r>
    </w:p>
    <w:sectPr w:rsidR="006E3846" w:rsidRPr="00CB778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631"/>
    <w:rsid w:val="00604365"/>
    <w:rsid w:val="006E3846"/>
    <w:rsid w:val="00C05631"/>
    <w:rsid w:val="00CB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3D4D25"/>
  <w14:defaultImageDpi w14:val="0"/>
  <w15:chartTrackingRefBased/>
  <w15:docId w15:val="{1F23E584-B09D-4091-86CD-8D867ABF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AB8CDC-1322-42A0-B30A-D3BFAE76B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C6AEB-D39E-415D-97CC-5DA99BD776AD}">
  <ds:schemaRefs>
    <ds:schemaRef ds:uri="http://schemas.microsoft.com/sharepoint/v3/contenttype/forms"/>
  </ds:schemaRefs>
</ds:datastoreItem>
</file>

<file path=customXml/itemProps3.xml><?xml version="1.0" encoding="utf-8"?>
<ds:datastoreItem xmlns:ds="http://schemas.openxmlformats.org/officeDocument/2006/customXml" ds:itemID="{A3382D71-EEBB-4154-84F2-AEF837053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2023-12-12T17:36:00Z</dcterms:created>
  <dcterms:modified xsi:type="dcterms:W3CDTF">2023-12-12T17:36:00Z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