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E7E6" w14:textId="50BCBFC6" w:rsidR="00740041" w:rsidRPr="00A148FB" w:rsidRDefault="00740041" w:rsidP="00A118B5">
      <w:pPr>
        <w:spacing w:before="100" w:beforeAutospacing="1"/>
        <w:rPr>
          <w:rFonts w:ascii="Arial" w:hAnsi="Arial" w:cs="Arial"/>
          <w:sz w:val="24"/>
          <w:szCs w:val="24"/>
        </w:rPr>
      </w:pPr>
      <w:r w:rsidRPr="00A148FB">
        <w:rPr>
          <w:rFonts w:ascii="Arial" w:hAnsi="Arial" w:cs="Arial"/>
          <w:sz w:val="24"/>
          <w:szCs w:val="24"/>
          <w:lang w:val="en-CA"/>
        </w:rPr>
        <w:fldChar w:fldCharType="begin"/>
      </w:r>
      <w:r w:rsidRPr="00A148FB">
        <w:rPr>
          <w:rFonts w:ascii="Arial" w:hAnsi="Arial" w:cs="Arial"/>
          <w:sz w:val="24"/>
          <w:szCs w:val="24"/>
          <w:lang w:val="en-CA"/>
        </w:rPr>
        <w:instrText xml:space="preserve"> SEQ CHAPTER \h \r 1</w:instrText>
      </w:r>
      <w:r w:rsidRPr="00A148FB">
        <w:rPr>
          <w:rFonts w:ascii="Arial" w:hAnsi="Arial" w:cs="Arial"/>
          <w:sz w:val="24"/>
          <w:szCs w:val="24"/>
          <w:lang w:val="en-CA"/>
        </w:rPr>
        <w:fldChar w:fldCharType="end"/>
      </w:r>
      <w:r w:rsidRPr="00A148FB">
        <w:rPr>
          <w:rFonts w:ascii="Arial" w:hAnsi="Arial" w:cs="Arial"/>
          <w:b/>
          <w:bCs/>
          <w:sz w:val="24"/>
          <w:szCs w:val="24"/>
        </w:rPr>
        <w:t>14-6015. Verdicts; single or multiple defendants; larceny and receiving by acquiring; insanity.</w:t>
      </w:r>
      <w:r w:rsidRPr="00A148FB">
        <w:rPr>
          <w:rFonts w:ascii="Arial" w:hAnsi="Arial" w:cs="Arial"/>
          <w:b/>
          <w:bCs/>
          <w:sz w:val="24"/>
          <w:szCs w:val="24"/>
          <w:vertAlign w:val="superscript"/>
        </w:rPr>
        <w:t>1</w:t>
      </w:r>
    </w:p>
    <w:p w14:paraId="7A61258A" w14:textId="20A6DA9A" w:rsidR="00740041" w:rsidRPr="00A148FB" w:rsidRDefault="00740041">
      <w:pPr>
        <w:rPr>
          <w:rFonts w:ascii="Arial" w:hAnsi="Arial" w:cs="Arial"/>
          <w:sz w:val="24"/>
          <w:szCs w:val="24"/>
        </w:rPr>
      </w:pPr>
      <w:r w:rsidRPr="00A148FB">
        <w:rPr>
          <w:rFonts w:ascii="Arial" w:hAnsi="Arial" w:cs="Arial"/>
          <w:sz w:val="24"/>
          <w:szCs w:val="24"/>
        </w:rPr>
        <w:tab/>
        <w:t>In this case [in connection with the charges of larceny and receiving (by acquiring)</w:t>
      </w:r>
      <w:r w:rsidRPr="00A148FB">
        <w:rPr>
          <w:rFonts w:ascii="Arial" w:hAnsi="Arial" w:cs="Arial"/>
          <w:sz w:val="24"/>
          <w:szCs w:val="24"/>
          <w:vertAlign w:val="superscript"/>
        </w:rPr>
        <w:t>2</w:t>
      </w:r>
      <w:r w:rsidRPr="00A148FB">
        <w:rPr>
          <w:rFonts w:ascii="Arial" w:hAnsi="Arial" w:cs="Arial"/>
          <w:sz w:val="24"/>
          <w:szCs w:val="24"/>
        </w:rPr>
        <w:t xml:space="preserve"> stolen goods]</w:t>
      </w:r>
      <w:r w:rsidRPr="00A148FB">
        <w:rPr>
          <w:rFonts w:ascii="Arial" w:hAnsi="Arial" w:cs="Arial"/>
          <w:sz w:val="24"/>
          <w:szCs w:val="24"/>
          <w:vertAlign w:val="superscript"/>
        </w:rPr>
        <w:t>3</w:t>
      </w:r>
      <w:r w:rsidRPr="00A148FB">
        <w:rPr>
          <w:rFonts w:ascii="Arial" w:hAnsi="Arial" w:cs="Arial"/>
          <w:sz w:val="24"/>
          <w:szCs w:val="24"/>
        </w:rPr>
        <w:t>, there are [three]</w:t>
      </w:r>
      <w:r w:rsidRPr="00A148FB">
        <w:rPr>
          <w:rFonts w:ascii="Arial" w:hAnsi="Arial" w:cs="Arial"/>
          <w:sz w:val="24"/>
          <w:szCs w:val="24"/>
          <w:vertAlign w:val="superscript"/>
        </w:rPr>
        <w:t>4</w:t>
      </w:r>
      <w:r w:rsidRPr="00A148FB">
        <w:rPr>
          <w:rFonts w:ascii="Arial" w:hAnsi="Arial" w:cs="Arial"/>
          <w:sz w:val="24"/>
          <w:szCs w:val="24"/>
        </w:rPr>
        <w:t xml:space="preserve"> [four] possible verdicts: </w:t>
      </w:r>
    </w:p>
    <w:p w14:paraId="7BEA07CE" w14:textId="0C1112F7" w:rsidR="00740041" w:rsidRPr="00A148FB" w:rsidRDefault="00740041">
      <w:pPr>
        <w:rPr>
          <w:rFonts w:ascii="Arial" w:hAnsi="Arial" w:cs="Arial"/>
          <w:sz w:val="24"/>
          <w:szCs w:val="24"/>
        </w:rPr>
      </w:pPr>
      <w:r w:rsidRPr="00A148FB">
        <w:rPr>
          <w:rFonts w:ascii="Arial" w:hAnsi="Arial" w:cs="Arial"/>
          <w:sz w:val="24"/>
          <w:szCs w:val="24"/>
        </w:rPr>
        <w:tab/>
        <w:t>(1)</w:t>
      </w:r>
      <w:r w:rsidRPr="00A148FB">
        <w:rPr>
          <w:rFonts w:ascii="Arial" w:hAnsi="Arial" w:cs="Arial"/>
          <w:sz w:val="24"/>
          <w:szCs w:val="24"/>
        </w:rPr>
        <w:tab/>
        <w:t>guilty of larceny and not guilty of receiving (by acquiring)</w:t>
      </w:r>
      <w:proofErr w:type="gramStart"/>
      <w:r w:rsidRPr="00A148FB">
        <w:rPr>
          <w:rFonts w:ascii="Arial" w:hAnsi="Arial" w:cs="Arial"/>
          <w:sz w:val="24"/>
          <w:szCs w:val="24"/>
          <w:vertAlign w:val="superscript"/>
        </w:rPr>
        <w:t>2</w:t>
      </w:r>
      <w:r w:rsidRPr="00A148FB">
        <w:rPr>
          <w:rFonts w:ascii="Arial" w:hAnsi="Arial" w:cs="Arial"/>
          <w:sz w:val="24"/>
          <w:szCs w:val="24"/>
        </w:rPr>
        <w:t>;</w:t>
      </w:r>
      <w:proofErr w:type="gramEnd"/>
      <w:r w:rsidRPr="00A148FB">
        <w:rPr>
          <w:rFonts w:ascii="Arial" w:hAnsi="Arial" w:cs="Arial"/>
          <w:sz w:val="24"/>
          <w:szCs w:val="24"/>
        </w:rPr>
        <w:t xml:space="preserve"> </w:t>
      </w:r>
    </w:p>
    <w:p w14:paraId="5C3A6099" w14:textId="4299F8DB" w:rsidR="00740041" w:rsidRPr="00A148FB" w:rsidRDefault="00740041">
      <w:pPr>
        <w:rPr>
          <w:rFonts w:ascii="Arial" w:hAnsi="Arial" w:cs="Arial"/>
          <w:sz w:val="24"/>
          <w:szCs w:val="24"/>
        </w:rPr>
      </w:pPr>
      <w:r w:rsidRPr="00A148FB">
        <w:rPr>
          <w:rFonts w:ascii="Arial" w:hAnsi="Arial" w:cs="Arial"/>
          <w:sz w:val="24"/>
          <w:szCs w:val="24"/>
        </w:rPr>
        <w:tab/>
        <w:t>(2)</w:t>
      </w:r>
      <w:r w:rsidRPr="00A148FB">
        <w:rPr>
          <w:rFonts w:ascii="Arial" w:hAnsi="Arial" w:cs="Arial"/>
          <w:sz w:val="24"/>
          <w:szCs w:val="24"/>
        </w:rPr>
        <w:tab/>
        <w:t>guilty of receiving (by acquiring)</w:t>
      </w:r>
      <w:r w:rsidRPr="00A148FB">
        <w:rPr>
          <w:rFonts w:ascii="Arial" w:hAnsi="Arial" w:cs="Arial"/>
          <w:sz w:val="24"/>
          <w:szCs w:val="24"/>
          <w:vertAlign w:val="superscript"/>
        </w:rPr>
        <w:t>2</w:t>
      </w:r>
      <w:r w:rsidRPr="00A148FB">
        <w:rPr>
          <w:rFonts w:ascii="Arial" w:hAnsi="Arial" w:cs="Arial"/>
          <w:sz w:val="24"/>
          <w:szCs w:val="24"/>
        </w:rPr>
        <w:t xml:space="preserve"> and not guilty of </w:t>
      </w:r>
      <w:proofErr w:type="gramStart"/>
      <w:r w:rsidRPr="00A148FB">
        <w:rPr>
          <w:rFonts w:ascii="Arial" w:hAnsi="Arial" w:cs="Arial"/>
          <w:sz w:val="24"/>
          <w:szCs w:val="24"/>
        </w:rPr>
        <w:t>larceny;</w:t>
      </w:r>
      <w:proofErr w:type="gramEnd"/>
      <w:r w:rsidRPr="00A148FB">
        <w:rPr>
          <w:rFonts w:ascii="Arial" w:hAnsi="Arial" w:cs="Arial"/>
          <w:sz w:val="24"/>
          <w:szCs w:val="24"/>
        </w:rPr>
        <w:t xml:space="preserve"> </w:t>
      </w:r>
    </w:p>
    <w:p w14:paraId="4698A3AD" w14:textId="127F12B8" w:rsidR="00740041" w:rsidRPr="00A148FB" w:rsidRDefault="00740041">
      <w:pPr>
        <w:rPr>
          <w:rFonts w:ascii="Arial" w:hAnsi="Arial" w:cs="Arial"/>
          <w:sz w:val="24"/>
          <w:szCs w:val="24"/>
        </w:rPr>
      </w:pPr>
      <w:r w:rsidRPr="00A148FB">
        <w:rPr>
          <w:rFonts w:ascii="Arial" w:hAnsi="Arial" w:cs="Arial"/>
          <w:sz w:val="24"/>
          <w:szCs w:val="24"/>
        </w:rPr>
        <w:tab/>
        <w:t>(3)</w:t>
      </w:r>
      <w:r w:rsidRPr="00A148FB">
        <w:rPr>
          <w:rFonts w:ascii="Arial" w:hAnsi="Arial" w:cs="Arial"/>
          <w:sz w:val="24"/>
          <w:szCs w:val="24"/>
        </w:rPr>
        <w:tab/>
        <w:t>not guilty of larceny and not guilty of receiving (by acquiring)</w:t>
      </w:r>
      <w:r w:rsidRPr="00A148FB">
        <w:rPr>
          <w:rFonts w:ascii="Arial" w:hAnsi="Arial" w:cs="Arial"/>
          <w:sz w:val="24"/>
          <w:szCs w:val="24"/>
          <w:vertAlign w:val="superscript"/>
        </w:rPr>
        <w:t>2</w:t>
      </w:r>
      <w:r w:rsidRPr="00A148FB">
        <w:rPr>
          <w:rFonts w:ascii="Arial" w:hAnsi="Arial" w:cs="Arial"/>
          <w:sz w:val="24"/>
          <w:szCs w:val="24"/>
        </w:rPr>
        <w:t xml:space="preserve">; [and] </w:t>
      </w:r>
    </w:p>
    <w:p w14:paraId="68CBF25F" w14:textId="2EADC1F8" w:rsidR="00740041" w:rsidRPr="00A148FB" w:rsidRDefault="00740041">
      <w:pPr>
        <w:rPr>
          <w:rFonts w:ascii="Arial" w:hAnsi="Arial" w:cs="Arial"/>
          <w:sz w:val="24"/>
          <w:szCs w:val="24"/>
        </w:rPr>
      </w:pPr>
      <w:r w:rsidRPr="00A148FB">
        <w:rPr>
          <w:rFonts w:ascii="Arial" w:hAnsi="Arial" w:cs="Arial"/>
          <w:sz w:val="24"/>
          <w:szCs w:val="24"/>
        </w:rPr>
        <w:tab/>
        <w:t>(4)</w:t>
      </w:r>
      <w:r w:rsidRPr="00A148FB">
        <w:rPr>
          <w:rFonts w:ascii="Arial" w:hAnsi="Arial" w:cs="Arial"/>
          <w:sz w:val="24"/>
          <w:szCs w:val="24"/>
        </w:rPr>
        <w:tab/>
        <w:t>not guilty by reason of insanity].</w:t>
      </w:r>
      <w:r w:rsidRPr="00A148FB">
        <w:rPr>
          <w:rFonts w:ascii="Arial" w:hAnsi="Arial" w:cs="Arial"/>
          <w:sz w:val="24"/>
          <w:szCs w:val="24"/>
          <w:vertAlign w:val="superscript"/>
        </w:rPr>
        <w:t>5</w:t>
      </w:r>
      <w:r w:rsidRPr="00A148FB">
        <w:rPr>
          <w:rFonts w:ascii="Arial" w:hAnsi="Arial" w:cs="Arial"/>
          <w:sz w:val="24"/>
          <w:szCs w:val="24"/>
        </w:rPr>
        <w:t xml:space="preserve"> </w:t>
      </w:r>
    </w:p>
    <w:p w14:paraId="731E0E22" w14:textId="5723B3FD" w:rsidR="00740041" w:rsidRPr="00A148FB" w:rsidRDefault="00740041">
      <w:pPr>
        <w:rPr>
          <w:rFonts w:ascii="Arial" w:hAnsi="Arial" w:cs="Arial"/>
          <w:sz w:val="24"/>
          <w:szCs w:val="24"/>
        </w:rPr>
      </w:pPr>
      <w:r w:rsidRPr="00A148FB">
        <w:rPr>
          <w:rFonts w:ascii="Arial" w:hAnsi="Arial" w:cs="Arial"/>
          <w:sz w:val="24"/>
          <w:szCs w:val="24"/>
        </w:rPr>
        <w:tab/>
        <w:t xml:space="preserve">Only one of the possible verdicts may be signed by you as to these charges [as to each defendant]. If you have agreed upon one verdict as to these charges [as to a defendant], that form of verdict is the only form to be signed as to these charges [as to that defendant]. The other forms as to these charges are to be left unsigned. </w:t>
      </w:r>
    </w:p>
    <w:p w14:paraId="63113692" w14:textId="19A4DDFB" w:rsidR="00740041" w:rsidRPr="00A148FB" w:rsidRDefault="00740041">
      <w:pPr>
        <w:rPr>
          <w:rFonts w:ascii="Arial" w:hAnsi="Arial" w:cs="Arial"/>
          <w:sz w:val="24"/>
          <w:szCs w:val="24"/>
        </w:rPr>
      </w:pPr>
      <w:r w:rsidRPr="00A148FB">
        <w:rPr>
          <w:rFonts w:ascii="Arial" w:hAnsi="Arial" w:cs="Arial"/>
          <w:sz w:val="24"/>
          <w:szCs w:val="24"/>
        </w:rPr>
        <w:tab/>
        <w:t>[Even if you determine from all the evidence that a defendant committed an offense, if you are not satisfied beyond a reasonable doubt that he was sane at the time, you must find him not guilty by reason of insanity and sign only the not guilty by reason of insanity form.]</w:t>
      </w:r>
      <w:proofErr w:type="gramStart"/>
      <w:r w:rsidRPr="00A148FB">
        <w:rPr>
          <w:rFonts w:ascii="Arial" w:hAnsi="Arial" w:cs="Arial"/>
          <w:sz w:val="24"/>
          <w:szCs w:val="24"/>
          <w:vertAlign w:val="superscript"/>
        </w:rPr>
        <w:t>5</w:t>
      </w:r>
      <w:proofErr w:type="gramEnd"/>
      <w:r w:rsidRPr="00A148FB">
        <w:rPr>
          <w:rFonts w:ascii="Arial" w:hAnsi="Arial" w:cs="Arial"/>
          <w:sz w:val="24"/>
          <w:szCs w:val="24"/>
        </w:rPr>
        <w:t xml:space="preserve"> </w:t>
      </w:r>
    </w:p>
    <w:p w14:paraId="26676192" w14:textId="77777777" w:rsidR="00740041" w:rsidRPr="00A148FB" w:rsidRDefault="00740041">
      <w:pPr>
        <w:rPr>
          <w:rFonts w:ascii="Arial" w:hAnsi="Arial" w:cs="Arial"/>
          <w:sz w:val="24"/>
          <w:szCs w:val="24"/>
        </w:rPr>
      </w:pPr>
    </w:p>
    <w:p w14:paraId="6716F268" w14:textId="64E4A0C7" w:rsidR="00740041" w:rsidRPr="00A148FB" w:rsidRDefault="00740041" w:rsidP="00A148FB">
      <w:pPr>
        <w:spacing w:before="100" w:beforeAutospacing="1" w:after="100" w:afterAutospacing="1"/>
        <w:jc w:val="center"/>
        <w:rPr>
          <w:rFonts w:ascii="Arial" w:hAnsi="Arial" w:cs="Arial"/>
          <w:sz w:val="24"/>
          <w:szCs w:val="24"/>
        </w:rPr>
      </w:pPr>
      <w:r w:rsidRPr="00A148FB">
        <w:rPr>
          <w:rFonts w:ascii="Arial" w:hAnsi="Arial" w:cs="Arial"/>
          <w:sz w:val="24"/>
          <w:szCs w:val="24"/>
        </w:rPr>
        <w:t>USE NOTE</w:t>
      </w:r>
      <w:r w:rsidR="00A148FB">
        <w:rPr>
          <w:rFonts w:ascii="Arial" w:hAnsi="Arial" w:cs="Arial"/>
          <w:sz w:val="24"/>
          <w:szCs w:val="24"/>
        </w:rPr>
        <w:t>S</w:t>
      </w:r>
    </w:p>
    <w:p w14:paraId="765E6DD9" w14:textId="541D7B97" w:rsidR="00740041" w:rsidRPr="00A148FB" w:rsidRDefault="00740041">
      <w:pPr>
        <w:rPr>
          <w:rFonts w:ascii="Arial" w:hAnsi="Arial" w:cs="Arial"/>
          <w:sz w:val="24"/>
          <w:szCs w:val="24"/>
        </w:rPr>
      </w:pPr>
      <w:r w:rsidRPr="00A148FB">
        <w:rPr>
          <w:rFonts w:ascii="Arial" w:hAnsi="Arial" w:cs="Arial"/>
          <w:sz w:val="24"/>
          <w:szCs w:val="24"/>
        </w:rPr>
        <w:tab/>
        <w:t>1.</w:t>
      </w:r>
      <w:r w:rsidR="00A118B5">
        <w:rPr>
          <w:rFonts w:ascii="Arial" w:hAnsi="Arial" w:cs="Arial"/>
          <w:sz w:val="24"/>
          <w:szCs w:val="24"/>
        </w:rPr>
        <w:tab/>
      </w:r>
      <w:r w:rsidRPr="00A148FB">
        <w:rPr>
          <w:rFonts w:ascii="Arial" w:hAnsi="Arial" w:cs="Arial"/>
          <w:sz w:val="24"/>
          <w:szCs w:val="24"/>
        </w:rPr>
        <w:t xml:space="preserve">This instruction should be given if charges of larceny and charges of receiving (by acquiring) stolen </w:t>
      </w:r>
      <w:proofErr w:type="gramStart"/>
      <w:r w:rsidRPr="00A148FB">
        <w:rPr>
          <w:rFonts w:ascii="Arial" w:hAnsi="Arial" w:cs="Arial"/>
          <w:sz w:val="24"/>
          <w:szCs w:val="24"/>
        </w:rPr>
        <w:t>property,</w:t>
      </w:r>
      <w:proofErr w:type="gramEnd"/>
      <w:r w:rsidRPr="00A148FB">
        <w:rPr>
          <w:rFonts w:ascii="Arial" w:hAnsi="Arial" w:cs="Arial"/>
          <w:sz w:val="24"/>
          <w:szCs w:val="24"/>
        </w:rPr>
        <w:t xml:space="preserve"> relate to the same property. This instruction supplants UJI 14-6011; but UJI 14-6011 may be used with this instruction if counts are submitted other than larceny and receiving by acquiring. UJI 14-6004 should not be used with this instruction because the two are in contradiction. If there are other charges, to which this instruction is not applicable, UJI 14-6004 may be tailored to refer solely to those counts and may be given with this instruction. </w:t>
      </w:r>
    </w:p>
    <w:p w14:paraId="1FA91785" w14:textId="51315439" w:rsidR="00740041" w:rsidRPr="00A148FB" w:rsidRDefault="00740041">
      <w:pPr>
        <w:rPr>
          <w:rFonts w:ascii="Arial" w:hAnsi="Arial" w:cs="Arial"/>
          <w:sz w:val="24"/>
          <w:szCs w:val="24"/>
        </w:rPr>
      </w:pPr>
      <w:r w:rsidRPr="00A148FB">
        <w:rPr>
          <w:rFonts w:ascii="Arial" w:hAnsi="Arial" w:cs="Arial"/>
          <w:sz w:val="24"/>
          <w:szCs w:val="24"/>
        </w:rPr>
        <w:tab/>
        <w:t>2.</w:t>
      </w:r>
      <w:r w:rsidR="00A118B5">
        <w:rPr>
          <w:rFonts w:ascii="Arial" w:hAnsi="Arial" w:cs="Arial"/>
          <w:sz w:val="24"/>
          <w:szCs w:val="24"/>
        </w:rPr>
        <w:tab/>
      </w:r>
      <w:r w:rsidRPr="00A148FB">
        <w:rPr>
          <w:rFonts w:ascii="Arial" w:hAnsi="Arial" w:cs="Arial"/>
          <w:sz w:val="24"/>
          <w:szCs w:val="24"/>
        </w:rPr>
        <w:t xml:space="preserve">Use the parenthetical phrase if the charge of receiving by keeping or receiving by disposing is also submitted. If no charge of receiving by keeping or disposing is submitted, the </w:t>
      </w:r>
      <w:proofErr w:type="gramStart"/>
      <w:r w:rsidRPr="00A148FB">
        <w:rPr>
          <w:rFonts w:ascii="Arial" w:hAnsi="Arial" w:cs="Arial"/>
          <w:sz w:val="24"/>
          <w:szCs w:val="24"/>
        </w:rPr>
        <w:t>parenthetical</w:t>
      </w:r>
      <w:proofErr w:type="gramEnd"/>
      <w:r w:rsidRPr="00A148FB">
        <w:rPr>
          <w:rFonts w:ascii="Arial" w:hAnsi="Arial" w:cs="Arial"/>
          <w:sz w:val="24"/>
          <w:szCs w:val="24"/>
        </w:rPr>
        <w:t xml:space="preserve"> phrase should be omitted. </w:t>
      </w:r>
    </w:p>
    <w:p w14:paraId="34F7FC32" w14:textId="53554CCC" w:rsidR="00740041" w:rsidRPr="00A148FB" w:rsidRDefault="00740041">
      <w:pPr>
        <w:rPr>
          <w:rFonts w:ascii="Arial" w:hAnsi="Arial" w:cs="Arial"/>
          <w:sz w:val="24"/>
          <w:szCs w:val="24"/>
        </w:rPr>
      </w:pPr>
      <w:r w:rsidRPr="00A148FB">
        <w:rPr>
          <w:rFonts w:ascii="Arial" w:hAnsi="Arial" w:cs="Arial"/>
          <w:sz w:val="24"/>
          <w:szCs w:val="24"/>
        </w:rPr>
        <w:tab/>
        <w:t>3.</w:t>
      </w:r>
      <w:r w:rsidR="00A118B5">
        <w:rPr>
          <w:rFonts w:ascii="Arial" w:hAnsi="Arial" w:cs="Arial"/>
          <w:sz w:val="24"/>
          <w:szCs w:val="24"/>
        </w:rPr>
        <w:tab/>
      </w:r>
      <w:r w:rsidRPr="00A148FB">
        <w:rPr>
          <w:rFonts w:ascii="Arial" w:hAnsi="Arial" w:cs="Arial"/>
          <w:sz w:val="24"/>
          <w:szCs w:val="24"/>
        </w:rPr>
        <w:t xml:space="preserve">Use this bracketed phrase if charges other than larceny and receiving are submitted. In some </w:t>
      </w:r>
      <w:proofErr w:type="gramStart"/>
      <w:r w:rsidRPr="00A148FB">
        <w:rPr>
          <w:rFonts w:ascii="Arial" w:hAnsi="Arial" w:cs="Arial"/>
          <w:sz w:val="24"/>
          <w:szCs w:val="24"/>
        </w:rPr>
        <w:t>cases</w:t>
      </w:r>
      <w:proofErr w:type="gramEnd"/>
      <w:r w:rsidRPr="00A148FB">
        <w:rPr>
          <w:rFonts w:ascii="Arial" w:hAnsi="Arial" w:cs="Arial"/>
          <w:sz w:val="24"/>
          <w:szCs w:val="24"/>
        </w:rPr>
        <w:t xml:space="preserve"> it also may be necessary to identify the counts, such as cases in which there are other charges of larceny or receiving to which this instruction is not applicable. If the only charges that are submitted are larceny and receiving by acquiring, of the same property, then this bracketed phrase should be omitted. </w:t>
      </w:r>
    </w:p>
    <w:p w14:paraId="2892CA74" w14:textId="338533F5" w:rsidR="00740041" w:rsidRPr="00A148FB" w:rsidRDefault="00740041">
      <w:pPr>
        <w:rPr>
          <w:rFonts w:ascii="Arial" w:hAnsi="Arial" w:cs="Arial"/>
          <w:sz w:val="24"/>
          <w:szCs w:val="24"/>
        </w:rPr>
      </w:pPr>
      <w:r w:rsidRPr="00A148FB">
        <w:rPr>
          <w:rFonts w:ascii="Arial" w:hAnsi="Arial" w:cs="Arial"/>
          <w:sz w:val="24"/>
          <w:szCs w:val="24"/>
        </w:rPr>
        <w:tab/>
        <w:t>4.</w:t>
      </w:r>
      <w:r w:rsidR="00A118B5">
        <w:rPr>
          <w:rFonts w:ascii="Arial" w:hAnsi="Arial" w:cs="Arial"/>
          <w:sz w:val="24"/>
          <w:szCs w:val="24"/>
        </w:rPr>
        <w:tab/>
      </w:r>
      <w:r w:rsidRPr="00A148FB">
        <w:rPr>
          <w:rFonts w:ascii="Arial" w:hAnsi="Arial" w:cs="Arial"/>
          <w:sz w:val="24"/>
          <w:szCs w:val="24"/>
        </w:rPr>
        <w:t xml:space="preserve">Use appropriate bracketed alternative. </w:t>
      </w:r>
    </w:p>
    <w:p w14:paraId="226D9823" w14:textId="37CA1BD0" w:rsidR="00740041" w:rsidRPr="00A148FB" w:rsidRDefault="00740041">
      <w:pPr>
        <w:rPr>
          <w:rFonts w:ascii="Arial" w:hAnsi="Arial" w:cs="Arial"/>
        </w:rPr>
      </w:pPr>
      <w:r w:rsidRPr="00A148FB">
        <w:rPr>
          <w:rFonts w:ascii="Arial" w:hAnsi="Arial" w:cs="Arial"/>
          <w:sz w:val="24"/>
          <w:szCs w:val="24"/>
        </w:rPr>
        <w:tab/>
        <w:t>5.</w:t>
      </w:r>
      <w:r w:rsidR="00A118B5">
        <w:rPr>
          <w:rFonts w:ascii="Arial" w:hAnsi="Arial" w:cs="Arial"/>
          <w:sz w:val="24"/>
          <w:szCs w:val="24"/>
        </w:rPr>
        <w:tab/>
      </w:r>
      <w:r w:rsidRPr="00A148FB">
        <w:rPr>
          <w:rFonts w:ascii="Arial" w:hAnsi="Arial" w:cs="Arial"/>
          <w:sz w:val="24"/>
          <w:szCs w:val="24"/>
        </w:rPr>
        <w:t xml:space="preserve">Use these bracketed provisions if the issue of not guilty by reason of insanity is submitted to the jury. </w:t>
      </w:r>
    </w:p>
    <w:sectPr w:rsidR="00740041" w:rsidRPr="00A148F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7C7"/>
    <w:rsid w:val="000867C7"/>
    <w:rsid w:val="00740041"/>
    <w:rsid w:val="009D189F"/>
    <w:rsid w:val="00A118B5"/>
    <w:rsid w:val="00A1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DF9B0"/>
  <w14:defaultImageDpi w14:val="0"/>
  <w15:chartTrackingRefBased/>
  <w15:docId w15:val="{E25E499B-BAC0-49D9-ADCC-90261260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CF8DE-B3C0-4606-A515-DCA2E7FCC9D5}">
  <ds:schemaRefs>
    <ds:schemaRef ds:uri="http://schemas.microsoft.com/sharepoint/v3/contenttype/forms"/>
  </ds:schemaRefs>
</ds:datastoreItem>
</file>

<file path=customXml/itemProps2.xml><?xml version="1.0" encoding="utf-8"?>
<ds:datastoreItem xmlns:ds="http://schemas.openxmlformats.org/officeDocument/2006/customXml" ds:itemID="{66D2CFB2-5F60-4DE4-A8B4-02719FFB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2AE37-2892-415C-9C6C-A0FCFE39FC6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2023-12-12T15:29:00Z</dcterms:created>
  <dcterms:modified xsi:type="dcterms:W3CDTF">2023-12-26T18:37:00Z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